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16C99">
      <w:pPr>
        <w:spacing w:line="480" w:lineRule="auto"/>
        <w:jc w:val="center"/>
        <w:rPr>
          <w:b/>
          <w:bCs/>
          <w:sz w:val="24"/>
          <w:szCs w:val="24"/>
          <w:lang w:val="en-MY"/>
        </w:rPr>
      </w:pPr>
      <w:r>
        <w:rPr>
          <w:b/>
          <w:bCs/>
          <w:sz w:val="24"/>
          <w:szCs w:val="24"/>
          <w:lang w:val="en-MY"/>
        </w:rPr>
        <w:t>Ultrathin Ni-fumarate MOFs decorated with PVP-Au NPs for simultaneous dopamine and paracetamol sensor and DFT investigations</w:t>
      </w:r>
    </w:p>
    <w:p w14:paraId="07FFD20D">
      <w:pPr>
        <w:spacing w:line="480" w:lineRule="auto"/>
        <w:jc w:val="center"/>
        <w:rPr>
          <w:rFonts w:eastAsiaTheme="minorEastAsia"/>
          <w:color w:val="000000"/>
        </w:rPr>
      </w:pPr>
      <w:bookmarkStart w:id="0" w:name="_Hlk178276361"/>
      <w:r>
        <w:rPr>
          <w:color w:val="000000"/>
        </w:rPr>
        <w:t>Feng Zhou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  <w:r>
        <w:rPr>
          <w:rFonts w:eastAsiaTheme="minorEastAsia"/>
          <w:color w:val="000000"/>
        </w:rPr>
        <w:t>Limei Gai</w:t>
      </w:r>
      <w:r>
        <w:rPr>
          <w:rFonts w:hint="eastAsia" w:eastAsiaTheme="minorEastAsia"/>
          <w:color w:val="000000"/>
          <w:vertAlign w:val="superscript"/>
        </w:rPr>
        <w:t>2</w:t>
      </w:r>
      <w:r>
        <w:rPr>
          <w:rFonts w:eastAsiaTheme="minorEastAsia"/>
          <w:color w:val="000000"/>
          <w:vertAlign w:val="superscript"/>
        </w:rPr>
        <w:t>*</w:t>
      </w:r>
      <w:bookmarkStart w:id="1" w:name="_GoBack"/>
      <w:bookmarkEnd w:id="1"/>
      <w:r>
        <w:rPr>
          <w:rFonts w:eastAsiaTheme="minorEastAsia"/>
          <w:color w:val="000000"/>
          <w:lang w:val="en-MY"/>
        </w:rPr>
        <w:t>, Hua Liu</w:t>
      </w:r>
      <w:r>
        <w:rPr>
          <w:rFonts w:hint="eastAsia" w:eastAsiaTheme="minorEastAsia"/>
          <w:color w:val="000000"/>
          <w:vertAlign w:val="superscript"/>
          <w:lang w:val="en-MY"/>
        </w:rPr>
        <w:t>1</w:t>
      </w:r>
      <w:r>
        <w:rPr>
          <w:rFonts w:hint="eastAsia" w:eastAsiaTheme="minorEastAsia"/>
          <w:color w:val="000000"/>
          <w:lang w:val="en-MY"/>
        </w:rPr>
        <w:t xml:space="preserve">, </w:t>
      </w:r>
      <w:r>
        <w:rPr>
          <w:rFonts w:eastAsiaTheme="minorEastAsia"/>
          <w:color w:val="000000"/>
          <w:lang w:val="en-MY"/>
        </w:rPr>
        <w:t>Danfeng Qin</w:t>
      </w:r>
      <w:r>
        <w:rPr>
          <w:rFonts w:eastAsiaTheme="minorEastAsia"/>
          <w:color w:val="000000"/>
          <w:vertAlign w:val="superscript"/>
          <w:lang w:val="en-MY"/>
        </w:rPr>
        <w:t>3</w:t>
      </w:r>
      <w:r>
        <w:rPr>
          <w:rFonts w:eastAsiaTheme="minorEastAsia"/>
          <w:color w:val="000000"/>
          <w:lang w:val="en-MY"/>
        </w:rPr>
        <w:t xml:space="preserve">, </w:t>
      </w:r>
      <w:r>
        <w:rPr>
          <w:rFonts w:eastAsiaTheme="minorEastAsia"/>
          <w:color w:val="000000"/>
        </w:rPr>
        <w:t>Tushagu Abudouwufu</w:t>
      </w:r>
      <w:r>
        <w:rPr>
          <w:rFonts w:eastAsiaTheme="minorEastAsia"/>
          <w:color w:val="000000"/>
          <w:vertAlign w:val="superscript"/>
        </w:rPr>
        <w:t>4</w:t>
      </w:r>
      <w:r>
        <w:rPr>
          <w:rFonts w:eastAsiaTheme="minorEastAsia"/>
          <w:color w:val="000000"/>
        </w:rPr>
        <w:t xml:space="preserve">, </w:t>
      </w:r>
      <w:r>
        <w:rPr>
          <w:rFonts w:eastAsiaTheme="minorEastAsia"/>
          <w:color w:val="000000"/>
          <w:lang w:val="en-MY"/>
        </w:rPr>
        <w:t>Yi Liu</w:t>
      </w:r>
      <w:r>
        <w:rPr>
          <w:rFonts w:eastAsiaTheme="minorEastAsia"/>
          <w:color w:val="000000"/>
          <w:vertAlign w:val="superscript"/>
        </w:rPr>
        <w:t>5*</w:t>
      </w:r>
    </w:p>
    <w:p w14:paraId="7C29E41F">
      <w:pPr>
        <w:spacing w:line="480" w:lineRule="auto"/>
        <w:jc w:val="both"/>
        <w:rPr>
          <w:rFonts w:eastAsiaTheme="minorEastAsia"/>
          <w:color w:val="000000"/>
          <w:lang w:val="en-MY"/>
        </w:rPr>
      </w:pPr>
      <w:r>
        <w:rPr>
          <w:rFonts w:eastAsiaTheme="minorEastAsia"/>
          <w:color w:val="000000"/>
          <w:vertAlign w:val="superscript"/>
        </w:rPr>
        <w:t>1</w:t>
      </w:r>
      <w:r>
        <w:rPr>
          <w:rFonts w:eastAsiaTheme="minorEastAsia"/>
          <w:color w:val="000000"/>
        </w:rPr>
        <w:t>School</w:t>
      </w:r>
      <w:r>
        <w:rPr>
          <w:rFonts w:eastAsiaTheme="minorEastAsia"/>
          <w:color w:val="000000"/>
          <w:lang w:val="en"/>
        </w:rPr>
        <w:t xml:space="preserve"> of Engineering,</w:t>
      </w:r>
      <w:r>
        <w:rPr>
          <w:rFonts w:eastAsiaTheme="minorEastAsia"/>
          <w:color w:val="000000"/>
          <w:lang w:val="en-MY"/>
        </w:rPr>
        <w:t xml:space="preserve"> </w:t>
      </w:r>
      <w:r>
        <w:rPr>
          <w:rFonts w:eastAsiaTheme="minorEastAsia"/>
          <w:color w:val="000000"/>
        </w:rPr>
        <w:t xml:space="preserve">Guangzhou College of </w:t>
      </w:r>
      <w:r>
        <w:rPr>
          <w:rFonts w:eastAsiaTheme="minorEastAsia"/>
          <w:color w:val="000000"/>
          <w:lang w:val="en"/>
        </w:rPr>
        <w:t xml:space="preserve">Technology and Business, </w:t>
      </w:r>
      <w:r>
        <w:rPr>
          <w:rFonts w:hint="eastAsia" w:eastAsiaTheme="minorEastAsia"/>
          <w:color w:val="000000"/>
        </w:rPr>
        <w:t>Guangzhou</w:t>
      </w:r>
      <w:r>
        <w:rPr>
          <w:rFonts w:eastAsiaTheme="minorEastAsia"/>
          <w:color w:val="000000"/>
          <w:lang w:val="en"/>
        </w:rPr>
        <w:t xml:space="preserve"> </w:t>
      </w:r>
      <w:r>
        <w:rPr>
          <w:rFonts w:eastAsiaTheme="minorEastAsia"/>
          <w:color w:val="000000"/>
        </w:rPr>
        <w:t>5</w:t>
      </w:r>
      <w:r>
        <w:rPr>
          <w:rFonts w:hint="eastAsia" w:eastAsiaTheme="minorEastAsia"/>
          <w:color w:val="000000"/>
        </w:rPr>
        <w:t>10880</w:t>
      </w:r>
      <w:r>
        <w:rPr>
          <w:rFonts w:eastAsiaTheme="minorEastAsia"/>
          <w:color w:val="000000"/>
        </w:rPr>
        <w:t xml:space="preserve">, Guangdong, </w:t>
      </w:r>
      <w:r>
        <w:rPr>
          <w:rFonts w:eastAsiaTheme="minorEastAsia"/>
          <w:color w:val="000000"/>
          <w:lang w:val="en-MY"/>
        </w:rPr>
        <w:t>P.R. China</w:t>
      </w:r>
    </w:p>
    <w:p w14:paraId="6E217F09">
      <w:pPr>
        <w:spacing w:line="480" w:lineRule="auto"/>
        <w:jc w:val="both"/>
        <w:rPr>
          <w:rFonts w:eastAsiaTheme="minorEastAsia"/>
          <w:color w:val="000000"/>
        </w:rPr>
      </w:pPr>
      <w:r>
        <w:rPr>
          <w:rFonts w:hint="eastAsia" w:eastAsiaTheme="minorEastAsia"/>
          <w:color w:val="000000"/>
          <w:vertAlign w:val="superscript"/>
          <w:lang w:val="en-MY"/>
        </w:rPr>
        <w:t>2</w:t>
      </w:r>
      <w:r>
        <w:rPr>
          <w:rFonts w:eastAsiaTheme="minorEastAsia"/>
          <w:color w:val="000000"/>
        </w:rPr>
        <w:t>National-Local Joint Engineering Laboratory of Harbour Oil &amp; Gas Storage and Transportation Technology/Zhejiang Key Laboratory of Petrochemical Environmental Pollution Control, School of Petrochemical Engineering &amp; Environment, Zhejiang Ocean University, Zhoushan 316022, P.R. China</w:t>
      </w:r>
    </w:p>
    <w:p w14:paraId="1613664C">
      <w:pPr>
        <w:spacing w:line="480" w:lineRule="auto"/>
        <w:jc w:val="both"/>
        <w:rPr>
          <w:rFonts w:eastAsiaTheme="minorEastAsia"/>
          <w:color w:val="000000"/>
          <w:lang w:val="en-MY"/>
        </w:rPr>
      </w:pPr>
      <w:r>
        <w:rPr>
          <w:rFonts w:eastAsiaTheme="minorEastAsia"/>
          <w:color w:val="000000"/>
          <w:vertAlign w:val="superscript"/>
          <w:lang w:val="en-MY"/>
        </w:rPr>
        <w:t>3</w:t>
      </w:r>
      <w:r>
        <w:rPr>
          <w:rFonts w:eastAsiaTheme="minorEastAsia"/>
          <w:color w:val="000000"/>
          <w:lang w:val="en-MY"/>
        </w:rPr>
        <w:t>School of Medicine Guangxi University of Science and Technology, Liuzhou 545006, Guangxi, P.R. China</w:t>
      </w:r>
    </w:p>
    <w:p w14:paraId="014825FD">
      <w:pPr>
        <w:spacing w:line="480" w:lineRule="auto"/>
        <w:jc w:val="both"/>
        <w:rPr>
          <w:rFonts w:eastAsiaTheme="minorEastAsia"/>
          <w:color w:val="000000"/>
          <w:lang w:val="en-MY"/>
        </w:rPr>
      </w:pPr>
      <w:r>
        <w:rPr>
          <w:rFonts w:eastAsiaTheme="minorEastAsia"/>
          <w:color w:val="000000"/>
          <w:vertAlign w:val="superscript"/>
          <w:lang w:val="en-MY"/>
        </w:rPr>
        <w:t>4</w:t>
      </w:r>
      <w:r>
        <w:rPr>
          <w:rFonts w:eastAsiaTheme="minorEastAsia"/>
          <w:color w:val="000000"/>
          <w:lang w:val="en-MY"/>
        </w:rPr>
        <w:t>School of Pharmacy and Food Science, Zhuhai College of Science and Technology, No. 8 Anji East Road, Jinwan District, Zhuhai 519041, P.R. China</w:t>
      </w:r>
    </w:p>
    <w:p w14:paraId="47E60D1D">
      <w:pPr>
        <w:spacing w:line="480" w:lineRule="auto"/>
        <w:jc w:val="both"/>
        <w:rPr>
          <w:rFonts w:eastAsiaTheme="minorEastAsia"/>
          <w:color w:val="000000"/>
        </w:rPr>
      </w:pPr>
      <w:r>
        <w:rPr>
          <w:rFonts w:eastAsiaTheme="minorEastAsia"/>
          <w:color w:val="000000"/>
          <w:vertAlign w:val="superscript"/>
          <w:lang w:val="en-MY"/>
        </w:rPr>
        <w:t>5</w:t>
      </w:r>
      <w:bookmarkEnd w:id="0"/>
      <w:r>
        <w:rPr>
          <w:rFonts w:hint="eastAsia" w:eastAsiaTheme="minorEastAsia"/>
          <w:color w:val="000000"/>
        </w:rPr>
        <w:t>State Key Laboratory of Functional Materials and Devices for Special Environments Conditions, Xinjiang Technical Institute of Physics &amp; Chemistry of CAS, 40-1 South Beijing Road, Urumqi, 830011, China</w:t>
      </w:r>
    </w:p>
    <w:p w14:paraId="4DFBE824">
      <w:pPr>
        <w:spacing w:line="480" w:lineRule="auto"/>
        <w:jc w:val="both"/>
        <w:rPr>
          <w:b/>
          <w:bCs/>
          <w:color w:val="000000"/>
          <w:lang w:val="en-MY"/>
        </w:rPr>
      </w:pPr>
      <w:r>
        <w:rPr>
          <w:b/>
          <w:bCs/>
          <w:color w:val="000000"/>
        </w:rPr>
        <w:t xml:space="preserve">*Email address: </w:t>
      </w:r>
      <w:r>
        <w:fldChar w:fldCharType="begin"/>
      </w:r>
      <w:r>
        <w:instrText xml:space="preserve"> HYPERLINK "mailto:liu_yi@ms.xjb.ac.cn" </w:instrText>
      </w:r>
      <w:r>
        <w:fldChar w:fldCharType="separate"/>
      </w:r>
      <w:r>
        <w:rPr>
          <w:rStyle w:val="6"/>
          <w:rFonts w:hint="eastAsia"/>
          <w:b/>
          <w:bCs/>
        </w:rPr>
        <w:t>liu_yi@ms.xjb.ac.cn</w:t>
      </w:r>
      <w:r>
        <w:rPr>
          <w:rStyle w:val="6"/>
          <w:rFonts w:hint="eastAsia"/>
          <w:b/>
          <w:bCs/>
        </w:rPr>
        <w:fldChar w:fldCharType="end"/>
      </w:r>
      <w:r>
        <w:rPr>
          <w:rFonts w:hint="eastAsia"/>
          <w:b/>
          <w:bCs/>
          <w:color w:val="000000"/>
        </w:rPr>
        <w:t xml:space="preserve">, </w:t>
      </w:r>
      <w:r>
        <w:fldChar w:fldCharType="begin"/>
      </w:r>
      <w:r>
        <w:instrText xml:space="preserve"> HYPERLINK "mailto:gailimei@zjou.edu.cn" </w:instrText>
      </w:r>
      <w:r>
        <w:fldChar w:fldCharType="separate"/>
      </w:r>
      <w:r>
        <w:rPr>
          <w:rStyle w:val="6"/>
          <w:b/>
          <w:bCs/>
          <w:lang w:val="en-MY"/>
        </w:rPr>
        <w:t>gailimei@zjou.edu.cn</w:t>
      </w:r>
      <w:r>
        <w:rPr>
          <w:rStyle w:val="6"/>
          <w:b/>
          <w:bCs/>
          <w:lang w:val="en-MY"/>
        </w:rPr>
        <w:fldChar w:fldCharType="end"/>
      </w:r>
    </w:p>
    <w:p w14:paraId="5F91DFD6">
      <w:pPr>
        <w:spacing w:line="480" w:lineRule="auto"/>
        <w:jc w:val="both"/>
        <w:rPr>
          <w:b/>
          <w:bCs/>
          <w:color w:val="000000"/>
          <w:lang w:val="en-MY"/>
        </w:rPr>
      </w:pPr>
    </w:p>
    <w:p w14:paraId="7A44F2EC">
      <w:pPr>
        <w:spacing w:line="480" w:lineRule="auto"/>
        <w:jc w:val="both"/>
        <w:rPr>
          <w:b/>
          <w:bCs/>
          <w:sz w:val="24"/>
          <w:szCs w:val="24"/>
        </w:rPr>
      </w:pPr>
    </w:p>
    <w:p w14:paraId="4228544D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2036DE86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74037845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4429D4BF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13D36999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3086CDA0">
      <w:pPr>
        <w:spacing w:line="480" w:lineRule="auto"/>
        <w:jc w:val="both"/>
        <w:rPr>
          <w:rFonts w:eastAsia="Times New Roman"/>
          <w:sz w:val="24"/>
          <w:szCs w:val="24"/>
          <w:lang w:val="en-MY"/>
        </w:rPr>
      </w:pPr>
      <w:r>
        <w:rPr>
          <w:b/>
          <w:bCs/>
          <w:sz w:val="24"/>
          <w:szCs w:val="24"/>
        </w:rPr>
        <w:t>Table S1-</w:t>
      </w:r>
      <w:r>
        <w:rPr>
          <w:sz w:val="24"/>
          <w:szCs w:val="24"/>
        </w:rPr>
        <w:t xml:space="preserve"> Parameters of the porous structures determined from the N adsorption values.</w:t>
      </w:r>
    </w:p>
    <w:tbl>
      <w:tblPr>
        <w:tblStyle w:val="3"/>
        <w:tblW w:w="8280" w:type="dxa"/>
        <w:jc w:val="center"/>
        <w:tblBorders>
          <w:top w:val="single" w:color="ED7D31" w:sz="6" w:space="0"/>
          <w:left w:val="single" w:color="ED7D31" w:sz="6" w:space="0"/>
          <w:bottom w:val="single" w:color="ED7D31" w:sz="6" w:space="0"/>
          <w:right w:val="single" w:color="ED7D31" w:sz="6" w:space="0"/>
          <w:insideH w:val="single" w:color="ED7D31" w:sz="6" w:space="0"/>
          <w:insideV w:val="single" w:color="ED7D3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835"/>
        <w:gridCol w:w="3473"/>
      </w:tblGrid>
      <w:tr w14:paraId="46E10237">
        <w:tblPrEx>
          <w:tblBorders>
            <w:top w:val="single" w:color="ED7D31" w:sz="6" w:space="0"/>
            <w:left w:val="single" w:color="ED7D31" w:sz="6" w:space="0"/>
            <w:bottom w:val="single" w:color="ED7D31" w:sz="6" w:space="0"/>
            <w:right w:val="single" w:color="ED7D31" w:sz="6" w:space="0"/>
            <w:insideH w:val="single" w:color="ED7D31" w:sz="6" w:space="0"/>
            <w:insideV w:val="single" w:color="ED7D3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972" w:type="dxa"/>
            <w:tcBorders>
              <w:top w:val="single" w:color="auto" w:sz="4" w:space="0"/>
              <w:left w:val="dotted" w:color="auto" w:sz="6" w:space="0"/>
              <w:bottom w:val="single" w:color="auto" w:sz="4" w:space="0"/>
              <w:right w:val="dotted" w:color="auto" w:sz="6" w:space="0"/>
            </w:tcBorders>
            <w:shd w:val="clear" w:color="auto" w:fill="FFFFFF"/>
          </w:tcPr>
          <w:p w14:paraId="3E8B520F">
            <w:pPr>
              <w:widowControl w:val="0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6" w:space="0"/>
            </w:tcBorders>
            <w:shd w:val="clear" w:color="auto" w:fill="FFFFFF"/>
          </w:tcPr>
          <w:p w14:paraId="01D7E89D">
            <w:pPr>
              <w:widowControl w:val="0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t>Ni-MOF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hint="eastAsia" w:eastAsia="DengXian"/>
              </w:rPr>
              <w:t>(</w:t>
            </w:r>
            <w:r>
              <w:rPr>
                <w:rFonts w:eastAsia="DengXian"/>
              </w:rPr>
              <w:t>Ni(</w:t>
            </w:r>
            <w:r>
              <w:rPr>
                <w:rFonts w:hint="eastAsia" w:eastAsia="DengXian"/>
              </w:rPr>
              <w:t>CH</w:t>
            </w:r>
            <w:r>
              <w:rPr>
                <w:rFonts w:hint="eastAsia" w:eastAsia="DengXian"/>
                <w:vertAlign w:val="subscript"/>
              </w:rPr>
              <w:t>3</w:t>
            </w:r>
            <w:r>
              <w:rPr>
                <w:rFonts w:hint="eastAsia" w:eastAsia="DengXian"/>
              </w:rPr>
              <w:t>CO</w:t>
            </w:r>
            <w:r>
              <w:rPr>
                <w:rFonts w:hint="eastAsia" w:eastAsia="DengXian"/>
                <w:vertAlign w:val="subscript"/>
              </w:rPr>
              <w:t>2</w:t>
            </w:r>
            <w:r>
              <w:rPr>
                <w:rFonts w:hint="eastAsia" w:eastAsia="DengXian"/>
              </w:rPr>
              <w:t>)</w:t>
            </w:r>
            <w:r>
              <w:rPr>
                <w:rFonts w:hint="eastAsia" w:eastAsia="DengXian"/>
                <w:vertAlign w:val="subscript"/>
              </w:rPr>
              <w:t>2</w:t>
            </w:r>
            <w:r>
              <w:rPr>
                <w:rFonts w:hint="eastAsia" w:eastAsia="DengXian"/>
              </w:rPr>
              <w:t>)</w:t>
            </w:r>
          </w:p>
        </w:tc>
        <w:tc>
          <w:tcPr>
            <w:tcW w:w="347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6" w:space="0"/>
            </w:tcBorders>
            <w:shd w:val="clear" w:color="auto" w:fill="FFFFFF"/>
          </w:tcPr>
          <w:p w14:paraId="5303765F">
            <w:pPr>
              <w:widowControl w:val="0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t>Au@Ni-MOF</w:t>
            </w:r>
            <w:r>
              <w:rPr>
                <w:rFonts w:hint="eastAsia" w:eastAsiaTheme="minorEastAsia"/>
              </w:rPr>
              <w:t xml:space="preserve"> </w:t>
            </w:r>
            <w:r>
              <w:rPr>
                <w:rFonts w:hint="eastAsia" w:eastAsia="DengXian"/>
              </w:rPr>
              <w:t>(</w:t>
            </w:r>
            <w:r>
              <w:rPr>
                <w:rFonts w:eastAsia="DengXian"/>
              </w:rPr>
              <w:t>Ni(</w:t>
            </w:r>
            <w:r>
              <w:rPr>
                <w:rFonts w:hint="eastAsia" w:eastAsia="DengXian"/>
              </w:rPr>
              <w:t>CH</w:t>
            </w:r>
            <w:r>
              <w:rPr>
                <w:rFonts w:hint="eastAsia" w:eastAsia="DengXian"/>
                <w:vertAlign w:val="subscript"/>
              </w:rPr>
              <w:t>3</w:t>
            </w:r>
            <w:r>
              <w:rPr>
                <w:rFonts w:hint="eastAsia" w:eastAsia="DengXian"/>
              </w:rPr>
              <w:t>CO</w:t>
            </w:r>
            <w:r>
              <w:rPr>
                <w:rFonts w:hint="eastAsia" w:eastAsia="DengXian"/>
                <w:vertAlign w:val="subscript"/>
              </w:rPr>
              <w:t>2</w:t>
            </w:r>
            <w:r>
              <w:rPr>
                <w:rFonts w:hint="eastAsia" w:eastAsia="DengXian"/>
              </w:rPr>
              <w:t>)</w:t>
            </w:r>
            <w:r>
              <w:rPr>
                <w:rFonts w:hint="eastAsia" w:eastAsia="DengXian"/>
                <w:vertAlign w:val="subscript"/>
              </w:rPr>
              <w:t>2</w:t>
            </w:r>
            <w:r>
              <w:rPr>
                <w:rFonts w:eastAsia="DengXian"/>
              </w:rPr>
              <w:t>)</w:t>
            </w:r>
          </w:p>
        </w:tc>
      </w:tr>
      <w:tr w14:paraId="674BD3B0">
        <w:tblPrEx>
          <w:tblBorders>
            <w:top w:val="single" w:color="ED7D31" w:sz="6" w:space="0"/>
            <w:left w:val="single" w:color="ED7D31" w:sz="6" w:space="0"/>
            <w:bottom w:val="single" w:color="ED7D31" w:sz="6" w:space="0"/>
            <w:right w:val="single" w:color="ED7D31" w:sz="6" w:space="0"/>
            <w:insideH w:val="single" w:color="ED7D31" w:sz="6" w:space="0"/>
            <w:insideV w:val="single" w:color="ED7D3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972" w:type="dxa"/>
            <w:tcBorders>
              <w:top w:val="single" w:color="auto" w:sz="4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FFFFFF"/>
          </w:tcPr>
          <w:p w14:paraId="411ED172">
            <w:pPr>
              <w:widowControl w:val="0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  <w:vertAlign w:val="subscript"/>
              </w:rPr>
              <w:t>BET</w:t>
            </w:r>
            <w:r>
              <w:rPr>
                <w:b/>
                <w:bCs/>
                <w:sz w:val="24"/>
                <w:szCs w:val="24"/>
              </w:rPr>
              <w:t xml:space="preserve"> (m</w:t>
            </w:r>
            <w:r>
              <w:rPr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  <w:vertAlign w:val="superscript"/>
              </w:rPr>
              <w:t>-1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FFFFFF"/>
          </w:tcPr>
          <w:p w14:paraId="5655D79B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12.7379</w:t>
            </w:r>
          </w:p>
        </w:tc>
        <w:tc>
          <w:tcPr>
            <w:tcW w:w="3473" w:type="dxa"/>
            <w:tcBorders>
              <w:top w:val="single" w:color="auto" w:sz="4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FFFFFF"/>
          </w:tcPr>
          <w:p w14:paraId="363D434E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10.0816</w:t>
            </w:r>
          </w:p>
        </w:tc>
      </w:tr>
      <w:tr w14:paraId="47E8D104">
        <w:tblPrEx>
          <w:tblBorders>
            <w:top w:val="single" w:color="ED7D31" w:sz="6" w:space="0"/>
            <w:left w:val="single" w:color="ED7D31" w:sz="6" w:space="0"/>
            <w:bottom w:val="single" w:color="ED7D31" w:sz="6" w:space="0"/>
            <w:right w:val="single" w:color="ED7D31" w:sz="6" w:space="0"/>
            <w:insideH w:val="single" w:color="ED7D31" w:sz="6" w:space="0"/>
            <w:insideV w:val="single" w:color="ED7D3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972" w:type="dxa"/>
            <w:tcBorders>
              <w:top w:val="dotted" w:color="auto" w:sz="4" w:space="0"/>
              <w:left w:val="dotted" w:color="auto" w:sz="6" w:space="0"/>
              <w:bottom w:val="dotted" w:color="auto" w:sz="6" w:space="0"/>
              <w:right w:val="dotted" w:color="auto" w:sz="6" w:space="0"/>
            </w:tcBorders>
            <w:shd w:val="clear" w:color="auto" w:fill="FFFFFF"/>
          </w:tcPr>
          <w:p w14:paraId="6304E44C">
            <w:pPr>
              <w:widowControl w:val="0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</w:t>
            </w:r>
            <w:r>
              <w:rPr>
                <w:b/>
                <w:bCs/>
                <w:sz w:val="24"/>
                <w:szCs w:val="24"/>
                <w:vertAlign w:val="subscript"/>
              </w:rPr>
              <w:t>BJH</w:t>
            </w:r>
            <w:r>
              <w:rPr>
                <w:b/>
                <w:bCs/>
                <w:sz w:val="24"/>
                <w:szCs w:val="24"/>
              </w:rPr>
              <w:t xml:space="preserve"> (cm</w:t>
            </w:r>
            <w:r>
              <w:rPr>
                <w:b/>
                <w:bCs/>
                <w:sz w:val="24"/>
                <w:szCs w:val="24"/>
                <w:vertAlign w:val="superscript"/>
              </w:rPr>
              <w:t>3</w:t>
            </w:r>
            <w:r>
              <w:rPr>
                <w:b/>
                <w:bCs/>
                <w:sz w:val="24"/>
                <w:szCs w:val="24"/>
              </w:rPr>
              <w:t>g</w:t>
            </w:r>
            <w:r>
              <w:rPr>
                <w:b/>
                <w:bCs/>
                <w:sz w:val="24"/>
                <w:szCs w:val="24"/>
                <w:vertAlign w:val="superscript"/>
              </w:rPr>
              <w:t>-1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FFFFFF"/>
          </w:tcPr>
          <w:p w14:paraId="4DB71DE3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0.0301</w:t>
            </w:r>
          </w:p>
        </w:tc>
        <w:tc>
          <w:tcPr>
            <w:tcW w:w="3473" w:type="dxa"/>
            <w:tcBorders>
              <w:top w:val="dotted" w:color="auto" w:sz="4" w:space="0"/>
              <w:left w:val="nil"/>
              <w:bottom w:val="dotted" w:color="auto" w:sz="6" w:space="0"/>
              <w:right w:val="dotted" w:color="auto" w:sz="6" w:space="0"/>
            </w:tcBorders>
            <w:shd w:val="clear" w:color="auto" w:fill="FFFFFF"/>
          </w:tcPr>
          <w:p w14:paraId="050264FC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</w:t>
            </w:r>
            <w:r>
              <w:rPr>
                <w:rFonts w:hint="eastAsia"/>
                <w:sz w:val="24"/>
                <w:szCs w:val="24"/>
              </w:rPr>
              <w:t>8</w:t>
            </w:r>
          </w:p>
        </w:tc>
      </w:tr>
      <w:tr w14:paraId="0514C61F">
        <w:tblPrEx>
          <w:tblBorders>
            <w:top w:val="single" w:color="ED7D31" w:sz="6" w:space="0"/>
            <w:left w:val="single" w:color="ED7D31" w:sz="6" w:space="0"/>
            <w:bottom w:val="single" w:color="ED7D31" w:sz="6" w:space="0"/>
            <w:right w:val="single" w:color="ED7D31" w:sz="6" w:space="0"/>
            <w:insideH w:val="single" w:color="ED7D31" w:sz="6" w:space="0"/>
            <w:insideV w:val="single" w:color="ED7D3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  <w:jc w:val="center"/>
        </w:trPr>
        <w:tc>
          <w:tcPr>
            <w:tcW w:w="1972" w:type="dxa"/>
            <w:tcBorders>
              <w:top w:val="dotted" w:color="auto" w:sz="6" w:space="0"/>
              <w:left w:val="dotted" w:color="auto" w:sz="6" w:space="0"/>
              <w:bottom w:val="single" w:color="auto" w:sz="4" w:space="0"/>
              <w:right w:val="dotted" w:color="auto" w:sz="6" w:space="0"/>
            </w:tcBorders>
            <w:shd w:val="clear" w:color="auto" w:fill="FFFFFF"/>
          </w:tcPr>
          <w:p w14:paraId="49A76C81">
            <w:pPr>
              <w:widowControl w:val="0"/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Pore size</w:t>
            </w:r>
          </w:p>
        </w:tc>
        <w:tc>
          <w:tcPr>
            <w:tcW w:w="2835" w:type="dxa"/>
            <w:tcBorders>
              <w:top w:val="dotted" w:color="auto" w:sz="6" w:space="0"/>
              <w:left w:val="nil"/>
              <w:bottom w:val="single" w:color="auto" w:sz="4" w:space="0"/>
              <w:right w:val="dotted" w:color="auto" w:sz="6" w:space="0"/>
            </w:tcBorders>
            <w:shd w:val="clear" w:color="auto" w:fill="FFFFFF"/>
          </w:tcPr>
          <w:p w14:paraId="36FA79D7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9.4555</w:t>
            </w:r>
          </w:p>
        </w:tc>
        <w:tc>
          <w:tcPr>
            <w:tcW w:w="3473" w:type="dxa"/>
            <w:tcBorders>
              <w:top w:val="dotted" w:color="auto" w:sz="6" w:space="0"/>
              <w:left w:val="nil"/>
              <w:bottom w:val="single" w:color="auto" w:sz="4" w:space="0"/>
              <w:right w:val="dotted" w:color="auto" w:sz="6" w:space="0"/>
            </w:tcBorders>
            <w:shd w:val="clear" w:color="auto" w:fill="FFFFFF"/>
          </w:tcPr>
          <w:p w14:paraId="4220F2F0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7.4406</w:t>
            </w:r>
          </w:p>
        </w:tc>
      </w:tr>
    </w:tbl>
    <w:p w14:paraId="09013A14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  <w:lang w:val="en-MY"/>
        </w:rPr>
      </w:pPr>
    </w:p>
    <w:p w14:paraId="0F1DC831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  <w:lang w:val="en-MY"/>
        </w:rPr>
      </w:pPr>
    </w:p>
    <w:p w14:paraId="0495B8C0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  <w:lang w:val="en-MY"/>
        </w:rPr>
      </w:pPr>
    </w:p>
    <w:p w14:paraId="7EDD5305">
      <w:pPr>
        <w:spacing w:line="48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2142490"/>
            <wp:effectExtent l="0" t="0" r="0" b="0"/>
            <wp:docPr id="2074504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04950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Fig. S1 </w:t>
      </w:r>
      <w:r>
        <w:rPr>
          <w:sz w:val="24"/>
          <w:szCs w:val="24"/>
        </w:rPr>
        <w:t xml:space="preserve">(A) CVs obtained for (a) bare SPCE, (b) Ni-MOF </w:t>
      </w:r>
      <w:r>
        <w:rPr>
          <w:rFonts w:eastAsia="DengXian"/>
          <w:sz w:val="24"/>
          <w:szCs w:val="24"/>
        </w:rPr>
        <w:t>(Ni(CH</w:t>
      </w:r>
      <w:r>
        <w:rPr>
          <w:rFonts w:eastAsia="DengXian"/>
          <w:sz w:val="24"/>
          <w:szCs w:val="24"/>
          <w:vertAlign w:val="subscript"/>
        </w:rPr>
        <w:t>3</w:t>
      </w:r>
      <w:r>
        <w:rPr>
          <w:rFonts w:eastAsia="DengXian"/>
          <w:sz w:val="24"/>
          <w:szCs w:val="24"/>
        </w:rPr>
        <w:t>CO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sz w:val="24"/>
          <w:szCs w:val="24"/>
        </w:rPr>
        <w:t xml:space="preserve">/SPCE, and (c) Au@Ni-MOF </w:t>
      </w:r>
      <w:r>
        <w:rPr>
          <w:rFonts w:eastAsia="DengXian"/>
          <w:sz w:val="24"/>
          <w:szCs w:val="24"/>
        </w:rPr>
        <w:t>(Ni(CH</w:t>
      </w:r>
      <w:r>
        <w:rPr>
          <w:rFonts w:eastAsia="DengXian"/>
          <w:sz w:val="24"/>
          <w:szCs w:val="24"/>
          <w:vertAlign w:val="subscript"/>
        </w:rPr>
        <w:t>3</w:t>
      </w:r>
      <w:r>
        <w:rPr>
          <w:rFonts w:eastAsia="DengXian"/>
          <w:sz w:val="24"/>
          <w:szCs w:val="24"/>
        </w:rPr>
        <w:t>CO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sz w:val="24"/>
          <w:szCs w:val="24"/>
        </w:rPr>
        <w:t>/SPCE in 5.0 mmol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K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[Fe(CN)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>] as redox probe in 0.1 mol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KCl at a scan rate of 50 mV s</w:t>
      </w:r>
      <w:r>
        <w:rPr>
          <w:sz w:val="24"/>
          <w:szCs w:val="24"/>
          <w:vertAlign w:val="superscript"/>
        </w:rPr>
        <w:t xml:space="preserve">-1 </w:t>
      </w:r>
      <w:r>
        <w:rPr>
          <w:sz w:val="24"/>
          <w:szCs w:val="24"/>
        </w:rPr>
        <w:t xml:space="preserve">and (B) EIS got for (a) bare SPCE, (b) Ni-MOF </w:t>
      </w:r>
      <w:r>
        <w:rPr>
          <w:rFonts w:eastAsia="DengXian"/>
          <w:sz w:val="24"/>
          <w:szCs w:val="24"/>
        </w:rPr>
        <w:t>(Ni(CH</w:t>
      </w:r>
      <w:r>
        <w:rPr>
          <w:rFonts w:eastAsia="DengXian"/>
          <w:sz w:val="24"/>
          <w:szCs w:val="24"/>
          <w:vertAlign w:val="subscript"/>
        </w:rPr>
        <w:t>3</w:t>
      </w:r>
      <w:r>
        <w:rPr>
          <w:rFonts w:eastAsia="DengXian"/>
          <w:sz w:val="24"/>
          <w:szCs w:val="24"/>
        </w:rPr>
        <w:t>CO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sz w:val="24"/>
          <w:szCs w:val="24"/>
        </w:rPr>
        <w:t xml:space="preserve">/SPCE, and (c) Au@Ni-MOF </w:t>
      </w:r>
      <w:r>
        <w:rPr>
          <w:rFonts w:eastAsia="DengXian"/>
          <w:sz w:val="24"/>
          <w:szCs w:val="24"/>
        </w:rPr>
        <w:t>(Ni(CH</w:t>
      </w:r>
      <w:r>
        <w:rPr>
          <w:rFonts w:eastAsia="DengXian"/>
          <w:sz w:val="24"/>
          <w:szCs w:val="24"/>
          <w:vertAlign w:val="subscript"/>
        </w:rPr>
        <w:t>3</w:t>
      </w:r>
      <w:r>
        <w:rPr>
          <w:rFonts w:eastAsia="DengXian"/>
          <w:sz w:val="24"/>
          <w:szCs w:val="24"/>
        </w:rPr>
        <w:t>CO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sz w:val="24"/>
          <w:szCs w:val="24"/>
        </w:rPr>
        <w:t>/SPCE in 5.0 mmol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[Fe(CN)</w:t>
      </w:r>
      <w:r>
        <w:rPr>
          <w:sz w:val="24"/>
          <w:szCs w:val="24"/>
          <w:vertAlign w:val="subscript"/>
        </w:rPr>
        <w:t>6</w:t>
      </w:r>
      <w:r>
        <w:rPr>
          <w:sz w:val="24"/>
          <w:szCs w:val="24"/>
        </w:rPr>
        <w:t>]</w:t>
      </w:r>
      <w:r>
        <w:rPr>
          <w:sz w:val="24"/>
          <w:szCs w:val="24"/>
          <w:vertAlign w:val="superscript"/>
        </w:rPr>
        <w:t>3-/4-</w:t>
      </w:r>
      <w:r>
        <w:rPr>
          <w:sz w:val="24"/>
          <w:szCs w:val="24"/>
        </w:rPr>
        <w:t xml:space="preserve"> as redox probe in 0.1 mol L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KCl at a scan rate of 50 mV s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14:paraId="0BC6ECA4">
      <w:pPr>
        <w:spacing w:line="480" w:lineRule="auto"/>
        <w:jc w:val="both"/>
        <w:rPr>
          <w:sz w:val="24"/>
          <w:szCs w:val="24"/>
        </w:rPr>
      </w:pPr>
    </w:p>
    <w:p w14:paraId="697112F0">
      <w:pPr>
        <w:spacing w:line="480" w:lineRule="auto"/>
        <w:jc w:val="both"/>
        <w:rPr>
          <w:sz w:val="24"/>
          <w:szCs w:val="24"/>
        </w:rPr>
      </w:pPr>
    </w:p>
    <w:p w14:paraId="31F06658">
      <w:pPr>
        <w:pStyle w:val="7"/>
        <w:shd w:val="clear" w:color="auto" w:fill="FFFFFF"/>
        <w:spacing w:line="480" w:lineRule="auto"/>
        <w:jc w:val="both"/>
        <w:rPr>
          <w:rFonts w:eastAsia="Times New Roman"/>
        </w:rPr>
      </w:pPr>
      <w:r>
        <w:rPr>
          <w:rFonts w:eastAsia="DengXian"/>
        </w:rPr>
        <w:drawing>
          <wp:inline distT="0" distB="0" distL="0" distR="0">
            <wp:extent cx="5274310" cy="1898015"/>
            <wp:effectExtent l="0" t="0" r="0" b="0"/>
            <wp:docPr id="2515580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558017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lang w:val="en-MY"/>
        </w:rPr>
        <w:t xml:space="preserve"> Fig. S2 </w:t>
      </w:r>
      <w:r>
        <w:rPr>
          <w:rFonts w:eastAsia="Times New Roman"/>
        </w:rPr>
        <w:t>The possible reaction mechanism for the reaction of the nickel acetate with H</w:t>
      </w:r>
      <w:r>
        <w:rPr>
          <w:rFonts w:eastAsia="Times New Roman"/>
          <w:vertAlign w:val="subscript"/>
        </w:rPr>
        <w:t>3</w:t>
      </w:r>
      <w:r>
        <w:rPr>
          <w:rFonts w:eastAsia="Times New Roman"/>
        </w:rPr>
        <w:t>BTC.</w:t>
      </w:r>
    </w:p>
    <w:p w14:paraId="6E92F9AF">
      <w:pPr>
        <w:spacing w:line="480" w:lineRule="auto"/>
        <w:jc w:val="both"/>
        <w:rPr>
          <w:sz w:val="24"/>
          <w:szCs w:val="24"/>
          <w:lang w:val="en-MY"/>
        </w:rPr>
      </w:pPr>
    </w:p>
    <w:p w14:paraId="1781A5DD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  <w:lang w:val="en-MY"/>
        </w:rPr>
      </w:pPr>
    </w:p>
    <w:p w14:paraId="63C4C95A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  <w:lang w:val="en-MY"/>
        </w:rPr>
      </w:pPr>
    </w:p>
    <w:p w14:paraId="0F6D7922">
      <w:pPr>
        <w:pStyle w:val="7"/>
        <w:shd w:val="clear" w:color="auto" w:fill="FFFFFF"/>
        <w:spacing w:line="480" w:lineRule="auto"/>
        <w:jc w:val="both"/>
        <w:rPr>
          <w:rFonts w:eastAsia="DengXian"/>
        </w:rPr>
      </w:pPr>
      <w:r>
        <w:drawing>
          <wp:inline distT="0" distB="0" distL="0" distR="0">
            <wp:extent cx="5274310" cy="2190750"/>
            <wp:effectExtent l="0" t="0" r="0" b="0"/>
            <wp:docPr id="193935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566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Fig. S3 </w:t>
      </w:r>
      <w:r>
        <w:rPr>
          <w:rFonts w:eastAsia="DengXian"/>
        </w:rPr>
        <w:t xml:space="preserve">(A) </w:t>
      </w:r>
      <w:r>
        <w:t xml:space="preserve">CV </w:t>
      </w:r>
      <w:r>
        <w:rPr>
          <w:rFonts w:eastAsia="DengXian"/>
        </w:rPr>
        <w:t>and (</w:t>
      </w:r>
      <w:r>
        <w:t>B</w:t>
      </w:r>
      <w:r>
        <w:rPr>
          <w:rFonts w:eastAsia="DengXian"/>
        </w:rPr>
        <w:t>) DPV</w:t>
      </w:r>
      <w:r>
        <w:t xml:space="preserve"> of (a) </w:t>
      </w:r>
      <w:r>
        <w:rPr>
          <w:rFonts w:eastAsia="DengXian"/>
        </w:rPr>
        <w:t>Ni-MOF (Ni(CH</w:t>
      </w:r>
      <w:r>
        <w:rPr>
          <w:rFonts w:eastAsia="DengXian"/>
          <w:vertAlign w:val="subscript"/>
        </w:rPr>
        <w:t>3</w:t>
      </w:r>
      <w:r>
        <w:rPr>
          <w:rFonts w:eastAsia="DengXian"/>
        </w:rPr>
        <w:t>CO</w:t>
      </w:r>
      <w:r>
        <w:rPr>
          <w:rFonts w:eastAsia="DengXian"/>
          <w:vertAlign w:val="subscript"/>
        </w:rPr>
        <w:t>2</w:t>
      </w:r>
      <w:r>
        <w:rPr>
          <w:rFonts w:eastAsia="DengXian"/>
        </w:rPr>
        <w:t>)</w:t>
      </w:r>
      <w:r>
        <w:rPr>
          <w:rFonts w:eastAsia="DengXian"/>
          <w:vertAlign w:val="subscript"/>
        </w:rPr>
        <w:t>2</w:t>
      </w:r>
      <w:r>
        <w:rPr>
          <w:rFonts w:eastAsia="DengXian"/>
        </w:rPr>
        <w:t>)/</w:t>
      </w:r>
      <w:r>
        <w:t>SPCE, (b) Au</w:t>
      </w:r>
      <w:r>
        <w:rPr>
          <w:rFonts w:eastAsia="DengXian"/>
        </w:rPr>
        <w:t>@Ni-MOF (Ni(CH</w:t>
      </w:r>
      <w:r>
        <w:rPr>
          <w:rFonts w:eastAsia="DengXian"/>
          <w:vertAlign w:val="subscript"/>
        </w:rPr>
        <w:t>3</w:t>
      </w:r>
      <w:r>
        <w:rPr>
          <w:rFonts w:eastAsia="DengXian"/>
        </w:rPr>
        <w:t>CO</w:t>
      </w:r>
      <w:r>
        <w:rPr>
          <w:rFonts w:eastAsia="DengXian"/>
          <w:vertAlign w:val="subscript"/>
        </w:rPr>
        <w:t>2</w:t>
      </w:r>
      <w:r>
        <w:rPr>
          <w:rFonts w:eastAsia="DengXian"/>
        </w:rPr>
        <w:t>)</w:t>
      </w:r>
      <w:r>
        <w:rPr>
          <w:rFonts w:eastAsia="DengXian"/>
          <w:vertAlign w:val="subscript"/>
        </w:rPr>
        <w:t>2</w:t>
      </w:r>
      <w:r>
        <w:rPr>
          <w:rFonts w:eastAsia="DengXian"/>
        </w:rPr>
        <w:t>) (0.02 mM of AuNPs)</w:t>
      </w:r>
      <w:r>
        <w:t>/SPCE, (c) Au</w:t>
      </w:r>
      <w:r>
        <w:rPr>
          <w:rFonts w:eastAsia="DengXian"/>
        </w:rPr>
        <w:t>@Ni-MOF (Ni(CH</w:t>
      </w:r>
      <w:r>
        <w:rPr>
          <w:rFonts w:eastAsia="DengXian"/>
          <w:vertAlign w:val="subscript"/>
        </w:rPr>
        <w:t>3</w:t>
      </w:r>
      <w:r>
        <w:rPr>
          <w:rFonts w:eastAsia="DengXian"/>
        </w:rPr>
        <w:t>CO</w:t>
      </w:r>
      <w:r>
        <w:rPr>
          <w:rFonts w:eastAsia="DengXian"/>
          <w:vertAlign w:val="subscript"/>
        </w:rPr>
        <w:t>2</w:t>
      </w:r>
      <w:r>
        <w:rPr>
          <w:rFonts w:eastAsia="DengXian"/>
        </w:rPr>
        <w:t>)</w:t>
      </w:r>
      <w:r>
        <w:rPr>
          <w:rFonts w:eastAsia="DengXian"/>
          <w:vertAlign w:val="subscript"/>
        </w:rPr>
        <w:t>2</w:t>
      </w:r>
      <w:r>
        <w:rPr>
          <w:rFonts w:eastAsia="DengXian"/>
        </w:rPr>
        <w:t>) (0.12 mM of AuNPs)</w:t>
      </w:r>
      <w:r>
        <w:t xml:space="preserve">/SPCE, </w:t>
      </w:r>
      <w:r>
        <w:rPr>
          <w:rFonts w:eastAsia="DengXian"/>
        </w:rPr>
        <w:t xml:space="preserve">and </w:t>
      </w:r>
      <w:r>
        <w:t>(d) Au</w:t>
      </w:r>
      <w:r>
        <w:rPr>
          <w:rFonts w:eastAsia="DengXian"/>
        </w:rPr>
        <w:t>@Ni-MO</w:t>
      </w:r>
      <w:r>
        <w:t xml:space="preserve">F </w:t>
      </w:r>
      <w:r>
        <w:rPr>
          <w:rFonts w:eastAsia="DengXian"/>
        </w:rPr>
        <w:t>(Ni(CH</w:t>
      </w:r>
      <w:r>
        <w:rPr>
          <w:rFonts w:eastAsia="DengXian"/>
          <w:vertAlign w:val="subscript"/>
        </w:rPr>
        <w:t>3</w:t>
      </w:r>
      <w:r>
        <w:rPr>
          <w:rFonts w:eastAsia="DengXian"/>
        </w:rPr>
        <w:t>CO</w:t>
      </w:r>
      <w:r>
        <w:rPr>
          <w:rFonts w:eastAsia="DengXian"/>
          <w:vertAlign w:val="subscript"/>
        </w:rPr>
        <w:t>2</w:t>
      </w:r>
      <w:r>
        <w:rPr>
          <w:rFonts w:eastAsia="DengXian"/>
        </w:rPr>
        <w:t>)</w:t>
      </w:r>
      <w:r>
        <w:rPr>
          <w:rFonts w:eastAsia="DengXian"/>
          <w:vertAlign w:val="subscript"/>
        </w:rPr>
        <w:t>2</w:t>
      </w:r>
      <w:r>
        <w:rPr>
          <w:rFonts w:eastAsia="DengXian"/>
        </w:rPr>
        <w:t>) (0.36 mM of AuNPs)</w:t>
      </w:r>
      <w:r>
        <w:t>/SPCE in PBS (pH=6) electrolyte at scan rate of 50 mV s</w:t>
      </w:r>
      <w:r>
        <w:rPr>
          <w:vertAlign w:val="superscript"/>
        </w:rPr>
        <w:t>-1</w:t>
      </w:r>
      <w:r>
        <w:rPr>
          <w:rFonts w:eastAsia="DengXian"/>
        </w:rPr>
        <w:t>.</w:t>
      </w:r>
      <w:r>
        <w:t xml:space="preserve"> (50μM of DA</w:t>
      </w:r>
      <w:r>
        <w:rPr>
          <w:rFonts w:eastAsia="DengXian"/>
        </w:rPr>
        <w:t>and U</w:t>
      </w:r>
      <w:r>
        <w:t>A w</w:t>
      </w:r>
      <w:r>
        <w:rPr>
          <w:rFonts w:eastAsia="DengXian"/>
        </w:rPr>
        <w:t>ere</w:t>
      </w:r>
      <w:r>
        <w:t xml:space="preserve"> added)</w:t>
      </w:r>
      <w:r>
        <w:rPr>
          <w:rFonts w:eastAsia="DengXian"/>
        </w:rPr>
        <w:t>.</w:t>
      </w:r>
    </w:p>
    <w:p w14:paraId="75CCD55B">
      <w:pPr>
        <w:pStyle w:val="7"/>
        <w:shd w:val="clear" w:color="auto" w:fill="FFFFFF"/>
        <w:spacing w:line="480" w:lineRule="auto"/>
        <w:jc w:val="both"/>
        <w:rPr>
          <w:rFonts w:eastAsia="DengXian"/>
        </w:rPr>
      </w:pPr>
    </w:p>
    <w:p w14:paraId="4E21F340">
      <w:pPr>
        <w:spacing w:before="100" w:beforeAutospacing="1" w:after="100" w:afterAutospacing="1" w:line="480" w:lineRule="auto"/>
        <w:jc w:val="center"/>
        <w:rPr>
          <w:b/>
          <w:bCs/>
          <w:sz w:val="24"/>
          <w:szCs w:val="24"/>
          <w:lang w:val="en-MY"/>
        </w:rPr>
      </w:pPr>
      <w:r>
        <w:rPr>
          <w:rFonts w:eastAsiaTheme="minorEastAsia"/>
          <w:sz w:val="24"/>
          <w:szCs w:val="24"/>
        </w:rPr>
        <w:drawing>
          <wp:inline distT="0" distB="0" distL="0" distR="0">
            <wp:extent cx="5213350" cy="502602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9903" cy="50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DCD5F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  <w:lang w:val="en-MY"/>
        </w:rPr>
      </w:pPr>
      <w:r>
        <w:rPr>
          <w:b/>
          <w:bCs/>
          <w:sz w:val="24"/>
          <w:szCs w:val="24"/>
        </w:rPr>
        <w:t>Fig. S4</w:t>
      </w:r>
      <w:r>
        <w:rPr>
          <w:sz w:val="24"/>
          <w:szCs w:val="24"/>
        </w:rPr>
        <w:t xml:space="preserve"> (A) </w:t>
      </w:r>
      <w:r>
        <w:rPr>
          <w:rFonts w:eastAsia="DengXian"/>
          <w:sz w:val="24"/>
          <w:szCs w:val="24"/>
        </w:rPr>
        <w:t xml:space="preserve">The plots of the conjugate orbital along with the HOMO and LUMO distributions for DA (A, </w:t>
      </w:r>
      <w:r>
        <w:rPr>
          <w:sz w:val="24"/>
          <w:szCs w:val="24"/>
        </w:rPr>
        <w:t>B</w:t>
      </w:r>
      <w:r>
        <w:rPr>
          <w:rFonts w:eastAsia="DengXian"/>
          <w:sz w:val="24"/>
          <w:szCs w:val="24"/>
        </w:rPr>
        <w:t xml:space="preserve">) and </w:t>
      </w:r>
      <w:r>
        <w:rPr>
          <w:sz w:val="24"/>
          <w:szCs w:val="24"/>
        </w:rPr>
        <w:t>U</w:t>
      </w:r>
      <w:r>
        <w:rPr>
          <w:rFonts w:eastAsia="DengXian"/>
          <w:sz w:val="24"/>
          <w:szCs w:val="24"/>
        </w:rPr>
        <w:t xml:space="preserve">A (C, </w:t>
      </w:r>
      <w:r>
        <w:rPr>
          <w:sz w:val="24"/>
          <w:szCs w:val="24"/>
        </w:rPr>
        <w:t>D</w:t>
      </w:r>
      <w:r>
        <w:rPr>
          <w:rFonts w:eastAsia="DengXian"/>
          <w:sz w:val="24"/>
          <w:szCs w:val="24"/>
        </w:rPr>
        <w:t>), respectively</w:t>
      </w:r>
      <w:r>
        <w:rPr>
          <w:sz w:val="24"/>
          <w:szCs w:val="24"/>
        </w:rPr>
        <w:t xml:space="preserve">; </w:t>
      </w:r>
      <w:r>
        <w:rPr>
          <w:rFonts w:eastAsia="DengXian"/>
          <w:sz w:val="24"/>
          <w:szCs w:val="24"/>
        </w:rPr>
        <w:t>The plots of the electron density for DA (</w:t>
      </w:r>
      <w:r>
        <w:rPr>
          <w:sz w:val="24"/>
          <w:szCs w:val="24"/>
        </w:rPr>
        <w:t xml:space="preserve">E) and </w:t>
      </w:r>
      <w:r>
        <w:rPr>
          <w:rFonts w:eastAsia="DengXian"/>
          <w:sz w:val="24"/>
          <w:szCs w:val="24"/>
        </w:rPr>
        <w:t>UA</w:t>
      </w:r>
      <w:r>
        <w:rPr>
          <w:sz w:val="24"/>
          <w:szCs w:val="24"/>
        </w:rPr>
        <w:t xml:space="preserve"> (F).</w:t>
      </w:r>
    </w:p>
    <w:p w14:paraId="003C774E">
      <w:pPr>
        <w:spacing w:line="480" w:lineRule="auto"/>
        <w:jc w:val="both"/>
        <w:rPr>
          <w:sz w:val="24"/>
          <w:szCs w:val="24"/>
        </w:rPr>
      </w:pPr>
    </w:p>
    <w:p w14:paraId="2AB98AE2">
      <w:pPr>
        <w:spacing w:line="480" w:lineRule="auto"/>
        <w:jc w:val="both"/>
        <w:rPr>
          <w:sz w:val="24"/>
          <w:szCs w:val="24"/>
        </w:rPr>
      </w:pPr>
    </w:p>
    <w:p w14:paraId="2B11C5A3">
      <w:pPr>
        <w:spacing w:line="480" w:lineRule="auto"/>
        <w:jc w:val="both"/>
        <w:rPr>
          <w:sz w:val="24"/>
          <w:szCs w:val="24"/>
        </w:rPr>
      </w:pPr>
    </w:p>
    <w:p w14:paraId="63D7D5A8">
      <w:pPr>
        <w:spacing w:line="480" w:lineRule="auto"/>
        <w:jc w:val="both"/>
        <w:rPr>
          <w:b/>
          <w:bCs/>
          <w:sz w:val="24"/>
          <w:szCs w:val="24"/>
        </w:rPr>
      </w:pPr>
    </w:p>
    <w:p w14:paraId="6A2C66E5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  <w:lang w:val="en-MY"/>
        </w:rPr>
      </w:pPr>
    </w:p>
    <w:p w14:paraId="4474495D">
      <w:pPr>
        <w:spacing w:line="480" w:lineRule="auto"/>
        <w:jc w:val="both"/>
        <w:rPr>
          <w:rFonts w:eastAsia="DengXian"/>
          <w:sz w:val="24"/>
          <w:szCs w:val="24"/>
        </w:rPr>
      </w:pPr>
      <w:r>
        <w:rPr>
          <w:rFonts w:eastAsia="DengXian"/>
          <w:b/>
          <w:bCs/>
          <w:sz w:val="24"/>
          <w:szCs w:val="24"/>
        </w:rPr>
        <w:t xml:space="preserve">Table S2 </w:t>
      </w:r>
      <w:r>
        <w:rPr>
          <w:rFonts w:eastAsia="DengXian"/>
          <w:sz w:val="24"/>
          <w:szCs w:val="24"/>
        </w:rPr>
        <w:t>Energy gap (Eg) analysis for DA and UA.</w:t>
      </w:r>
    </w:p>
    <w:tbl>
      <w:tblPr>
        <w:tblStyle w:val="3"/>
        <w:tblW w:w="9511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294"/>
        <w:gridCol w:w="1263"/>
        <w:gridCol w:w="1262"/>
        <w:gridCol w:w="1138"/>
        <w:gridCol w:w="1116"/>
        <w:gridCol w:w="1158"/>
        <w:gridCol w:w="1221"/>
      </w:tblGrid>
      <w:tr w14:paraId="69CC2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C2F5D63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Analyte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01E6853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HOMO</w:t>
            </w:r>
          </w:p>
          <w:p w14:paraId="2994E4F6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(eV)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0207CAC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LUMO</w:t>
            </w:r>
          </w:p>
          <w:p w14:paraId="095BA968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(eV)</w:t>
            </w: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C7EA2DF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Eg</w:t>
            </w:r>
          </w:p>
          <w:p w14:paraId="413AFF4E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(eV)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F613951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Eg</w:t>
            </w:r>
          </w:p>
          <w:p w14:paraId="1FE09412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kJ/mol</w:t>
            </w:r>
            <w:r>
              <w:rPr>
                <w:rFonts w:eastAsia="DengXi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59D407F">
            <w:pPr>
              <w:widowControl w:val="0"/>
              <w:spacing w:before="100" w:beforeAutospacing="1" w:after="100" w:afterAutospacing="1"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η </w:t>
            </w:r>
            <w:r>
              <w:rPr>
                <w:rFonts w:eastAsia="DengXian"/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kJ/mol</w:t>
            </w:r>
            <w:r>
              <w:rPr>
                <w:rFonts w:eastAsia="DengXi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CC00653">
            <w:pPr>
              <w:widowControl w:val="0"/>
              <w:spacing w:before="100" w:beforeAutospacing="1" w:after="100" w:afterAutospacing="1"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σ </w:t>
            </w:r>
            <w:r>
              <w:rPr>
                <w:rFonts w:eastAsia="DengXian"/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kJ/mol</w:t>
            </w:r>
            <w:r>
              <w:rPr>
                <w:rFonts w:eastAsia="DengXi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DBF9536">
            <w:pPr>
              <w:widowControl w:val="0"/>
              <w:spacing w:before="100" w:beforeAutospacing="1" w:after="100" w:afterAutospacing="1"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χ </w:t>
            </w:r>
            <w:r>
              <w:rPr>
                <w:rFonts w:eastAsia="DengXian"/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kJ/mol</w:t>
            </w:r>
            <w:r>
              <w:rPr>
                <w:rFonts w:eastAsia="DengXian"/>
                <w:b/>
                <w:bCs/>
                <w:sz w:val="24"/>
                <w:szCs w:val="24"/>
              </w:rPr>
              <w:t>)</w:t>
            </w:r>
          </w:p>
        </w:tc>
      </w:tr>
      <w:tr w14:paraId="67A03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88A7A9B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DA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38E7C67">
            <w:pPr>
              <w:widowControl w:val="0"/>
              <w:spacing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-0.175964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474B12">
            <w:pPr>
              <w:widowControl w:val="0"/>
              <w:spacing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-0.025313</w:t>
            </w: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617A83C">
            <w:pPr>
              <w:widowControl w:val="0"/>
              <w:spacing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0.150651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49DF691">
            <w:pPr>
              <w:widowControl w:val="0"/>
              <w:spacing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14.54</w:t>
            </w: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B08DA63">
            <w:pPr>
              <w:widowControl w:val="0"/>
              <w:spacing w:before="100" w:beforeAutospacing="1" w:after="100" w:afterAutospacing="1"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7.27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AEED44">
            <w:pPr>
              <w:widowControl w:val="0"/>
              <w:spacing w:before="100" w:beforeAutospacing="1" w:after="100" w:afterAutospacing="1"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0.138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AD139B9">
            <w:pPr>
              <w:widowControl w:val="0"/>
              <w:spacing w:before="100" w:beforeAutospacing="1" w:after="100" w:afterAutospacing="1"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9.71</w:t>
            </w:r>
          </w:p>
        </w:tc>
      </w:tr>
      <w:tr w14:paraId="2F5B0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6683A7">
            <w:pPr>
              <w:widowControl w:val="0"/>
              <w:spacing w:line="480" w:lineRule="auto"/>
              <w:jc w:val="center"/>
              <w:rPr>
                <w:rFonts w:eastAsia="DengXian"/>
                <w:b/>
                <w:bCs/>
                <w:sz w:val="24"/>
                <w:szCs w:val="24"/>
              </w:rPr>
            </w:pPr>
            <w:r>
              <w:rPr>
                <w:rFonts w:eastAsia="DengXian"/>
                <w:b/>
                <w:bCs/>
                <w:sz w:val="24"/>
                <w:szCs w:val="24"/>
              </w:rPr>
              <w:t>UA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D54155">
            <w:pPr>
              <w:widowControl w:val="0"/>
              <w:spacing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-0.194448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384567">
            <w:pPr>
              <w:widowControl w:val="0"/>
              <w:spacing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-0.068916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CB4CFE">
            <w:pPr>
              <w:widowControl w:val="0"/>
              <w:spacing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0.125532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559E8A">
            <w:pPr>
              <w:widowControl w:val="0"/>
              <w:spacing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12.11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AFEE1F">
            <w:pPr>
              <w:widowControl w:val="0"/>
              <w:spacing w:before="100" w:beforeAutospacing="1" w:after="100" w:afterAutospacing="1"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6.06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4EFADF">
            <w:pPr>
              <w:widowControl w:val="0"/>
              <w:spacing w:before="100" w:beforeAutospacing="1" w:after="100" w:afterAutospacing="1"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0.165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FB0E28">
            <w:pPr>
              <w:widowControl w:val="0"/>
              <w:spacing w:before="100" w:beforeAutospacing="1" w:after="100" w:afterAutospacing="1" w:line="480" w:lineRule="auto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12.71</w:t>
            </w:r>
          </w:p>
        </w:tc>
      </w:tr>
    </w:tbl>
    <w:p w14:paraId="529674DF">
      <w:pPr>
        <w:spacing w:line="480" w:lineRule="auto"/>
        <w:jc w:val="both"/>
        <w:rPr>
          <w:sz w:val="24"/>
          <w:szCs w:val="24"/>
        </w:rPr>
      </w:pPr>
    </w:p>
    <w:p w14:paraId="710E6613">
      <w:pPr>
        <w:spacing w:line="480" w:lineRule="auto"/>
        <w:jc w:val="both"/>
        <w:rPr>
          <w:sz w:val="24"/>
          <w:szCs w:val="24"/>
        </w:rPr>
      </w:pPr>
    </w:p>
    <w:p w14:paraId="506EE9A7">
      <w:pPr>
        <w:spacing w:line="480" w:lineRule="auto"/>
        <w:jc w:val="both"/>
        <w:rPr>
          <w:sz w:val="24"/>
          <w:szCs w:val="24"/>
        </w:rPr>
      </w:pPr>
    </w:p>
    <w:p w14:paraId="4A068428">
      <w:pPr>
        <w:spacing w:line="480" w:lineRule="auto"/>
        <w:jc w:val="both"/>
        <w:rPr>
          <w:sz w:val="24"/>
          <w:szCs w:val="24"/>
        </w:rPr>
      </w:pPr>
    </w:p>
    <w:p w14:paraId="7708E039">
      <w:pPr>
        <w:spacing w:line="480" w:lineRule="auto"/>
        <w:jc w:val="both"/>
        <w:rPr>
          <w:sz w:val="24"/>
          <w:szCs w:val="24"/>
        </w:rPr>
      </w:pPr>
    </w:p>
    <w:p w14:paraId="2A8EE7EA">
      <w:pPr>
        <w:spacing w:line="480" w:lineRule="auto"/>
        <w:jc w:val="both"/>
        <w:rPr>
          <w:sz w:val="24"/>
          <w:szCs w:val="24"/>
        </w:rPr>
      </w:pPr>
    </w:p>
    <w:p w14:paraId="4763C390">
      <w:pPr>
        <w:spacing w:line="480" w:lineRule="auto"/>
        <w:jc w:val="both"/>
        <w:rPr>
          <w:sz w:val="24"/>
          <w:szCs w:val="24"/>
        </w:rPr>
      </w:pPr>
    </w:p>
    <w:p w14:paraId="5952570F">
      <w:pPr>
        <w:spacing w:line="480" w:lineRule="auto"/>
        <w:jc w:val="both"/>
        <w:rPr>
          <w:sz w:val="24"/>
          <w:szCs w:val="24"/>
        </w:rPr>
      </w:pPr>
    </w:p>
    <w:p w14:paraId="46E2BBEE">
      <w:pPr>
        <w:spacing w:line="480" w:lineRule="auto"/>
        <w:jc w:val="both"/>
        <w:rPr>
          <w:sz w:val="24"/>
          <w:szCs w:val="24"/>
        </w:rPr>
      </w:pPr>
    </w:p>
    <w:p w14:paraId="03507F5E">
      <w:pPr>
        <w:spacing w:line="480" w:lineRule="auto"/>
        <w:jc w:val="both"/>
        <w:rPr>
          <w:sz w:val="24"/>
          <w:szCs w:val="24"/>
        </w:rPr>
      </w:pPr>
    </w:p>
    <w:p w14:paraId="4232EDD3">
      <w:pPr>
        <w:spacing w:line="480" w:lineRule="auto"/>
        <w:jc w:val="both"/>
        <w:rPr>
          <w:sz w:val="24"/>
          <w:szCs w:val="24"/>
        </w:rPr>
      </w:pPr>
      <w:r>
        <w:drawing>
          <wp:inline distT="0" distB="0" distL="0" distR="0">
            <wp:extent cx="5274310" cy="3119755"/>
            <wp:effectExtent l="0" t="0" r="0" b="0"/>
            <wp:docPr id="1273244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44553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  <w:sz w:val="24"/>
          <w:szCs w:val="24"/>
        </w:rPr>
        <w:t>Fig</w:t>
      </w:r>
      <w:r>
        <w:rPr>
          <w:rFonts w:hint="eastAsia"/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S5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The adsorption formation of 2DA (A), 2UA (B), and DA/UA (C) on the surface of Ni-MOF </w:t>
      </w:r>
      <w:r>
        <w:rPr>
          <w:rFonts w:hint="eastAsia" w:eastAsia="DengXian"/>
          <w:sz w:val="24"/>
          <w:szCs w:val="24"/>
        </w:rPr>
        <w:t>(</w:t>
      </w:r>
      <w:r>
        <w:rPr>
          <w:rFonts w:eastAsia="DengXian"/>
          <w:sz w:val="24"/>
          <w:szCs w:val="24"/>
        </w:rPr>
        <w:t>Ni(</w:t>
      </w:r>
      <w:r>
        <w:rPr>
          <w:rFonts w:hint="eastAsia" w:eastAsia="DengXian"/>
          <w:sz w:val="24"/>
          <w:szCs w:val="24"/>
        </w:rPr>
        <w:t>CH</w:t>
      </w:r>
      <w:r>
        <w:rPr>
          <w:rFonts w:hint="eastAsia" w:eastAsia="DengXian"/>
          <w:sz w:val="24"/>
          <w:szCs w:val="24"/>
          <w:vertAlign w:val="subscript"/>
        </w:rPr>
        <w:t>3</w:t>
      </w:r>
      <w:r>
        <w:rPr>
          <w:rFonts w:hint="eastAsia" w:eastAsia="DengXian"/>
          <w:sz w:val="24"/>
          <w:szCs w:val="24"/>
        </w:rPr>
        <w:t>CO</w:t>
      </w:r>
      <w:r>
        <w:rPr>
          <w:rFonts w:hint="eastAsia" w:eastAsia="DengXian"/>
          <w:sz w:val="24"/>
          <w:szCs w:val="24"/>
          <w:vertAlign w:val="subscript"/>
        </w:rPr>
        <w:t>2</w:t>
      </w:r>
      <w:r>
        <w:rPr>
          <w:rFonts w:hint="eastAsia" w:eastAsia="DengXian"/>
          <w:sz w:val="24"/>
          <w:szCs w:val="24"/>
        </w:rPr>
        <w:t>)</w:t>
      </w:r>
      <w:r>
        <w:rPr>
          <w:rFonts w:hint="eastAsia"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sz w:val="24"/>
          <w:szCs w:val="24"/>
        </w:rPr>
        <w:t xml:space="preserve">, the adsorption formation of 2DA (D), 2UA (E), and DA/UA (F) on the surface of Au@Ni-MOF </w:t>
      </w:r>
      <w:r>
        <w:rPr>
          <w:rFonts w:hint="eastAsia" w:eastAsia="DengXian"/>
          <w:sz w:val="24"/>
          <w:szCs w:val="24"/>
        </w:rPr>
        <w:t>(</w:t>
      </w:r>
      <w:r>
        <w:rPr>
          <w:rFonts w:eastAsia="DengXian"/>
          <w:sz w:val="24"/>
          <w:szCs w:val="24"/>
        </w:rPr>
        <w:t>Ni(</w:t>
      </w:r>
      <w:r>
        <w:rPr>
          <w:rFonts w:hint="eastAsia" w:eastAsia="DengXian"/>
          <w:sz w:val="24"/>
          <w:szCs w:val="24"/>
        </w:rPr>
        <w:t>CH</w:t>
      </w:r>
      <w:r>
        <w:rPr>
          <w:rFonts w:hint="eastAsia" w:eastAsia="DengXian"/>
          <w:sz w:val="24"/>
          <w:szCs w:val="24"/>
          <w:vertAlign w:val="subscript"/>
        </w:rPr>
        <w:t>3</w:t>
      </w:r>
      <w:r>
        <w:rPr>
          <w:rFonts w:hint="eastAsia" w:eastAsia="DengXian"/>
          <w:sz w:val="24"/>
          <w:szCs w:val="24"/>
        </w:rPr>
        <w:t>CO</w:t>
      </w:r>
      <w:r>
        <w:rPr>
          <w:rFonts w:hint="eastAsia" w:eastAsia="DengXian"/>
          <w:sz w:val="24"/>
          <w:szCs w:val="24"/>
          <w:vertAlign w:val="subscript"/>
        </w:rPr>
        <w:t>2</w:t>
      </w:r>
      <w:r>
        <w:rPr>
          <w:rFonts w:hint="eastAsia" w:eastAsia="DengXian"/>
          <w:sz w:val="24"/>
          <w:szCs w:val="24"/>
        </w:rPr>
        <w:t>)</w:t>
      </w:r>
      <w:r>
        <w:rPr>
          <w:rFonts w:hint="eastAsia"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sz w:val="24"/>
          <w:szCs w:val="24"/>
        </w:rPr>
        <w:t xml:space="preserve">. Carbon, oxygen, nitrogen, hydrogen, and gold atoms are depicted in gray, red, blue, white, and yellow, respectively. </w:t>
      </w:r>
    </w:p>
    <w:p w14:paraId="36DA85BB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78492BC0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2A205645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359A4FBC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7BF1C1C0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04A2D685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760C51DA">
      <w:pPr>
        <w:spacing w:before="100" w:beforeAutospacing="1" w:after="100" w:afterAutospacing="1" w:line="480" w:lineRule="auto"/>
        <w:jc w:val="both"/>
        <w:rPr>
          <w:b/>
          <w:bCs/>
          <w:sz w:val="24"/>
          <w:szCs w:val="24"/>
          <w:lang w:val="en-MY"/>
        </w:rPr>
      </w:pPr>
    </w:p>
    <w:p w14:paraId="62490453">
      <w:pPr>
        <w:spacing w:before="100" w:beforeAutospacing="1" w:after="100" w:afterAutospacing="1" w:line="480" w:lineRule="auto"/>
        <w:jc w:val="both"/>
        <w:rPr>
          <w:rFonts w:eastAsia="DengXian"/>
          <w:sz w:val="24"/>
          <w:szCs w:val="24"/>
        </w:rPr>
      </w:pPr>
      <w:r>
        <w:rPr>
          <w:rFonts w:eastAsia="DengXian"/>
          <w:b/>
          <w:bCs/>
          <w:sz w:val="24"/>
          <w:szCs w:val="24"/>
        </w:rPr>
        <w:t xml:space="preserve">Table S3 </w:t>
      </w:r>
      <w:r>
        <w:rPr>
          <w:rFonts w:eastAsia="DengXian"/>
          <w:sz w:val="24"/>
          <w:szCs w:val="24"/>
        </w:rPr>
        <w:t>Adsorption energy (</w:t>
      </w:r>
      <w:r>
        <w:rPr>
          <w:sz w:val="24"/>
          <w:szCs w:val="24"/>
        </w:rPr>
        <w:t>Eads) analysis for</w:t>
      </w:r>
      <w:r>
        <w:rPr>
          <w:rFonts w:eastAsia="DengXian"/>
          <w:sz w:val="24"/>
          <w:szCs w:val="24"/>
        </w:rPr>
        <w:t xml:space="preserve"> DA and UA on the surface of Ni-MOF (Ni(CH</w:t>
      </w:r>
      <w:r>
        <w:rPr>
          <w:rFonts w:eastAsia="DengXian"/>
          <w:sz w:val="24"/>
          <w:szCs w:val="24"/>
          <w:vertAlign w:val="subscript"/>
        </w:rPr>
        <w:t>3</w:t>
      </w:r>
      <w:r>
        <w:rPr>
          <w:rFonts w:eastAsia="DengXian"/>
          <w:sz w:val="24"/>
          <w:szCs w:val="24"/>
        </w:rPr>
        <w:t>CO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 and Au@Ni-MOF (Ni(CH</w:t>
      </w:r>
      <w:r>
        <w:rPr>
          <w:rFonts w:eastAsia="DengXian"/>
          <w:sz w:val="24"/>
          <w:szCs w:val="24"/>
          <w:vertAlign w:val="subscript"/>
        </w:rPr>
        <w:t>3</w:t>
      </w:r>
      <w:r>
        <w:rPr>
          <w:rFonts w:eastAsia="DengXian"/>
          <w:sz w:val="24"/>
          <w:szCs w:val="24"/>
        </w:rPr>
        <w:t>CO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</w:t>
      </w:r>
      <w:r>
        <w:rPr>
          <w:rFonts w:eastAsia="DengXian"/>
          <w:sz w:val="24"/>
          <w:szCs w:val="24"/>
          <w:vertAlign w:val="subscript"/>
        </w:rPr>
        <w:t>2</w:t>
      </w:r>
      <w:r>
        <w:rPr>
          <w:rFonts w:eastAsia="DengXian"/>
          <w:sz w:val="24"/>
          <w:szCs w:val="24"/>
        </w:rPr>
        <w:t>).</w:t>
      </w:r>
    </w:p>
    <w:tbl>
      <w:tblPr>
        <w:tblStyle w:val="3"/>
        <w:tblpPr w:leftFromText="180" w:rightFromText="180" w:vertAnchor="text" w:horzAnchor="page" w:tblpX="1201" w:tblpY="26"/>
        <w:tblOverlap w:val="never"/>
        <w:tblW w:w="106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1825"/>
        <w:gridCol w:w="925"/>
        <w:gridCol w:w="1603"/>
        <w:gridCol w:w="1496"/>
        <w:gridCol w:w="1142"/>
        <w:gridCol w:w="1412"/>
      </w:tblGrid>
      <w:tr w14:paraId="650D7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2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152ED6C">
            <w:pPr>
              <w:widowControl w:val="0"/>
              <w:spacing w:before="100" w:beforeAutospacing="1" w:after="100" w:afterAutospacing="1" w:line="480" w:lineRule="auto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 xml:space="preserve">Energy 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56B3256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E</w:t>
            </w:r>
            <w:r>
              <w:rPr>
                <w:rFonts w:eastAsia="DengXian"/>
                <w:sz w:val="24"/>
                <w:szCs w:val="24"/>
                <w:vertAlign w:val="subscript"/>
              </w:rPr>
              <w:t>Substrate</w:t>
            </w:r>
          </w:p>
          <w:p w14:paraId="4C76C883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(eV)</w:t>
            </w:r>
          </w:p>
        </w:tc>
        <w:tc>
          <w:tcPr>
            <w:tcW w:w="16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F71712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E</w:t>
            </w:r>
            <w:r>
              <w:rPr>
                <w:rFonts w:eastAsia="DengXian"/>
                <w:sz w:val="24"/>
                <w:szCs w:val="24"/>
                <w:vertAlign w:val="subscript"/>
              </w:rPr>
              <w:t>Adsorbate</w:t>
            </w:r>
          </w:p>
          <w:p w14:paraId="393CB9F9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(eV)</w:t>
            </w: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B75448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E</w:t>
            </w:r>
            <w:r>
              <w:rPr>
                <w:rFonts w:eastAsia="DengXian"/>
                <w:sz w:val="24"/>
                <w:szCs w:val="24"/>
                <w:vertAlign w:val="subscript"/>
              </w:rPr>
              <w:t>Complex</w:t>
            </w:r>
          </w:p>
          <w:p w14:paraId="39292B4B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(eV)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6EAD9D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E</w:t>
            </w:r>
            <w:r>
              <w:rPr>
                <w:rFonts w:eastAsia="DengXian"/>
                <w:sz w:val="24"/>
                <w:szCs w:val="24"/>
                <w:vertAlign w:val="subscript"/>
              </w:rPr>
              <w:t>ads</w:t>
            </w:r>
          </w:p>
          <w:p w14:paraId="60076A47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(eV)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850494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E</w:t>
            </w:r>
            <w:r>
              <w:rPr>
                <w:rFonts w:eastAsia="DengXian"/>
                <w:sz w:val="24"/>
                <w:szCs w:val="24"/>
                <w:vertAlign w:val="subscript"/>
              </w:rPr>
              <w:t xml:space="preserve">ads </w:t>
            </w:r>
            <w:r>
              <w:rPr>
                <w:rFonts w:eastAsia="DengXian"/>
                <w:sz w:val="24"/>
                <w:szCs w:val="24"/>
              </w:rPr>
              <w:t>(kJ/mol)</w:t>
            </w:r>
          </w:p>
        </w:tc>
      </w:tr>
      <w:tr w14:paraId="375D4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2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00129DA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Ni-MOF (Ni(CH</w:t>
            </w:r>
            <w:r>
              <w:rPr>
                <w:rFonts w:eastAsia="DengXian"/>
                <w:sz w:val="24"/>
                <w:szCs w:val="24"/>
                <w:vertAlign w:val="subscript"/>
              </w:rPr>
              <w:t>3</w:t>
            </w:r>
            <w:r>
              <w:rPr>
                <w:rFonts w:eastAsia="DengXian"/>
                <w:sz w:val="24"/>
                <w:szCs w:val="24"/>
              </w:rPr>
              <w:t>CO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)-2DA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AF7725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-5186.17764</w:t>
            </w:r>
          </w:p>
        </w:tc>
        <w:tc>
          <w:tcPr>
            <w:tcW w:w="16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17AB650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-8224.64425</w:t>
            </w:r>
          </w:p>
        </w:tc>
        <w:tc>
          <w:tcPr>
            <w:tcW w:w="14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BB0D5CE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-13411.8712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A072943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-1.0493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FC6C415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-101.24</w:t>
            </w:r>
          </w:p>
        </w:tc>
      </w:tr>
      <w:tr w14:paraId="7B06F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100D5794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Ni-MOF (Ni(CH</w:t>
            </w:r>
            <w:r>
              <w:rPr>
                <w:rFonts w:eastAsia="DengXian"/>
                <w:sz w:val="24"/>
                <w:szCs w:val="24"/>
                <w:vertAlign w:val="subscript"/>
              </w:rPr>
              <w:t>3</w:t>
            </w:r>
            <w:r>
              <w:rPr>
                <w:rFonts w:eastAsia="DengXian"/>
                <w:sz w:val="24"/>
                <w:szCs w:val="24"/>
              </w:rPr>
              <w:t>CO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)-2UA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58B73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-6553.79262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323ADF2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-8224.64425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0AD4D770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-14779.5172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225991D9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-1.0803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13CF81B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-104.24</w:t>
            </w:r>
          </w:p>
        </w:tc>
      </w:tr>
      <w:tr w14:paraId="41D57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56224C2B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Ni-MOF (Ni(CH</w:t>
            </w:r>
            <w:r>
              <w:rPr>
                <w:rFonts w:eastAsia="DengXian"/>
                <w:sz w:val="24"/>
                <w:szCs w:val="24"/>
                <w:vertAlign w:val="subscript"/>
              </w:rPr>
              <w:t>3</w:t>
            </w:r>
            <w:r>
              <w:rPr>
                <w:rFonts w:eastAsia="DengXian"/>
                <w:sz w:val="24"/>
                <w:szCs w:val="24"/>
              </w:rPr>
              <w:t>CO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)-DA/UA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0E476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-5869.98513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74D970B6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-8224.64425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54C5DB0B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-14096.4742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4571289C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-1.8448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12FCCEE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-178.00</w:t>
            </w:r>
          </w:p>
        </w:tc>
      </w:tr>
      <w:tr w14:paraId="502E6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35E77B88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Au@Ni-MOF (Ni(CH</w:t>
            </w:r>
            <w:r>
              <w:rPr>
                <w:rFonts w:eastAsia="DengXian"/>
                <w:sz w:val="24"/>
                <w:szCs w:val="24"/>
                <w:vertAlign w:val="subscript"/>
              </w:rPr>
              <w:t>3</w:t>
            </w:r>
            <w:r>
              <w:rPr>
                <w:rFonts w:eastAsia="DengXian"/>
                <w:sz w:val="24"/>
                <w:szCs w:val="24"/>
              </w:rPr>
              <w:t>CO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)-2DA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AEC59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-5186.17764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62C9C0F0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sz w:val="24"/>
                <w:szCs w:val="24"/>
              </w:rPr>
              <w:t>-22348.4175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70FB9046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-27540.1569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7DDACC81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-5.5618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4DE47376">
            <w:pPr>
              <w:widowControl w:val="0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-536.63</w:t>
            </w:r>
          </w:p>
        </w:tc>
      </w:tr>
      <w:tr w14:paraId="5EB75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</w:tcPr>
          <w:p w14:paraId="1F29FC99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Au@Ni-MOF (Ni(CH</w:t>
            </w:r>
            <w:r>
              <w:rPr>
                <w:rFonts w:eastAsia="DengXian"/>
                <w:sz w:val="24"/>
                <w:szCs w:val="24"/>
                <w:vertAlign w:val="subscript"/>
              </w:rPr>
              <w:t>3</w:t>
            </w:r>
            <w:r>
              <w:rPr>
                <w:rFonts w:eastAsia="DengXian"/>
                <w:sz w:val="24"/>
                <w:szCs w:val="24"/>
              </w:rPr>
              <w:t>CO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)-2UA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C2950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-6553.79262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B59B097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sz w:val="24"/>
                <w:szCs w:val="24"/>
              </w:rPr>
              <w:t>-22348.4175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7AD8521D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-28906.4071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14:paraId="57D32AC1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-4.1970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B1C10A5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-404.95</w:t>
            </w:r>
          </w:p>
        </w:tc>
      </w:tr>
      <w:tr w14:paraId="5A8A9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BA9EAC5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Au@Ni-MOF (Ni(CH</w:t>
            </w:r>
            <w:r>
              <w:rPr>
                <w:rFonts w:eastAsia="DengXian"/>
                <w:sz w:val="24"/>
                <w:szCs w:val="24"/>
                <w:vertAlign w:val="subscript"/>
              </w:rPr>
              <w:t>3</w:t>
            </w:r>
            <w:r>
              <w:rPr>
                <w:rFonts w:eastAsia="DengXian"/>
                <w:sz w:val="24"/>
                <w:szCs w:val="24"/>
              </w:rPr>
              <w:t>CO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</w:t>
            </w:r>
            <w:r>
              <w:rPr>
                <w:rFonts w:eastAsia="DengXian"/>
                <w:sz w:val="24"/>
                <w:szCs w:val="24"/>
                <w:vertAlign w:val="subscript"/>
              </w:rPr>
              <w:t>2</w:t>
            </w:r>
            <w:r>
              <w:rPr>
                <w:rFonts w:eastAsia="DengXian"/>
                <w:sz w:val="24"/>
                <w:szCs w:val="24"/>
              </w:rPr>
              <w:t>)-DA/UA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0A05AE4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-5869.98513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2CB8FB5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sz w:val="24"/>
                <w:szCs w:val="24"/>
              </w:rPr>
              <w:t>-22348.4175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654D30A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  <w:lang w:val="en-MY"/>
              </w:rPr>
              <w:t>-28222.9084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F312C7E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-4.5058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C84B7C4">
            <w:pPr>
              <w:widowControl w:val="0"/>
              <w:spacing w:before="100" w:beforeAutospacing="1" w:after="100" w:afterAutospacing="1"/>
              <w:jc w:val="center"/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-434.74</w:t>
            </w:r>
          </w:p>
        </w:tc>
      </w:tr>
    </w:tbl>
    <w:p w14:paraId="2637DF7C">
      <w:pPr>
        <w:spacing w:line="480" w:lineRule="auto"/>
        <w:jc w:val="both"/>
        <w:rPr>
          <w:sz w:val="24"/>
          <w:szCs w:val="24"/>
        </w:rPr>
      </w:pPr>
    </w:p>
    <w:p w14:paraId="48857123">
      <w:pPr>
        <w:rPr>
          <w:sz w:val="24"/>
          <w:szCs w:val="24"/>
        </w:rPr>
      </w:pPr>
    </w:p>
    <w:p w14:paraId="4252246E">
      <w:pPr>
        <w:rPr>
          <w:sz w:val="24"/>
          <w:szCs w:val="24"/>
        </w:rPr>
      </w:pPr>
    </w:p>
    <w:p w14:paraId="644C6C32">
      <w:pPr>
        <w:rPr>
          <w:sz w:val="24"/>
          <w:szCs w:val="24"/>
        </w:rPr>
      </w:pPr>
    </w:p>
    <w:p w14:paraId="62DFAB01">
      <w:pPr>
        <w:rPr>
          <w:sz w:val="24"/>
          <w:szCs w:val="24"/>
        </w:rPr>
      </w:pPr>
    </w:p>
    <w:p w14:paraId="39B03455">
      <w:pPr>
        <w:rPr>
          <w:sz w:val="24"/>
          <w:szCs w:val="24"/>
        </w:rPr>
      </w:pPr>
    </w:p>
    <w:p w14:paraId="37D47B18">
      <w:pPr>
        <w:rPr>
          <w:sz w:val="24"/>
          <w:szCs w:val="24"/>
        </w:rPr>
      </w:pPr>
    </w:p>
    <w:p w14:paraId="6D8315DE">
      <w:pPr>
        <w:rPr>
          <w:sz w:val="24"/>
          <w:szCs w:val="24"/>
        </w:rPr>
      </w:pPr>
    </w:p>
    <w:p w14:paraId="58EAD0CB">
      <w:pPr>
        <w:rPr>
          <w:sz w:val="24"/>
          <w:szCs w:val="24"/>
        </w:rPr>
      </w:pPr>
    </w:p>
    <w:p w14:paraId="4358F25C">
      <w:pPr>
        <w:rPr>
          <w:sz w:val="24"/>
          <w:szCs w:val="24"/>
        </w:rPr>
      </w:pPr>
    </w:p>
    <w:p w14:paraId="46567B81">
      <w:pPr>
        <w:rPr>
          <w:sz w:val="24"/>
          <w:szCs w:val="24"/>
        </w:rPr>
      </w:pPr>
    </w:p>
    <w:p w14:paraId="7ECCD3A9">
      <w:pPr>
        <w:adjustRightInd w:val="0"/>
        <w:snapToGrid w:val="0"/>
        <w:rPr>
          <w:b/>
          <w:sz w:val="24"/>
          <w:szCs w:val="24"/>
        </w:rPr>
      </w:pPr>
    </w:p>
    <w:p w14:paraId="12E0E565">
      <w:pPr>
        <w:rPr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-2056927517"/>
    </w:sdtPr>
    <w:sdtEndPr>
      <w:rPr>
        <w:rStyle w:val="8"/>
      </w:rPr>
    </w:sdtEndPr>
    <w:sdtContent>
      <w:p w14:paraId="194516FC">
        <w:pPr>
          <w:pStyle w:val="4"/>
          <w:framePr w:wrap="auto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separate"/>
        </w:r>
        <w:r>
          <w:rPr>
            <w:rStyle w:val="8"/>
          </w:rPr>
          <w:t>1</w:t>
        </w:r>
        <w:r>
          <w:rPr>
            <w:rStyle w:val="8"/>
          </w:rPr>
          <w:fldChar w:fldCharType="end"/>
        </w:r>
      </w:p>
    </w:sdtContent>
  </w:sdt>
  <w:p w14:paraId="0A8F92B3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268984112"/>
    </w:sdtPr>
    <w:sdtEndPr>
      <w:rPr>
        <w:rStyle w:val="8"/>
      </w:rPr>
    </w:sdtEndPr>
    <w:sdtContent>
      <w:p w14:paraId="56FED444">
        <w:pPr>
          <w:pStyle w:val="4"/>
          <w:framePr w:wrap="auto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end"/>
        </w:r>
      </w:p>
    </w:sdtContent>
  </w:sdt>
  <w:p w14:paraId="092216CA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4AE7"/>
    <w:rsid w:val="000413A9"/>
    <w:rsid w:val="00042D96"/>
    <w:rsid w:val="00082FE7"/>
    <w:rsid w:val="000902F7"/>
    <w:rsid w:val="000974C7"/>
    <w:rsid w:val="001240BA"/>
    <w:rsid w:val="00172A27"/>
    <w:rsid w:val="001A785F"/>
    <w:rsid w:val="001E3630"/>
    <w:rsid w:val="0020293B"/>
    <w:rsid w:val="00213557"/>
    <w:rsid w:val="00213F5A"/>
    <w:rsid w:val="00262253"/>
    <w:rsid w:val="002E1AB6"/>
    <w:rsid w:val="00301945"/>
    <w:rsid w:val="003250E8"/>
    <w:rsid w:val="00344739"/>
    <w:rsid w:val="003D4B23"/>
    <w:rsid w:val="004D3DFE"/>
    <w:rsid w:val="00574FAE"/>
    <w:rsid w:val="00581FEE"/>
    <w:rsid w:val="005976E3"/>
    <w:rsid w:val="00621B0D"/>
    <w:rsid w:val="006330AD"/>
    <w:rsid w:val="00691A9C"/>
    <w:rsid w:val="006C0A42"/>
    <w:rsid w:val="007667DB"/>
    <w:rsid w:val="007B7E65"/>
    <w:rsid w:val="007C5B27"/>
    <w:rsid w:val="00801D23"/>
    <w:rsid w:val="00915025"/>
    <w:rsid w:val="009215D0"/>
    <w:rsid w:val="00932CDC"/>
    <w:rsid w:val="00933CD7"/>
    <w:rsid w:val="009858C8"/>
    <w:rsid w:val="009D662C"/>
    <w:rsid w:val="009F4074"/>
    <w:rsid w:val="00A709BC"/>
    <w:rsid w:val="00AD2BAA"/>
    <w:rsid w:val="00B131E4"/>
    <w:rsid w:val="00B91962"/>
    <w:rsid w:val="00C11C02"/>
    <w:rsid w:val="00C8009A"/>
    <w:rsid w:val="00CA4BF9"/>
    <w:rsid w:val="00CD3A5F"/>
    <w:rsid w:val="00CD4281"/>
    <w:rsid w:val="00CF7731"/>
    <w:rsid w:val="00D032E9"/>
    <w:rsid w:val="00D62019"/>
    <w:rsid w:val="00D8055D"/>
    <w:rsid w:val="00D87A0B"/>
    <w:rsid w:val="00D959B9"/>
    <w:rsid w:val="00DA49A9"/>
    <w:rsid w:val="00E000E9"/>
    <w:rsid w:val="00E3015B"/>
    <w:rsid w:val="00E52BD5"/>
    <w:rsid w:val="00E828A6"/>
    <w:rsid w:val="00E90A43"/>
    <w:rsid w:val="00EA0D5E"/>
    <w:rsid w:val="00EF163D"/>
    <w:rsid w:val="00F2422F"/>
    <w:rsid w:val="00F73A3A"/>
    <w:rsid w:val="00F878B1"/>
    <w:rsid w:val="00FA16A3"/>
    <w:rsid w:val="00FC0B98"/>
    <w:rsid w:val="00FC51A8"/>
    <w:rsid w:val="00FE2736"/>
    <w:rsid w:val="00FE5BA8"/>
    <w:rsid w:val="05F50695"/>
    <w:rsid w:val="06680D11"/>
    <w:rsid w:val="085A1E0E"/>
    <w:rsid w:val="25012BA8"/>
    <w:rsid w:val="26686759"/>
    <w:rsid w:val="2A8B6A62"/>
    <w:rsid w:val="30C3123F"/>
    <w:rsid w:val="34BD700A"/>
    <w:rsid w:val="38BA5195"/>
    <w:rsid w:val="3A877B8D"/>
    <w:rsid w:val="3E021359"/>
    <w:rsid w:val="408653F7"/>
    <w:rsid w:val="45AE084E"/>
    <w:rsid w:val="579F4C3A"/>
    <w:rsid w:val="596641E7"/>
    <w:rsid w:val="5FEB2462"/>
    <w:rsid w:val="6C6F6E13"/>
    <w:rsid w:val="6DEA3323"/>
    <w:rsid w:val="72CC3543"/>
    <w:rsid w:val="76D34E40"/>
    <w:rsid w:val="78D9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513"/>
        <w:tab w:val="right" w:pos="9026"/>
      </w:tabs>
    </w:pPr>
  </w:style>
  <w:style w:type="paragraph" w:styleId="5">
    <w:name w:val="header"/>
    <w:basedOn w:val="1"/>
    <w:link w:val="12"/>
    <w:uiPriority w:val="0"/>
    <w:pPr>
      <w:tabs>
        <w:tab w:val="center" w:pos="4513"/>
        <w:tab w:val="right" w:pos="9026"/>
      </w:tabs>
    </w:pPr>
  </w:style>
  <w:style w:type="character" w:styleId="6">
    <w:name w:val="Hyperlink"/>
    <w:basedOn w:val="2"/>
    <w:unhideWhenUsed/>
    <w:qFormat/>
    <w:uiPriority w:val="99"/>
    <w:rPr>
      <w:color w:val="0000FF"/>
      <w:u w:val="single"/>
    </w:rPr>
  </w:style>
  <w:style w:type="paragraph" w:styleId="7">
    <w:name w:val="Normal (Web)"/>
    <w:basedOn w:val="1"/>
    <w:qFormat/>
    <w:uiPriority w:val="99"/>
    <w:rPr>
      <w:sz w:val="24"/>
      <w:szCs w:val="24"/>
    </w:rPr>
  </w:style>
  <w:style w:type="character" w:styleId="8">
    <w:name w:val="page number"/>
    <w:basedOn w:val="2"/>
    <w:qFormat/>
    <w:uiPriority w:val="0"/>
  </w:style>
  <w:style w:type="table" w:styleId="9">
    <w:name w:val="Table Grid"/>
    <w:basedOn w:val="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Grid Light1"/>
    <w:basedOn w:val="3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11">
    <w:name w:val="text-dst"/>
    <w:basedOn w:val="2"/>
    <w:qFormat/>
    <w:uiPriority w:val="0"/>
  </w:style>
  <w:style w:type="character" w:customStyle="1" w:styleId="12">
    <w:name w:val="Header Char"/>
    <w:basedOn w:val="2"/>
    <w:link w:val="5"/>
    <w:qFormat/>
    <w:uiPriority w:val="0"/>
    <w:rPr>
      <w:rFonts w:ascii="Times New Roman" w:hAnsi="Times New Roman" w:eastAsia="SimSun" w:cs="Times New Roman"/>
      <w:sz w:val="22"/>
      <w:lang w:val="en-US"/>
    </w:rPr>
  </w:style>
  <w:style w:type="character" w:customStyle="1" w:styleId="13">
    <w:name w:val="Footer Char"/>
    <w:basedOn w:val="2"/>
    <w:link w:val="4"/>
    <w:qFormat/>
    <w:uiPriority w:val="0"/>
    <w:rPr>
      <w:rFonts w:ascii="Times New Roman" w:hAnsi="Times New Roman" w:eastAsia="SimSun" w:cs="Times New Roman"/>
      <w:sz w:val="22"/>
      <w:lang w:val="en-US"/>
    </w:rPr>
  </w:style>
  <w:style w:type="character" w:customStyle="1" w:styleId="14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538</Words>
  <Characters>3180</Characters>
  <Lines>212</Lines>
  <Paragraphs>123</Paragraphs>
  <TotalTime>0</TotalTime>
  <ScaleCrop>false</ScaleCrop>
  <LinksUpToDate>false</LinksUpToDate>
  <CharactersWithSpaces>3595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2023-09-22T05:01:00Z</dcterms:created>
  <dc:creator>Huawei</dc:creator>
  <cp:lastModifiedBy>ZHOU FENG / UPM</cp:lastModifiedBy>
  <dcterms:modified xsi:type="dcterms:W3CDTF">2024-10-11T11:15:18Z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1033-12.2.0.18586</vt:lpwstr>
  </property>
  <property fmtid="{D5CDD505-2E9C-101B-9397-08002B2CF9AE}" pid="3" name="ICV">
    <vt:lpwstr>D2AB7809775D4B18B0695460A76CCEFF</vt:lpwstr>
  </property>
  <property fmtid="{D5CDD505-2E9C-101B-9397-08002B2CF9AE}" pid="4" name="GrammarlyDocumentId">
    <vt:lpwstr>d382b826ede53ff5eb8c959d8209d1fd466c883623b77841d1f99303926e94aa</vt:lpwstr>
  </property>
</Properties>
</file>