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ED497" w14:textId="6EB83894" w:rsidR="00811F15" w:rsidRPr="004F4296" w:rsidRDefault="00000000" w:rsidP="00811F15">
      <w:pPr>
        <w:spacing w:line="480" w:lineRule="auto"/>
        <w:rPr>
          <w:sz w:val="20"/>
          <w:szCs w:val="20"/>
        </w:rPr>
      </w:pPr>
      <w:r w:rsidRPr="004F4296">
        <w:rPr>
          <w:sz w:val="20"/>
          <w:szCs w:val="20"/>
        </w:rPr>
        <w:t>Electronic Supplementary Material 1</w:t>
      </w:r>
    </w:p>
    <w:p w14:paraId="1E810BFB" w14:textId="77777777" w:rsidR="0015516E" w:rsidRPr="004F4296" w:rsidRDefault="00000000" w:rsidP="0015516E">
      <w:pPr>
        <w:spacing w:line="480" w:lineRule="auto"/>
        <w:rPr>
          <w:sz w:val="20"/>
          <w:szCs w:val="20"/>
        </w:rPr>
      </w:pPr>
      <w:r w:rsidRPr="004F4296">
        <w:rPr>
          <w:b/>
          <w:bCs/>
          <w:sz w:val="20"/>
          <w:szCs w:val="20"/>
        </w:rPr>
        <w:t>Title</w:t>
      </w:r>
      <w:r w:rsidRPr="004F4296">
        <w:rPr>
          <w:sz w:val="20"/>
          <w:szCs w:val="20"/>
        </w:rPr>
        <w:t xml:space="preserve">: </w:t>
      </w:r>
      <w:bookmarkStart w:id="0" w:name="_Hlk174349526"/>
      <w:r w:rsidRPr="004F4296">
        <w:rPr>
          <w:sz w:val="20"/>
          <w:szCs w:val="20"/>
        </w:rPr>
        <w:t>Laparoscopic curative resection following perioperative chemotherapy with 5-fluorouracil, leucovorin, oxaliplatin, and docetaxel and its influence on Claudin 18.2 expression in advanced gastric or gastroesophageal junction adenocarcinoma: A two-case report</w:t>
      </w:r>
      <w:bookmarkEnd w:id="0"/>
    </w:p>
    <w:p w14:paraId="57B569E2" w14:textId="77777777" w:rsidR="0015516E" w:rsidRPr="004F4296" w:rsidRDefault="0015516E" w:rsidP="0015516E">
      <w:pPr>
        <w:spacing w:line="480" w:lineRule="auto"/>
        <w:rPr>
          <w:sz w:val="20"/>
          <w:szCs w:val="20"/>
        </w:rPr>
      </w:pPr>
    </w:p>
    <w:p w14:paraId="65ABEACD" w14:textId="7F2B9B19" w:rsidR="0015516E" w:rsidRPr="004F4296" w:rsidRDefault="00000000" w:rsidP="0015516E">
      <w:pPr>
        <w:spacing w:line="480" w:lineRule="auto"/>
        <w:rPr>
          <w:sz w:val="20"/>
          <w:szCs w:val="20"/>
        </w:rPr>
      </w:pPr>
      <w:r w:rsidRPr="004F4296">
        <w:rPr>
          <w:b/>
          <w:bCs/>
          <w:sz w:val="20"/>
          <w:szCs w:val="20"/>
        </w:rPr>
        <w:t>Journal name:</w:t>
      </w:r>
      <w:r w:rsidRPr="004F4296">
        <w:rPr>
          <w:sz w:val="20"/>
          <w:szCs w:val="20"/>
        </w:rPr>
        <w:t xml:space="preserve"> </w:t>
      </w:r>
      <w:r w:rsidR="00114075" w:rsidRPr="004F4296">
        <w:rPr>
          <w:sz w:val="20"/>
          <w:szCs w:val="20"/>
        </w:rPr>
        <w:t>Journal of Gastrointestinal Cancer</w:t>
      </w:r>
    </w:p>
    <w:p w14:paraId="0F5BA34D" w14:textId="77777777" w:rsidR="0015516E" w:rsidRPr="004F4296" w:rsidRDefault="0015516E" w:rsidP="0015516E">
      <w:pPr>
        <w:spacing w:line="480" w:lineRule="auto"/>
        <w:rPr>
          <w:b/>
          <w:bCs/>
          <w:sz w:val="20"/>
          <w:szCs w:val="20"/>
        </w:rPr>
      </w:pPr>
    </w:p>
    <w:p w14:paraId="499478DE" w14:textId="77777777" w:rsidR="0015516E" w:rsidRPr="004F4296" w:rsidRDefault="00000000" w:rsidP="0015516E">
      <w:pPr>
        <w:spacing w:line="480" w:lineRule="auto"/>
        <w:rPr>
          <w:sz w:val="20"/>
          <w:szCs w:val="20"/>
        </w:rPr>
      </w:pPr>
      <w:r w:rsidRPr="004F4296">
        <w:rPr>
          <w:b/>
          <w:bCs/>
          <w:sz w:val="20"/>
          <w:szCs w:val="20"/>
        </w:rPr>
        <w:t>Authors</w:t>
      </w:r>
      <w:r w:rsidRPr="004F4296">
        <w:rPr>
          <w:sz w:val="20"/>
          <w:szCs w:val="20"/>
        </w:rPr>
        <w:t xml:space="preserve">: </w:t>
      </w:r>
      <w:bookmarkStart w:id="1" w:name="_Hlk143667707"/>
      <w:r w:rsidRPr="004F4296">
        <w:rPr>
          <w:sz w:val="20"/>
          <w:szCs w:val="20"/>
        </w:rPr>
        <w:t xml:space="preserve">Tohru Takahashi, </w:t>
      </w:r>
      <w:r w:rsidRPr="004F4296">
        <w:rPr>
          <w:iCs/>
          <w:sz w:val="20"/>
          <w:szCs w:val="20"/>
          <w:vertAlign w:val="superscript"/>
        </w:rPr>
        <w:t>1 *</w:t>
      </w:r>
      <w:r w:rsidRPr="004F4296">
        <w:rPr>
          <w:sz w:val="20"/>
          <w:szCs w:val="20"/>
        </w:rPr>
        <w:t xml:space="preserve"> Takahiro Ishii, </w:t>
      </w:r>
      <w:r w:rsidRPr="004F4296">
        <w:rPr>
          <w:sz w:val="20"/>
          <w:szCs w:val="20"/>
          <w:vertAlign w:val="superscript"/>
        </w:rPr>
        <w:t>2,3</w:t>
      </w:r>
      <w:r w:rsidRPr="004F4296">
        <w:rPr>
          <w:sz w:val="20"/>
          <w:szCs w:val="20"/>
        </w:rPr>
        <w:t xml:space="preserve"> Taku Maejima, </w:t>
      </w:r>
      <w:r w:rsidRPr="004F4296">
        <w:rPr>
          <w:iCs/>
          <w:sz w:val="20"/>
          <w:szCs w:val="20"/>
          <w:vertAlign w:val="superscript"/>
        </w:rPr>
        <w:t>1</w:t>
      </w:r>
      <w:r w:rsidRPr="004F4296">
        <w:rPr>
          <w:sz w:val="20"/>
          <w:szCs w:val="20"/>
        </w:rPr>
        <w:t xml:space="preserve"> Eriko Aimono, </w:t>
      </w:r>
      <w:r w:rsidRPr="004F4296">
        <w:rPr>
          <w:sz w:val="20"/>
          <w:szCs w:val="20"/>
          <w:vertAlign w:val="superscript"/>
        </w:rPr>
        <w:t>4</w:t>
      </w:r>
      <w:r w:rsidRPr="004F4296">
        <w:rPr>
          <w:sz w:val="20"/>
          <w:szCs w:val="20"/>
        </w:rPr>
        <w:t xml:space="preserve"> Dai Miyazaki,</w:t>
      </w:r>
      <w:r w:rsidRPr="004F4296">
        <w:rPr>
          <w:iCs/>
          <w:sz w:val="20"/>
          <w:szCs w:val="20"/>
          <w:vertAlign w:val="superscript"/>
        </w:rPr>
        <w:t xml:space="preserve"> 1</w:t>
      </w:r>
      <w:r w:rsidRPr="004F4296">
        <w:rPr>
          <w:sz w:val="20"/>
          <w:szCs w:val="20"/>
        </w:rPr>
        <w:t xml:space="preserve"> Susumu Fukahori,</w:t>
      </w:r>
      <w:r w:rsidRPr="004F4296">
        <w:rPr>
          <w:iCs/>
          <w:sz w:val="20"/>
          <w:szCs w:val="20"/>
          <w:vertAlign w:val="superscript"/>
        </w:rPr>
        <w:t xml:space="preserve"> 1</w:t>
      </w:r>
      <w:r w:rsidRPr="004F4296">
        <w:rPr>
          <w:sz w:val="20"/>
          <w:szCs w:val="20"/>
        </w:rPr>
        <w:t xml:space="preserve"> Taichi Kimura,</w:t>
      </w:r>
      <w:r w:rsidRPr="004F4296">
        <w:rPr>
          <w:sz w:val="20"/>
          <w:szCs w:val="20"/>
          <w:vertAlign w:val="superscript"/>
        </w:rPr>
        <w:t xml:space="preserve"> 4</w:t>
      </w:r>
      <w:r w:rsidRPr="004F4296">
        <w:rPr>
          <w:sz w:val="20"/>
          <w:szCs w:val="20"/>
        </w:rPr>
        <w:t xml:space="preserve"> Mitsuru Yanai,</w:t>
      </w:r>
      <w:r w:rsidRPr="004F4296">
        <w:rPr>
          <w:sz w:val="20"/>
          <w:szCs w:val="20"/>
          <w:vertAlign w:val="superscript"/>
        </w:rPr>
        <w:t xml:space="preserve"> 4</w:t>
      </w:r>
      <w:r w:rsidRPr="004F4296">
        <w:rPr>
          <w:sz w:val="20"/>
          <w:szCs w:val="20"/>
        </w:rPr>
        <w:t xml:space="preserve"> </w:t>
      </w:r>
      <w:r w:rsidRPr="004F4296">
        <w:rPr>
          <w:iCs/>
          <w:sz w:val="20"/>
          <w:szCs w:val="20"/>
        </w:rPr>
        <w:t>Yusuke Ono,</w:t>
      </w:r>
      <w:r w:rsidRPr="004F4296">
        <w:rPr>
          <w:iCs/>
          <w:sz w:val="20"/>
          <w:szCs w:val="20"/>
          <w:vertAlign w:val="superscript"/>
        </w:rPr>
        <w:t xml:space="preserve"> 3</w:t>
      </w:r>
      <w:r w:rsidRPr="004F4296">
        <w:rPr>
          <w:iCs/>
          <w:sz w:val="20"/>
          <w:szCs w:val="20"/>
        </w:rPr>
        <w:t xml:space="preserve"> </w:t>
      </w:r>
      <w:r w:rsidRPr="004F4296">
        <w:rPr>
          <w:sz w:val="20"/>
          <w:szCs w:val="20"/>
        </w:rPr>
        <w:t>Masahiro Hagiwara,</w:t>
      </w:r>
      <w:r w:rsidRPr="004F4296">
        <w:rPr>
          <w:iCs/>
          <w:sz w:val="20"/>
          <w:szCs w:val="20"/>
          <w:vertAlign w:val="superscript"/>
        </w:rPr>
        <w:t xml:space="preserve"> 1</w:t>
      </w:r>
      <w:r w:rsidRPr="004F4296">
        <w:rPr>
          <w:iCs/>
          <w:sz w:val="20"/>
          <w:szCs w:val="20"/>
        </w:rPr>
        <w:t xml:space="preserve"> Yusuke Mizukami </w:t>
      </w:r>
      <w:r w:rsidRPr="004F4296">
        <w:rPr>
          <w:iCs/>
          <w:sz w:val="20"/>
          <w:szCs w:val="20"/>
          <w:vertAlign w:val="superscript"/>
        </w:rPr>
        <w:t>3</w:t>
      </w:r>
      <w:r w:rsidRPr="004F4296">
        <w:rPr>
          <w:iCs/>
          <w:sz w:val="20"/>
          <w:szCs w:val="20"/>
        </w:rPr>
        <w:t>.</w:t>
      </w:r>
    </w:p>
    <w:bookmarkEnd w:id="1"/>
    <w:p w14:paraId="5FEDC9D1" w14:textId="77777777" w:rsidR="0015516E" w:rsidRPr="004F4296" w:rsidRDefault="0015516E" w:rsidP="0015516E">
      <w:pPr>
        <w:spacing w:line="480" w:lineRule="auto"/>
        <w:rPr>
          <w:b/>
          <w:bCs/>
          <w:sz w:val="20"/>
          <w:szCs w:val="20"/>
        </w:rPr>
      </w:pPr>
    </w:p>
    <w:p w14:paraId="626CD5CF" w14:textId="77777777" w:rsidR="0015516E" w:rsidRPr="004F4296" w:rsidRDefault="00000000" w:rsidP="0015516E">
      <w:pPr>
        <w:spacing w:line="480" w:lineRule="auto"/>
        <w:rPr>
          <w:sz w:val="20"/>
          <w:szCs w:val="20"/>
        </w:rPr>
      </w:pPr>
      <w:r w:rsidRPr="004F4296">
        <w:rPr>
          <w:b/>
          <w:bCs/>
          <w:sz w:val="20"/>
          <w:szCs w:val="20"/>
        </w:rPr>
        <w:t>Corresponding author</w:t>
      </w:r>
      <w:r w:rsidRPr="004F4296">
        <w:rPr>
          <w:sz w:val="20"/>
          <w:szCs w:val="20"/>
        </w:rPr>
        <w:t xml:space="preserve">: </w:t>
      </w:r>
    </w:p>
    <w:p w14:paraId="0453485C" w14:textId="77777777" w:rsidR="0015516E" w:rsidRPr="004F4296" w:rsidRDefault="00000000" w:rsidP="0015516E">
      <w:pPr>
        <w:spacing w:line="480" w:lineRule="auto"/>
        <w:rPr>
          <w:iCs/>
          <w:sz w:val="20"/>
          <w:szCs w:val="20"/>
        </w:rPr>
      </w:pPr>
      <w:r w:rsidRPr="004F4296">
        <w:rPr>
          <w:iCs/>
          <w:sz w:val="20"/>
          <w:szCs w:val="20"/>
        </w:rPr>
        <w:t xml:space="preserve">Department of General Surgery, Sapporo Higashi Tokushukai Hospital, 3-1, North 33 East </w:t>
      </w:r>
    </w:p>
    <w:p w14:paraId="0A0BA2F4" w14:textId="29DA5323" w:rsidR="0015516E" w:rsidRPr="004F4296" w:rsidRDefault="00DD3817" w:rsidP="0015516E">
      <w:pPr>
        <w:spacing w:line="480" w:lineRule="auto"/>
        <w:rPr>
          <w:iCs/>
          <w:sz w:val="20"/>
          <w:szCs w:val="20"/>
        </w:rPr>
      </w:pPr>
      <w:r w:rsidRPr="004F4296">
        <w:rPr>
          <w:iCs/>
          <w:sz w:val="20"/>
          <w:szCs w:val="20"/>
        </w:rPr>
        <w:t>14, East district, Sapporo city, Hokkaido prefecture, 065-0033, Japan</w:t>
      </w:r>
    </w:p>
    <w:p w14:paraId="7B772096" w14:textId="5B4A11E0" w:rsidR="0015516E" w:rsidRPr="004F4296" w:rsidRDefault="00000000" w:rsidP="0015516E">
      <w:pPr>
        <w:spacing w:line="480" w:lineRule="auto"/>
        <w:rPr>
          <w:sz w:val="20"/>
          <w:szCs w:val="20"/>
        </w:rPr>
      </w:pPr>
      <w:r w:rsidRPr="004F4296">
        <w:rPr>
          <w:sz w:val="20"/>
          <w:szCs w:val="20"/>
        </w:rPr>
        <w:t xml:space="preserve">E-mail: </w:t>
      </w:r>
      <w:hyperlink r:id="rId6" w:history="1">
        <w:r w:rsidR="004F4296" w:rsidRPr="00E83BB1">
          <w:rPr>
            <w:rStyle w:val="Hyperlink"/>
            <w:sz w:val="20"/>
            <w:szCs w:val="20"/>
          </w:rPr>
          <w:t>tohashi.75@gmail.com</w:t>
        </w:r>
      </w:hyperlink>
    </w:p>
    <w:p w14:paraId="5CCD93D7" w14:textId="77777777" w:rsidR="002C6267" w:rsidRPr="004F4296" w:rsidRDefault="00000000">
      <w:pPr>
        <w:spacing w:after="160" w:line="259" w:lineRule="auto"/>
        <w:rPr>
          <w:color w:val="FF0000"/>
          <w:sz w:val="20"/>
          <w:szCs w:val="20"/>
        </w:rPr>
      </w:pPr>
      <w:r w:rsidRPr="004F4296">
        <w:rPr>
          <w:color w:val="FF0000"/>
          <w:sz w:val="20"/>
          <w:szCs w:val="20"/>
        </w:rPr>
        <w:br w:type="page"/>
      </w:r>
    </w:p>
    <w:p w14:paraId="04214872" w14:textId="6666C7F0" w:rsidR="00DD3817" w:rsidRPr="004F4296" w:rsidRDefault="00811F15" w:rsidP="00811F15">
      <w:pPr>
        <w:spacing w:line="480" w:lineRule="auto"/>
        <w:rPr>
          <w:sz w:val="20"/>
          <w:szCs w:val="20"/>
        </w:rPr>
      </w:pPr>
      <w:r w:rsidRPr="004F4296">
        <w:rPr>
          <w:sz w:val="20"/>
          <w:szCs w:val="20"/>
        </w:rPr>
        <w:lastRenderedPageBreak/>
        <w:t>Supplementary Fig</w:t>
      </w:r>
      <w:r w:rsidR="00DD3817" w:rsidRPr="004F4296">
        <w:rPr>
          <w:sz w:val="20"/>
          <w:szCs w:val="20"/>
        </w:rPr>
        <w:t>.</w:t>
      </w:r>
      <w:r w:rsidRPr="004F4296">
        <w:rPr>
          <w:sz w:val="20"/>
          <w:szCs w:val="20"/>
        </w:rPr>
        <w:t xml:space="preserve"> 1</w:t>
      </w:r>
    </w:p>
    <w:p w14:paraId="52F6A85A" w14:textId="16924301" w:rsidR="00B0397C" w:rsidRPr="004F4296" w:rsidRDefault="00000000" w:rsidP="00811F15">
      <w:pPr>
        <w:spacing w:line="480" w:lineRule="auto"/>
        <w:rPr>
          <w:b/>
          <w:bCs/>
          <w:sz w:val="20"/>
          <w:szCs w:val="20"/>
        </w:rPr>
      </w:pPr>
      <w:r w:rsidRPr="004F4296">
        <w:rPr>
          <w:sz w:val="20"/>
          <w:szCs w:val="20"/>
        </w:rPr>
        <w:t>A droplet digital polymerase chain reaction</w:t>
      </w:r>
      <w:r w:rsidRPr="004F4296">
        <w:rPr>
          <w:rFonts w:hint="eastAsia"/>
          <w:sz w:val="20"/>
          <w:szCs w:val="20"/>
        </w:rPr>
        <w:t xml:space="preserve"> </w:t>
      </w:r>
      <w:r w:rsidRPr="004F4296">
        <w:rPr>
          <w:sz w:val="20"/>
          <w:szCs w:val="20"/>
        </w:rPr>
        <w:t xml:space="preserve">assay for copy number variation was performed to determine the relative increase in fibroblast growth factor 2 (FGFR2) compared to </w:t>
      </w:r>
      <w:r w:rsidRPr="004F4296">
        <w:rPr>
          <w:rFonts w:eastAsia="Yu Gothic"/>
          <w:sz w:val="20"/>
          <w:szCs w:val="20"/>
        </w:rPr>
        <w:t>the internal reference gene</w:t>
      </w:r>
      <w:r w:rsidRPr="004F4296">
        <w:rPr>
          <w:sz w:val="20"/>
          <w:szCs w:val="20"/>
        </w:rPr>
        <w:t>, Eukaryotic Translation Initiation Factor 2C1 (elF2C1). Genes from the normal gastric mucosa (a, e) and tumor cells in pre-chemotherapeutic biopsy (b, f), post-chemotherapeutic biopsy (c), and resected specimen</w:t>
      </w:r>
      <w:r w:rsidRPr="004F4296">
        <w:rPr>
          <w:rFonts w:eastAsia="Yu Gothic"/>
          <w:sz w:val="20"/>
          <w:szCs w:val="20"/>
        </w:rPr>
        <w:t>s (d, g, h) were obtained from cases 1 and 2, respectively.</w:t>
      </w:r>
      <w:r w:rsidRPr="004F4296">
        <w:rPr>
          <w:b/>
          <w:bCs/>
          <w:sz w:val="20"/>
          <w:szCs w:val="20"/>
        </w:rPr>
        <w:t xml:space="preserve"> </w:t>
      </w:r>
      <w:r w:rsidRPr="004F4296">
        <w:rPr>
          <w:sz w:val="20"/>
          <w:szCs w:val="20"/>
        </w:rPr>
        <w:t xml:space="preserve">The concentration and copy number of </w:t>
      </w:r>
      <w:r w:rsidRPr="004F4296">
        <w:rPr>
          <w:rFonts w:eastAsia="Yu Gothic"/>
          <w:sz w:val="20"/>
          <w:szCs w:val="20"/>
        </w:rPr>
        <w:t xml:space="preserve">the FGFR2 gene in the tumor cells were </w:t>
      </w:r>
      <w:proofErr w:type="gramStart"/>
      <w:r w:rsidRPr="004F4296">
        <w:rPr>
          <w:rFonts w:eastAsia="Yu Gothic"/>
          <w:sz w:val="20"/>
          <w:szCs w:val="20"/>
        </w:rPr>
        <w:t>similar to</w:t>
      </w:r>
      <w:proofErr w:type="gramEnd"/>
      <w:r w:rsidRPr="004F4296">
        <w:rPr>
          <w:rFonts w:eastAsia="Yu Gothic"/>
          <w:sz w:val="20"/>
          <w:szCs w:val="20"/>
        </w:rPr>
        <w:t xml:space="preserve"> those in the normal tissues (a, e) compared to the elF2C1 gene. This indicates no amplification of the FGFR2 gene in the tumor cells of the biopsy (b, c, f) and surgical resection specimens (d, g, h) from the two patients.</w:t>
      </w:r>
    </w:p>
    <w:p w14:paraId="0442C7E5" w14:textId="77777777" w:rsidR="00AA1C59" w:rsidRPr="004F4296" w:rsidRDefault="00AA1C59">
      <w:pPr>
        <w:rPr>
          <w:sz w:val="20"/>
          <w:szCs w:val="20"/>
        </w:rPr>
      </w:pPr>
    </w:p>
    <w:sectPr w:rsidR="00AA1C59" w:rsidRPr="004F42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11892" w14:textId="77777777" w:rsidR="00374741" w:rsidRDefault="00374741">
      <w:r>
        <w:separator/>
      </w:r>
    </w:p>
  </w:endnote>
  <w:endnote w:type="continuationSeparator" w:id="0">
    <w:p w14:paraId="4A2C54D5" w14:textId="77777777" w:rsidR="00374741" w:rsidRDefault="0037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75346" w14:textId="77777777" w:rsidR="00374741" w:rsidRDefault="00374741" w:rsidP="002C6267">
      <w:r>
        <w:separator/>
      </w:r>
    </w:p>
  </w:footnote>
  <w:footnote w:type="continuationSeparator" w:id="0">
    <w:p w14:paraId="5939B1A4" w14:textId="77777777" w:rsidR="00374741" w:rsidRDefault="00374741" w:rsidP="002C62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97C"/>
    <w:rsid w:val="000C2470"/>
    <w:rsid w:val="000E62C7"/>
    <w:rsid w:val="00114075"/>
    <w:rsid w:val="00142FBE"/>
    <w:rsid w:val="0015516E"/>
    <w:rsid w:val="00251347"/>
    <w:rsid w:val="002B7A68"/>
    <w:rsid w:val="002C6267"/>
    <w:rsid w:val="002E5854"/>
    <w:rsid w:val="00316C48"/>
    <w:rsid w:val="00335F88"/>
    <w:rsid w:val="00363C72"/>
    <w:rsid w:val="00374741"/>
    <w:rsid w:val="00475E85"/>
    <w:rsid w:val="004F4296"/>
    <w:rsid w:val="004F7E40"/>
    <w:rsid w:val="00743E66"/>
    <w:rsid w:val="007824A5"/>
    <w:rsid w:val="00785721"/>
    <w:rsid w:val="007A3F98"/>
    <w:rsid w:val="007E497A"/>
    <w:rsid w:val="00811F15"/>
    <w:rsid w:val="009F4330"/>
    <w:rsid w:val="00AA1C59"/>
    <w:rsid w:val="00B0397C"/>
    <w:rsid w:val="00B5004B"/>
    <w:rsid w:val="00BC6401"/>
    <w:rsid w:val="00D407F3"/>
    <w:rsid w:val="00D6641C"/>
    <w:rsid w:val="00DD3817"/>
    <w:rsid w:val="00F24525"/>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4:docId w14:val="519CB9C4"/>
  <w15:chartTrackingRefBased/>
  <w15:docId w15:val="{34A75972-1020-4B87-B544-3D56DDAD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97C"/>
    <w:pPr>
      <w:spacing w:after="0" w:line="240" w:lineRule="auto"/>
    </w:pPr>
    <w:rPr>
      <w:rFonts w:ascii="Times New Roman" w:eastAsiaTheme="minorEastAsia" w:hAnsi="Times New Roman" w:cs="Times New Roman"/>
      <w:sz w:val="24"/>
      <w:szCs w:val="24"/>
      <w:lang w:eastAsia="ja-JP" w:bidi="ar-SA"/>
    </w:rPr>
  </w:style>
  <w:style w:type="paragraph" w:styleId="Heading1">
    <w:name w:val="heading 1"/>
    <w:basedOn w:val="Normal"/>
    <w:next w:val="Normal"/>
    <w:link w:val="Heading1Char"/>
    <w:uiPriority w:val="9"/>
    <w:qFormat/>
    <w:rsid w:val="00B039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39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39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39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39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39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9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9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9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9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39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39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39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39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39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9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9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97C"/>
    <w:rPr>
      <w:rFonts w:eastAsiaTheme="majorEastAsia" w:cstheme="majorBidi"/>
      <w:color w:val="272727" w:themeColor="text1" w:themeTint="D8"/>
    </w:rPr>
  </w:style>
  <w:style w:type="paragraph" w:styleId="Title">
    <w:name w:val="Title"/>
    <w:basedOn w:val="Normal"/>
    <w:next w:val="Normal"/>
    <w:link w:val="TitleChar"/>
    <w:uiPriority w:val="10"/>
    <w:qFormat/>
    <w:rsid w:val="00B039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9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9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97C"/>
    <w:pPr>
      <w:spacing w:before="160"/>
      <w:jc w:val="center"/>
    </w:pPr>
    <w:rPr>
      <w:i/>
      <w:iCs/>
      <w:color w:val="404040" w:themeColor="text1" w:themeTint="BF"/>
    </w:rPr>
  </w:style>
  <w:style w:type="character" w:customStyle="1" w:styleId="QuoteChar">
    <w:name w:val="Quote Char"/>
    <w:basedOn w:val="DefaultParagraphFont"/>
    <w:link w:val="Quote"/>
    <w:uiPriority w:val="29"/>
    <w:rsid w:val="00B0397C"/>
    <w:rPr>
      <w:i/>
      <w:iCs/>
      <w:color w:val="404040" w:themeColor="text1" w:themeTint="BF"/>
    </w:rPr>
  </w:style>
  <w:style w:type="paragraph" w:styleId="ListParagraph">
    <w:name w:val="List Paragraph"/>
    <w:basedOn w:val="Normal"/>
    <w:uiPriority w:val="34"/>
    <w:qFormat/>
    <w:rsid w:val="00B0397C"/>
    <w:pPr>
      <w:ind w:left="720"/>
      <w:contextualSpacing/>
    </w:pPr>
  </w:style>
  <w:style w:type="character" w:styleId="IntenseEmphasis">
    <w:name w:val="Intense Emphasis"/>
    <w:basedOn w:val="DefaultParagraphFont"/>
    <w:uiPriority w:val="21"/>
    <w:qFormat/>
    <w:rsid w:val="00B0397C"/>
    <w:rPr>
      <w:i/>
      <w:iCs/>
      <w:color w:val="2F5496" w:themeColor="accent1" w:themeShade="BF"/>
    </w:rPr>
  </w:style>
  <w:style w:type="paragraph" w:styleId="IntenseQuote">
    <w:name w:val="Intense Quote"/>
    <w:basedOn w:val="Normal"/>
    <w:next w:val="Normal"/>
    <w:link w:val="IntenseQuoteChar"/>
    <w:uiPriority w:val="30"/>
    <w:qFormat/>
    <w:rsid w:val="00B039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397C"/>
    <w:rPr>
      <w:i/>
      <w:iCs/>
      <w:color w:val="2F5496" w:themeColor="accent1" w:themeShade="BF"/>
    </w:rPr>
  </w:style>
  <w:style w:type="character" w:styleId="IntenseReference">
    <w:name w:val="Intense Reference"/>
    <w:basedOn w:val="DefaultParagraphFont"/>
    <w:uiPriority w:val="32"/>
    <w:qFormat/>
    <w:rsid w:val="00B0397C"/>
    <w:rPr>
      <w:b/>
      <w:bCs/>
      <w:smallCaps/>
      <w:color w:val="2F5496" w:themeColor="accent1" w:themeShade="BF"/>
      <w:spacing w:val="5"/>
    </w:rPr>
  </w:style>
  <w:style w:type="character" w:styleId="CommentReference">
    <w:name w:val="annotation reference"/>
    <w:basedOn w:val="DefaultParagraphFont"/>
    <w:uiPriority w:val="99"/>
    <w:rsid w:val="00B0397C"/>
    <w:rPr>
      <w:sz w:val="16"/>
      <w:szCs w:val="16"/>
    </w:rPr>
  </w:style>
  <w:style w:type="paragraph" w:styleId="CommentText">
    <w:name w:val="annotation text"/>
    <w:aliases w:val="Char11,字元"/>
    <w:basedOn w:val="Normal"/>
    <w:link w:val="CommentTextChar"/>
    <w:uiPriority w:val="99"/>
    <w:unhideWhenUsed/>
    <w:qFormat/>
    <w:rsid w:val="00B0397C"/>
    <w:rPr>
      <w:sz w:val="20"/>
      <w:szCs w:val="20"/>
    </w:rPr>
  </w:style>
  <w:style w:type="character" w:customStyle="1" w:styleId="CommentTextChar">
    <w:name w:val="Comment Text Char"/>
    <w:aliases w:val="Char11 Char,字元 Char"/>
    <w:basedOn w:val="DefaultParagraphFont"/>
    <w:link w:val="CommentText"/>
    <w:uiPriority w:val="99"/>
    <w:qFormat/>
    <w:rsid w:val="00B0397C"/>
    <w:rPr>
      <w:rFonts w:ascii="Times New Roman" w:eastAsiaTheme="minorEastAsia" w:hAnsi="Times New Roman" w:cs="Times New Roman"/>
      <w:sz w:val="20"/>
      <w:szCs w:val="20"/>
      <w:lang w:eastAsia="ja-JP" w:bidi="ar-SA"/>
    </w:rPr>
  </w:style>
  <w:style w:type="paragraph" w:styleId="CommentSubject">
    <w:name w:val="annotation subject"/>
    <w:basedOn w:val="CommentText"/>
    <w:next w:val="CommentText"/>
    <w:link w:val="CommentSubjectChar"/>
    <w:uiPriority w:val="99"/>
    <w:semiHidden/>
    <w:unhideWhenUsed/>
    <w:rsid w:val="00251347"/>
    <w:rPr>
      <w:b/>
      <w:bCs/>
    </w:rPr>
  </w:style>
  <w:style w:type="character" w:customStyle="1" w:styleId="CommentSubjectChar">
    <w:name w:val="Comment Subject Char"/>
    <w:basedOn w:val="CommentTextChar"/>
    <w:link w:val="CommentSubject"/>
    <w:uiPriority w:val="99"/>
    <w:semiHidden/>
    <w:rsid w:val="00251347"/>
    <w:rPr>
      <w:rFonts w:ascii="Times New Roman" w:eastAsiaTheme="minorEastAsia" w:hAnsi="Times New Roman" w:cs="Times New Roman"/>
      <w:b/>
      <w:bCs/>
      <w:sz w:val="20"/>
      <w:szCs w:val="20"/>
      <w:lang w:eastAsia="ja-JP" w:bidi="ar-SA"/>
    </w:rPr>
  </w:style>
  <w:style w:type="character" w:styleId="Hyperlink">
    <w:name w:val="Hyperlink"/>
    <w:basedOn w:val="DefaultParagraphFont"/>
    <w:uiPriority w:val="99"/>
    <w:unhideWhenUsed/>
    <w:rsid w:val="002C6267"/>
    <w:rPr>
      <w:color w:val="0563C1" w:themeColor="hyperlink"/>
      <w:u w:val="single"/>
    </w:rPr>
  </w:style>
  <w:style w:type="paragraph" w:styleId="FootnoteText">
    <w:name w:val="footnote text"/>
    <w:basedOn w:val="Normal"/>
    <w:link w:val="FootnoteTextChar"/>
    <w:uiPriority w:val="99"/>
    <w:semiHidden/>
    <w:unhideWhenUsed/>
    <w:rsid w:val="002C6267"/>
    <w:rPr>
      <w:sz w:val="20"/>
      <w:szCs w:val="20"/>
    </w:rPr>
  </w:style>
  <w:style w:type="character" w:customStyle="1" w:styleId="FootnoteTextChar">
    <w:name w:val="Footnote Text Char"/>
    <w:basedOn w:val="DefaultParagraphFont"/>
    <w:link w:val="FootnoteText"/>
    <w:uiPriority w:val="99"/>
    <w:semiHidden/>
    <w:rsid w:val="002C6267"/>
    <w:rPr>
      <w:rFonts w:ascii="Times New Roman" w:eastAsiaTheme="minorEastAsia" w:hAnsi="Times New Roman" w:cs="Times New Roman"/>
      <w:sz w:val="20"/>
      <w:szCs w:val="20"/>
      <w:lang w:eastAsia="ja-JP" w:bidi="ar-SA"/>
    </w:rPr>
  </w:style>
  <w:style w:type="character" w:styleId="FootnoteReference">
    <w:name w:val="footnote reference"/>
    <w:basedOn w:val="DefaultParagraphFont"/>
    <w:uiPriority w:val="99"/>
    <w:semiHidden/>
    <w:unhideWhenUsed/>
    <w:rsid w:val="002C6267"/>
    <w:rPr>
      <w:vertAlign w:val="superscript"/>
    </w:rPr>
  </w:style>
  <w:style w:type="paragraph" w:styleId="Revision">
    <w:name w:val="Revision"/>
    <w:hidden/>
    <w:uiPriority w:val="99"/>
    <w:semiHidden/>
    <w:rsid w:val="002C6267"/>
    <w:pPr>
      <w:spacing w:after="0" w:line="240" w:lineRule="auto"/>
    </w:pPr>
    <w:rPr>
      <w:rFonts w:ascii="Times New Roman" w:eastAsiaTheme="minorEastAsia" w:hAnsi="Times New Roman" w:cs="Times New Roman"/>
      <w:sz w:val="24"/>
      <w:szCs w:val="24"/>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hashi.75@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241</Words>
  <Characters>1376</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徹 高橋</cp:lastModifiedBy>
  <cp:revision>11</cp:revision>
  <dcterms:created xsi:type="dcterms:W3CDTF">2024-09-09T02:54:00Z</dcterms:created>
  <dcterms:modified xsi:type="dcterms:W3CDTF">2024-10-11T06:11:00Z</dcterms:modified>
</cp:coreProperties>
</file>