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A0C09" w:rsidRPr="00A62CC9" w:rsidRDefault="00A62CC9" w:rsidP="00AA0C09">
      <w:pPr>
        <w:pStyle w:val="a3"/>
        <w:rPr>
          <w:rFonts w:ascii="TimesNewRomanPS" w:hAnsi="TimesNewRomanPS"/>
          <w:b/>
          <w:bCs/>
        </w:rPr>
      </w:pPr>
      <w:r w:rsidRPr="00A62CC9">
        <w:rPr>
          <w:rFonts w:ascii="TimesNewRomanPS" w:hAnsi="TimesNewRomanPS" w:hint="eastAsia"/>
          <w:b/>
          <w:bCs/>
        </w:rPr>
        <w:t>T</w:t>
      </w:r>
      <w:r w:rsidRPr="00A62CC9">
        <w:rPr>
          <w:rFonts w:ascii="TimesNewRomanPS" w:hAnsi="TimesNewRomanPS"/>
          <w:b/>
          <w:bCs/>
        </w:rPr>
        <w:t xml:space="preserve">able S1. </w:t>
      </w:r>
      <w:r w:rsidRPr="00A62CC9">
        <w:rPr>
          <w:rFonts w:ascii="TimesNewRomanPS" w:hAnsi="TimesNewRomanPS"/>
          <w:b/>
          <w:bCs/>
        </w:rPr>
        <w:t xml:space="preserve">GO terms and enrichment analysis of </w:t>
      </w:r>
      <w:r w:rsidRPr="00A62CC9">
        <w:rPr>
          <w:rFonts w:ascii="TimesNewRomanPS" w:hAnsi="TimesNewRomanPS" w:hint="eastAsia"/>
          <w:b/>
          <w:bCs/>
        </w:rPr>
        <w:t>gen</w:t>
      </w:r>
      <w:r w:rsidRPr="00A62CC9">
        <w:rPr>
          <w:rFonts w:ascii="TimesNewRomanPS" w:hAnsi="TimesNewRomanPS"/>
          <w:b/>
          <w:bCs/>
        </w:rPr>
        <w:t>e</w:t>
      </w:r>
      <w:r w:rsidRPr="00A62CC9">
        <w:rPr>
          <w:rFonts w:ascii="TimesNewRomanPS" w:hAnsi="TimesNewRomanPS"/>
          <w:b/>
          <w:bCs/>
        </w:rPr>
        <w:t>s.</w:t>
      </w:r>
    </w:p>
    <w:tbl>
      <w:tblPr>
        <w:tblStyle w:val="a4"/>
        <w:tblW w:w="6669" w:type="pct"/>
        <w:tblInd w:w="-1423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2"/>
        <w:gridCol w:w="3123"/>
        <w:gridCol w:w="851"/>
        <w:gridCol w:w="994"/>
        <w:gridCol w:w="1136"/>
        <w:gridCol w:w="3405"/>
      </w:tblGrid>
      <w:tr w:rsidR="00A62CC9" w:rsidRPr="00A62CC9" w:rsidTr="00A62CC9">
        <w:trPr>
          <w:trHeight w:val="320"/>
        </w:trPr>
        <w:tc>
          <w:tcPr>
            <w:tcW w:w="705" w:type="pct"/>
            <w:tcBorders>
              <w:top w:val="single" w:sz="12" w:space="0" w:color="auto"/>
              <w:bottom w:val="single" w:sz="8" w:space="0" w:color="auto"/>
            </w:tcBorders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GO ID</w:t>
            </w:r>
          </w:p>
        </w:tc>
        <w:tc>
          <w:tcPr>
            <w:tcW w:w="1410" w:type="pct"/>
            <w:tcBorders>
              <w:top w:val="single" w:sz="12" w:space="0" w:color="auto"/>
              <w:bottom w:val="single" w:sz="8" w:space="0" w:color="auto"/>
            </w:tcBorders>
            <w:noWrap/>
            <w:hideMark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Term</w:t>
            </w:r>
          </w:p>
        </w:tc>
        <w:tc>
          <w:tcPr>
            <w:tcW w:w="384" w:type="pct"/>
            <w:tcBorders>
              <w:top w:val="single" w:sz="12" w:space="0" w:color="auto"/>
              <w:bottom w:val="single" w:sz="8" w:space="0" w:color="auto"/>
            </w:tcBorders>
            <w:noWrap/>
            <w:hideMark/>
          </w:tcPr>
          <w:p w:rsidR="00A62CC9" w:rsidRPr="00A62CC9" w:rsidRDefault="00A62CC9" w:rsidP="0085642E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Count</w:t>
            </w:r>
          </w:p>
        </w:tc>
        <w:tc>
          <w:tcPr>
            <w:tcW w:w="449" w:type="pct"/>
            <w:tcBorders>
              <w:top w:val="single" w:sz="12" w:space="0" w:color="auto"/>
              <w:bottom w:val="single" w:sz="8" w:space="0" w:color="auto"/>
            </w:tcBorders>
            <w:noWrap/>
            <w:hideMark/>
          </w:tcPr>
          <w:p w:rsidR="00A62CC9" w:rsidRPr="00A62CC9" w:rsidRDefault="00A62CC9" w:rsidP="0085642E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strength</w:t>
            </w:r>
          </w:p>
        </w:tc>
        <w:tc>
          <w:tcPr>
            <w:tcW w:w="513" w:type="pct"/>
            <w:tcBorders>
              <w:top w:val="single" w:sz="12" w:space="0" w:color="auto"/>
              <w:bottom w:val="single" w:sz="8" w:space="0" w:color="auto"/>
            </w:tcBorders>
            <w:noWrap/>
            <w:hideMark/>
          </w:tcPr>
          <w:p w:rsidR="00A62CC9" w:rsidRPr="00A62CC9" w:rsidRDefault="00A62CC9" w:rsidP="0085642E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 xml:space="preserve"> v</w:t>
            </w: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alue</w:t>
            </w:r>
          </w:p>
        </w:tc>
        <w:tc>
          <w:tcPr>
            <w:tcW w:w="1538" w:type="pct"/>
            <w:tcBorders>
              <w:top w:val="single" w:sz="12" w:space="0" w:color="auto"/>
              <w:bottom w:val="single" w:sz="8" w:space="0" w:color="auto"/>
            </w:tcBorders>
            <w:noWrap/>
            <w:hideMark/>
          </w:tcPr>
          <w:p w:rsidR="00A62CC9" w:rsidRPr="00A62CC9" w:rsidRDefault="00A62CC9" w:rsidP="0085642E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 xml:space="preserve">matching proteins </w:t>
            </w:r>
          </w:p>
        </w:tc>
      </w:tr>
      <w:tr w:rsidR="00A62CC9" w:rsidRPr="00A62CC9" w:rsidTr="00A62CC9">
        <w:trPr>
          <w:trHeight w:val="320"/>
        </w:trPr>
        <w:tc>
          <w:tcPr>
            <w:tcW w:w="705" w:type="pct"/>
            <w:tcBorders>
              <w:top w:val="single" w:sz="8" w:space="0" w:color="auto"/>
            </w:tcBorders>
          </w:tcPr>
          <w:p w:rsidR="00A62CC9" w:rsidRPr="00A62CC9" w:rsidRDefault="00A62CC9" w:rsidP="0085642E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1410" w:type="pct"/>
            <w:tcBorders>
              <w:top w:val="single" w:sz="8" w:space="0" w:color="auto"/>
            </w:tcBorders>
            <w:noWrap/>
          </w:tcPr>
          <w:p w:rsidR="00A62CC9" w:rsidRPr="00A62CC9" w:rsidRDefault="00A62CC9" w:rsidP="0085642E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4" w:type="pct"/>
            <w:tcBorders>
              <w:top w:val="single" w:sz="8" w:space="0" w:color="auto"/>
            </w:tcBorders>
            <w:noWrap/>
          </w:tcPr>
          <w:p w:rsidR="00A62CC9" w:rsidRPr="00A62CC9" w:rsidRDefault="00A62CC9" w:rsidP="0085642E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9" w:type="pct"/>
            <w:tcBorders>
              <w:top w:val="single" w:sz="8" w:space="0" w:color="auto"/>
            </w:tcBorders>
            <w:noWrap/>
          </w:tcPr>
          <w:p w:rsidR="00A62CC9" w:rsidRPr="00A62CC9" w:rsidRDefault="00A62CC9" w:rsidP="0085642E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3" w:type="pct"/>
            <w:tcBorders>
              <w:top w:val="single" w:sz="8" w:space="0" w:color="auto"/>
            </w:tcBorders>
            <w:noWrap/>
          </w:tcPr>
          <w:p w:rsidR="00A62CC9" w:rsidRPr="00A62CC9" w:rsidRDefault="00A62CC9" w:rsidP="0085642E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8" w:type="pct"/>
            <w:tcBorders>
              <w:top w:val="single" w:sz="8" w:space="0" w:color="auto"/>
            </w:tcBorders>
            <w:noWrap/>
          </w:tcPr>
          <w:p w:rsidR="00A62CC9" w:rsidRPr="00A62CC9" w:rsidRDefault="00A62CC9" w:rsidP="0085642E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62CC9" w:rsidRPr="00A62CC9" w:rsidTr="00A62CC9">
        <w:trPr>
          <w:trHeight w:val="320"/>
        </w:trPr>
        <w:tc>
          <w:tcPr>
            <w:tcW w:w="705" w:type="pct"/>
            <w:tcBorders>
              <w:bottom w:val="nil"/>
            </w:tcBorders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GO:0016477</w:t>
            </w:r>
          </w:p>
        </w:tc>
        <w:tc>
          <w:tcPr>
            <w:tcW w:w="1410" w:type="pct"/>
            <w:tcBorders>
              <w:bottom w:val="nil"/>
            </w:tcBorders>
            <w:noWrap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Cell migration</w:t>
            </w:r>
          </w:p>
        </w:tc>
        <w:tc>
          <w:tcPr>
            <w:tcW w:w="384" w:type="pct"/>
            <w:tcBorders>
              <w:bottom w:val="nil"/>
            </w:tcBorders>
            <w:noWrap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49" w:type="pct"/>
            <w:tcBorders>
              <w:bottom w:val="nil"/>
            </w:tcBorders>
            <w:noWrap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1.14</w:t>
            </w:r>
          </w:p>
        </w:tc>
        <w:tc>
          <w:tcPr>
            <w:tcW w:w="513" w:type="pct"/>
            <w:tcBorders>
              <w:bottom w:val="nil"/>
            </w:tcBorders>
            <w:noWrap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0.0019</w:t>
            </w:r>
          </w:p>
        </w:tc>
        <w:tc>
          <w:tcPr>
            <w:tcW w:w="1538" w:type="pct"/>
            <w:tcBorders>
              <w:bottom w:val="nil"/>
            </w:tcBorders>
            <w:noWrap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GPC2,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SDC2,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SDC3,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GPC4,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SDC1,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GPC3,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MDK</w:t>
            </w:r>
          </w:p>
        </w:tc>
      </w:tr>
      <w:tr w:rsidR="00A62CC9" w:rsidRPr="00A62CC9" w:rsidTr="00A62CC9">
        <w:trPr>
          <w:trHeight w:val="320"/>
        </w:trPr>
        <w:tc>
          <w:tcPr>
            <w:tcW w:w="705" w:type="pct"/>
            <w:tcBorders>
              <w:top w:val="nil"/>
              <w:bottom w:val="single" w:sz="8" w:space="0" w:color="auto"/>
            </w:tcBorders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GO:0106091</w:t>
            </w:r>
          </w:p>
        </w:tc>
        <w:tc>
          <w:tcPr>
            <w:tcW w:w="1410" w:type="pct"/>
            <w:tcBorders>
              <w:top w:val="nil"/>
              <w:bottom w:val="single" w:sz="8" w:space="0" w:color="auto"/>
            </w:tcBorders>
            <w:noWrap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Glial cell projection elongation</w:t>
            </w:r>
          </w:p>
        </w:tc>
        <w:tc>
          <w:tcPr>
            <w:tcW w:w="384" w:type="pct"/>
            <w:tcBorders>
              <w:top w:val="nil"/>
              <w:bottom w:val="single" w:sz="8" w:space="0" w:color="auto"/>
            </w:tcBorders>
            <w:noWrap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9" w:type="pct"/>
            <w:tcBorders>
              <w:top w:val="nil"/>
              <w:bottom w:val="single" w:sz="8" w:space="0" w:color="auto"/>
            </w:tcBorders>
            <w:noWrap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3.08</w:t>
            </w:r>
          </w:p>
        </w:tc>
        <w:tc>
          <w:tcPr>
            <w:tcW w:w="513" w:type="pct"/>
            <w:tcBorders>
              <w:top w:val="nil"/>
              <w:bottom w:val="single" w:sz="8" w:space="0" w:color="auto"/>
            </w:tcBorders>
            <w:noWrap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0.0148</w:t>
            </w:r>
          </w:p>
        </w:tc>
        <w:tc>
          <w:tcPr>
            <w:tcW w:w="1538" w:type="pct"/>
            <w:tcBorders>
              <w:top w:val="nil"/>
              <w:bottom w:val="single" w:sz="8" w:space="0" w:color="auto"/>
            </w:tcBorders>
            <w:noWrap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CSPG5,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MDK</w:t>
            </w:r>
          </w:p>
        </w:tc>
      </w:tr>
      <w:tr w:rsidR="00A62CC9" w:rsidRPr="00A62CC9" w:rsidTr="00A62CC9">
        <w:trPr>
          <w:trHeight w:val="320"/>
        </w:trPr>
        <w:tc>
          <w:tcPr>
            <w:tcW w:w="705" w:type="pct"/>
            <w:tcBorders>
              <w:top w:val="single" w:sz="8" w:space="0" w:color="auto"/>
            </w:tcBorders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CC</w:t>
            </w:r>
          </w:p>
        </w:tc>
        <w:tc>
          <w:tcPr>
            <w:tcW w:w="1410" w:type="pct"/>
            <w:tcBorders>
              <w:top w:val="single" w:sz="8" w:space="0" w:color="auto"/>
            </w:tcBorders>
            <w:noWrap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4" w:type="pct"/>
            <w:tcBorders>
              <w:top w:val="single" w:sz="8" w:space="0" w:color="auto"/>
            </w:tcBorders>
            <w:noWrap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9" w:type="pct"/>
            <w:tcBorders>
              <w:top w:val="single" w:sz="8" w:space="0" w:color="auto"/>
            </w:tcBorders>
            <w:noWrap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3" w:type="pct"/>
            <w:tcBorders>
              <w:top w:val="single" w:sz="8" w:space="0" w:color="auto"/>
            </w:tcBorders>
            <w:noWrap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8" w:type="pct"/>
            <w:tcBorders>
              <w:top w:val="single" w:sz="8" w:space="0" w:color="auto"/>
            </w:tcBorders>
            <w:noWrap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62CC9" w:rsidRPr="00A62CC9" w:rsidTr="00A62CC9">
        <w:trPr>
          <w:trHeight w:val="320"/>
        </w:trPr>
        <w:tc>
          <w:tcPr>
            <w:tcW w:w="705" w:type="pct"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GO:0005796</w:t>
            </w:r>
          </w:p>
        </w:tc>
        <w:tc>
          <w:tcPr>
            <w:tcW w:w="1410" w:type="pct"/>
            <w:noWrap/>
            <w:hideMark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Golgi lumen</w:t>
            </w:r>
          </w:p>
        </w:tc>
        <w:tc>
          <w:tcPr>
            <w:tcW w:w="384" w:type="pct"/>
            <w:noWrap/>
            <w:hideMark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49" w:type="pct"/>
            <w:noWrap/>
            <w:hideMark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2.07</w:t>
            </w:r>
          </w:p>
        </w:tc>
        <w:tc>
          <w:tcPr>
            <w:tcW w:w="513" w:type="pct"/>
            <w:noWrap/>
            <w:hideMark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6.16E-11</w:t>
            </w:r>
          </w:p>
        </w:tc>
        <w:tc>
          <w:tcPr>
            <w:tcW w:w="1538" w:type="pct"/>
            <w:noWrap/>
            <w:hideMark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GPC2,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SDC2,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SDC3,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GPC4,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SDC1,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CSPG5,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GPC3</w:t>
            </w:r>
          </w:p>
        </w:tc>
      </w:tr>
      <w:tr w:rsidR="00A62CC9" w:rsidRPr="00A62CC9" w:rsidTr="00A62CC9">
        <w:trPr>
          <w:trHeight w:val="320"/>
        </w:trPr>
        <w:tc>
          <w:tcPr>
            <w:tcW w:w="705" w:type="pct"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GO:0043202</w:t>
            </w:r>
          </w:p>
        </w:tc>
        <w:tc>
          <w:tcPr>
            <w:tcW w:w="1410" w:type="pct"/>
            <w:noWrap/>
            <w:hideMark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Lysosomal lumen</w:t>
            </w:r>
          </w:p>
        </w:tc>
        <w:tc>
          <w:tcPr>
            <w:tcW w:w="384" w:type="pct"/>
            <w:noWrap/>
            <w:hideMark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49" w:type="pct"/>
            <w:noWrap/>
            <w:hideMark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2.11</w:t>
            </w:r>
          </w:p>
        </w:tc>
        <w:tc>
          <w:tcPr>
            <w:tcW w:w="513" w:type="pct"/>
            <w:noWrap/>
            <w:hideMark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6.16E-11</w:t>
            </w:r>
          </w:p>
        </w:tc>
        <w:tc>
          <w:tcPr>
            <w:tcW w:w="1538" w:type="pct"/>
            <w:noWrap/>
            <w:hideMark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GPC2,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SDC2,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SDC3,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GPC4,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SDC1,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CSPG5,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GPC3</w:t>
            </w:r>
          </w:p>
        </w:tc>
      </w:tr>
      <w:tr w:rsidR="00A62CC9" w:rsidRPr="00A62CC9" w:rsidTr="00A62CC9">
        <w:trPr>
          <w:trHeight w:val="320"/>
        </w:trPr>
        <w:tc>
          <w:tcPr>
            <w:tcW w:w="705" w:type="pct"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GO:0009986</w:t>
            </w:r>
          </w:p>
        </w:tc>
        <w:tc>
          <w:tcPr>
            <w:tcW w:w="1410" w:type="pct"/>
            <w:noWrap/>
            <w:hideMark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Cell surface</w:t>
            </w:r>
          </w:p>
        </w:tc>
        <w:tc>
          <w:tcPr>
            <w:tcW w:w="384" w:type="pct"/>
            <w:noWrap/>
            <w:hideMark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49" w:type="pct"/>
            <w:noWrap/>
            <w:hideMark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513" w:type="pct"/>
            <w:noWrap/>
            <w:hideMark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1.39E-06</w:t>
            </w:r>
          </w:p>
        </w:tc>
        <w:tc>
          <w:tcPr>
            <w:tcW w:w="1538" w:type="pct"/>
            <w:noWrap/>
            <w:hideMark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GPC2,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SDC2,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SDC3,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GPC4,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SDC1,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CSPG5,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GPC3,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IGHV3-43D</w:t>
            </w:r>
          </w:p>
        </w:tc>
      </w:tr>
      <w:tr w:rsidR="00A62CC9" w:rsidRPr="00A62CC9" w:rsidTr="00A62CC9">
        <w:trPr>
          <w:trHeight w:val="320"/>
        </w:trPr>
        <w:tc>
          <w:tcPr>
            <w:tcW w:w="705" w:type="pct"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GO:0005794</w:t>
            </w:r>
          </w:p>
        </w:tc>
        <w:tc>
          <w:tcPr>
            <w:tcW w:w="1410" w:type="pct"/>
            <w:noWrap/>
            <w:hideMark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Golgi apparatus</w:t>
            </w:r>
          </w:p>
        </w:tc>
        <w:tc>
          <w:tcPr>
            <w:tcW w:w="384" w:type="pct"/>
            <w:noWrap/>
            <w:hideMark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49" w:type="pct"/>
            <w:noWrap/>
            <w:hideMark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513" w:type="pct"/>
            <w:noWrap/>
            <w:hideMark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4.00E-06</w:t>
            </w:r>
          </w:p>
        </w:tc>
        <w:tc>
          <w:tcPr>
            <w:tcW w:w="1538" w:type="pct"/>
            <w:noWrap/>
            <w:hideMark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GLCE,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GPC2,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NDST3,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SDC2,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SDC3,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GPC4,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SDC1,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CSPG5,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GPC3</w:t>
            </w:r>
          </w:p>
        </w:tc>
      </w:tr>
      <w:tr w:rsidR="00A62CC9" w:rsidRPr="00A62CC9" w:rsidTr="00A62CC9">
        <w:trPr>
          <w:trHeight w:val="320"/>
        </w:trPr>
        <w:tc>
          <w:tcPr>
            <w:tcW w:w="705" w:type="pct"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GO:0062023</w:t>
            </w:r>
          </w:p>
        </w:tc>
        <w:tc>
          <w:tcPr>
            <w:tcW w:w="1410" w:type="pct"/>
            <w:noWrap/>
            <w:hideMark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Collagen-containing extracellular matrix</w:t>
            </w:r>
          </w:p>
        </w:tc>
        <w:tc>
          <w:tcPr>
            <w:tcW w:w="384" w:type="pct"/>
            <w:noWrap/>
            <w:hideMark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9" w:type="pct"/>
            <w:noWrap/>
            <w:hideMark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1.34</w:t>
            </w:r>
          </w:p>
        </w:tc>
        <w:tc>
          <w:tcPr>
            <w:tcW w:w="513" w:type="pct"/>
            <w:noWrap/>
            <w:hideMark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0.00037</w:t>
            </w:r>
          </w:p>
        </w:tc>
        <w:tc>
          <w:tcPr>
            <w:tcW w:w="1538" w:type="pct"/>
            <w:noWrap/>
            <w:hideMark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GPC2,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SDC2,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SDC3,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GPC4,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GPC3</w:t>
            </w:r>
          </w:p>
        </w:tc>
      </w:tr>
      <w:tr w:rsidR="00A62CC9" w:rsidRPr="00A62CC9" w:rsidTr="00A62CC9">
        <w:trPr>
          <w:trHeight w:val="320"/>
        </w:trPr>
        <w:tc>
          <w:tcPr>
            <w:tcW w:w="705" w:type="pct"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GO:0046658</w:t>
            </w:r>
          </w:p>
        </w:tc>
        <w:tc>
          <w:tcPr>
            <w:tcW w:w="1410" w:type="pct"/>
            <w:noWrap/>
            <w:hideMark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Anchored component of plasma membrane</w:t>
            </w:r>
          </w:p>
        </w:tc>
        <w:tc>
          <w:tcPr>
            <w:tcW w:w="384" w:type="pct"/>
            <w:noWrap/>
            <w:hideMark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9" w:type="pct"/>
            <w:noWrap/>
            <w:hideMark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1.93</w:t>
            </w:r>
          </w:p>
        </w:tc>
        <w:tc>
          <w:tcPr>
            <w:tcW w:w="513" w:type="pct"/>
            <w:noWrap/>
            <w:hideMark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0.0012</w:t>
            </w:r>
          </w:p>
        </w:tc>
        <w:tc>
          <w:tcPr>
            <w:tcW w:w="1538" w:type="pct"/>
            <w:noWrap/>
            <w:hideMark/>
          </w:tcPr>
          <w:p w:rsidR="00A62CC9" w:rsidRPr="00A62CC9" w:rsidRDefault="00A62CC9" w:rsidP="00A62CC9">
            <w:pPr>
              <w:pStyle w:val="p"/>
              <w:spacing w:before="400" w:after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GPC2,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GPC4,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2CC9">
              <w:rPr>
                <w:rFonts w:ascii="Times New Roman" w:hAnsi="Times New Roman" w:cs="Times New Roman"/>
                <w:sz w:val="20"/>
                <w:szCs w:val="20"/>
              </w:rPr>
              <w:t>GPC3</w:t>
            </w:r>
          </w:p>
        </w:tc>
      </w:tr>
    </w:tbl>
    <w:p w:rsidR="00A62CC9" w:rsidRPr="00A62CC9" w:rsidRDefault="00A62CC9" w:rsidP="00AA0C09">
      <w:pPr>
        <w:pStyle w:val="a3"/>
        <w:rPr>
          <w:rFonts w:ascii="TimesNewRomanPS" w:hAnsi="TimesNewRomanPS"/>
        </w:rPr>
      </w:pPr>
      <w:bookmarkStart w:id="0" w:name="OLE_LINK113"/>
      <w:r w:rsidRPr="00A62CC9">
        <w:rPr>
          <w:rFonts w:ascii="TimesNewRomanPS" w:hAnsi="TimesNewRomanPS"/>
        </w:rPr>
        <w:t xml:space="preserve">Notes: The table shows GO terms. Enrichment analysis of </w:t>
      </w:r>
      <w:r w:rsidRPr="00A62CC9">
        <w:rPr>
          <w:rFonts w:ascii="TimesNewRomanPS" w:hAnsi="TimesNewRomanPS" w:hint="eastAsia"/>
        </w:rPr>
        <w:t>gene</w:t>
      </w:r>
      <w:r w:rsidRPr="00A62CC9">
        <w:rPr>
          <w:rFonts w:ascii="TimesNewRomanPS" w:hAnsi="TimesNewRomanPS"/>
        </w:rPr>
        <w:t>s with p &lt; 0.05.</w:t>
      </w:r>
    </w:p>
    <w:bookmarkEnd w:id="0"/>
    <w:p w:rsidR="00A62CC9" w:rsidRDefault="00A62CC9" w:rsidP="00AA0C09">
      <w:pPr>
        <w:pStyle w:val="a3"/>
        <w:rPr>
          <w:rFonts w:ascii="TimesNewRomanPS" w:hAnsi="TimesNewRomanPS"/>
          <w:b/>
          <w:bCs/>
          <w:sz w:val="20"/>
          <w:szCs w:val="20"/>
        </w:rPr>
      </w:pPr>
    </w:p>
    <w:p w:rsidR="00A62CC9" w:rsidRPr="00A62CC9" w:rsidRDefault="00A62CC9" w:rsidP="00AA0C09">
      <w:pPr>
        <w:pStyle w:val="a3"/>
        <w:rPr>
          <w:rFonts w:ascii="TimesNewRomanPS" w:hAnsi="TimesNewRomanPS" w:hint="eastAsia"/>
          <w:b/>
          <w:bCs/>
        </w:rPr>
      </w:pPr>
      <w:r w:rsidRPr="00A62CC9">
        <w:rPr>
          <w:rFonts w:ascii="TimesNewRomanPS" w:hAnsi="TimesNewRomanPS" w:hint="eastAsia"/>
          <w:b/>
          <w:bCs/>
        </w:rPr>
        <w:t>T</w:t>
      </w:r>
      <w:r w:rsidRPr="00A62CC9">
        <w:rPr>
          <w:rFonts w:ascii="TimesNewRomanPS" w:hAnsi="TimesNewRomanPS"/>
          <w:b/>
          <w:bCs/>
        </w:rPr>
        <w:t>able S</w:t>
      </w:r>
      <w:r>
        <w:rPr>
          <w:rFonts w:ascii="TimesNewRomanPS" w:hAnsi="TimesNewRomanPS"/>
          <w:b/>
          <w:bCs/>
        </w:rPr>
        <w:t>2</w:t>
      </w:r>
      <w:r w:rsidRPr="00A62CC9">
        <w:rPr>
          <w:rFonts w:ascii="TimesNewRomanPS" w:hAnsi="TimesNewRomanPS"/>
          <w:b/>
          <w:bCs/>
        </w:rPr>
        <w:t xml:space="preserve">. GO terms and enrichment analysis of </w:t>
      </w:r>
      <w:r w:rsidRPr="00A62CC9">
        <w:rPr>
          <w:rFonts w:ascii="TimesNewRomanPS" w:hAnsi="TimesNewRomanPS" w:hint="eastAsia"/>
          <w:b/>
          <w:bCs/>
        </w:rPr>
        <w:t>gen</w:t>
      </w:r>
      <w:r w:rsidRPr="00A62CC9">
        <w:rPr>
          <w:rFonts w:ascii="TimesNewRomanPS" w:hAnsi="TimesNewRomanPS"/>
          <w:b/>
          <w:bCs/>
        </w:rPr>
        <w:t>es.</w:t>
      </w:r>
    </w:p>
    <w:tbl>
      <w:tblPr>
        <w:tblStyle w:val="a4"/>
        <w:tblW w:w="11057" w:type="dxa"/>
        <w:tblInd w:w="-1423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5387"/>
        <w:gridCol w:w="709"/>
        <w:gridCol w:w="992"/>
        <w:gridCol w:w="851"/>
        <w:gridCol w:w="1984"/>
      </w:tblGrid>
      <w:tr w:rsidR="00A62CC9" w:rsidRPr="00A62CC9" w:rsidTr="00A62CC9">
        <w:trPr>
          <w:trHeight w:val="320"/>
        </w:trPr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  <w:noWrap/>
            <w:hideMark/>
          </w:tcPr>
          <w:p w:rsidR="00A62CC9" w:rsidRPr="00A62CC9" w:rsidRDefault="00A62CC9" w:rsidP="00A62CC9">
            <w:pPr>
              <w:pStyle w:val="a3"/>
              <w:rPr>
                <w:rFonts w:ascii="TimesNewRomanPS" w:hAnsi="TimesNewRomanPS"/>
                <w:sz w:val="20"/>
                <w:szCs w:val="20"/>
              </w:rPr>
            </w:pPr>
            <w:r>
              <w:rPr>
                <w:rFonts w:ascii="TimesNewRomanPS" w:hAnsi="TimesNewRomanPS"/>
                <w:sz w:val="20"/>
                <w:szCs w:val="20"/>
              </w:rPr>
              <w:t>T</w:t>
            </w:r>
            <w:r w:rsidRPr="00A62CC9">
              <w:rPr>
                <w:rFonts w:ascii="TimesNewRomanPS" w:hAnsi="TimesNewRomanPS" w:hint="eastAsia"/>
                <w:sz w:val="20"/>
                <w:szCs w:val="20"/>
              </w:rPr>
              <w:t>erm ID</w:t>
            </w:r>
          </w:p>
        </w:tc>
        <w:tc>
          <w:tcPr>
            <w:tcW w:w="5387" w:type="dxa"/>
            <w:tcBorders>
              <w:top w:val="single" w:sz="12" w:space="0" w:color="auto"/>
              <w:bottom w:val="single" w:sz="8" w:space="0" w:color="auto"/>
            </w:tcBorders>
            <w:noWrap/>
            <w:hideMark/>
          </w:tcPr>
          <w:p w:rsidR="00A62CC9" w:rsidRPr="00A62CC9" w:rsidRDefault="00A62CC9" w:rsidP="00A62CC9">
            <w:pPr>
              <w:pStyle w:val="a3"/>
              <w:rPr>
                <w:rFonts w:ascii="TimesNewRomanPS" w:hAnsi="TimesNewRomanPS" w:hint="eastAsia"/>
                <w:sz w:val="20"/>
                <w:szCs w:val="20"/>
              </w:rPr>
            </w:pPr>
            <w:r w:rsidRPr="00A62CC9">
              <w:rPr>
                <w:rFonts w:ascii="TimesNewRomanPS" w:hAnsi="TimesNewRomanPS" w:hint="eastAsia"/>
                <w:sz w:val="20"/>
                <w:szCs w:val="20"/>
              </w:rPr>
              <w:t>term description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8" w:space="0" w:color="auto"/>
            </w:tcBorders>
            <w:noWrap/>
            <w:hideMark/>
          </w:tcPr>
          <w:p w:rsidR="00A62CC9" w:rsidRPr="00A62CC9" w:rsidRDefault="00A62CC9" w:rsidP="00A62CC9">
            <w:pPr>
              <w:pStyle w:val="a3"/>
              <w:rPr>
                <w:rFonts w:ascii="TimesNewRomanPS" w:hAnsi="TimesNewRomanPS" w:hint="eastAsia"/>
                <w:sz w:val="20"/>
                <w:szCs w:val="20"/>
              </w:rPr>
            </w:pPr>
            <w:r w:rsidRPr="00A62CC9">
              <w:rPr>
                <w:rFonts w:ascii="TimesNewRomanPS" w:hAnsi="TimesNewRomanPS" w:hint="eastAsia"/>
                <w:sz w:val="20"/>
                <w:szCs w:val="20"/>
              </w:rPr>
              <w:t>Count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8" w:space="0" w:color="auto"/>
            </w:tcBorders>
            <w:noWrap/>
            <w:hideMark/>
          </w:tcPr>
          <w:p w:rsidR="00A62CC9" w:rsidRPr="00A62CC9" w:rsidRDefault="00A62CC9" w:rsidP="00A62CC9">
            <w:pPr>
              <w:pStyle w:val="a3"/>
              <w:rPr>
                <w:rFonts w:ascii="TimesNewRomanPS" w:hAnsi="TimesNewRomanPS" w:hint="eastAsia"/>
                <w:sz w:val="20"/>
                <w:szCs w:val="20"/>
              </w:rPr>
            </w:pPr>
            <w:r w:rsidRPr="00A62CC9">
              <w:rPr>
                <w:rFonts w:ascii="TimesNewRomanPS" w:hAnsi="TimesNewRomanPS" w:hint="eastAsia"/>
                <w:sz w:val="20"/>
                <w:szCs w:val="20"/>
              </w:rPr>
              <w:t>strength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8" w:space="0" w:color="auto"/>
            </w:tcBorders>
            <w:noWrap/>
            <w:hideMark/>
          </w:tcPr>
          <w:p w:rsidR="00A62CC9" w:rsidRPr="00A62CC9" w:rsidRDefault="00A62CC9" w:rsidP="00A62CC9">
            <w:pPr>
              <w:pStyle w:val="a3"/>
              <w:rPr>
                <w:rFonts w:ascii="TimesNewRomanPS" w:hAnsi="TimesNewRomanPS" w:hint="eastAsia"/>
                <w:sz w:val="20"/>
                <w:szCs w:val="20"/>
              </w:rPr>
            </w:pPr>
            <w:proofErr w:type="spellStart"/>
            <w:r w:rsidRPr="00A62CC9">
              <w:rPr>
                <w:rFonts w:ascii="TimesNewRomanPS" w:hAnsi="TimesNewRomanPS" w:hint="eastAsia"/>
                <w:sz w:val="20"/>
                <w:szCs w:val="20"/>
              </w:rPr>
              <w:t>P.value</w:t>
            </w:r>
            <w:proofErr w:type="spellEnd"/>
          </w:p>
        </w:tc>
        <w:tc>
          <w:tcPr>
            <w:tcW w:w="1984" w:type="dxa"/>
            <w:tcBorders>
              <w:top w:val="single" w:sz="12" w:space="0" w:color="auto"/>
              <w:bottom w:val="single" w:sz="8" w:space="0" w:color="auto"/>
            </w:tcBorders>
            <w:noWrap/>
            <w:hideMark/>
          </w:tcPr>
          <w:p w:rsidR="00A62CC9" w:rsidRPr="00A62CC9" w:rsidRDefault="00A62CC9" w:rsidP="00A62CC9">
            <w:pPr>
              <w:pStyle w:val="a3"/>
              <w:rPr>
                <w:rFonts w:ascii="TimesNewRomanPS" w:hAnsi="TimesNewRomanPS" w:hint="eastAsia"/>
                <w:sz w:val="20"/>
                <w:szCs w:val="20"/>
              </w:rPr>
            </w:pPr>
            <w:r w:rsidRPr="00A62CC9">
              <w:rPr>
                <w:rFonts w:ascii="TimesNewRomanPS" w:hAnsi="TimesNewRomanPS" w:hint="eastAsia"/>
                <w:sz w:val="20"/>
                <w:szCs w:val="20"/>
              </w:rPr>
              <w:t>matching proteins</w:t>
            </w:r>
          </w:p>
        </w:tc>
      </w:tr>
      <w:tr w:rsidR="00A62CC9" w:rsidRPr="00A62CC9" w:rsidTr="00A62CC9">
        <w:trPr>
          <w:trHeight w:val="320"/>
        </w:trPr>
        <w:tc>
          <w:tcPr>
            <w:tcW w:w="1134" w:type="dxa"/>
            <w:tcBorders>
              <w:top w:val="single" w:sz="8" w:space="0" w:color="auto"/>
            </w:tcBorders>
            <w:noWrap/>
            <w:hideMark/>
          </w:tcPr>
          <w:p w:rsidR="00A62CC9" w:rsidRPr="00A62CC9" w:rsidRDefault="00A62CC9" w:rsidP="00A62CC9">
            <w:pPr>
              <w:pStyle w:val="a3"/>
              <w:rPr>
                <w:rFonts w:ascii="TimesNewRomanPS" w:hAnsi="TimesNewRomanPS" w:hint="eastAsia"/>
                <w:sz w:val="20"/>
                <w:szCs w:val="20"/>
              </w:rPr>
            </w:pPr>
            <w:r w:rsidRPr="00A62CC9">
              <w:rPr>
                <w:rFonts w:ascii="TimesNewRomanPS" w:hAnsi="TimesNewRomanPS" w:hint="eastAsia"/>
                <w:sz w:val="20"/>
                <w:szCs w:val="20"/>
              </w:rPr>
              <w:t>hsa00534</w:t>
            </w:r>
          </w:p>
        </w:tc>
        <w:tc>
          <w:tcPr>
            <w:tcW w:w="5387" w:type="dxa"/>
            <w:tcBorders>
              <w:top w:val="single" w:sz="8" w:space="0" w:color="auto"/>
            </w:tcBorders>
            <w:noWrap/>
            <w:hideMark/>
          </w:tcPr>
          <w:p w:rsidR="00A62CC9" w:rsidRPr="00A62CC9" w:rsidRDefault="00A62CC9" w:rsidP="00A62CC9">
            <w:pPr>
              <w:pStyle w:val="a3"/>
              <w:rPr>
                <w:rFonts w:ascii="TimesNewRomanPS" w:hAnsi="TimesNewRomanPS" w:hint="eastAsia"/>
                <w:sz w:val="20"/>
                <w:szCs w:val="20"/>
              </w:rPr>
            </w:pPr>
            <w:r w:rsidRPr="00A62CC9">
              <w:rPr>
                <w:rFonts w:ascii="TimesNewRomanPS" w:hAnsi="TimesNewRomanPS" w:hint="eastAsia"/>
                <w:sz w:val="20"/>
                <w:szCs w:val="20"/>
              </w:rPr>
              <w:t>Glycosaminoglycan biosynthesis - heparan sulfate / heparin</w:t>
            </w:r>
          </w:p>
        </w:tc>
        <w:tc>
          <w:tcPr>
            <w:tcW w:w="709" w:type="dxa"/>
            <w:tcBorders>
              <w:top w:val="single" w:sz="8" w:space="0" w:color="auto"/>
            </w:tcBorders>
            <w:noWrap/>
            <w:hideMark/>
          </w:tcPr>
          <w:p w:rsidR="00A62CC9" w:rsidRPr="00A62CC9" w:rsidRDefault="00A62CC9" w:rsidP="00A62CC9">
            <w:pPr>
              <w:pStyle w:val="a3"/>
              <w:rPr>
                <w:rFonts w:ascii="TimesNewRomanPS" w:hAnsi="TimesNewRomanPS" w:hint="eastAsia"/>
                <w:sz w:val="20"/>
                <w:szCs w:val="20"/>
              </w:rPr>
            </w:pPr>
            <w:r w:rsidRPr="00A62CC9">
              <w:rPr>
                <w:rFonts w:ascii="TimesNewRomanPS" w:hAnsi="TimesNewRomanPS" w:hint="eastAsia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8" w:space="0" w:color="auto"/>
            </w:tcBorders>
            <w:noWrap/>
            <w:hideMark/>
          </w:tcPr>
          <w:p w:rsidR="00A62CC9" w:rsidRPr="00A62CC9" w:rsidRDefault="00A62CC9" w:rsidP="00A62CC9">
            <w:pPr>
              <w:pStyle w:val="a3"/>
              <w:rPr>
                <w:rFonts w:ascii="TimesNewRomanPS" w:hAnsi="TimesNewRomanPS" w:hint="eastAsia"/>
                <w:sz w:val="20"/>
                <w:szCs w:val="20"/>
              </w:rPr>
            </w:pPr>
            <w:r w:rsidRPr="00A62CC9">
              <w:rPr>
                <w:rFonts w:ascii="TimesNewRomanPS" w:hAnsi="TimesNewRomanPS" w:hint="eastAsia"/>
                <w:sz w:val="20"/>
                <w:szCs w:val="20"/>
              </w:rPr>
              <w:t>2.19</w:t>
            </w:r>
          </w:p>
        </w:tc>
        <w:tc>
          <w:tcPr>
            <w:tcW w:w="851" w:type="dxa"/>
            <w:tcBorders>
              <w:top w:val="single" w:sz="8" w:space="0" w:color="auto"/>
            </w:tcBorders>
            <w:noWrap/>
            <w:hideMark/>
          </w:tcPr>
          <w:p w:rsidR="00A62CC9" w:rsidRPr="00A62CC9" w:rsidRDefault="00A62CC9" w:rsidP="00A62CC9">
            <w:pPr>
              <w:pStyle w:val="a3"/>
              <w:rPr>
                <w:rFonts w:ascii="TimesNewRomanPS" w:hAnsi="TimesNewRomanPS" w:hint="eastAsia"/>
                <w:sz w:val="20"/>
                <w:szCs w:val="20"/>
              </w:rPr>
            </w:pPr>
            <w:r w:rsidRPr="00A62CC9">
              <w:rPr>
                <w:rFonts w:ascii="TimesNewRomanPS" w:hAnsi="TimesNewRomanPS" w:hint="eastAsia"/>
                <w:sz w:val="20"/>
                <w:szCs w:val="20"/>
              </w:rPr>
              <w:t>0.0191</w:t>
            </w:r>
          </w:p>
        </w:tc>
        <w:tc>
          <w:tcPr>
            <w:tcW w:w="1984" w:type="dxa"/>
            <w:tcBorders>
              <w:top w:val="single" w:sz="8" w:space="0" w:color="auto"/>
            </w:tcBorders>
            <w:noWrap/>
            <w:hideMark/>
          </w:tcPr>
          <w:p w:rsidR="00A62CC9" w:rsidRPr="00A62CC9" w:rsidRDefault="00A62CC9" w:rsidP="00A62CC9">
            <w:pPr>
              <w:pStyle w:val="a3"/>
              <w:rPr>
                <w:rFonts w:ascii="TimesNewRomanPS" w:hAnsi="TimesNewRomanPS" w:hint="eastAsia"/>
                <w:sz w:val="20"/>
                <w:szCs w:val="20"/>
              </w:rPr>
            </w:pPr>
            <w:r w:rsidRPr="00A62CC9">
              <w:rPr>
                <w:rFonts w:ascii="TimesNewRomanPS" w:hAnsi="TimesNewRomanPS" w:hint="eastAsia"/>
                <w:sz w:val="20"/>
                <w:szCs w:val="20"/>
              </w:rPr>
              <w:t>GLCE,</w:t>
            </w:r>
            <w:r>
              <w:rPr>
                <w:rFonts w:ascii="TimesNewRomanPS" w:hAnsi="TimesNewRomanPS"/>
                <w:sz w:val="20"/>
                <w:szCs w:val="20"/>
              </w:rPr>
              <w:t xml:space="preserve"> </w:t>
            </w:r>
            <w:r w:rsidRPr="00A62CC9">
              <w:rPr>
                <w:rFonts w:ascii="TimesNewRomanPS" w:hAnsi="TimesNewRomanPS" w:hint="eastAsia"/>
                <w:sz w:val="20"/>
                <w:szCs w:val="20"/>
              </w:rPr>
              <w:t>NDST3</w:t>
            </w:r>
          </w:p>
        </w:tc>
      </w:tr>
      <w:tr w:rsidR="00A62CC9" w:rsidRPr="00A62CC9" w:rsidTr="00A62CC9">
        <w:trPr>
          <w:trHeight w:val="320"/>
        </w:trPr>
        <w:tc>
          <w:tcPr>
            <w:tcW w:w="1134" w:type="dxa"/>
            <w:noWrap/>
            <w:hideMark/>
          </w:tcPr>
          <w:p w:rsidR="00A62CC9" w:rsidRPr="00A62CC9" w:rsidRDefault="00A62CC9" w:rsidP="00A62CC9">
            <w:pPr>
              <w:pStyle w:val="a3"/>
              <w:rPr>
                <w:rFonts w:ascii="TimesNewRomanPS" w:hAnsi="TimesNewRomanPS" w:hint="eastAsia"/>
                <w:sz w:val="20"/>
                <w:szCs w:val="20"/>
              </w:rPr>
            </w:pPr>
            <w:r w:rsidRPr="00A62CC9">
              <w:rPr>
                <w:rFonts w:ascii="TimesNewRomanPS" w:hAnsi="TimesNewRomanPS" w:hint="eastAsia"/>
                <w:sz w:val="20"/>
                <w:szCs w:val="20"/>
              </w:rPr>
              <w:t>hsa04514</w:t>
            </w:r>
          </w:p>
        </w:tc>
        <w:tc>
          <w:tcPr>
            <w:tcW w:w="5387" w:type="dxa"/>
            <w:noWrap/>
            <w:hideMark/>
          </w:tcPr>
          <w:p w:rsidR="00A62CC9" w:rsidRPr="00A62CC9" w:rsidRDefault="00A62CC9" w:rsidP="00A62CC9">
            <w:pPr>
              <w:pStyle w:val="a3"/>
              <w:rPr>
                <w:rFonts w:ascii="TimesNewRomanPS" w:hAnsi="TimesNewRomanPS" w:hint="eastAsia"/>
                <w:sz w:val="20"/>
                <w:szCs w:val="20"/>
              </w:rPr>
            </w:pPr>
            <w:r w:rsidRPr="00A62CC9">
              <w:rPr>
                <w:rFonts w:ascii="TimesNewRomanPS" w:hAnsi="TimesNewRomanPS" w:hint="eastAsia"/>
                <w:sz w:val="20"/>
                <w:szCs w:val="20"/>
              </w:rPr>
              <w:t>Cell adhesion molecules</w:t>
            </w:r>
          </w:p>
        </w:tc>
        <w:tc>
          <w:tcPr>
            <w:tcW w:w="709" w:type="dxa"/>
            <w:noWrap/>
            <w:hideMark/>
          </w:tcPr>
          <w:p w:rsidR="00A62CC9" w:rsidRPr="00A62CC9" w:rsidRDefault="00A62CC9" w:rsidP="00A62CC9">
            <w:pPr>
              <w:pStyle w:val="a3"/>
              <w:rPr>
                <w:rFonts w:ascii="TimesNewRomanPS" w:hAnsi="TimesNewRomanPS" w:hint="eastAsia"/>
                <w:sz w:val="20"/>
                <w:szCs w:val="20"/>
              </w:rPr>
            </w:pPr>
            <w:r w:rsidRPr="00A62CC9">
              <w:rPr>
                <w:rFonts w:ascii="TimesNewRomanPS" w:hAnsi="TimesNewRomanPS" w:hint="eastAsia"/>
                <w:sz w:val="20"/>
                <w:szCs w:val="20"/>
              </w:rPr>
              <w:t>3</w:t>
            </w:r>
          </w:p>
        </w:tc>
        <w:tc>
          <w:tcPr>
            <w:tcW w:w="992" w:type="dxa"/>
            <w:noWrap/>
            <w:hideMark/>
          </w:tcPr>
          <w:p w:rsidR="00A62CC9" w:rsidRPr="00A62CC9" w:rsidRDefault="00A62CC9" w:rsidP="00A62CC9">
            <w:pPr>
              <w:pStyle w:val="a3"/>
              <w:rPr>
                <w:rFonts w:ascii="TimesNewRomanPS" w:hAnsi="TimesNewRomanPS" w:hint="eastAsia"/>
                <w:sz w:val="20"/>
                <w:szCs w:val="20"/>
              </w:rPr>
            </w:pPr>
            <w:r w:rsidRPr="00A62CC9">
              <w:rPr>
                <w:rFonts w:ascii="TimesNewRomanPS" w:hAnsi="TimesNewRomanPS" w:hint="eastAsia"/>
                <w:sz w:val="20"/>
                <w:szCs w:val="20"/>
              </w:rPr>
              <w:t>1.59</w:t>
            </w:r>
          </w:p>
        </w:tc>
        <w:tc>
          <w:tcPr>
            <w:tcW w:w="851" w:type="dxa"/>
            <w:noWrap/>
            <w:hideMark/>
          </w:tcPr>
          <w:p w:rsidR="00A62CC9" w:rsidRPr="00A62CC9" w:rsidRDefault="00A62CC9" w:rsidP="00A62CC9">
            <w:pPr>
              <w:pStyle w:val="a3"/>
              <w:rPr>
                <w:rFonts w:ascii="TimesNewRomanPS" w:hAnsi="TimesNewRomanPS" w:hint="eastAsia"/>
                <w:sz w:val="20"/>
                <w:szCs w:val="20"/>
              </w:rPr>
            </w:pPr>
            <w:r w:rsidRPr="00A62CC9">
              <w:rPr>
                <w:rFonts w:ascii="TimesNewRomanPS" w:hAnsi="TimesNewRomanPS" w:hint="eastAsia"/>
                <w:sz w:val="20"/>
                <w:szCs w:val="20"/>
              </w:rPr>
              <w:t>0.0191</w:t>
            </w:r>
          </w:p>
        </w:tc>
        <w:tc>
          <w:tcPr>
            <w:tcW w:w="1984" w:type="dxa"/>
            <w:noWrap/>
            <w:hideMark/>
          </w:tcPr>
          <w:p w:rsidR="00A62CC9" w:rsidRPr="00A62CC9" w:rsidRDefault="00A62CC9" w:rsidP="00A62CC9">
            <w:pPr>
              <w:pStyle w:val="a3"/>
              <w:rPr>
                <w:rFonts w:ascii="TimesNewRomanPS" w:hAnsi="TimesNewRomanPS" w:hint="eastAsia"/>
                <w:sz w:val="20"/>
                <w:szCs w:val="20"/>
              </w:rPr>
            </w:pPr>
            <w:r w:rsidRPr="00A62CC9">
              <w:rPr>
                <w:rFonts w:ascii="TimesNewRomanPS" w:hAnsi="TimesNewRomanPS" w:hint="eastAsia"/>
                <w:sz w:val="20"/>
                <w:szCs w:val="20"/>
              </w:rPr>
              <w:t>SDC2,</w:t>
            </w:r>
            <w:r>
              <w:rPr>
                <w:rFonts w:ascii="TimesNewRomanPS" w:hAnsi="TimesNewRomanPS"/>
                <w:sz w:val="20"/>
                <w:szCs w:val="20"/>
              </w:rPr>
              <w:t xml:space="preserve"> </w:t>
            </w:r>
            <w:r w:rsidRPr="00A62CC9">
              <w:rPr>
                <w:rFonts w:ascii="TimesNewRomanPS" w:hAnsi="TimesNewRomanPS" w:hint="eastAsia"/>
                <w:sz w:val="20"/>
                <w:szCs w:val="20"/>
              </w:rPr>
              <w:t>SDC3,</w:t>
            </w:r>
            <w:r>
              <w:rPr>
                <w:rFonts w:ascii="TimesNewRomanPS" w:hAnsi="TimesNewRomanPS"/>
                <w:sz w:val="20"/>
                <w:szCs w:val="20"/>
              </w:rPr>
              <w:t xml:space="preserve"> </w:t>
            </w:r>
            <w:r w:rsidRPr="00A62CC9">
              <w:rPr>
                <w:rFonts w:ascii="TimesNewRomanPS" w:hAnsi="TimesNewRomanPS" w:hint="eastAsia"/>
                <w:sz w:val="20"/>
                <w:szCs w:val="20"/>
              </w:rPr>
              <w:t>SDC1</w:t>
            </w:r>
          </w:p>
        </w:tc>
      </w:tr>
      <w:tr w:rsidR="00A62CC9" w:rsidRPr="00A62CC9" w:rsidTr="00A62CC9">
        <w:trPr>
          <w:trHeight w:val="320"/>
        </w:trPr>
        <w:tc>
          <w:tcPr>
            <w:tcW w:w="1134" w:type="dxa"/>
            <w:noWrap/>
            <w:hideMark/>
          </w:tcPr>
          <w:p w:rsidR="00A62CC9" w:rsidRPr="00A62CC9" w:rsidRDefault="00A62CC9" w:rsidP="00A62CC9">
            <w:pPr>
              <w:pStyle w:val="a3"/>
              <w:rPr>
                <w:rFonts w:ascii="TimesNewRomanPS" w:hAnsi="TimesNewRomanPS" w:hint="eastAsia"/>
                <w:sz w:val="20"/>
                <w:szCs w:val="20"/>
              </w:rPr>
            </w:pPr>
            <w:r w:rsidRPr="00A62CC9">
              <w:rPr>
                <w:rFonts w:ascii="TimesNewRomanPS" w:hAnsi="TimesNewRomanPS" w:hint="eastAsia"/>
                <w:sz w:val="20"/>
                <w:szCs w:val="20"/>
              </w:rPr>
              <w:t>hsa05205</w:t>
            </w:r>
          </w:p>
        </w:tc>
        <w:tc>
          <w:tcPr>
            <w:tcW w:w="5387" w:type="dxa"/>
            <w:noWrap/>
            <w:hideMark/>
          </w:tcPr>
          <w:p w:rsidR="00A62CC9" w:rsidRPr="00A62CC9" w:rsidRDefault="00A62CC9" w:rsidP="00A62CC9">
            <w:pPr>
              <w:pStyle w:val="a3"/>
              <w:rPr>
                <w:rFonts w:ascii="TimesNewRomanPS" w:hAnsi="TimesNewRomanPS" w:hint="eastAsia"/>
                <w:sz w:val="20"/>
                <w:szCs w:val="20"/>
              </w:rPr>
            </w:pPr>
            <w:r w:rsidRPr="00A62CC9">
              <w:rPr>
                <w:rFonts w:ascii="TimesNewRomanPS" w:hAnsi="TimesNewRomanPS" w:hint="eastAsia"/>
                <w:sz w:val="20"/>
                <w:szCs w:val="20"/>
              </w:rPr>
              <w:t>Proteoglycans in cancer</w:t>
            </w:r>
          </w:p>
        </w:tc>
        <w:tc>
          <w:tcPr>
            <w:tcW w:w="709" w:type="dxa"/>
            <w:noWrap/>
            <w:hideMark/>
          </w:tcPr>
          <w:p w:rsidR="00A62CC9" w:rsidRPr="00A62CC9" w:rsidRDefault="00A62CC9" w:rsidP="00A62CC9">
            <w:pPr>
              <w:pStyle w:val="a3"/>
              <w:rPr>
                <w:rFonts w:ascii="TimesNewRomanPS" w:hAnsi="TimesNewRomanPS" w:hint="eastAsia"/>
                <w:sz w:val="20"/>
                <w:szCs w:val="20"/>
              </w:rPr>
            </w:pPr>
            <w:r w:rsidRPr="00A62CC9">
              <w:rPr>
                <w:rFonts w:ascii="TimesNewRomanPS" w:hAnsi="TimesNewRomanPS" w:hint="eastAsia"/>
                <w:sz w:val="20"/>
                <w:szCs w:val="20"/>
              </w:rPr>
              <w:t>3</w:t>
            </w:r>
          </w:p>
        </w:tc>
        <w:tc>
          <w:tcPr>
            <w:tcW w:w="992" w:type="dxa"/>
            <w:noWrap/>
            <w:hideMark/>
          </w:tcPr>
          <w:p w:rsidR="00A62CC9" w:rsidRPr="00A62CC9" w:rsidRDefault="00A62CC9" w:rsidP="00A62CC9">
            <w:pPr>
              <w:pStyle w:val="a3"/>
              <w:rPr>
                <w:rFonts w:ascii="TimesNewRomanPS" w:hAnsi="TimesNewRomanPS" w:hint="eastAsia"/>
                <w:sz w:val="20"/>
                <w:szCs w:val="20"/>
              </w:rPr>
            </w:pPr>
            <w:r w:rsidRPr="00A62CC9">
              <w:rPr>
                <w:rFonts w:ascii="TimesNewRomanPS" w:hAnsi="TimesNewRomanPS" w:hint="eastAsia"/>
                <w:sz w:val="20"/>
                <w:szCs w:val="20"/>
              </w:rPr>
              <w:t>1.44</w:t>
            </w:r>
          </w:p>
        </w:tc>
        <w:tc>
          <w:tcPr>
            <w:tcW w:w="851" w:type="dxa"/>
            <w:noWrap/>
            <w:hideMark/>
          </w:tcPr>
          <w:p w:rsidR="00A62CC9" w:rsidRPr="00A62CC9" w:rsidRDefault="00A62CC9" w:rsidP="00A62CC9">
            <w:pPr>
              <w:pStyle w:val="a3"/>
              <w:rPr>
                <w:rFonts w:ascii="TimesNewRomanPS" w:hAnsi="TimesNewRomanPS" w:hint="eastAsia"/>
                <w:sz w:val="20"/>
                <w:szCs w:val="20"/>
              </w:rPr>
            </w:pPr>
            <w:r w:rsidRPr="00A62CC9">
              <w:rPr>
                <w:rFonts w:ascii="TimesNewRomanPS" w:hAnsi="TimesNewRomanPS" w:hint="eastAsia"/>
                <w:sz w:val="20"/>
                <w:szCs w:val="20"/>
              </w:rPr>
              <w:t>0.0191</w:t>
            </w:r>
          </w:p>
        </w:tc>
        <w:tc>
          <w:tcPr>
            <w:tcW w:w="1984" w:type="dxa"/>
            <w:noWrap/>
            <w:hideMark/>
          </w:tcPr>
          <w:p w:rsidR="00A62CC9" w:rsidRPr="00A62CC9" w:rsidRDefault="00A62CC9" w:rsidP="00A62CC9">
            <w:pPr>
              <w:pStyle w:val="a3"/>
              <w:rPr>
                <w:rFonts w:ascii="TimesNewRomanPS" w:hAnsi="TimesNewRomanPS" w:hint="eastAsia"/>
                <w:sz w:val="20"/>
                <w:szCs w:val="20"/>
              </w:rPr>
            </w:pPr>
            <w:r w:rsidRPr="00A62CC9">
              <w:rPr>
                <w:rFonts w:ascii="TimesNewRomanPS" w:hAnsi="TimesNewRomanPS" w:hint="eastAsia"/>
                <w:sz w:val="20"/>
                <w:szCs w:val="20"/>
              </w:rPr>
              <w:t>SDC2,</w:t>
            </w:r>
            <w:r>
              <w:rPr>
                <w:rFonts w:ascii="TimesNewRomanPS" w:hAnsi="TimesNewRomanPS"/>
                <w:sz w:val="20"/>
                <w:szCs w:val="20"/>
              </w:rPr>
              <w:t xml:space="preserve"> </w:t>
            </w:r>
            <w:r w:rsidRPr="00A62CC9">
              <w:rPr>
                <w:rFonts w:ascii="TimesNewRomanPS" w:hAnsi="TimesNewRomanPS" w:hint="eastAsia"/>
                <w:sz w:val="20"/>
                <w:szCs w:val="20"/>
              </w:rPr>
              <w:t>SDC1,</w:t>
            </w:r>
            <w:r>
              <w:rPr>
                <w:rFonts w:ascii="TimesNewRomanPS" w:hAnsi="TimesNewRomanPS"/>
                <w:sz w:val="20"/>
                <w:szCs w:val="20"/>
              </w:rPr>
              <w:t xml:space="preserve"> </w:t>
            </w:r>
            <w:r w:rsidRPr="00A62CC9">
              <w:rPr>
                <w:rFonts w:ascii="TimesNewRomanPS" w:hAnsi="TimesNewRomanPS" w:hint="eastAsia"/>
                <w:sz w:val="20"/>
                <w:szCs w:val="20"/>
              </w:rPr>
              <w:t>GPC3</w:t>
            </w:r>
          </w:p>
        </w:tc>
      </w:tr>
      <w:tr w:rsidR="00A62CC9" w:rsidRPr="00A62CC9" w:rsidTr="00A62CC9">
        <w:trPr>
          <w:trHeight w:val="320"/>
        </w:trPr>
        <w:tc>
          <w:tcPr>
            <w:tcW w:w="1134" w:type="dxa"/>
            <w:noWrap/>
            <w:hideMark/>
          </w:tcPr>
          <w:p w:rsidR="00A62CC9" w:rsidRPr="00A62CC9" w:rsidRDefault="00A62CC9" w:rsidP="00A62CC9">
            <w:pPr>
              <w:pStyle w:val="a3"/>
              <w:rPr>
                <w:rFonts w:ascii="TimesNewRomanPS" w:hAnsi="TimesNewRomanPS" w:hint="eastAsia"/>
                <w:sz w:val="20"/>
                <w:szCs w:val="20"/>
              </w:rPr>
            </w:pPr>
            <w:r w:rsidRPr="00A62CC9">
              <w:rPr>
                <w:rFonts w:ascii="TimesNewRomanPS" w:hAnsi="TimesNewRomanPS" w:hint="eastAsia"/>
                <w:sz w:val="20"/>
                <w:szCs w:val="20"/>
              </w:rPr>
              <w:t>hsa05144</w:t>
            </w:r>
          </w:p>
        </w:tc>
        <w:tc>
          <w:tcPr>
            <w:tcW w:w="5387" w:type="dxa"/>
            <w:noWrap/>
            <w:hideMark/>
          </w:tcPr>
          <w:p w:rsidR="00A62CC9" w:rsidRPr="00A62CC9" w:rsidRDefault="00A62CC9" w:rsidP="00A62CC9">
            <w:pPr>
              <w:pStyle w:val="a3"/>
              <w:rPr>
                <w:rFonts w:ascii="TimesNewRomanPS" w:hAnsi="TimesNewRomanPS" w:hint="eastAsia"/>
                <w:sz w:val="20"/>
                <w:szCs w:val="20"/>
              </w:rPr>
            </w:pPr>
            <w:r w:rsidRPr="00A62CC9">
              <w:rPr>
                <w:rFonts w:ascii="TimesNewRomanPS" w:hAnsi="TimesNewRomanPS" w:hint="eastAsia"/>
                <w:sz w:val="20"/>
                <w:szCs w:val="20"/>
              </w:rPr>
              <w:t>Malaria</w:t>
            </w:r>
          </w:p>
        </w:tc>
        <w:tc>
          <w:tcPr>
            <w:tcW w:w="709" w:type="dxa"/>
            <w:noWrap/>
            <w:hideMark/>
          </w:tcPr>
          <w:p w:rsidR="00A62CC9" w:rsidRPr="00A62CC9" w:rsidRDefault="00A62CC9" w:rsidP="00A62CC9">
            <w:pPr>
              <w:pStyle w:val="a3"/>
              <w:rPr>
                <w:rFonts w:ascii="TimesNewRomanPS" w:hAnsi="TimesNewRomanPS" w:hint="eastAsia"/>
                <w:sz w:val="20"/>
                <w:szCs w:val="20"/>
              </w:rPr>
            </w:pPr>
            <w:r w:rsidRPr="00A62CC9">
              <w:rPr>
                <w:rFonts w:ascii="TimesNewRomanPS" w:hAnsi="TimesNewRomanPS" w:hint="eastAsia"/>
                <w:sz w:val="20"/>
                <w:szCs w:val="20"/>
              </w:rPr>
              <w:t>2</w:t>
            </w:r>
          </w:p>
        </w:tc>
        <w:tc>
          <w:tcPr>
            <w:tcW w:w="992" w:type="dxa"/>
            <w:noWrap/>
            <w:hideMark/>
          </w:tcPr>
          <w:p w:rsidR="00A62CC9" w:rsidRPr="00A62CC9" w:rsidRDefault="00A62CC9" w:rsidP="00A62CC9">
            <w:pPr>
              <w:pStyle w:val="a3"/>
              <w:rPr>
                <w:rFonts w:ascii="TimesNewRomanPS" w:hAnsi="TimesNewRomanPS" w:hint="eastAsia"/>
                <w:sz w:val="20"/>
                <w:szCs w:val="20"/>
              </w:rPr>
            </w:pPr>
            <w:r w:rsidRPr="00A62CC9">
              <w:rPr>
                <w:rFonts w:ascii="TimesNewRomanPS" w:hAnsi="TimesNewRomanPS" w:hint="eastAsia"/>
                <w:sz w:val="20"/>
                <w:szCs w:val="20"/>
              </w:rPr>
              <w:t>1.89</w:t>
            </w:r>
          </w:p>
        </w:tc>
        <w:tc>
          <w:tcPr>
            <w:tcW w:w="851" w:type="dxa"/>
            <w:noWrap/>
            <w:hideMark/>
          </w:tcPr>
          <w:p w:rsidR="00A62CC9" w:rsidRPr="00A62CC9" w:rsidRDefault="00A62CC9" w:rsidP="00A62CC9">
            <w:pPr>
              <w:pStyle w:val="a3"/>
              <w:rPr>
                <w:rFonts w:ascii="TimesNewRomanPS" w:hAnsi="TimesNewRomanPS" w:hint="eastAsia"/>
                <w:sz w:val="20"/>
                <w:szCs w:val="20"/>
              </w:rPr>
            </w:pPr>
            <w:r w:rsidRPr="00A62CC9">
              <w:rPr>
                <w:rFonts w:ascii="TimesNewRomanPS" w:hAnsi="TimesNewRomanPS" w:hint="eastAsia"/>
                <w:sz w:val="20"/>
                <w:szCs w:val="20"/>
              </w:rPr>
              <w:t>0.0265</w:t>
            </w:r>
          </w:p>
        </w:tc>
        <w:tc>
          <w:tcPr>
            <w:tcW w:w="1984" w:type="dxa"/>
            <w:noWrap/>
            <w:hideMark/>
          </w:tcPr>
          <w:p w:rsidR="00A62CC9" w:rsidRPr="00A62CC9" w:rsidRDefault="00A62CC9" w:rsidP="00A62CC9">
            <w:pPr>
              <w:pStyle w:val="a3"/>
              <w:rPr>
                <w:rFonts w:ascii="TimesNewRomanPS" w:hAnsi="TimesNewRomanPS" w:hint="eastAsia"/>
                <w:sz w:val="20"/>
                <w:szCs w:val="20"/>
              </w:rPr>
            </w:pPr>
            <w:r w:rsidRPr="00A62CC9">
              <w:rPr>
                <w:rFonts w:ascii="TimesNewRomanPS" w:hAnsi="TimesNewRomanPS" w:hint="eastAsia"/>
                <w:sz w:val="20"/>
                <w:szCs w:val="20"/>
              </w:rPr>
              <w:t>SDC2,</w:t>
            </w:r>
            <w:r>
              <w:rPr>
                <w:rFonts w:ascii="TimesNewRomanPS" w:hAnsi="TimesNewRomanPS"/>
                <w:sz w:val="20"/>
                <w:szCs w:val="20"/>
              </w:rPr>
              <w:t xml:space="preserve"> </w:t>
            </w:r>
            <w:r w:rsidRPr="00A62CC9">
              <w:rPr>
                <w:rFonts w:ascii="TimesNewRomanPS" w:hAnsi="TimesNewRomanPS" w:hint="eastAsia"/>
                <w:sz w:val="20"/>
                <w:szCs w:val="20"/>
              </w:rPr>
              <w:t>SDC1</w:t>
            </w:r>
          </w:p>
        </w:tc>
      </w:tr>
    </w:tbl>
    <w:p w:rsidR="00A62CC9" w:rsidRPr="00A62CC9" w:rsidRDefault="00A62CC9" w:rsidP="00A62CC9">
      <w:pPr>
        <w:pStyle w:val="a3"/>
        <w:rPr>
          <w:rFonts w:ascii="TimesNewRomanPS" w:hAnsi="TimesNewRomanPS"/>
        </w:rPr>
      </w:pPr>
      <w:r w:rsidRPr="00A62CC9">
        <w:rPr>
          <w:rFonts w:ascii="TimesNewRomanPS" w:hAnsi="TimesNewRomanPS"/>
        </w:rPr>
        <w:t xml:space="preserve">Notes: The table shows </w:t>
      </w:r>
      <w:r>
        <w:rPr>
          <w:rFonts w:ascii="TimesNewRomanPS" w:hAnsi="TimesNewRomanPS"/>
        </w:rPr>
        <w:t>KEGG</w:t>
      </w:r>
      <w:r w:rsidRPr="00A62CC9">
        <w:rPr>
          <w:rFonts w:ascii="TimesNewRomanPS" w:hAnsi="TimesNewRomanPS"/>
        </w:rPr>
        <w:t xml:space="preserve"> terms. Enrichment analysis of </w:t>
      </w:r>
      <w:r w:rsidRPr="00A62CC9">
        <w:rPr>
          <w:rFonts w:ascii="TimesNewRomanPS" w:hAnsi="TimesNewRomanPS" w:hint="eastAsia"/>
        </w:rPr>
        <w:t>gene</w:t>
      </w:r>
      <w:r w:rsidRPr="00A62CC9">
        <w:rPr>
          <w:rFonts w:ascii="TimesNewRomanPS" w:hAnsi="TimesNewRomanPS"/>
        </w:rPr>
        <w:t>s with p &lt; 0.05.</w:t>
      </w:r>
    </w:p>
    <w:p w:rsidR="00A62CC9" w:rsidRPr="00A62CC9" w:rsidRDefault="00A62CC9" w:rsidP="00AA0C09">
      <w:pPr>
        <w:pStyle w:val="a3"/>
        <w:rPr>
          <w:rFonts w:ascii="TimesNewRomanPS" w:hAnsi="TimesNewRomanPS" w:hint="eastAsia"/>
          <w:b/>
          <w:bCs/>
          <w:sz w:val="20"/>
          <w:szCs w:val="20"/>
        </w:rPr>
      </w:pPr>
    </w:p>
    <w:p w:rsidR="00A62CC9" w:rsidRDefault="00A62CC9" w:rsidP="00AA0C09">
      <w:pPr>
        <w:pStyle w:val="a3"/>
        <w:rPr>
          <w:rFonts w:ascii="TimesNewRomanPS" w:hAnsi="TimesNewRomanPS" w:hint="eastAsia"/>
          <w:b/>
          <w:bCs/>
          <w:sz w:val="20"/>
          <w:szCs w:val="20"/>
        </w:rPr>
      </w:pPr>
    </w:p>
    <w:p w:rsidR="00AA0C09" w:rsidRPr="00AA0C09" w:rsidRDefault="00AA0C09" w:rsidP="00AA0C09">
      <w:pPr>
        <w:pStyle w:val="a3"/>
        <w:rPr>
          <w:rFonts w:ascii="TimesNewRomanPS" w:hAnsi="TimesNewRomanPS" w:hint="eastAsia"/>
          <w:b/>
          <w:bCs/>
        </w:rPr>
      </w:pPr>
      <w:r>
        <w:rPr>
          <w:rFonts w:ascii="TimesNewRomanPS" w:hAnsi="TimesNewRomanPS"/>
          <w:b/>
          <w:bCs/>
          <w:noProof/>
        </w:rPr>
        <w:lastRenderedPageBreak/>
        <w:drawing>
          <wp:inline distT="0" distB="0" distL="0" distR="0">
            <wp:extent cx="5270500" cy="30118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011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0C09" w:rsidRPr="00AA0C09" w:rsidRDefault="00AA0C09" w:rsidP="00AA0C09">
      <w:pPr>
        <w:pStyle w:val="a3"/>
      </w:pPr>
      <w:r w:rsidRPr="00AA0C09">
        <w:rPr>
          <w:rFonts w:ascii="TimesNewRomanPS" w:hAnsi="TimesNewRomanPS"/>
          <w:b/>
          <w:bCs/>
        </w:rPr>
        <w:t>Figure S1</w:t>
      </w:r>
      <w:r w:rsidRPr="00AA0C09">
        <w:rPr>
          <w:rFonts w:ascii="TimesNewRomanPSMT" w:hAnsi="TimesNewRomanPSMT"/>
        </w:rPr>
        <w:t xml:space="preserve"> GPC</w:t>
      </w:r>
      <w:r w:rsidRPr="00AA0C09">
        <w:rPr>
          <w:rFonts w:ascii="TimesNewRomanPSMT" w:hAnsi="TimesNewRomanPSMT"/>
        </w:rPr>
        <w:t xml:space="preserve">2 expression levels in tumor cell lines from CCLE database. </w:t>
      </w:r>
    </w:p>
    <w:sectPr w:rsidR="00AA0C09" w:rsidRPr="00AA0C09" w:rsidSect="0067472E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">
    <w:altName w:val="Times New Roman"/>
    <w:panose1 w:val="020B0604020202020204"/>
    <w:charset w:val="00"/>
    <w:family w:val="roman"/>
    <w:pitch w:val="default"/>
  </w:font>
  <w:font w:name="TimesNewRomanPSMT">
    <w:altName w:val="Times New Roman"/>
    <w:panose1 w:val="020B0604020202020204"/>
    <w:charset w:val="00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770"/>
    <w:rsid w:val="001953E1"/>
    <w:rsid w:val="003D0453"/>
    <w:rsid w:val="003E362E"/>
    <w:rsid w:val="00402A8F"/>
    <w:rsid w:val="004210CE"/>
    <w:rsid w:val="004370A7"/>
    <w:rsid w:val="004819B7"/>
    <w:rsid w:val="004D1382"/>
    <w:rsid w:val="005D7F04"/>
    <w:rsid w:val="00673ED4"/>
    <w:rsid w:val="0067472E"/>
    <w:rsid w:val="00684F4E"/>
    <w:rsid w:val="006A6605"/>
    <w:rsid w:val="006E4770"/>
    <w:rsid w:val="00857807"/>
    <w:rsid w:val="0086157D"/>
    <w:rsid w:val="00926D6A"/>
    <w:rsid w:val="00A62CC9"/>
    <w:rsid w:val="00AA0C09"/>
    <w:rsid w:val="00AB22D4"/>
    <w:rsid w:val="00B63A31"/>
    <w:rsid w:val="00C145AB"/>
    <w:rsid w:val="00C21E48"/>
    <w:rsid w:val="00C33723"/>
    <w:rsid w:val="00C415EB"/>
    <w:rsid w:val="00C575A8"/>
    <w:rsid w:val="00CA6383"/>
    <w:rsid w:val="00CC3238"/>
    <w:rsid w:val="00D468AD"/>
    <w:rsid w:val="00DB35A6"/>
    <w:rsid w:val="00DF0817"/>
    <w:rsid w:val="00E47BBB"/>
    <w:rsid w:val="00F119C3"/>
    <w:rsid w:val="00F72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17ECE4"/>
  <w15:chartTrackingRefBased/>
  <w15:docId w15:val="{82A7DC08-0BF7-FB44-83CA-2AEA94349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E47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p">
    <w:name w:val="p"/>
    <w:basedOn w:val="a"/>
    <w:rsid w:val="00A62C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4">
    <w:name w:val="Table Grid"/>
    <w:basedOn w:val="a1"/>
    <w:uiPriority w:val="39"/>
    <w:rsid w:val="00A62C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42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00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930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93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570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42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679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287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22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70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41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499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2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1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44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899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074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4545</TotalTime>
  <Pages>2</Pages>
  <Words>214</Words>
  <Characters>1223</Characters>
  <Application>Microsoft Office Word</Application>
  <DocSecurity>0</DocSecurity>
  <Lines>10</Lines>
  <Paragraphs>2</Paragraphs>
  <ScaleCrop>false</ScaleCrop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Yanking Xu</dc:creator>
  <cp:keywords/>
  <dc:description/>
  <cp:lastModifiedBy>Yanking Xu</cp:lastModifiedBy>
  <cp:revision>2</cp:revision>
  <dcterms:created xsi:type="dcterms:W3CDTF">2024-07-09T02:22:00Z</dcterms:created>
  <dcterms:modified xsi:type="dcterms:W3CDTF">2024-07-16T12:42:00Z</dcterms:modified>
</cp:coreProperties>
</file>