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538489">
      <w:pPr>
        <w:ind w:left="420" w:leftChars="0" w:firstLine="420" w:firstLineChars="0"/>
        <w:rPr>
          <w:rFonts w:eastAsia="AdvOTea1a7398"/>
          <w:szCs w:val="21"/>
        </w:rPr>
      </w:pPr>
    </w:p>
    <w:tbl>
      <w:tblPr>
        <w:tblStyle w:val="6"/>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349"/>
        <w:gridCol w:w="1417"/>
        <w:gridCol w:w="2402"/>
        <w:gridCol w:w="1284"/>
      </w:tblGrid>
      <w:tr w14:paraId="39E9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364" w:type="dxa"/>
            <w:gridSpan w:val="5"/>
            <w:vAlign w:val="center"/>
          </w:tcPr>
          <w:p w14:paraId="7077C3B0">
            <w:pPr>
              <w:keepNext w:val="0"/>
              <w:keepLines w:val="0"/>
              <w:widowControl/>
              <w:suppressLineNumbers w:val="0"/>
              <w:jc w:val="left"/>
              <w:rPr>
                <w:rFonts w:hint="default" w:eastAsia="等线"/>
                <w:color w:val="000000"/>
                <w:sz w:val="22"/>
                <w:lang w:val="en-US"/>
              </w:rPr>
            </w:pPr>
            <w:r>
              <w:rPr>
                <w:b/>
                <w:bCs/>
                <w:szCs w:val="21"/>
              </w:rPr>
              <w:t>Table S1.</w:t>
            </w:r>
            <w:r>
              <w:rPr>
                <w:rFonts w:eastAsia="AdvOTea1a7398"/>
                <w:b/>
                <w:bCs/>
                <w:szCs w:val="21"/>
              </w:rPr>
              <w:t xml:space="preserve"> </w:t>
            </w:r>
            <w:r>
              <w:rPr>
                <w:rFonts w:hint="default" w:ascii="Times New Roman" w:hAnsi="Times New Roman" w:eastAsia="AdvTT2c8ce45a" w:cs="Times New Roman"/>
                <w:color w:val="000000" w:themeColor="text1"/>
                <w:kern w:val="0"/>
                <w:sz w:val="21"/>
                <w:szCs w:val="21"/>
                <w:lang w:val="en-US" w:eastAsia="zh-CN" w:bidi="ar"/>
                <w14:textFill>
                  <w14:solidFill>
                    <w14:schemeClr w14:val="tx1"/>
                  </w14:solidFill>
                </w14:textFill>
              </w:rPr>
              <w:t>Cox proportional hazards regression analysis</w:t>
            </w:r>
            <w:r>
              <w:rPr>
                <w:rFonts w:hint="eastAsia" w:eastAsia="AdvTT2c8ce45a" w:cs="Times New Roman"/>
                <w:color w:val="000000" w:themeColor="text1"/>
                <w:kern w:val="0"/>
                <w:sz w:val="21"/>
                <w:szCs w:val="21"/>
                <w:lang w:val="en-US" w:eastAsia="zh-CN" w:bidi="ar"/>
                <w14:textFill>
                  <w14:solidFill>
                    <w14:schemeClr w14:val="tx1"/>
                  </w14:solidFill>
                </w14:textFill>
              </w:rPr>
              <w:t xml:space="preserve"> for RFS and OS in the total group</w:t>
            </w:r>
          </w:p>
        </w:tc>
      </w:tr>
      <w:tr w14:paraId="1B10D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12" w:type="dxa"/>
            <w:vAlign w:val="center"/>
          </w:tcPr>
          <w:p w14:paraId="2C2FE1CC">
            <w:pPr>
              <w:widowControl/>
              <w:jc w:val="left"/>
            </w:pPr>
          </w:p>
        </w:tc>
        <w:tc>
          <w:tcPr>
            <w:tcW w:w="1349" w:type="dxa"/>
            <w:vAlign w:val="center"/>
          </w:tcPr>
          <w:p w14:paraId="480508E6">
            <w:pPr>
              <w:widowControl/>
              <w:jc w:val="left"/>
            </w:pPr>
            <w:r>
              <w:rPr>
                <w:rFonts w:eastAsia="等线"/>
                <w:color w:val="000000"/>
                <w:sz w:val="22"/>
              </w:rPr>
              <w:t>B</w:t>
            </w:r>
          </w:p>
        </w:tc>
        <w:tc>
          <w:tcPr>
            <w:tcW w:w="1417" w:type="dxa"/>
            <w:vAlign w:val="center"/>
          </w:tcPr>
          <w:p w14:paraId="7E6C302C">
            <w:pPr>
              <w:widowControl/>
              <w:jc w:val="left"/>
            </w:pPr>
            <w:r>
              <w:rPr>
                <w:rFonts w:eastAsia="等线"/>
                <w:color w:val="000000"/>
                <w:sz w:val="22"/>
              </w:rPr>
              <w:t>Wald</w:t>
            </w:r>
          </w:p>
        </w:tc>
        <w:tc>
          <w:tcPr>
            <w:tcW w:w="2402" w:type="dxa"/>
            <w:vAlign w:val="center"/>
          </w:tcPr>
          <w:p w14:paraId="48DF481C">
            <w:pPr>
              <w:widowControl/>
              <w:jc w:val="left"/>
            </w:pPr>
            <w:r>
              <w:rPr>
                <w:rFonts w:eastAsia="等线"/>
                <w:color w:val="000000"/>
                <w:sz w:val="22"/>
              </w:rPr>
              <w:t>HR_with_95CI</w:t>
            </w:r>
          </w:p>
        </w:tc>
        <w:tc>
          <w:tcPr>
            <w:tcW w:w="1284" w:type="dxa"/>
            <w:vAlign w:val="center"/>
          </w:tcPr>
          <w:p w14:paraId="48D105CF">
            <w:pPr>
              <w:widowControl/>
              <w:jc w:val="left"/>
            </w:pPr>
            <w:r>
              <w:rPr>
                <w:rFonts w:eastAsia="等线"/>
                <w:color w:val="000000"/>
                <w:sz w:val="22"/>
              </w:rPr>
              <w:t>P</w:t>
            </w:r>
          </w:p>
        </w:tc>
      </w:tr>
      <w:tr w14:paraId="1DE3B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12" w:type="dxa"/>
            <w:vAlign w:val="center"/>
          </w:tcPr>
          <w:p w14:paraId="75BB757E">
            <w:pPr>
              <w:widowControl/>
              <w:jc w:val="left"/>
            </w:pPr>
            <w:r>
              <w:rPr>
                <w:rFonts w:hint="eastAsia"/>
              </w:rPr>
              <w:t>R</w:t>
            </w:r>
            <w:r>
              <w:t>FS</w:t>
            </w:r>
          </w:p>
        </w:tc>
        <w:tc>
          <w:tcPr>
            <w:tcW w:w="1349" w:type="dxa"/>
            <w:vAlign w:val="center"/>
          </w:tcPr>
          <w:p w14:paraId="07045866">
            <w:pPr>
              <w:widowControl/>
              <w:jc w:val="left"/>
            </w:pPr>
            <w:r>
              <w:rPr>
                <w:rFonts w:hint="eastAsia"/>
              </w:rPr>
              <w:t>0</w:t>
            </w:r>
            <w:r>
              <w:t>.765</w:t>
            </w:r>
          </w:p>
        </w:tc>
        <w:tc>
          <w:tcPr>
            <w:tcW w:w="1417" w:type="dxa"/>
            <w:vAlign w:val="center"/>
          </w:tcPr>
          <w:p w14:paraId="17732753">
            <w:pPr>
              <w:widowControl/>
              <w:jc w:val="left"/>
            </w:pPr>
            <w:r>
              <w:rPr>
                <w:rFonts w:hint="eastAsia"/>
              </w:rPr>
              <w:t>2</w:t>
            </w:r>
            <w:r>
              <w:t>0.41</w:t>
            </w:r>
          </w:p>
        </w:tc>
        <w:tc>
          <w:tcPr>
            <w:tcW w:w="2402" w:type="dxa"/>
            <w:vAlign w:val="center"/>
          </w:tcPr>
          <w:p w14:paraId="2D6CD9B7">
            <w:pPr>
              <w:widowControl/>
              <w:jc w:val="left"/>
            </w:pPr>
            <w:r>
              <w:rPr>
                <w:rFonts w:eastAsia="等线"/>
                <w:color w:val="000000"/>
                <w:sz w:val="22"/>
              </w:rPr>
              <w:t>2.15(1.542-2.996)</w:t>
            </w:r>
          </w:p>
        </w:tc>
        <w:tc>
          <w:tcPr>
            <w:tcW w:w="1284" w:type="dxa"/>
            <w:vAlign w:val="center"/>
          </w:tcPr>
          <w:p w14:paraId="5221C8BA">
            <w:pPr>
              <w:widowControl/>
              <w:jc w:val="left"/>
            </w:pPr>
            <w:r>
              <w:rPr>
                <w:rFonts w:eastAsia="等线"/>
                <w:color w:val="000000"/>
                <w:sz w:val="22"/>
              </w:rPr>
              <w:t>&lt;0.0001</w:t>
            </w:r>
          </w:p>
        </w:tc>
      </w:tr>
      <w:tr w14:paraId="7D870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12" w:type="dxa"/>
            <w:vAlign w:val="center"/>
          </w:tcPr>
          <w:p w14:paraId="6BCF04D3">
            <w:pPr>
              <w:widowControl/>
              <w:jc w:val="left"/>
            </w:pPr>
            <w:r>
              <w:rPr>
                <w:rFonts w:hint="eastAsia"/>
              </w:rPr>
              <w:t>O</w:t>
            </w:r>
            <w:r>
              <w:t>S</w:t>
            </w:r>
          </w:p>
        </w:tc>
        <w:tc>
          <w:tcPr>
            <w:tcW w:w="1349" w:type="dxa"/>
            <w:vAlign w:val="center"/>
          </w:tcPr>
          <w:p w14:paraId="69EB3C7B">
            <w:pPr>
              <w:widowControl/>
              <w:jc w:val="left"/>
            </w:pPr>
            <w:r>
              <w:rPr>
                <w:rFonts w:hint="eastAsia"/>
              </w:rPr>
              <w:t>1</w:t>
            </w:r>
            <w:r>
              <w:t>.469</w:t>
            </w:r>
          </w:p>
        </w:tc>
        <w:tc>
          <w:tcPr>
            <w:tcW w:w="1417" w:type="dxa"/>
            <w:vAlign w:val="center"/>
          </w:tcPr>
          <w:p w14:paraId="78BF7B58">
            <w:pPr>
              <w:widowControl/>
              <w:jc w:val="left"/>
            </w:pPr>
            <w:r>
              <w:rPr>
                <w:rFonts w:hint="eastAsia"/>
              </w:rPr>
              <w:t>4</w:t>
            </w:r>
            <w:r>
              <w:t>6.64</w:t>
            </w:r>
          </w:p>
        </w:tc>
        <w:tc>
          <w:tcPr>
            <w:tcW w:w="2402" w:type="dxa"/>
            <w:vAlign w:val="center"/>
          </w:tcPr>
          <w:p w14:paraId="22A270DC">
            <w:pPr>
              <w:widowControl/>
              <w:jc w:val="left"/>
            </w:pPr>
            <w:r>
              <w:t>4.348</w:t>
            </w:r>
            <w:r>
              <w:rPr>
                <w:rFonts w:eastAsia="等线"/>
                <w:color w:val="000000"/>
                <w:sz w:val="22"/>
              </w:rPr>
              <w:t xml:space="preserve"> (2.852-6.630)</w:t>
            </w:r>
          </w:p>
        </w:tc>
        <w:tc>
          <w:tcPr>
            <w:tcW w:w="1284" w:type="dxa"/>
            <w:vAlign w:val="center"/>
          </w:tcPr>
          <w:p w14:paraId="0E996878">
            <w:pPr>
              <w:widowControl/>
              <w:jc w:val="left"/>
            </w:pPr>
            <w:r>
              <w:rPr>
                <w:rFonts w:eastAsia="等线"/>
                <w:color w:val="000000"/>
                <w:sz w:val="22"/>
              </w:rPr>
              <w:t>&lt;0.0001</w:t>
            </w:r>
          </w:p>
        </w:tc>
      </w:tr>
    </w:tbl>
    <w:p w14:paraId="47AFB11E">
      <w:pPr>
        <w:widowControl/>
        <w:jc w:val="left"/>
      </w:pPr>
    </w:p>
    <w:p w14:paraId="149C8232">
      <w:pPr>
        <w:rPr>
          <w:rFonts w:eastAsia="AdvOTea1a7398"/>
          <w:szCs w:val="21"/>
        </w:rPr>
      </w:pPr>
    </w:p>
    <w:tbl>
      <w:tblPr>
        <w:tblStyle w:val="5"/>
        <w:tblW w:w="84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62"/>
        <w:gridCol w:w="4300"/>
        <w:gridCol w:w="12"/>
      </w:tblGrid>
      <w:tr w14:paraId="0D634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602" w:hRule="atLeast"/>
          <w:jc w:val="center"/>
        </w:trPr>
        <w:tc>
          <w:tcPr>
            <w:tcW w:w="8462" w:type="dxa"/>
            <w:gridSpan w:val="2"/>
            <w:vAlign w:val="center"/>
          </w:tcPr>
          <w:p w14:paraId="788411BC">
            <w:pPr>
              <w:rPr>
                <w:szCs w:val="21"/>
              </w:rPr>
            </w:pPr>
            <w:r>
              <w:rPr>
                <w:b/>
                <w:bCs/>
                <w:szCs w:val="21"/>
              </w:rPr>
              <w:t>Table S</w:t>
            </w:r>
            <w:r>
              <w:rPr>
                <w:rFonts w:hint="eastAsia"/>
                <w:b/>
                <w:bCs/>
                <w:szCs w:val="21"/>
                <w:lang w:val="en-US" w:eastAsia="zh-CN"/>
              </w:rPr>
              <w:t>2</w:t>
            </w:r>
            <w:r>
              <w:rPr>
                <w:b/>
                <w:bCs/>
                <w:szCs w:val="21"/>
              </w:rPr>
              <w:t>.</w:t>
            </w:r>
            <w:r>
              <w:rPr>
                <w:rFonts w:eastAsia="AdvOTea1a7398"/>
                <w:b/>
                <w:bCs/>
                <w:szCs w:val="21"/>
              </w:rPr>
              <w:t xml:space="preserve"> </w:t>
            </w:r>
            <w:r>
              <w:rPr>
                <w:rFonts w:eastAsia="AdvOTea1a7398"/>
                <w:bCs/>
                <w:szCs w:val="21"/>
              </w:rPr>
              <w:t xml:space="preserve">Coefficients for selected </w:t>
            </w:r>
            <w:r>
              <w:rPr>
                <w:color w:val="000000" w:themeColor="text1"/>
                <w:szCs w:val="21"/>
                <w14:textFill>
                  <w14:solidFill>
                    <w14:schemeClr w14:val="tx1"/>
                  </w14:solidFill>
                </w14:textFill>
              </w:rPr>
              <w:t>features</w:t>
            </w:r>
            <w:r>
              <w:rPr>
                <w:rFonts w:eastAsia="AdvOTea1a7398"/>
                <w:bCs/>
                <w:szCs w:val="21"/>
              </w:rPr>
              <w:t xml:space="preserve"> in the LASSO regression models on MVI=M2 status</w:t>
            </w:r>
          </w:p>
        </w:tc>
      </w:tr>
      <w:tr w14:paraId="3EF08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474" w:type="dxa"/>
            <w:gridSpan w:val="3"/>
            <w:vAlign w:val="center"/>
          </w:tcPr>
          <w:p w14:paraId="22B34727">
            <w:pPr>
              <w:jc w:val="center"/>
              <w:rPr>
                <w:szCs w:val="21"/>
              </w:rPr>
            </w:pPr>
            <w:r>
              <w:rPr>
                <w:szCs w:val="21"/>
              </w:rPr>
              <w:t>M2 λ1se=</w:t>
            </w:r>
            <w:r>
              <w:t>0.05807354</w:t>
            </w:r>
            <w:r>
              <w:rPr>
                <w:szCs w:val="21"/>
              </w:rPr>
              <w:t>, In(λ)=</w:t>
            </w:r>
            <w:r>
              <w:t xml:space="preserve"> -2.7066179687</w:t>
            </w:r>
          </w:p>
        </w:tc>
      </w:tr>
      <w:tr w14:paraId="1CEDB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vAlign w:val="center"/>
          </w:tcPr>
          <w:p w14:paraId="09E798C6">
            <w:pPr>
              <w:jc w:val="center"/>
              <w:rPr>
                <w:szCs w:val="21"/>
              </w:rPr>
            </w:pPr>
            <w:r>
              <w:rPr>
                <w:szCs w:val="21"/>
              </w:rPr>
              <w:t>Index</w:t>
            </w:r>
          </w:p>
        </w:tc>
        <w:tc>
          <w:tcPr>
            <w:tcW w:w="4312" w:type="dxa"/>
            <w:gridSpan w:val="2"/>
          </w:tcPr>
          <w:p w14:paraId="43BAFAD0">
            <w:pPr>
              <w:jc w:val="center"/>
              <w:rPr>
                <w:szCs w:val="21"/>
              </w:rPr>
            </w:pPr>
            <w:r>
              <w:rPr>
                <w:szCs w:val="21"/>
              </w:rPr>
              <w:t>coefficient</w:t>
            </w:r>
          </w:p>
        </w:tc>
      </w:tr>
      <w:tr w14:paraId="6D5FD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vAlign w:val="center"/>
          </w:tcPr>
          <w:p w14:paraId="08437DEB">
            <w:pPr>
              <w:jc w:val="center"/>
              <w:rPr>
                <w:szCs w:val="21"/>
              </w:rPr>
            </w:pPr>
            <w:r>
              <w:rPr>
                <w:szCs w:val="21"/>
              </w:rPr>
              <w:t xml:space="preserve">C3            </w:t>
            </w:r>
          </w:p>
        </w:tc>
        <w:tc>
          <w:tcPr>
            <w:tcW w:w="4312" w:type="dxa"/>
            <w:gridSpan w:val="2"/>
            <w:vAlign w:val="center"/>
          </w:tcPr>
          <w:p w14:paraId="4E114017">
            <w:pPr>
              <w:jc w:val="center"/>
              <w:rPr>
                <w:szCs w:val="21"/>
              </w:rPr>
            </w:pPr>
            <w:r>
              <w:rPr>
                <w:szCs w:val="21"/>
              </w:rPr>
              <w:t xml:space="preserve"> -0.0152649361</w:t>
            </w:r>
          </w:p>
        </w:tc>
      </w:tr>
      <w:tr w14:paraId="44279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vAlign w:val="center"/>
          </w:tcPr>
          <w:p w14:paraId="0D2BB645">
            <w:pPr>
              <w:jc w:val="center"/>
              <w:rPr>
                <w:szCs w:val="21"/>
              </w:rPr>
            </w:pPr>
            <w:r>
              <w:rPr>
                <w:szCs w:val="21"/>
              </w:rPr>
              <w:t>Tumor.Size</w:t>
            </w:r>
          </w:p>
          <w:p w14:paraId="25460638">
            <w:pPr>
              <w:jc w:val="center"/>
              <w:rPr>
                <w:szCs w:val="21"/>
              </w:rPr>
            </w:pPr>
            <w:r>
              <w:rPr>
                <w:szCs w:val="21"/>
              </w:rPr>
              <w:t xml:space="preserve">                   </w:t>
            </w:r>
          </w:p>
        </w:tc>
        <w:tc>
          <w:tcPr>
            <w:tcW w:w="4312" w:type="dxa"/>
            <w:gridSpan w:val="2"/>
            <w:vAlign w:val="center"/>
          </w:tcPr>
          <w:p w14:paraId="260E9126">
            <w:pPr>
              <w:jc w:val="center"/>
              <w:rPr>
                <w:szCs w:val="21"/>
              </w:rPr>
            </w:pPr>
            <w:r>
              <w:rPr>
                <w:szCs w:val="21"/>
              </w:rPr>
              <w:t>0.2578120535</w:t>
            </w:r>
          </w:p>
          <w:p w14:paraId="21D60BA4">
            <w:pPr>
              <w:jc w:val="center"/>
              <w:rPr>
                <w:szCs w:val="21"/>
              </w:rPr>
            </w:pPr>
          </w:p>
        </w:tc>
      </w:tr>
      <w:tr w14:paraId="0B5F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vAlign w:val="center"/>
          </w:tcPr>
          <w:p w14:paraId="465C1DB1">
            <w:pPr>
              <w:jc w:val="center"/>
              <w:rPr>
                <w:szCs w:val="21"/>
              </w:rPr>
            </w:pPr>
            <w:r>
              <w:rPr>
                <w:szCs w:val="21"/>
              </w:rPr>
              <w:t xml:space="preserve">Cirrhosis  </w:t>
            </w:r>
          </w:p>
          <w:p w14:paraId="4DFE9553">
            <w:pPr>
              <w:jc w:val="center"/>
              <w:rPr>
                <w:szCs w:val="21"/>
              </w:rPr>
            </w:pPr>
            <w:r>
              <w:rPr>
                <w:szCs w:val="21"/>
              </w:rPr>
              <w:t xml:space="preserve">         </w:t>
            </w:r>
          </w:p>
        </w:tc>
        <w:tc>
          <w:tcPr>
            <w:tcW w:w="4312" w:type="dxa"/>
            <w:gridSpan w:val="2"/>
            <w:vAlign w:val="center"/>
          </w:tcPr>
          <w:p w14:paraId="5E8B8950">
            <w:pPr>
              <w:jc w:val="center"/>
              <w:rPr>
                <w:szCs w:val="21"/>
              </w:rPr>
            </w:pPr>
            <w:r>
              <w:rPr>
                <w:szCs w:val="21"/>
              </w:rPr>
              <w:t>0.0004005816</w:t>
            </w:r>
          </w:p>
          <w:p w14:paraId="1AA1E5D9">
            <w:pPr>
              <w:jc w:val="center"/>
              <w:rPr>
                <w:szCs w:val="21"/>
              </w:rPr>
            </w:pPr>
          </w:p>
        </w:tc>
      </w:tr>
      <w:tr w14:paraId="4BF27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tcPr>
          <w:p w14:paraId="01AF1F10">
            <w:pPr>
              <w:jc w:val="center"/>
              <w:rPr>
                <w:szCs w:val="21"/>
              </w:rPr>
            </w:pPr>
            <w:r>
              <w:rPr>
                <w:szCs w:val="21"/>
              </w:rPr>
              <w:t>Tumor.Capsule</w:t>
            </w:r>
          </w:p>
          <w:p w14:paraId="3ED69F54">
            <w:pPr>
              <w:jc w:val="center"/>
              <w:rPr>
                <w:szCs w:val="21"/>
              </w:rPr>
            </w:pPr>
            <w:r>
              <w:rPr>
                <w:szCs w:val="21"/>
              </w:rPr>
              <w:t xml:space="preserve">     </w:t>
            </w:r>
          </w:p>
        </w:tc>
        <w:tc>
          <w:tcPr>
            <w:tcW w:w="4312" w:type="dxa"/>
            <w:gridSpan w:val="2"/>
          </w:tcPr>
          <w:p w14:paraId="715C815F">
            <w:pPr>
              <w:jc w:val="center"/>
              <w:rPr>
                <w:szCs w:val="21"/>
              </w:rPr>
            </w:pPr>
            <w:r>
              <w:rPr>
                <w:szCs w:val="21"/>
              </w:rPr>
              <w:t>0.0820389245</w:t>
            </w:r>
          </w:p>
          <w:p w14:paraId="28466D4F">
            <w:pPr>
              <w:jc w:val="center"/>
              <w:rPr>
                <w:szCs w:val="21"/>
              </w:rPr>
            </w:pPr>
          </w:p>
        </w:tc>
      </w:tr>
      <w:tr w14:paraId="6C18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162" w:type="dxa"/>
          </w:tcPr>
          <w:p w14:paraId="2B327BF5">
            <w:pPr>
              <w:jc w:val="center"/>
              <w:rPr>
                <w:szCs w:val="21"/>
              </w:rPr>
            </w:pPr>
            <w:r>
              <w:rPr>
                <w:szCs w:val="21"/>
              </w:rPr>
              <w:t>Edmondson.stage</w:t>
            </w:r>
          </w:p>
          <w:p w14:paraId="06256667">
            <w:pPr>
              <w:jc w:val="center"/>
              <w:rPr>
                <w:szCs w:val="21"/>
              </w:rPr>
            </w:pPr>
          </w:p>
        </w:tc>
        <w:tc>
          <w:tcPr>
            <w:tcW w:w="4312" w:type="dxa"/>
            <w:gridSpan w:val="2"/>
          </w:tcPr>
          <w:p w14:paraId="190C1C4E">
            <w:pPr>
              <w:jc w:val="center"/>
              <w:rPr>
                <w:szCs w:val="21"/>
              </w:rPr>
            </w:pPr>
            <w:r>
              <w:rPr>
                <w:szCs w:val="21"/>
              </w:rPr>
              <w:t>0.5540150412</w:t>
            </w:r>
          </w:p>
          <w:p w14:paraId="71ACFB56">
            <w:pPr>
              <w:jc w:val="center"/>
              <w:rPr>
                <w:szCs w:val="21"/>
              </w:rPr>
            </w:pPr>
          </w:p>
        </w:tc>
      </w:tr>
    </w:tbl>
    <w:p w14:paraId="1D07A1C7"/>
    <w:p w14:paraId="2C6D1871"/>
    <w:p w14:paraId="098D2BE3"/>
    <w:tbl>
      <w:tblPr>
        <w:tblStyle w:val="6"/>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2"/>
        <w:gridCol w:w="1349"/>
        <w:gridCol w:w="1417"/>
        <w:gridCol w:w="2402"/>
        <w:gridCol w:w="1284"/>
      </w:tblGrid>
      <w:tr w14:paraId="2A215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8364" w:type="dxa"/>
            <w:gridSpan w:val="5"/>
            <w:vAlign w:val="center"/>
          </w:tcPr>
          <w:p w14:paraId="19E034D8">
            <w:pPr>
              <w:tabs>
                <w:tab w:val="left" w:pos="5503"/>
              </w:tabs>
              <w:rPr>
                <w:rFonts w:hint="default" w:eastAsia="宋体"/>
                <w:color w:val="000000"/>
                <w:sz w:val="22"/>
                <w:lang w:val="en-US" w:eastAsia="zh-CN"/>
              </w:rPr>
            </w:pPr>
            <w:r>
              <w:rPr>
                <w:b/>
                <w:bCs/>
                <w:szCs w:val="21"/>
              </w:rPr>
              <w:t>Table S</w:t>
            </w:r>
            <w:r>
              <w:rPr>
                <w:rFonts w:hint="eastAsia"/>
                <w:b/>
                <w:bCs/>
                <w:szCs w:val="21"/>
                <w:lang w:val="en-US" w:eastAsia="zh-CN"/>
              </w:rPr>
              <w:t>3</w:t>
            </w:r>
            <w:r>
              <w:rPr>
                <w:b/>
                <w:bCs/>
                <w:szCs w:val="21"/>
              </w:rPr>
              <w:t>.</w:t>
            </w:r>
            <w:r>
              <w:rPr>
                <w:rFonts w:eastAsia="AdvOTea1a7398"/>
                <w:b/>
                <w:bCs/>
                <w:szCs w:val="21"/>
              </w:rPr>
              <w:t xml:space="preserve"> </w:t>
            </w:r>
            <w:r>
              <w:rPr>
                <w:rFonts w:ascii="Times New Roman" w:hAnsi="Times New Roman"/>
                <w:sz w:val="21"/>
                <w:szCs w:val="21"/>
              </w:rPr>
              <w:t>Multivariate logistic regression analysis of M</w:t>
            </w:r>
            <w:r>
              <w:rPr>
                <w:rFonts w:hint="eastAsia"/>
                <w:sz w:val="21"/>
                <w:szCs w:val="21"/>
                <w:lang w:val="en-US" w:eastAsia="zh-CN"/>
              </w:rPr>
              <w:t>2</w:t>
            </w:r>
            <w:r>
              <w:rPr>
                <w:rFonts w:ascii="Times New Roman" w:hAnsi="Times New Roman"/>
                <w:sz w:val="21"/>
                <w:szCs w:val="21"/>
              </w:rPr>
              <w:t xml:space="preserve"> presence based on data in the training </w:t>
            </w:r>
            <w:r>
              <w:rPr>
                <w:rFonts w:hint="eastAsia"/>
                <w:sz w:val="21"/>
                <w:szCs w:val="21"/>
                <w:lang w:val="en-US" w:eastAsia="zh-CN"/>
              </w:rPr>
              <w:t>group</w:t>
            </w:r>
          </w:p>
        </w:tc>
      </w:tr>
      <w:tr w14:paraId="1883B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12" w:type="dxa"/>
            <w:vAlign w:val="center"/>
          </w:tcPr>
          <w:p w14:paraId="25FC798C">
            <w:pPr>
              <w:widowControl/>
              <w:jc w:val="left"/>
            </w:pPr>
          </w:p>
        </w:tc>
        <w:tc>
          <w:tcPr>
            <w:tcW w:w="1349" w:type="dxa"/>
            <w:vAlign w:val="center"/>
          </w:tcPr>
          <w:p w14:paraId="27FAC76C">
            <w:pPr>
              <w:widowControl/>
              <w:jc w:val="left"/>
            </w:pPr>
            <w:r>
              <w:rPr>
                <w:rFonts w:eastAsia="等线"/>
                <w:color w:val="000000"/>
                <w:sz w:val="22"/>
              </w:rPr>
              <w:t>B</w:t>
            </w:r>
          </w:p>
        </w:tc>
        <w:tc>
          <w:tcPr>
            <w:tcW w:w="1417" w:type="dxa"/>
            <w:vAlign w:val="center"/>
          </w:tcPr>
          <w:p w14:paraId="3DE3AA14">
            <w:pPr>
              <w:widowControl/>
              <w:jc w:val="left"/>
            </w:pPr>
            <w:r>
              <w:rPr>
                <w:rFonts w:eastAsia="等线"/>
                <w:color w:val="000000"/>
                <w:sz w:val="22"/>
              </w:rPr>
              <w:t>Wald</w:t>
            </w:r>
          </w:p>
        </w:tc>
        <w:tc>
          <w:tcPr>
            <w:tcW w:w="2402" w:type="dxa"/>
            <w:vAlign w:val="center"/>
          </w:tcPr>
          <w:p w14:paraId="2B94BB64">
            <w:pPr>
              <w:widowControl/>
              <w:jc w:val="left"/>
            </w:pPr>
            <w:r>
              <w:rPr>
                <w:rFonts w:eastAsia="等线"/>
                <w:color w:val="000000"/>
                <w:sz w:val="22"/>
              </w:rPr>
              <w:t>OR_with_95CI</w:t>
            </w:r>
          </w:p>
        </w:tc>
        <w:tc>
          <w:tcPr>
            <w:tcW w:w="1284" w:type="dxa"/>
            <w:vAlign w:val="center"/>
          </w:tcPr>
          <w:p w14:paraId="0B681F6A">
            <w:pPr>
              <w:widowControl/>
              <w:jc w:val="left"/>
            </w:pPr>
            <w:r>
              <w:rPr>
                <w:rFonts w:eastAsia="等线"/>
                <w:color w:val="000000"/>
                <w:sz w:val="22"/>
              </w:rPr>
              <w:t>P</w:t>
            </w:r>
          </w:p>
        </w:tc>
      </w:tr>
      <w:tr w14:paraId="445DA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12" w:type="dxa"/>
            <w:vAlign w:val="center"/>
          </w:tcPr>
          <w:p w14:paraId="6202C1AB">
            <w:pPr>
              <w:widowControl/>
              <w:jc w:val="left"/>
            </w:pPr>
            <w:r>
              <w:rPr>
                <w:rFonts w:eastAsia="等线"/>
                <w:color w:val="000000"/>
                <w:sz w:val="22"/>
              </w:rPr>
              <w:t>(Intercept)</w:t>
            </w:r>
          </w:p>
        </w:tc>
        <w:tc>
          <w:tcPr>
            <w:tcW w:w="1349" w:type="dxa"/>
            <w:vAlign w:val="center"/>
          </w:tcPr>
          <w:p w14:paraId="023264D5">
            <w:pPr>
              <w:widowControl/>
              <w:jc w:val="left"/>
            </w:pPr>
            <w:r>
              <w:rPr>
                <w:rFonts w:eastAsia="等线"/>
                <w:color w:val="000000"/>
                <w:sz w:val="22"/>
              </w:rPr>
              <w:t>-5.142</w:t>
            </w:r>
          </w:p>
        </w:tc>
        <w:tc>
          <w:tcPr>
            <w:tcW w:w="1417" w:type="dxa"/>
            <w:vAlign w:val="center"/>
          </w:tcPr>
          <w:p w14:paraId="100847ED">
            <w:pPr>
              <w:widowControl/>
              <w:jc w:val="left"/>
            </w:pPr>
            <w:r>
              <w:rPr>
                <w:rFonts w:eastAsia="等线"/>
                <w:color w:val="000000"/>
                <w:sz w:val="22"/>
              </w:rPr>
              <w:t>23.796</w:t>
            </w:r>
          </w:p>
        </w:tc>
        <w:tc>
          <w:tcPr>
            <w:tcW w:w="2402" w:type="dxa"/>
            <w:vAlign w:val="center"/>
          </w:tcPr>
          <w:p w14:paraId="04D94B89">
            <w:pPr>
              <w:widowControl/>
              <w:jc w:val="left"/>
            </w:pPr>
            <w:r>
              <w:rPr>
                <w:rFonts w:eastAsia="等线"/>
                <w:color w:val="000000"/>
                <w:sz w:val="22"/>
              </w:rPr>
              <w:t>0.006(0.001-0.044)</w:t>
            </w:r>
          </w:p>
        </w:tc>
        <w:tc>
          <w:tcPr>
            <w:tcW w:w="1284" w:type="dxa"/>
            <w:vAlign w:val="center"/>
          </w:tcPr>
          <w:p w14:paraId="4972AC89">
            <w:pPr>
              <w:widowControl/>
              <w:jc w:val="left"/>
            </w:pPr>
            <w:r>
              <w:rPr>
                <w:rFonts w:eastAsia="等线"/>
                <w:color w:val="000000"/>
                <w:sz w:val="22"/>
              </w:rPr>
              <w:t>&lt;0.001</w:t>
            </w:r>
          </w:p>
        </w:tc>
      </w:tr>
      <w:tr w14:paraId="3916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12" w:type="dxa"/>
            <w:vAlign w:val="center"/>
          </w:tcPr>
          <w:p w14:paraId="58D67D08">
            <w:pPr>
              <w:widowControl/>
              <w:jc w:val="left"/>
            </w:pPr>
            <w:r>
              <w:rPr>
                <w:rFonts w:eastAsia="等线"/>
                <w:color w:val="000000"/>
                <w:sz w:val="22"/>
              </w:rPr>
              <w:t>C3</w:t>
            </w:r>
          </w:p>
        </w:tc>
        <w:tc>
          <w:tcPr>
            <w:tcW w:w="1349" w:type="dxa"/>
            <w:vAlign w:val="center"/>
          </w:tcPr>
          <w:p w14:paraId="4633B31A">
            <w:pPr>
              <w:widowControl/>
              <w:jc w:val="left"/>
            </w:pPr>
            <w:r>
              <w:rPr>
                <w:rFonts w:eastAsia="等线"/>
                <w:color w:val="000000"/>
                <w:sz w:val="22"/>
              </w:rPr>
              <w:t>-1.642</w:t>
            </w:r>
          </w:p>
        </w:tc>
        <w:tc>
          <w:tcPr>
            <w:tcW w:w="1417" w:type="dxa"/>
            <w:vAlign w:val="center"/>
          </w:tcPr>
          <w:p w14:paraId="7BC9175A">
            <w:pPr>
              <w:widowControl/>
              <w:jc w:val="left"/>
            </w:pPr>
            <w:r>
              <w:rPr>
                <w:rFonts w:eastAsia="等线"/>
                <w:color w:val="000000"/>
                <w:sz w:val="22"/>
              </w:rPr>
              <w:t>6.119</w:t>
            </w:r>
          </w:p>
        </w:tc>
        <w:tc>
          <w:tcPr>
            <w:tcW w:w="2402" w:type="dxa"/>
            <w:vAlign w:val="center"/>
          </w:tcPr>
          <w:p w14:paraId="156A2716">
            <w:pPr>
              <w:widowControl/>
              <w:jc w:val="left"/>
            </w:pPr>
            <w:r>
              <w:rPr>
                <w:rFonts w:eastAsia="等线"/>
                <w:color w:val="000000"/>
                <w:sz w:val="22"/>
              </w:rPr>
              <w:t>0.194(0.05-0.682)</w:t>
            </w:r>
          </w:p>
        </w:tc>
        <w:tc>
          <w:tcPr>
            <w:tcW w:w="1284" w:type="dxa"/>
            <w:vAlign w:val="center"/>
          </w:tcPr>
          <w:p w14:paraId="158617AE">
            <w:pPr>
              <w:widowControl/>
              <w:jc w:val="left"/>
            </w:pPr>
            <w:r>
              <w:rPr>
                <w:rFonts w:eastAsia="等线"/>
                <w:color w:val="000000"/>
                <w:sz w:val="22"/>
              </w:rPr>
              <w:t>0.013</w:t>
            </w:r>
          </w:p>
        </w:tc>
      </w:tr>
      <w:tr w14:paraId="69C31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12" w:type="dxa"/>
            <w:vAlign w:val="center"/>
          </w:tcPr>
          <w:p w14:paraId="5CA3D6D8">
            <w:pPr>
              <w:widowControl/>
              <w:jc w:val="left"/>
            </w:pPr>
            <w:r>
              <w:rPr>
                <w:rFonts w:eastAsia="等线"/>
                <w:color w:val="000000"/>
                <w:sz w:val="22"/>
              </w:rPr>
              <w:t>Tumor.Size</w:t>
            </w:r>
          </w:p>
        </w:tc>
        <w:tc>
          <w:tcPr>
            <w:tcW w:w="1349" w:type="dxa"/>
            <w:vAlign w:val="center"/>
          </w:tcPr>
          <w:p w14:paraId="24D1A002">
            <w:pPr>
              <w:widowControl/>
              <w:jc w:val="left"/>
            </w:pPr>
            <w:r>
              <w:rPr>
                <w:rFonts w:eastAsia="等线"/>
                <w:color w:val="000000"/>
                <w:sz w:val="22"/>
              </w:rPr>
              <w:t>1.189</w:t>
            </w:r>
          </w:p>
        </w:tc>
        <w:tc>
          <w:tcPr>
            <w:tcW w:w="1417" w:type="dxa"/>
            <w:vAlign w:val="center"/>
          </w:tcPr>
          <w:p w14:paraId="49745263">
            <w:pPr>
              <w:widowControl/>
              <w:jc w:val="left"/>
            </w:pPr>
            <w:r>
              <w:rPr>
                <w:rFonts w:eastAsia="等线"/>
                <w:color w:val="000000"/>
                <w:sz w:val="22"/>
              </w:rPr>
              <w:t>13.683</w:t>
            </w:r>
          </w:p>
        </w:tc>
        <w:tc>
          <w:tcPr>
            <w:tcW w:w="2402" w:type="dxa"/>
            <w:vAlign w:val="center"/>
          </w:tcPr>
          <w:p w14:paraId="0CB1D304">
            <w:pPr>
              <w:widowControl/>
              <w:jc w:val="left"/>
            </w:pPr>
            <w:r>
              <w:rPr>
                <w:rFonts w:eastAsia="等线"/>
                <w:color w:val="000000"/>
                <w:sz w:val="22"/>
              </w:rPr>
              <w:t>3.283(1.771-6.271)</w:t>
            </w:r>
          </w:p>
        </w:tc>
        <w:tc>
          <w:tcPr>
            <w:tcW w:w="1284" w:type="dxa"/>
            <w:vAlign w:val="center"/>
          </w:tcPr>
          <w:p w14:paraId="34EA52E7">
            <w:pPr>
              <w:widowControl/>
              <w:jc w:val="left"/>
            </w:pPr>
            <w:r>
              <w:rPr>
                <w:rFonts w:eastAsia="等线"/>
                <w:color w:val="000000"/>
                <w:sz w:val="22"/>
              </w:rPr>
              <w:t>&lt;0.001</w:t>
            </w:r>
          </w:p>
        </w:tc>
      </w:tr>
      <w:tr w14:paraId="670F3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12" w:type="dxa"/>
            <w:vAlign w:val="center"/>
          </w:tcPr>
          <w:p w14:paraId="3B7BDFA4">
            <w:pPr>
              <w:widowControl/>
              <w:jc w:val="left"/>
            </w:pPr>
            <w:r>
              <w:rPr>
                <w:rFonts w:eastAsia="等线"/>
                <w:color w:val="000000"/>
                <w:sz w:val="22"/>
              </w:rPr>
              <w:t>Tumor.Capsule</w:t>
            </w:r>
          </w:p>
        </w:tc>
        <w:tc>
          <w:tcPr>
            <w:tcW w:w="1349" w:type="dxa"/>
            <w:vAlign w:val="center"/>
          </w:tcPr>
          <w:p w14:paraId="685C91A2">
            <w:pPr>
              <w:widowControl/>
              <w:jc w:val="left"/>
            </w:pPr>
            <w:r>
              <w:rPr>
                <w:rFonts w:eastAsia="等线"/>
                <w:color w:val="000000"/>
                <w:sz w:val="22"/>
              </w:rPr>
              <w:t>0.952</w:t>
            </w:r>
          </w:p>
        </w:tc>
        <w:tc>
          <w:tcPr>
            <w:tcW w:w="1417" w:type="dxa"/>
            <w:vAlign w:val="center"/>
          </w:tcPr>
          <w:p w14:paraId="0C71B822">
            <w:pPr>
              <w:widowControl/>
              <w:jc w:val="left"/>
            </w:pPr>
            <w:r>
              <w:rPr>
                <w:rFonts w:eastAsia="等线"/>
                <w:color w:val="000000"/>
                <w:sz w:val="22"/>
              </w:rPr>
              <w:t>5.767</w:t>
            </w:r>
          </w:p>
        </w:tc>
        <w:tc>
          <w:tcPr>
            <w:tcW w:w="2402" w:type="dxa"/>
            <w:vAlign w:val="center"/>
          </w:tcPr>
          <w:p w14:paraId="3EB7ACCE">
            <w:pPr>
              <w:widowControl/>
              <w:jc w:val="left"/>
            </w:pPr>
            <w:r>
              <w:rPr>
                <w:rFonts w:eastAsia="等线"/>
                <w:color w:val="000000"/>
                <w:sz w:val="22"/>
              </w:rPr>
              <w:t>2.591(1.175-5.611)</w:t>
            </w:r>
          </w:p>
        </w:tc>
        <w:tc>
          <w:tcPr>
            <w:tcW w:w="1284" w:type="dxa"/>
            <w:vAlign w:val="center"/>
          </w:tcPr>
          <w:p w14:paraId="74D82B92">
            <w:pPr>
              <w:widowControl/>
              <w:jc w:val="left"/>
            </w:pPr>
            <w:r>
              <w:rPr>
                <w:rFonts w:eastAsia="等线"/>
                <w:color w:val="000000"/>
                <w:sz w:val="22"/>
              </w:rPr>
              <w:t>0.016</w:t>
            </w:r>
          </w:p>
        </w:tc>
      </w:tr>
      <w:tr w14:paraId="75D4E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912" w:type="dxa"/>
            <w:vAlign w:val="center"/>
          </w:tcPr>
          <w:p w14:paraId="27A934B6">
            <w:pPr>
              <w:widowControl/>
              <w:jc w:val="left"/>
              <w:rPr>
                <w:rFonts w:eastAsia="等线"/>
                <w:color w:val="000000"/>
                <w:sz w:val="22"/>
              </w:rPr>
            </w:pPr>
            <w:r>
              <w:rPr>
                <w:rFonts w:eastAsia="等线"/>
                <w:color w:val="000000"/>
                <w:sz w:val="22"/>
              </w:rPr>
              <w:t>Edmondson.stage</w:t>
            </w:r>
          </w:p>
        </w:tc>
        <w:tc>
          <w:tcPr>
            <w:tcW w:w="1349" w:type="dxa"/>
            <w:vAlign w:val="center"/>
          </w:tcPr>
          <w:p w14:paraId="5A979F54">
            <w:pPr>
              <w:widowControl/>
              <w:jc w:val="left"/>
              <w:rPr>
                <w:rFonts w:eastAsia="等线"/>
                <w:color w:val="000000"/>
                <w:sz w:val="22"/>
              </w:rPr>
            </w:pPr>
            <w:r>
              <w:rPr>
                <w:rFonts w:eastAsia="等线"/>
                <w:color w:val="000000"/>
                <w:sz w:val="22"/>
              </w:rPr>
              <w:t>1.448</w:t>
            </w:r>
          </w:p>
        </w:tc>
        <w:tc>
          <w:tcPr>
            <w:tcW w:w="1417" w:type="dxa"/>
            <w:vAlign w:val="center"/>
          </w:tcPr>
          <w:p w14:paraId="58363461">
            <w:pPr>
              <w:widowControl/>
              <w:jc w:val="left"/>
              <w:rPr>
                <w:rFonts w:eastAsia="等线"/>
                <w:color w:val="000000"/>
                <w:sz w:val="22"/>
              </w:rPr>
            </w:pPr>
            <w:r>
              <w:rPr>
                <w:rFonts w:eastAsia="等线"/>
                <w:color w:val="000000"/>
                <w:sz w:val="22"/>
              </w:rPr>
              <w:t>19.011</w:t>
            </w:r>
          </w:p>
        </w:tc>
        <w:tc>
          <w:tcPr>
            <w:tcW w:w="2402" w:type="dxa"/>
            <w:vAlign w:val="center"/>
          </w:tcPr>
          <w:p w14:paraId="0F2FDE47">
            <w:pPr>
              <w:widowControl/>
              <w:jc w:val="left"/>
              <w:rPr>
                <w:rFonts w:eastAsia="等线"/>
                <w:color w:val="000000"/>
                <w:sz w:val="22"/>
              </w:rPr>
            </w:pPr>
            <w:r>
              <w:rPr>
                <w:rFonts w:eastAsia="等线"/>
                <w:color w:val="000000"/>
                <w:sz w:val="22"/>
              </w:rPr>
              <w:t>4.254(2.263-8.373)</w:t>
            </w:r>
          </w:p>
        </w:tc>
        <w:tc>
          <w:tcPr>
            <w:tcW w:w="1284" w:type="dxa"/>
            <w:vAlign w:val="center"/>
          </w:tcPr>
          <w:p w14:paraId="30B558AB">
            <w:pPr>
              <w:widowControl/>
              <w:jc w:val="left"/>
              <w:rPr>
                <w:rFonts w:eastAsia="等线"/>
                <w:color w:val="000000"/>
                <w:sz w:val="22"/>
              </w:rPr>
            </w:pPr>
            <w:r>
              <w:rPr>
                <w:rFonts w:eastAsia="等线"/>
                <w:color w:val="000000"/>
                <w:sz w:val="22"/>
              </w:rPr>
              <w:t>&lt;0.001</w:t>
            </w:r>
          </w:p>
        </w:tc>
      </w:tr>
    </w:tbl>
    <w:p w14:paraId="30BD6AFF">
      <w:pPr>
        <w:widowControl/>
        <w:jc w:val="left"/>
        <w:rPr>
          <w:rFonts w:eastAsia="AdvOTea1a7398"/>
          <w:b/>
          <w:bCs/>
          <w:szCs w:val="21"/>
        </w:rPr>
      </w:pPr>
    </w:p>
    <w:p w14:paraId="6E6D82EF">
      <w:pPr>
        <w:widowControl/>
        <w:jc w:val="left"/>
        <w:rPr>
          <w:rFonts w:eastAsia="AdvOTea1a7398"/>
          <w:b/>
          <w:bCs/>
          <w:szCs w:val="21"/>
        </w:rPr>
      </w:pPr>
    </w:p>
    <w:p w14:paraId="52360132">
      <w:pPr>
        <w:widowControl/>
        <w:jc w:val="left"/>
        <w:rPr>
          <w:rFonts w:eastAsia="AdvOTea1a7398"/>
          <w:b/>
          <w:bCs/>
          <w:szCs w:val="21"/>
        </w:rPr>
      </w:pPr>
    </w:p>
    <w:p w14:paraId="4D6DE48C">
      <w:pPr>
        <w:keepNext w:val="0"/>
        <w:keepLines w:val="0"/>
        <w:widowControl/>
        <w:suppressLineNumbers w:val="0"/>
        <w:spacing w:before="0" w:beforeAutospacing="0" w:after="0" w:afterAutospacing="0" w:line="480" w:lineRule="auto"/>
        <w:ind w:left="0" w:right="0"/>
        <w:jc w:val="left"/>
        <w:rPr>
          <w:lang w:val="en-US"/>
        </w:rPr>
      </w:pPr>
      <w:r>
        <w:rPr>
          <w:rFonts w:hint="eastAsia" w:cs="Times New Roman"/>
          <w:color w:val="000000"/>
          <w:kern w:val="0"/>
          <w:sz w:val="24"/>
          <w:szCs w:val="24"/>
          <w:lang w:val="en-US" w:eastAsia="zh-CN" w:bidi="ar"/>
        </w:rPr>
        <w:t>Figure S1A</w:t>
      </w:r>
      <w:r>
        <w:rPr>
          <w:rFonts w:hint="default" w:ascii="Times New Roman" w:hAnsi="Times New Roman" w:eastAsia="宋体" w:cs="Times New Roman"/>
          <w:color w:val="000000"/>
          <w:kern w:val="0"/>
          <w:sz w:val="24"/>
          <w:szCs w:val="24"/>
          <w:lang w:val="en-US" w:eastAsia="zh-CN" w:bidi="ar"/>
        </w:rPr>
        <w:t xml:space="preserve">                        </w:t>
      </w:r>
      <w:r>
        <w:rPr>
          <w:rFonts w:hint="eastAsia"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p>
    <w:p w14:paraId="6EBC7424">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eastAsiaTheme="minorEastAsia"/>
          <w:kern w:val="0"/>
          <w:sz w:val="24"/>
          <w:szCs w:val="24"/>
          <w:lang w:val="en-US" w:eastAsia="zh-CN" w:bidi="ar"/>
        </w:rPr>
        <w:drawing>
          <wp:inline distT="0" distB="0" distL="114300" distR="114300">
            <wp:extent cx="4789170" cy="3474085"/>
            <wp:effectExtent l="0" t="0" r="11430" b="635"/>
            <wp:docPr id="5" name="图片 5" descr="Boruta P后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oruta P后 - 副本"/>
                    <pic:cNvPicPr>
                      <a:picLocks noChangeAspect="1"/>
                    </pic:cNvPicPr>
                  </pic:nvPicPr>
                  <pic:blipFill>
                    <a:blip r:embed="rId4"/>
                    <a:stretch>
                      <a:fillRect/>
                    </a:stretch>
                  </pic:blipFill>
                  <pic:spPr>
                    <a:xfrm>
                      <a:off x="0" y="0"/>
                      <a:ext cx="4789170" cy="3474085"/>
                    </a:xfrm>
                    <a:prstGeom prst="rect">
                      <a:avLst/>
                    </a:prstGeom>
                  </pic:spPr>
                </pic:pic>
              </a:graphicData>
            </a:graphic>
          </wp:inline>
        </w:drawing>
      </w:r>
    </w:p>
    <w:p w14:paraId="5A01E140">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Using the Boruta method for the selection of demographic and clinical features, the six attributes located below the green box are identified as having the highest contribution and are also marked with a red box line as the most important features for identification</w:t>
      </w:r>
      <w:r>
        <w:rPr>
          <w:rFonts w:hint="eastAsia" w:cs="Times New Roman"/>
          <w:color w:val="000000"/>
          <w:kern w:val="0"/>
          <w:sz w:val="24"/>
          <w:szCs w:val="24"/>
          <w:lang w:val="en-US" w:eastAsia="zh-CN" w:bidi="ar"/>
        </w:rPr>
        <w:t>.</w:t>
      </w:r>
    </w:p>
    <w:p w14:paraId="4A069DAE">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D6F66B8">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2FBFAA3E">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51A62EB8">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9A97E3D">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7ED0B078">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11A9CD20">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245D7635">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5E1BC56C">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76CF6C65">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宋体" w:cs="Times New Roman"/>
          <w:color w:val="000000"/>
          <w:kern w:val="0"/>
          <w:sz w:val="24"/>
          <w:szCs w:val="24"/>
          <w:lang w:val="en-US" w:eastAsia="zh-CN" w:bidi="ar"/>
        </w:rPr>
      </w:pPr>
      <w:r>
        <w:rPr>
          <w:rFonts w:hint="eastAsia" w:cs="Times New Roman"/>
          <w:color w:val="000000"/>
          <w:kern w:val="0"/>
          <w:sz w:val="24"/>
          <w:szCs w:val="24"/>
          <w:lang w:val="en-US" w:eastAsia="zh-CN" w:bidi="ar"/>
        </w:rPr>
        <w:t>Figure S1B</w:t>
      </w:r>
    </w:p>
    <w:p w14:paraId="5530B5DC">
      <w:pPr>
        <w:keepNext w:val="0"/>
        <w:keepLines w:val="0"/>
        <w:widowControl/>
        <w:suppressLineNumbers w:val="0"/>
        <w:spacing w:before="0" w:beforeAutospacing="0" w:after="0" w:afterAutospacing="0" w:line="480" w:lineRule="auto"/>
        <w:ind w:left="0" w:right="0"/>
        <w:jc w:val="left"/>
        <w:rPr>
          <w:rFonts w:hint="default" w:ascii="Times New Roman" w:hAnsi="Times New Roman" w:cs="Times New Roman" w:eastAsiaTheme="minorEastAsia"/>
          <w:kern w:val="0"/>
          <w:sz w:val="24"/>
          <w:szCs w:val="24"/>
          <w:lang w:val="en-US" w:eastAsia="zh-CN" w:bidi="ar"/>
        </w:rPr>
      </w:pPr>
      <w:r>
        <w:rPr>
          <w:rFonts w:hint="default" w:ascii="Times New Roman" w:hAnsi="Times New Roman" w:cs="Times New Roman" w:eastAsiaTheme="minorEastAsia"/>
          <w:kern w:val="0"/>
          <w:sz w:val="24"/>
          <w:szCs w:val="24"/>
          <w:lang w:val="en-US" w:eastAsia="zh-CN" w:bidi="ar"/>
        </w:rPr>
        <w:drawing>
          <wp:inline distT="0" distB="0" distL="114300" distR="114300">
            <wp:extent cx="4762500" cy="3474085"/>
            <wp:effectExtent l="0" t="0" r="7620" b="635"/>
            <wp:docPr id="6" name="图片 6" descr="XGBOOST P后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XGBOOST P后 - 副本"/>
                    <pic:cNvPicPr>
                      <a:picLocks noChangeAspect="1"/>
                    </pic:cNvPicPr>
                  </pic:nvPicPr>
                  <pic:blipFill>
                    <a:blip r:embed="rId5"/>
                    <a:stretch>
                      <a:fillRect/>
                    </a:stretch>
                  </pic:blipFill>
                  <pic:spPr>
                    <a:xfrm>
                      <a:off x="0" y="0"/>
                      <a:ext cx="4762500" cy="3474085"/>
                    </a:xfrm>
                    <a:prstGeom prst="rect">
                      <a:avLst/>
                    </a:prstGeom>
                  </pic:spPr>
                </pic:pic>
              </a:graphicData>
            </a:graphic>
          </wp:inline>
        </w:drawing>
      </w:r>
    </w:p>
    <w:p w14:paraId="1C817116">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The SHAP summary plot of the XGBoost model reveals that C3, Tumor-size, Tumor-capsule, CRP, and Edmondson-stage are the five features with the highest SHAP values. For each of these features, a higher SHAP value indicates a higher risk of M2 development</w:t>
      </w:r>
      <w:r>
        <w:rPr>
          <w:rFonts w:hint="eastAsia"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 xml:space="preserve"> </w:t>
      </w:r>
    </w:p>
    <w:p w14:paraId="34760361">
      <w:pPr>
        <w:keepNext w:val="0"/>
        <w:keepLines w:val="0"/>
        <w:widowControl/>
        <w:suppressLineNumbers w:val="0"/>
        <w:spacing w:before="0" w:beforeAutospacing="0" w:after="0" w:afterAutospacing="0" w:line="480" w:lineRule="auto"/>
        <w:ind w:left="0" w:right="0"/>
        <w:jc w:val="left"/>
        <w:rPr>
          <w:lang w:val="en-US"/>
        </w:rPr>
      </w:pPr>
      <w:r>
        <w:rPr>
          <w:rFonts w:hint="eastAsia" w:cs="Times New Roman"/>
          <w:color w:val="000000"/>
          <w:kern w:val="0"/>
          <w:sz w:val="24"/>
          <w:szCs w:val="24"/>
          <w:lang w:val="en-US" w:eastAsia="zh-CN" w:bidi="ar"/>
        </w:rPr>
        <w:t>Figure S1</w:t>
      </w:r>
      <w:r>
        <w:rPr>
          <w:rFonts w:hint="eastAsia" w:cs="Times New Roman"/>
          <w:color w:val="000000"/>
          <w:kern w:val="0"/>
          <w:sz w:val="24"/>
          <w:szCs w:val="24"/>
          <w:lang w:val="en-US" w:eastAsia="zh-CN" w:bidi="ar"/>
        </w:rPr>
        <w:t>C</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cs="Times New Roman" w:eastAsiaTheme="minorEastAsia"/>
          <w:color w:val="0000FF"/>
          <w:kern w:val="0"/>
          <w:sz w:val="24"/>
          <w:szCs w:val="24"/>
          <w:lang w:val="en-US" w:eastAsia="zh-CN" w:bidi="ar"/>
        </w:rPr>
        <w:drawing>
          <wp:inline distT="0" distB="0" distL="114300" distR="114300">
            <wp:extent cx="4932680" cy="3474085"/>
            <wp:effectExtent l="0" t="0" r="5080" b="635"/>
            <wp:docPr id="7" name="图片 7" descr="Figure 3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3E(1)"/>
                    <pic:cNvPicPr>
                      <a:picLocks noChangeAspect="1"/>
                    </pic:cNvPicPr>
                  </pic:nvPicPr>
                  <pic:blipFill>
                    <a:blip r:embed="rId6"/>
                    <a:stretch>
                      <a:fillRect/>
                    </a:stretch>
                  </pic:blipFill>
                  <pic:spPr>
                    <a:xfrm>
                      <a:off x="0" y="0"/>
                      <a:ext cx="4932680" cy="3474085"/>
                    </a:xfrm>
                    <a:prstGeom prst="rect">
                      <a:avLst/>
                    </a:prstGeom>
                  </pic:spPr>
                </pic:pic>
              </a:graphicData>
            </a:graphic>
          </wp:inline>
        </w:drawing>
      </w:r>
    </w:p>
    <w:p w14:paraId="3988DD85">
      <w:pPr>
        <w:keepNext w:val="0"/>
        <w:keepLines w:val="0"/>
        <w:widowControl/>
        <w:suppressLineNumbers w:val="0"/>
        <w:spacing w:before="0" w:beforeAutospacing="0" w:after="0" w:afterAutospacing="0" w:line="480" w:lineRule="auto"/>
        <w:ind w:left="0" w:right="0"/>
        <w:jc w:val="left"/>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Darker colors represent lower BIC values, indicating the greater importance of the corresponding features. The features specifically marked with red box lines are identified as the most important variables within the Best subset.</w:t>
      </w:r>
    </w:p>
    <w:p w14:paraId="546A30E1">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71B45D6">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345F938B">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48C868C">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05C36159">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0E457F58">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5487FE24">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2528E4F">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083AB09D">
      <w:pPr>
        <w:keepNext w:val="0"/>
        <w:keepLines w:val="0"/>
        <w:widowControl/>
        <w:suppressLineNumbers w:val="0"/>
        <w:spacing w:before="0" w:beforeAutospacing="0" w:after="0" w:afterAutospacing="0" w:line="480" w:lineRule="auto"/>
        <w:ind w:left="0" w:right="0"/>
        <w:jc w:val="left"/>
        <w:rPr>
          <w:rFonts w:hint="eastAsia" w:cs="Times New Roman"/>
          <w:color w:val="000000"/>
          <w:kern w:val="0"/>
          <w:sz w:val="24"/>
          <w:szCs w:val="24"/>
          <w:lang w:val="en-US" w:eastAsia="zh-CN" w:bidi="ar"/>
        </w:rPr>
      </w:pPr>
    </w:p>
    <w:p w14:paraId="4D54B758">
      <w:pPr>
        <w:keepNext w:val="0"/>
        <w:keepLines w:val="0"/>
        <w:widowControl/>
        <w:suppressLineNumbers w:val="0"/>
        <w:spacing w:before="0" w:beforeAutospacing="0" w:after="0" w:afterAutospacing="0" w:line="480" w:lineRule="auto"/>
        <w:ind w:left="0" w:right="0"/>
        <w:jc w:val="left"/>
        <w:rPr>
          <w:rFonts w:hint="default" w:ascii="Times New Roman" w:hAnsi="Times New Roman" w:eastAsia="宋体" w:cs="Times New Roman"/>
          <w:color w:val="000000"/>
          <w:kern w:val="0"/>
          <w:sz w:val="24"/>
          <w:szCs w:val="24"/>
          <w:lang w:val="en-US" w:eastAsia="zh-CN" w:bidi="ar"/>
        </w:rPr>
      </w:pPr>
      <w:r>
        <w:rPr>
          <w:rFonts w:hint="eastAsia" w:cs="Times New Roman"/>
          <w:color w:val="000000"/>
          <w:kern w:val="0"/>
          <w:sz w:val="24"/>
          <w:szCs w:val="24"/>
          <w:lang w:val="en-US" w:eastAsia="zh-CN" w:bidi="ar"/>
        </w:rPr>
        <w:t>Figure S1</w:t>
      </w:r>
      <w:r>
        <w:rPr>
          <w:rFonts w:hint="eastAsia" w:cs="Times New Roman"/>
          <w:color w:val="000000"/>
          <w:kern w:val="0"/>
          <w:sz w:val="24"/>
          <w:szCs w:val="24"/>
          <w:lang w:val="en-US" w:eastAsia="zh-CN" w:bidi="ar"/>
        </w:rPr>
        <w:t>D</w:t>
      </w:r>
    </w:p>
    <w:p w14:paraId="4BA6772C">
      <w:pPr>
        <w:keepNext w:val="0"/>
        <w:keepLines w:val="0"/>
        <w:widowControl/>
        <w:suppressLineNumbers w:val="0"/>
        <w:spacing w:before="0" w:beforeAutospacing="0" w:after="0" w:afterAutospacing="0" w:line="480" w:lineRule="auto"/>
        <w:ind w:left="0" w:right="0"/>
        <w:jc w:val="left"/>
        <w:rPr>
          <w:lang w:val="en-US"/>
        </w:rPr>
      </w:pPr>
      <w:r>
        <w:rPr>
          <w:rFonts w:hint="default" w:ascii="Times New Roman" w:hAnsi="Times New Roman" w:cs="Times New Roman" w:eastAsiaTheme="minorEastAsia"/>
          <w:color w:val="0000FF"/>
          <w:kern w:val="0"/>
          <w:sz w:val="24"/>
          <w:szCs w:val="24"/>
          <w:lang w:val="en-US" w:eastAsia="zh-CN" w:bidi="ar"/>
        </w:rPr>
        <w:drawing>
          <wp:inline distT="0" distB="0" distL="114300" distR="114300">
            <wp:extent cx="5272405" cy="3441700"/>
            <wp:effectExtent l="0" t="0" r="635" b="2540"/>
            <wp:docPr id="4" name="图片 4" descr="Figure 3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3F1"/>
                    <pic:cNvPicPr>
                      <a:picLocks noChangeAspect="1"/>
                    </pic:cNvPicPr>
                  </pic:nvPicPr>
                  <pic:blipFill>
                    <a:blip r:embed="rId7"/>
                    <a:stretch>
                      <a:fillRect/>
                    </a:stretch>
                  </pic:blipFill>
                  <pic:spPr>
                    <a:xfrm>
                      <a:off x="0" y="0"/>
                      <a:ext cx="5272405" cy="3441700"/>
                    </a:xfrm>
                    <a:prstGeom prst="rect">
                      <a:avLst/>
                    </a:prstGeom>
                  </pic:spPr>
                </pic:pic>
              </a:graphicData>
            </a:graphic>
          </wp:inline>
        </w:drawing>
      </w:r>
    </w:p>
    <w:p w14:paraId="1F5A2D42">
      <w:pPr>
        <w:keepNext w:val="0"/>
        <w:keepLines w:val="0"/>
        <w:widowControl/>
        <w:suppressLineNumbers w:val="0"/>
        <w:spacing w:before="0" w:beforeAutospacing="0" w:after="0" w:afterAutospacing="0" w:line="480" w:lineRule="auto"/>
        <w:ind w:left="0" w:right="0"/>
        <w:jc w:val="left"/>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The intersection of the selected variables is visualized using a Venn di</w:t>
      </w:r>
      <w:bookmarkStart w:id="0" w:name="_GoBack"/>
      <w:bookmarkEnd w:id="0"/>
      <w:r>
        <w:rPr>
          <w:rFonts w:hint="eastAsia" w:ascii="Times New Roman" w:hAnsi="Times New Roman" w:eastAsia="宋体" w:cs="Times New Roman"/>
          <w:color w:val="000000"/>
          <w:kern w:val="0"/>
          <w:sz w:val="24"/>
          <w:szCs w:val="24"/>
          <w:lang w:val="en-US" w:eastAsia="zh-CN" w:bidi="ar"/>
        </w:rPr>
        <w:t>agram. The variables specifically marked with red box lines within the diagram represent the important variables that result from intersecting the outcomes of four distinct machine learning algorithms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vPSMP10">
    <w:altName w:val="Times New Roman"/>
    <w:panose1 w:val="00000000000000000000"/>
    <w:charset w:val="00"/>
    <w:family w:val="roman"/>
    <w:pitch w:val="default"/>
    <w:sig w:usb0="00000000" w:usb1="00000000" w:usb2="00000000" w:usb3="00000000" w:csb0="00000000" w:csb1="00000000"/>
  </w:font>
  <w:font w:name="AdvPTimes">
    <w:altName w:val="Times New Roman"/>
    <w:panose1 w:val="00000000000000000000"/>
    <w:charset w:val="00"/>
    <w:family w:val="roman"/>
    <w:pitch w:val="default"/>
    <w:sig w:usb0="00000000" w:usb1="00000000" w:usb2="00000010" w:usb3="00000000" w:csb0="00040000" w:csb1="00000000"/>
  </w:font>
  <w:font w:name="AdvOTea1a7398">
    <w:altName w:val="微软雅黑"/>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AdvTT2c8ce45a">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variable"/>
    <w:sig w:usb0="00000203" w:usb1="288F0000" w:usb2="00000006" w:usb3="00000000" w:csb0="00040001" w:csb1="00000000"/>
  </w:font>
  <w:font w:name="Cambria Math">
    <w:panose1 w:val="02040503050406030204"/>
    <w:charset w:val="00"/>
    <w:family w:val="auto"/>
    <w:pitch w:val="variable"/>
    <w:sig w:usb0="E00006FF" w:usb1="420024FF" w:usb2="02000000" w:usb3="00000000" w:csb0="2000019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lNzJiNWMzMTBlODVmMTFhOWY0MzE2NTQwNzM4NWUifQ=="/>
  </w:docVars>
  <w:rsids>
    <w:rsidRoot w:val="00EF52E3"/>
    <w:rsid w:val="00006BD5"/>
    <w:rsid w:val="00014425"/>
    <w:rsid w:val="00090D4D"/>
    <w:rsid w:val="000D6F35"/>
    <w:rsid w:val="00105D2C"/>
    <w:rsid w:val="00133023"/>
    <w:rsid w:val="001A30A7"/>
    <w:rsid w:val="001C2FEB"/>
    <w:rsid w:val="003C6B7E"/>
    <w:rsid w:val="00423AA4"/>
    <w:rsid w:val="004536CB"/>
    <w:rsid w:val="004658FD"/>
    <w:rsid w:val="004723BB"/>
    <w:rsid w:val="004B6532"/>
    <w:rsid w:val="005F1267"/>
    <w:rsid w:val="00663C00"/>
    <w:rsid w:val="007315FD"/>
    <w:rsid w:val="0073282A"/>
    <w:rsid w:val="0074575D"/>
    <w:rsid w:val="0075375B"/>
    <w:rsid w:val="008832FE"/>
    <w:rsid w:val="008D6800"/>
    <w:rsid w:val="009658C4"/>
    <w:rsid w:val="00A80FEE"/>
    <w:rsid w:val="00AF1F6A"/>
    <w:rsid w:val="00AF6F9F"/>
    <w:rsid w:val="00B451A5"/>
    <w:rsid w:val="00B620B7"/>
    <w:rsid w:val="00BA2078"/>
    <w:rsid w:val="00CB7F2E"/>
    <w:rsid w:val="00DC7020"/>
    <w:rsid w:val="00E5783E"/>
    <w:rsid w:val="00ED1D98"/>
    <w:rsid w:val="00EF52E3"/>
    <w:rsid w:val="00F64E38"/>
    <w:rsid w:val="00FF017B"/>
    <w:rsid w:val="1DB1490B"/>
    <w:rsid w:val="58C95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HTML Preformatted"/>
    <w:basedOn w:val="1"/>
    <w:link w:val="14"/>
    <w:autoRedefine/>
    <w:semiHidden/>
    <w:unhideWhenUsed/>
    <w:qFormat/>
    <w:uiPriority w:val="99"/>
    <w:rPr>
      <w:rFonts w:ascii="Courier New" w:hAnsi="Courier New" w:cs="Courier New"/>
      <w:sz w:val="20"/>
      <w:szCs w:val="20"/>
    </w:rPr>
  </w:style>
  <w:style w:type="table" w:styleId="6">
    <w:name w:val="Table Grid"/>
    <w:basedOn w:val="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99"/>
    <w:rPr>
      <w:sz w:val="18"/>
      <w:szCs w:val="18"/>
    </w:rPr>
  </w:style>
  <w:style w:type="character" w:customStyle="1" w:styleId="9">
    <w:name w:val="页脚 字符"/>
    <w:basedOn w:val="7"/>
    <w:link w:val="2"/>
    <w:autoRedefine/>
    <w:qFormat/>
    <w:uiPriority w:val="99"/>
    <w:rPr>
      <w:sz w:val="18"/>
      <w:szCs w:val="18"/>
    </w:rPr>
  </w:style>
  <w:style w:type="character" w:customStyle="1" w:styleId="10">
    <w:name w:val="fontstyle01"/>
    <w:basedOn w:val="7"/>
    <w:autoRedefine/>
    <w:qFormat/>
    <w:uiPriority w:val="0"/>
    <w:rPr>
      <w:rFonts w:hint="default" w:ascii="AdvPSMP10" w:hAnsi="AdvPSMP10"/>
      <w:color w:val="000000"/>
      <w:sz w:val="18"/>
      <w:szCs w:val="18"/>
    </w:rPr>
  </w:style>
  <w:style w:type="character" w:customStyle="1" w:styleId="11">
    <w:name w:val="fontstyle11"/>
    <w:basedOn w:val="7"/>
    <w:autoRedefine/>
    <w:qFormat/>
    <w:uiPriority w:val="0"/>
    <w:rPr>
      <w:rFonts w:hint="default" w:ascii="AdvPTimes" w:hAnsi="AdvPTimes"/>
      <w:color w:val="000000"/>
      <w:sz w:val="18"/>
      <w:szCs w:val="18"/>
    </w:rPr>
  </w:style>
  <w:style w:type="character" w:customStyle="1" w:styleId="12">
    <w:name w:val="normal1"/>
    <w:basedOn w:val="7"/>
    <w:autoRedefine/>
    <w:qFormat/>
    <w:uiPriority w:val="0"/>
    <w:rPr>
      <w:rFonts w:hint="default" w:ascii="Arial" w:hAnsi="Arial" w:cs="Arial"/>
      <w:color w:val="000000"/>
      <w:sz w:val="20"/>
      <w:szCs w:val="20"/>
    </w:rPr>
  </w:style>
  <w:style w:type="character" w:customStyle="1" w:styleId="13">
    <w:name w:val="result"/>
    <w:basedOn w:val="7"/>
    <w:autoRedefine/>
    <w:qFormat/>
    <w:uiPriority w:val="0"/>
    <w:rPr>
      <w:color w:val="000080"/>
    </w:rPr>
  </w:style>
  <w:style w:type="character" w:customStyle="1" w:styleId="14">
    <w:name w:val="HTML 预设格式 字符"/>
    <w:basedOn w:val="7"/>
    <w:link w:val="4"/>
    <w:autoRedefine/>
    <w:semiHidden/>
    <w:qFormat/>
    <w:uiPriority w:val="99"/>
    <w:rPr>
      <w:rFonts w:ascii="Courier New" w:hAnsi="Courier New" w:eastAsia="宋体" w:cs="Courier New"/>
      <w:sz w:val="20"/>
      <w:szCs w:val="20"/>
    </w:rPr>
  </w:style>
  <w:style w:type="character" w:customStyle="1" w:styleId="15">
    <w:name w:val="gnvwddmdl3b"/>
    <w:basedOn w:val="7"/>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Win10NeT.COM</Company>
  <Pages>5</Pages>
  <Words>105</Words>
  <Characters>736</Characters>
  <Lines>5</Lines>
  <Paragraphs>1</Paragraphs>
  <TotalTime>2</TotalTime>
  <ScaleCrop>false</ScaleCrop>
  <LinksUpToDate>false</LinksUpToDate>
  <CharactersWithSpaces>830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2021-07-20T07:07:00Z</dcterms:created>
  <dc:creator>XiaZaiMa.COM</dc:creator>
  <cp:lastModifiedBy>钟靖</cp:lastModifiedBy>
  <dcterms:modified xsi:type="dcterms:W3CDTF">2024-09-16T09:45:35Z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DC85CDDD3FFF472DBC57D459846055C5_12</vt:lpwstr>
  </property>
</Properties>
</file>