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tbl>
      <w:tblPr>
        <w:tblStyle w:val="TableGrid"/>
        <w:tblW w:w="0" w:type="auto"/>
        <w:tblBorders>
          <w:top w:val="single" w:sz="6"/>
          <w:left w:val="single" w:sz="6"/>
          <w:bottom w:val="single" w:sz="6"/>
          <w:right w:val="single" w:sz="6"/>
        </w:tblBorders>
        <w:tblLayout w:type="fixed"/>
        <w:tblLook w:val="06A0" w:firstRow="1" w:lastRow="0" w:firstColumn="1" w:lastColumn="0" w:noHBand="1" w:noVBand="1"/>
      </w:tblPr>
      <w:tblGrid>
        <w:gridCol w:w="9000"/>
      </w:tblGrid>
      <w:tr w:rsidR="4DF63DDB" w:rsidTr="0C7F92E1" w14:paraId="463F8B86">
        <w:trPr>
          <w:trHeight w:val="300"/>
        </w:trPr>
        <w:tc>
          <w:tcPr>
            <w:tcW w:w="9000" w:type="dxa"/>
            <w:tcBorders>
              <w:top w:val="single" w:color="000000" w:themeColor="text1" w:sz="12"/>
              <w:left w:val="nil"/>
              <w:bottom w:val="single" w:color="000000" w:themeColor="text1" w:sz="12"/>
              <w:right w:val="nil"/>
            </w:tcBorders>
            <w:tcMar>
              <w:left w:w="105" w:type="dxa"/>
              <w:right w:w="105" w:type="dxa"/>
            </w:tcMar>
            <w:vAlign w:val="top"/>
          </w:tcPr>
          <w:p w:rsidR="4DF63DDB" w:rsidP="4DF63DDB" w:rsidRDefault="4DF63DDB" w14:paraId="4213B9A2" w14:textId="1A6A8C3C">
            <w:pPr>
              <w:pBdr>
                <w:bottom w:val="single" w:color="000000" w:sz="4" w:space="4"/>
              </w:pBdr>
              <w:spacing w:line="360" w:lineRule="auto"/>
              <w:rPr>
                <w:rFonts w:ascii="Times New Roman" w:hAnsi="Times New Roman" w:eastAsia="Times New Roman" w:cs="Times New Roman"/>
                <w:b w:val="0"/>
                <w:bCs w:val="0"/>
                <w:i w:val="0"/>
                <w:iCs w:val="0"/>
                <w:caps w:val="0"/>
                <w:smallCaps w:val="0"/>
                <w:color w:val="000000" w:themeColor="text1" w:themeTint="FF" w:themeShade="FF"/>
                <w:sz w:val="24"/>
                <w:szCs w:val="24"/>
              </w:rPr>
            </w:pPr>
            <w:r w:rsidRPr="4DF63DDB" w:rsidR="4DF63DDB">
              <w:rPr>
                <w:rFonts w:ascii="Times New Roman" w:hAnsi="Times New Roman" w:eastAsia="Times New Roman" w:cs="Times New Roman"/>
                <w:b w:val="1"/>
                <w:bCs w:val="1"/>
                <w:i w:val="0"/>
                <w:iCs w:val="0"/>
                <w:caps w:val="0"/>
                <w:smallCaps w:val="0"/>
                <w:color w:val="000000" w:themeColor="text1" w:themeTint="FF" w:themeShade="FF"/>
                <w:sz w:val="24"/>
                <w:szCs w:val="24"/>
                <w:lang w:val="en-US"/>
              </w:rPr>
              <w:t>Table 1</w:t>
            </w:r>
            <w:r w:rsidRPr="4DF63DDB" w:rsidR="4DF63DDB">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Components of the practical intervention</w:t>
            </w:r>
          </w:p>
        </w:tc>
      </w:tr>
      <w:tr w:rsidR="4DF63DDB" w:rsidTr="0C7F92E1" w14:paraId="78175BBF">
        <w:trPr>
          <w:trHeight w:val="300"/>
        </w:trPr>
        <w:tc>
          <w:tcPr>
            <w:tcW w:w="9000" w:type="dxa"/>
            <w:tcBorders>
              <w:top w:val="single" w:color="000000" w:themeColor="text1" w:sz="12"/>
              <w:left w:val="nil"/>
              <w:bottom w:val="single" w:color="000000" w:themeColor="text1" w:sz="12"/>
              <w:right w:val="nil"/>
            </w:tcBorders>
            <w:tcMar/>
            <w:vAlign w:val="top"/>
          </w:tcPr>
          <w:p w:rsidR="4DF63DDB" w:rsidP="4DF63DDB" w:rsidRDefault="4DF63DDB" w14:paraId="160C04D2" w14:textId="458479E7">
            <w:pPr>
              <w:pBdr>
                <w:bottom w:val="single" w:color="000000" w:sz="4" w:space="4"/>
              </w:pBdr>
              <w:spacing w:line="259" w:lineRule="auto"/>
              <w:rPr>
                <w:rFonts w:ascii="Times New Roman" w:hAnsi="Times New Roman" w:eastAsia="Times New Roman" w:cs="Times New Roman"/>
                <w:b w:val="0"/>
                <w:bCs w:val="0"/>
                <w:i w:val="0"/>
                <w:iCs w:val="0"/>
                <w:caps w:val="0"/>
                <w:smallCaps w:val="0"/>
                <w:color w:val="000000" w:themeColor="text1" w:themeTint="FF" w:themeShade="FF"/>
                <w:sz w:val="24"/>
                <w:szCs w:val="24"/>
              </w:rPr>
            </w:pPr>
            <w:r w:rsidRPr="4DF63DDB" w:rsidR="4DF63DDB">
              <w:rPr>
                <w:rFonts w:ascii="Times New Roman" w:hAnsi="Times New Roman" w:eastAsia="Times New Roman" w:cs="Times New Roman"/>
                <w:b w:val="0"/>
                <w:bCs w:val="0"/>
                <w:i w:val="0"/>
                <w:iCs w:val="0"/>
                <w:caps w:val="0"/>
                <w:smallCaps w:val="0"/>
                <w:color w:val="000000" w:themeColor="text1" w:themeTint="FF" w:themeShade="FF"/>
                <w:sz w:val="24"/>
                <w:szCs w:val="24"/>
                <w:lang w:val="en-US"/>
              </w:rPr>
              <w:t>The practical intervention consisted of a training (Hijweege 2024), individual on-the-job-coaching and team intervision meetings. The intervention was carried out by five coaches who work in the nursing home as spiritual caregiver, vocational trained nurse and vocational nurse assistent. The coaches received supervision of experienced trainers and supervisors in spiritual care.</w:t>
            </w:r>
          </w:p>
          <w:p w:rsidR="4DF63DDB" w:rsidP="4DF63DDB" w:rsidRDefault="4DF63DDB" w14:paraId="74665298" w14:textId="7CDFEBA9">
            <w:pPr>
              <w:pBdr>
                <w:bottom w:val="single" w:color="000000" w:sz="4" w:space="4"/>
              </w:pBdr>
              <w:spacing w:line="259" w:lineRule="auto"/>
              <w:rPr>
                <w:rFonts w:ascii="Times New Roman" w:hAnsi="Times New Roman" w:eastAsia="Times New Roman" w:cs="Times New Roman"/>
                <w:b w:val="0"/>
                <w:bCs w:val="0"/>
                <w:i w:val="0"/>
                <w:iCs w:val="0"/>
                <w:caps w:val="0"/>
                <w:smallCaps w:val="0"/>
                <w:color w:val="000000" w:themeColor="text1" w:themeTint="FF" w:themeShade="FF"/>
                <w:sz w:val="24"/>
                <w:szCs w:val="24"/>
              </w:rPr>
            </w:pPr>
            <w:r w:rsidRPr="4DF63DDB" w:rsidR="4DF63DDB">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 1) The training aimed to familiarize participants with a different listening attitude, conversational skills and tools. It was based on practical experiences of two senior professionals within the spiritual dimension and was closely related to the practical tools and insights of the Dutch guideline. Participants were very satisfied with the training (8.5 on a scale 0-10; response rate 100%).</w:t>
            </w:r>
          </w:p>
          <w:p w:rsidR="4DF63DDB" w:rsidP="4DF63DDB" w:rsidRDefault="4DF63DDB" w14:paraId="0FF9AA62" w14:textId="467EA643">
            <w:pPr>
              <w:pBdr>
                <w:bottom w:val="single" w:color="000000" w:sz="4" w:space="4"/>
              </w:pBdr>
              <w:spacing w:line="259" w:lineRule="auto"/>
              <w:rPr>
                <w:rFonts w:ascii="Times New Roman" w:hAnsi="Times New Roman" w:eastAsia="Times New Roman" w:cs="Times New Roman"/>
                <w:b w:val="0"/>
                <w:bCs w:val="0"/>
                <w:i w:val="0"/>
                <w:iCs w:val="0"/>
                <w:caps w:val="0"/>
                <w:smallCaps w:val="0"/>
                <w:color w:val="000000" w:themeColor="text1" w:themeTint="FF" w:themeShade="FF"/>
                <w:sz w:val="24"/>
                <w:szCs w:val="24"/>
              </w:rPr>
            </w:pPr>
            <w:r w:rsidRPr="4DF63DDB" w:rsidR="4DF63DDB">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 2) Through individual coaching on the job, participants worked on individual questions and skills in the context of their own profession. All participants were asked whether they had a specific coaching question they wanted to focus on during the coaching sessions. The coach would accompany the participant for about 1,5-2 hours during a regular workday and gave feedback during and after the session. </w:t>
            </w:r>
          </w:p>
          <w:p w:rsidR="4DF63DDB" w:rsidP="0C7F92E1" w:rsidRDefault="4DF63DDB" w14:paraId="7DACAC4D" w14:textId="7EA9B773">
            <w:pPr>
              <w:pBdr>
                <w:bottom w:val="single" w:color="000000" w:sz="4" w:space="4"/>
              </w:pBdr>
              <w:spacing w:line="259" w:lineRule="auto"/>
              <w:rPr>
                <w:rFonts w:ascii="Times New Roman" w:hAnsi="Times New Roman" w:eastAsia="Times New Roman" w:cs="Times New Roman"/>
                <w:b w:val="0"/>
                <w:bCs w:val="0"/>
                <w:i w:val="0"/>
                <w:iCs w:val="0"/>
                <w:caps w:val="0"/>
                <w:smallCaps w:val="0"/>
                <w:color w:val="000000" w:themeColor="text1" w:themeTint="FF" w:themeShade="FF"/>
                <w:sz w:val="24"/>
                <w:szCs w:val="24"/>
              </w:rPr>
            </w:pPr>
            <w:r w:rsidRPr="0C7F92E1" w:rsidR="4DF63DDB">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3) In the team </w:t>
            </w:r>
            <w:r w:rsidRPr="0C7F92E1" w:rsidR="4DF63DDB">
              <w:rPr>
                <w:rFonts w:ascii="Times New Roman" w:hAnsi="Times New Roman" w:eastAsia="Times New Roman" w:cs="Times New Roman"/>
                <w:b w:val="0"/>
                <w:bCs w:val="0"/>
                <w:i w:val="0"/>
                <w:iCs w:val="0"/>
                <w:caps w:val="0"/>
                <w:smallCaps w:val="0"/>
                <w:color w:val="000000" w:themeColor="text1" w:themeTint="FF" w:themeShade="FF"/>
                <w:sz w:val="24"/>
                <w:szCs w:val="24"/>
                <w:lang w:val="en-US"/>
              </w:rPr>
              <w:t>intervision</w:t>
            </w:r>
            <w:r w:rsidRPr="0C7F92E1" w:rsidR="4DF63DDB">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 meetings the participants could discuss the questions they had about a work situation in relation to the content of the training, collectively learning from these situations. Each participant enrolled in at least two </w:t>
            </w:r>
            <w:r w:rsidRPr="0C7F92E1" w:rsidR="4DF63DDB">
              <w:rPr>
                <w:rFonts w:ascii="Times New Roman" w:hAnsi="Times New Roman" w:eastAsia="Times New Roman" w:cs="Times New Roman"/>
                <w:b w:val="0"/>
                <w:bCs w:val="0"/>
                <w:i w:val="0"/>
                <w:iCs w:val="0"/>
                <w:caps w:val="0"/>
                <w:smallCaps w:val="0"/>
                <w:color w:val="000000" w:themeColor="text1" w:themeTint="FF" w:themeShade="FF"/>
                <w:sz w:val="24"/>
                <w:szCs w:val="24"/>
                <w:lang w:val="en-US"/>
              </w:rPr>
              <w:t>intervision</w:t>
            </w:r>
            <w:r w:rsidRPr="0C7F92E1" w:rsidR="4DF63DDB">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 meetings </w:t>
            </w:r>
            <w:r w:rsidRPr="0C7F92E1" w:rsidR="4DF63DDB">
              <w:rPr>
                <w:rFonts w:ascii="Times New Roman" w:hAnsi="Times New Roman" w:eastAsia="Times New Roman" w:cs="Times New Roman"/>
                <w:b w:val="0"/>
                <w:bCs w:val="0"/>
                <w:i w:val="0"/>
                <w:iCs w:val="0"/>
                <w:caps w:val="0"/>
                <w:smallCaps w:val="0"/>
                <w:color w:val="000000" w:themeColor="text1" w:themeTint="FF" w:themeShade="FF"/>
                <w:sz w:val="24"/>
                <w:szCs w:val="24"/>
                <w:lang w:val="en-US"/>
              </w:rPr>
              <w:t>on</w:t>
            </w:r>
            <w:r w:rsidRPr="0C7F92E1" w:rsidR="4DF63DDB">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 their own ward. (Data from the </w:t>
            </w:r>
            <w:r w:rsidRPr="0C7F92E1" w:rsidR="4DF63DDB">
              <w:rPr>
                <w:rFonts w:ascii="Times New Roman" w:hAnsi="Times New Roman" w:eastAsia="Times New Roman" w:cs="Times New Roman"/>
                <w:b w:val="0"/>
                <w:bCs w:val="0"/>
                <w:i w:val="0"/>
                <w:iCs w:val="0"/>
                <w:caps w:val="0"/>
                <w:smallCaps w:val="0"/>
                <w:color w:val="000000" w:themeColor="text1" w:themeTint="FF" w:themeShade="FF"/>
                <w:sz w:val="24"/>
                <w:szCs w:val="24"/>
                <w:lang w:val="en-US"/>
              </w:rPr>
              <w:t>intervision</w:t>
            </w:r>
            <w:r w:rsidRPr="0C7F92E1" w:rsidR="4DF63DDB">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 group </w:t>
            </w:r>
            <w:r w:rsidRPr="0C7F92E1" w:rsidR="4DF63DDB">
              <w:rPr>
                <w:rFonts w:ascii="Times New Roman" w:hAnsi="Times New Roman" w:eastAsia="Times New Roman" w:cs="Times New Roman"/>
                <w:b w:val="0"/>
                <w:bCs w:val="0"/>
                <w:i w:val="0"/>
                <w:iCs w:val="0"/>
                <w:caps w:val="0"/>
                <w:smallCaps w:val="0"/>
                <w:color w:val="000000" w:themeColor="text1" w:themeTint="FF" w:themeShade="FF"/>
                <w:sz w:val="24"/>
                <w:szCs w:val="24"/>
                <w:lang w:val="en-US"/>
              </w:rPr>
              <w:t>are</w:t>
            </w:r>
            <w:r w:rsidRPr="0C7F92E1" w:rsidR="4DF63DDB">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 not reported in this article.</w:t>
            </w:r>
          </w:p>
        </w:tc>
      </w:tr>
    </w:tbl>
    <w:p w:rsidR="4DF63DDB" w:rsidP="0C7F92E1" w:rsidRDefault="4DF63DDB" w14:paraId="20AADFA6" w14:textId="555CDBBE">
      <w:pPr>
        <w:pStyle w:val="Normal"/>
      </w:pPr>
    </w:p>
    <w:p w:rsidR="4DF63DDB" w:rsidRDefault="4DF63DDB" w14:paraId="653C96DD" w14:textId="3A0A13AA"/>
    <w:p w:rsidR="4DF63DDB" w:rsidRDefault="4DF63DDB" w14:paraId="44DE3CEC" w14:textId="024D89F8"/>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5d7f5f05"/>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AA0DBB"/>
    <w:rsid w:val="024DBDAA"/>
    <w:rsid w:val="024DBDAA"/>
    <w:rsid w:val="026F57F4"/>
    <w:rsid w:val="05322BD2"/>
    <w:rsid w:val="0C7F92E1"/>
    <w:rsid w:val="11CC26AB"/>
    <w:rsid w:val="14501141"/>
    <w:rsid w:val="1D8489EC"/>
    <w:rsid w:val="1EAA0DBB"/>
    <w:rsid w:val="21F5EE44"/>
    <w:rsid w:val="24C652DF"/>
    <w:rsid w:val="24C652DF"/>
    <w:rsid w:val="3EEC7DFD"/>
    <w:rsid w:val="4BC9639E"/>
    <w:rsid w:val="4DF63DDB"/>
    <w:rsid w:val="50986A05"/>
    <w:rsid w:val="5265C57E"/>
    <w:rsid w:val="577C5DA2"/>
    <w:rsid w:val="62B47157"/>
    <w:rsid w:val="62B47157"/>
    <w:rsid w:val="71F983B1"/>
    <w:rsid w:val="7CF7E783"/>
    <w:rsid w:val="7E21C908"/>
    <w:rsid w:val="7F3A0C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A0DBB"/>
  <w15:chartTrackingRefBased/>
  <w15:docId w15:val="{41DAEFE7-2C15-4495-A42E-02C3D21EF1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numbering" Target="numbering.xml" Id="R7db86bcd9b1a4e54"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B887E800BC54790B1D05F93B4614C" ma:contentTypeVersion="6" ma:contentTypeDescription="Create a new document." ma:contentTypeScope="" ma:versionID="1d1d0274d190d1fdfd65f0e0490ff97f">
  <xsd:schema xmlns:xsd="http://www.w3.org/2001/XMLSchema" xmlns:xs="http://www.w3.org/2001/XMLSchema" xmlns:p="http://schemas.microsoft.com/office/2006/metadata/properties" xmlns:ns2="d282b08b-6505-4369-b648-b9703cb240b6" targetNamespace="http://schemas.microsoft.com/office/2006/metadata/properties" ma:root="true" ma:fieldsID="342b11a90580de63d7a46b9ca046b358" ns2:_="">
    <xsd:import namespace="d282b08b-6505-4369-b648-b9703cb240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2b08b-6505-4369-b648-b9703cb240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62FC67-57F6-4DAA-800D-C82B510DAED9}"/>
</file>

<file path=customXml/itemProps2.xml><?xml version="1.0" encoding="utf-8"?>
<ds:datastoreItem xmlns:ds="http://schemas.openxmlformats.org/officeDocument/2006/customXml" ds:itemID="{FFC03C76-4E72-40F8-A534-C43B4A39F54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2024-10-03T07:01:53.6663742Z</dcterms:created>
  <dcterms:modified xsi:type="dcterms:W3CDTF">2024-10-10T08:45:39.6131209Z</dcterms:modified>
  <dc:creator>Niecky Fruneaux</dc:creator>
  <lastModifiedBy>Niecky Fruneaux</lastModifiedBy>
</coreProperties>
</file>