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7F19AA"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lang w:val="en-US"/>
        </w:rPr>
        <w:t>Clinical trial protocol (ver1.2) according to SPIRIT 2013 guidance. </w:t>
      </w:r>
      <w:r w:rsidRPr="0052741B">
        <w:rPr>
          <w:rStyle w:val="eop"/>
          <w:rFonts w:eastAsiaTheme="majorEastAsia"/>
          <w:lang w:val="en-US"/>
        </w:rPr>
        <w:t> </w:t>
      </w:r>
    </w:p>
    <w:p w14:paraId="620873D6"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sidRPr="0052741B">
        <w:rPr>
          <w:rStyle w:val="eop"/>
          <w:rFonts w:eastAsiaTheme="majorEastAsia"/>
          <w:lang w:val="en-US"/>
        </w:rPr>
        <w:t> </w:t>
      </w:r>
    </w:p>
    <w:p w14:paraId="7950B3ED"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0D0D0D"/>
          <w:shd w:val="clear" w:color="auto" w:fill="FFFFFF"/>
          <w:lang w:val="en-US"/>
        </w:rPr>
        <w:t>Impact of Tranexamic Acid Administration on Postoperative Hemostasis in Laparoscopic Sleeve Gastrectomy: A Randomized Clinical Trial (TXA-SG).</w:t>
      </w:r>
      <w:r w:rsidRPr="0052741B">
        <w:rPr>
          <w:rStyle w:val="eop"/>
          <w:rFonts w:eastAsiaTheme="majorEastAsia"/>
          <w:color w:val="0D0D0D"/>
          <w:lang w:val="en-US"/>
        </w:rPr>
        <w:t> </w:t>
      </w:r>
    </w:p>
    <w:p w14:paraId="28138D7A" w14:textId="602298A2"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0D0D0D"/>
          <w:shd w:val="clear" w:color="auto" w:fill="FFFFFF"/>
          <w:lang w:val="en-US"/>
        </w:rPr>
        <w:t xml:space="preserve">This trial was register </w:t>
      </w:r>
      <w:r>
        <w:rPr>
          <w:rStyle w:val="normaltextrun"/>
          <w:rFonts w:eastAsiaTheme="majorEastAsia"/>
          <w:lang w:val="en-US"/>
        </w:rPr>
        <w:t xml:space="preserve">at </w:t>
      </w:r>
      <w:hyperlink r:id="rId5" w:tgtFrame="_blank" w:history="1">
        <w:r>
          <w:rPr>
            <w:rStyle w:val="normaltextrun"/>
            <w:rFonts w:eastAsiaTheme="majorEastAsia"/>
            <w:color w:val="467886"/>
            <w:u w:val="single"/>
            <w:lang w:val="en-US"/>
          </w:rPr>
          <w:t>www.clinicaltrials.gov</w:t>
        </w:r>
      </w:hyperlink>
      <w:r>
        <w:rPr>
          <w:rStyle w:val="normaltextrun"/>
          <w:rFonts w:eastAsiaTheme="majorEastAsia"/>
          <w:lang w:val="en-US"/>
        </w:rPr>
        <w:t xml:space="preserve"> (</w:t>
      </w:r>
      <w:r w:rsidR="00355446">
        <w:rPr>
          <w:rStyle w:val="normaltextrun"/>
          <w:rFonts w:eastAsiaTheme="majorEastAsia"/>
          <w:color w:val="000000"/>
          <w:lang w:val="en-US"/>
        </w:rPr>
        <w:t>blinded</w:t>
      </w:r>
      <w:r>
        <w:rPr>
          <w:rStyle w:val="normaltextrun"/>
          <w:rFonts w:eastAsiaTheme="majorEastAsia"/>
          <w:color w:val="000000"/>
          <w:lang w:val="en-US"/>
        </w:rPr>
        <w:t>). </w:t>
      </w:r>
      <w:r w:rsidRPr="0052741B">
        <w:rPr>
          <w:rStyle w:val="eop"/>
          <w:rFonts w:eastAsiaTheme="majorEastAsia"/>
          <w:color w:val="000000"/>
          <w:lang w:val="en-US"/>
        </w:rPr>
        <w:t> </w:t>
      </w:r>
    </w:p>
    <w:p w14:paraId="112736E6" w14:textId="6FFB3B99"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000000"/>
          <w:lang w:val="en-US"/>
        </w:rPr>
        <w:t xml:space="preserve">This is a protocol version 1.2 (25.05.2022), some minor changes were incorporated: additional sub-analysis regarding influence of metabolic syndrome on hemoglobin concentration in drainage as well as sub-analysis for influence of </w:t>
      </w:r>
      <w:r w:rsidR="00FB6C38">
        <w:rPr>
          <w:rStyle w:val="normaltextrun"/>
          <w:rFonts w:eastAsiaTheme="majorEastAsia"/>
          <w:color w:val="000000"/>
          <w:lang w:val="en-US"/>
        </w:rPr>
        <w:t xml:space="preserve">preoperative </w:t>
      </w:r>
      <w:r>
        <w:rPr>
          <w:rStyle w:val="normaltextrun"/>
          <w:rFonts w:eastAsiaTheme="majorEastAsia"/>
          <w:color w:val="000000"/>
          <w:lang w:val="en-US"/>
        </w:rPr>
        <w:t>INR on hemoglobin concentration in drainage.</w:t>
      </w:r>
    </w:p>
    <w:p w14:paraId="2871C429"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sidRPr="0052741B">
        <w:rPr>
          <w:rStyle w:val="eop"/>
          <w:rFonts w:eastAsiaTheme="majorEastAsia"/>
          <w:color w:val="222222"/>
          <w:lang w:val="en-US"/>
        </w:rPr>
        <w:t> </w:t>
      </w:r>
    </w:p>
    <w:p w14:paraId="2F7F31FC"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222222"/>
          <w:shd w:val="clear" w:color="auto" w:fill="FFFFFF"/>
          <w:lang w:val="en-US"/>
        </w:rPr>
        <w:t xml:space="preserve">This </w:t>
      </w:r>
      <w:r>
        <w:rPr>
          <w:rStyle w:val="normaltextrun"/>
          <w:rFonts w:eastAsiaTheme="majorEastAsia"/>
          <w:lang w:val="en-US"/>
        </w:rPr>
        <w:t xml:space="preserve">non-industry funded trial, therefore, no </w:t>
      </w:r>
      <w:r>
        <w:rPr>
          <w:rStyle w:val="normaltextrun"/>
          <w:rFonts w:eastAsiaTheme="majorEastAsia"/>
          <w:color w:val="222222"/>
          <w:shd w:val="clear" w:color="auto" w:fill="FFFFFF"/>
          <w:lang w:val="en-US"/>
        </w:rPr>
        <w:t>specific funding was assigned to the project. </w:t>
      </w:r>
      <w:r w:rsidRPr="0052741B">
        <w:rPr>
          <w:rStyle w:val="eop"/>
          <w:rFonts w:eastAsiaTheme="majorEastAsia"/>
          <w:color w:val="222222"/>
          <w:lang w:val="en-US"/>
        </w:rPr>
        <w:t> </w:t>
      </w:r>
    </w:p>
    <w:p w14:paraId="3DAD6943"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222222"/>
          <w:shd w:val="clear" w:color="auto" w:fill="FFFFFF"/>
          <w:lang w:val="en-US"/>
        </w:rPr>
        <w:t>All resources (</w:t>
      </w:r>
      <w:r>
        <w:rPr>
          <w:rStyle w:val="normaltextrun"/>
          <w:rFonts w:eastAsiaTheme="majorEastAsia"/>
          <w:lang w:val="en-US"/>
        </w:rPr>
        <w:t>equipment, drugs, services)</w:t>
      </w:r>
      <w:r>
        <w:rPr>
          <w:rStyle w:val="normaltextrun"/>
          <w:rFonts w:eastAsiaTheme="majorEastAsia"/>
          <w:color w:val="222222"/>
          <w:shd w:val="clear" w:color="auto" w:fill="FFFFFF"/>
          <w:lang w:val="en-US"/>
        </w:rPr>
        <w:t xml:space="preserve"> will be provided by the local hospital participating in a trial.</w:t>
      </w:r>
      <w:r w:rsidRPr="0052741B">
        <w:rPr>
          <w:rStyle w:val="eop"/>
          <w:rFonts w:eastAsiaTheme="majorEastAsia"/>
          <w:color w:val="222222"/>
          <w:lang w:val="en-US"/>
        </w:rPr>
        <w:t> </w:t>
      </w:r>
    </w:p>
    <w:p w14:paraId="40AC0B94"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sidRPr="0052741B">
        <w:rPr>
          <w:rStyle w:val="eop"/>
          <w:rFonts w:eastAsiaTheme="majorEastAsia"/>
          <w:color w:val="222222"/>
          <w:lang w:val="en-US"/>
        </w:rPr>
        <w:t> </w:t>
      </w:r>
    </w:p>
    <w:p w14:paraId="2344F73F"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212121"/>
          <w:lang w:val="en-US"/>
        </w:rPr>
        <w:t>KB, MS were involved in conception and design of research. KB, MS were co-lead investigators. MS obtained ethics approval. KB prepared figures. KB, MS, PN drafted manuscript. KB, MS, MPS, MW, JB edited and revised the manuscript. KB, MS, PN, MPS, MW, JB approved the final version of the manuscript.</w:t>
      </w:r>
      <w:r>
        <w:rPr>
          <w:rStyle w:val="normaltextrun"/>
          <w:rFonts w:eastAsiaTheme="majorEastAsia"/>
          <w:color w:val="222222"/>
          <w:shd w:val="clear" w:color="auto" w:fill="FFFFFF"/>
          <w:lang w:val="en-US"/>
        </w:rPr>
        <w:t> </w:t>
      </w:r>
      <w:r w:rsidRPr="0052741B">
        <w:rPr>
          <w:rStyle w:val="eop"/>
          <w:rFonts w:eastAsiaTheme="majorEastAsia"/>
          <w:color w:val="222222"/>
          <w:lang w:val="en-US"/>
        </w:rPr>
        <w:t> </w:t>
      </w:r>
    </w:p>
    <w:p w14:paraId="27CDF47E"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sidRPr="0052741B">
        <w:rPr>
          <w:rStyle w:val="eop"/>
          <w:rFonts w:eastAsiaTheme="majorEastAsia"/>
          <w:color w:val="222222"/>
          <w:lang w:val="en-US"/>
        </w:rPr>
        <w:t> </w:t>
      </w:r>
    </w:p>
    <w:p w14:paraId="23295FFD" w14:textId="77777777" w:rsidR="00F01F13" w:rsidRPr="0052741B" w:rsidRDefault="00F01F13" w:rsidP="00F01F13">
      <w:pPr>
        <w:pStyle w:val="paragraph"/>
        <w:spacing w:before="0" w:beforeAutospacing="0" w:after="0" w:afterAutospacing="0" w:line="360" w:lineRule="auto"/>
        <w:textAlignment w:val="baseline"/>
        <w:rPr>
          <w:rFonts w:ascii="Segoe UI" w:hAnsi="Segoe UI" w:cs="Segoe UI"/>
          <w:sz w:val="18"/>
          <w:szCs w:val="18"/>
          <w:lang w:val="en-US"/>
        </w:rPr>
      </w:pPr>
      <w:r w:rsidRPr="0052741B">
        <w:rPr>
          <w:rStyle w:val="eop"/>
          <w:rFonts w:ascii="Aptos" w:eastAsiaTheme="majorEastAsia" w:hAnsi="Aptos" w:cs="Segoe UI"/>
          <w:lang w:val="en-US"/>
        </w:rPr>
        <w:t> </w:t>
      </w:r>
    </w:p>
    <w:p w14:paraId="05543B10" w14:textId="77777777" w:rsidR="00F01F13" w:rsidRPr="00F01F13" w:rsidRDefault="00F01F13" w:rsidP="00F01F13">
      <w:pPr>
        <w:pStyle w:val="paragraph"/>
        <w:spacing w:before="0" w:beforeAutospacing="0" w:after="0" w:afterAutospacing="0" w:line="360" w:lineRule="auto"/>
        <w:jc w:val="both"/>
        <w:textAlignment w:val="baseline"/>
        <w:rPr>
          <w:rFonts w:ascii="Segoe UI" w:hAnsi="Segoe UI" w:cs="Segoe UI"/>
          <w:sz w:val="18"/>
          <w:szCs w:val="18"/>
          <w:u w:val="single"/>
          <w:lang w:val="en-US"/>
        </w:rPr>
      </w:pPr>
      <w:r w:rsidRPr="0052741B">
        <w:rPr>
          <w:rStyle w:val="normaltextrun"/>
          <w:rFonts w:eastAsiaTheme="majorEastAsia"/>
          <w:color w:val="222222"/>
          <w:u w:val="single"/>
          <w:shd w:val="clear" w:color="auto" w:fill="FFFFFF"/>
          <w:lang w:val="en-US"/>
        </w:rPr>
        <w:t>Background: </w:t>
      </w:r>
      <w:r w:rsidRPr="00F01F13">
        <w:rPr>
          <w:rStyle w:val="eop"/>
          <w:rFonts w:eastAsiaTheme="majorEastAsia"/>
          <w:color w:val="222222"/>
          <w:u w:val="single"/>
          <w:lang w:val="en-US"/>
        </w:rPr>
        <w:t> </w:t>
      </w:r>
    </w:p>
    <w:p w14:paraId="0B6A999A" w14:textId="77777777" w:rsidR="00F01F13" w:rsidRPr="0052741B" w:rsidRDefault="00F01F13" w:rsidP="00F01F13">
      <w:pPr>
        <w:pStyle w:val="paragraph"/>
        <w:spacing w:before="0" w:beforeAutospacing="0" w:after="0" w:afterAutospacing="0" w:line="360" w:lineRule="auto"/>
        <w:ind w:firstLine="270"/>
        <w:jc w:val="both"/>
        <w:textAlignment w:val="baseline"/>
        <w:rPr>
          <w:rFonts w:ascii="Segoe UI" w:hAnsi="Segoe UI" w:cs="Segoe UI"/>
          <w:sz w:val="18"/>
          <w:szCs w:val="18"/>
          <w:lang w:val="en-US"/>
        </w:rPr>
      </w:pPr>
      <w:r>
        <w:rPr>
          <w:rStyle w:val="normaltextrun"/>
          <w:rFonts w:eastAsiaTheme="majorEastAsia"/>
          <w:lang w:val="en-US"/>
        </w:rPr>
        <w:t xml:space="preserve">Obesity and its metabolic outcomes </w:t>
      </w:r>
      <w:proofErr w:type="gramStart"/>
      <w:r>
        <w:rPr>
          <w:rStyle w:val="normaltextrun"/>
          <w:rFonts w:eastAsiaTheme="majorEastAsia"/>
          <w:lang w:val="en-US"/>
        </w:rPr>
        <w:t>has</w:t>
      </w:r>
      <w:proofErr w:type="gramEnd"/>
      <w:r>
        <w:rPr>
          <w:rStyle w:val="normaltextrun"/>
          <w:rFonts w:eastAsiaTheme="majorEastAsia"/>
          <w:lang w:val="en-US"/>
        </w:rPr>
        <w:t xml:space="preserve"> become an increasing problem for healthcare. Bariatric surgery is a well-established and safe method for the treatment of obesity and its complications </w:t>
      </w:r>
      <w:r>
        <w:rPr>
          <w:rStyle w:val="contentcontrolboundarysink"/>
          <w:color w:val="000000"/>
          <w:lang w:val="en-US"/>
        </w:rPr>
        <w:t>​</w:t>
      </w:r>
      <w:r>
        <w:rPr>
          <w:rStyle w:val="normaltextrun"/>
          <w:rFonts w:eastAsiaTheme="majorEastAsia"/>
          <w:color w:val="000000"/>
          <w:lang w:val="en-US"/>
        </w:rPr>
        <w:t>(</w:t>
      </w:r>
      <w:proofErr w:type="spellStart"/>
      <w:r>
        <w:rPr>
          <w:rStyle w:val="normaltextrun"/>
          <w:rFonts w:eastAsiaTheme="majorEastAsia"/>
          <w:color w:val="000000"/>
          <w:lang w:val="en-US"/>
        </w:rPr>
        <w:t>Alsumali</w:t>
      </w:r>
      <w:proofErr w:type="spellEnd"/>
      <w:r>
        <w:rPr>
          <w:rStyle w:val="normaltextrun"/>
          <w:rFonts w:eastAsiaTheme="majorEastAsia"/>
          <w:color w:val="000000"/>
          <w:lang w:val="en-US"/>
        </w:rPr>
        <w:t xml:space="preserve"> et al., 2018; </w:t>
      </w:r>
      <w:proofErr w:type="spellStart"/>
      <w:r>
        <w:rPr>
          <w:rStyle w:val="normaltextrun"/>
          <w:rFonts w:eastAsiaTheme="majorEastAsia"/>
          <w:color w:val="000000"/>
          <w:lang w:val="en-US"/>
        </w:rPr>
        <w:t>Noparatayaporn</w:t>
      </w:r>
      <w:proofErr w:type="spellEnd"/>
      <w:r>
        <w:rPr>
          <w:rStyle w:val="normaltextrun"/>
          <w:rFonts w:eastAsiaTheme="majorEastAsia"/>
          <w:color w:val="000000"/>
          <w:lang w:val="en-US"/>
        </w:rPr>
        <w:t xml:space="preserve"> et al., 2021)</w:t>
      </w:r>
      <w:r>
        <w:rPr>
          <w:rStyle w:val="contentcontrolboundarysink"/>
          <w:color w:val="000000"/>
          <w:lang w:val="en-US"/>
        </w:rPr>
        <w:t>​</w:t>
      </w:r>
      <w:r>
        <w:rPr>
          <w:rStyle w:val="normaltextrun"/>
          <w:rFonts w:eastAsiaTheme="majorEastAsia"/>
          <w:lang w:val="en-US"/>
        </w:rPr>
        <w:t xml:space="preserve">. However, bariatric surgery may be associated with adverse events such as nutritional deficiencies, anastomotic fistulas, gastrointestinal leaks, and </w:t>
      </w:r>
      <w:proofErr w:type="spellStart"/>
      <w:r>
        <w:rPr>
          <w:rStyle w:val="normaltextrun"/>
          <w:rFonts w:eastAsiaTheme="majorEastAsia"/>
          <w:lang w:val="en-US"/>
        </w:rPr>
        <w:t>haemorrhage</w:t>
      </w:r>
      <w:proofErr w:type="spellEnd"/>
      <w:r>
        <w:rPr>
          <w:rStyle w:val="normaltextrun"/>
          <w:rFonts w:eastAsiaTheme="majorEastAsia"/>
          <w:lang w:val="en-US"/>
        </w:rPr>
        <w:t xml:space="preserve"> </w:t>
      </w:r>
      <w:r>
        <w:rPr>
          <w:rStyle w:val="contentcontrolboundarysink"/>
          <w:color w:val="000000"/>
          <w:lang w:val="en-US"/>
        </w:rPr>
        <w:t>​</w:t>
      </w:r>
      <w:r>
        <w:rPr>
          <w:rStyle w:val="normaltextrun"/>
          <w:rFonts w:ascii="Aptos" w:eastAsiaTheme="majorEastAsia" w:hAnsi="Aptos" w:cs="Segoe UI"/>
          <w:lang w:val="en-US"/>
        </w:rPr>
        <w:t>(</w:t>
      </w:r>
      <w:proofErr w:type="spellStart"/>
      <w:r>
        <w:rPr>
          <w:rStyle w:val="normaltextrun"/>
          <w:rFonts w:ascii="Aptos" w:eastAsiaTheme="majorEastAsia" w:hAnsi="Aptos" w:cs="Segoe UI"/>
          <w:lang w:val="en-US"/>
        </w:rPr>
        <w:t>Kassir</w:t>
      </w:r>
      <w:proofErr w:type="spellEnd"/>
      <w:r>
        <w:rPr>
          <w:rStyle w:val="normaltextrun"/>
          <w:rFonts w:ascii="Aptos" w:eastAsiaTheme="majorEastAsia" w:hAnsi="Aptos" w:cs="Segoe UI"/>
          <w:lang w:val="en-US"/>
        </w:rPr>
        <w:t xml:space="preserve"> et al., 2016; McCarty &amp; Kumar, 2022; </w:t>
      </w:r>
      <w:proofErr w:type="spellStart"/>
      <w:r>
        <w:rPr>
          <w:rStyle w:val="normaltextrun"/>
          <w:rFonts w:ascii="Aptos" w:eastAsiaTheme="majorEastAsia" w:hAnsi="Aptos" w:cs="Segoe UI"/>
          <w:lang w:val="en-US"/>
        </w:rPr>
        <w:t>Souche</w:t>
      </w:r>
      <w:proofErr w:type="spellEnd"/>
      <w:r>
        <w:rPr>
          <w:rStyle w:val="normaltextrun"/>
          <w:rFonts w:ascii="Aptos" w:eastAsiaTheme="majorEastAsia" w:hAnsi="Aptos" w:cs="Segoe UI"/>
          <w:lang w:val="en-US"/>
        </w:rPr>
        <w:t xml:space="preserve"> et al., 2018)</w:t>
      </w:r>
      <w:r>
        <w:rPr>
          <w:rStyle w:val="contentcontrolboundarysink"/>
          <w:color w:val="000000"/>
          <w:lang w:val="en-US"/>
        </w:rPr>
        <w:t>​</w:t>
      </w:r>
      <w:r>
        <w:rPr>
          <w:rStyle w:val="normaltextrun"/>
          <w:rFonts w:eastAsiaTheme="majorEastAsia"/>
          <w:lang w:val="en-US"/>
        </w:rPr>
        <w:t xml:space="preserve">. Bleeding is one of the most common surgical complications in bariatric surgery. Reported rates of </w:t>
      </w:r>
      <w:proofErr w:type="spellStart"/>
      <w:r>
        <w:rPr>
          <w:rStyle w:val="normaltextrun"/>
          <w:rFonts w:eastAsiaTheme="majorEastAsia"/>
          <w:lang w:val="en-US"/>
        </w:rPr>
        <w:t>haemorrhage</w:t>
      </w:r>
      <w:proofErr w:type="spellEnd"/>
      <w:r>
        <w:rPr>
          <w:rStyle w:val="normaltextrun"/>
          <w:rFonts w:eastAsiaTheme="majorEastAsia"/>
          <w:lang w:val="en-US"/>
        </w:rPr>
        <w:t xml:space="preserve"> in literature vary from 0.5% to 4% </w:t>
      </w:r>
      <w:r>
        <w:rPr>
          <w:rStyle w:val="contentcontrolboundarysink"/>
          <w:color w:val="000000"/>
          <w:lang w:val="en-US"/>
        </w:rPr>
        <w:t>​</w:t>
      </w:r>
      <w:r>
        <w:rPr>
          <w:rStyle w:val="normaltextrun"/>
          <w:rFonts w:eastAsiaTheme="majorEastAsia"/>
          <w:color w:val="000000"/>
          <w:lang w:val="en-US"/>
        </w:rPr>
        <w:t>(</w:t>
      </w:r>
      <w:proofErr w:type="spellStart"/>
      <w:r>
        <w:rPr>
          <w:rStyle w:val="normaltextrun"/>
          <w:rFonts w:eastAsiaTheme="majorEastAsia"/>
          <w:color w:val="000000"/>
          <w:lang w:val="en-US"/>
        </w:rPr>
        <w:t>Kitahama</w:t>
      </w:r>
      <w:proofErr w:type="spellEnd"/>
      <w:r>
        <w:rPr>
          <w:rStyle w:val="normaltextrun"/>
          <w:rFonts w:eastAsiaTheme="majorEastAsia"/>
          <w:color w:val="000000"/>
          <w:lang w:val="en-US"/>
        </w:rPr>
        <w:t xml:space="preserve"> et al., 2013)</w:t>
      </w:r>
      <w:r>
        <w:rPr>
          <w:rStyle w:val="contentcontrolboundarysink"/>
          <w:color w:val="000000"/>
          <w:lang w:val="en-US"/>
        </w:rPr>
        <w:t>​</w:t>
      </w:r>
      <w:r>
        <w:rPr>
          <w:rStyle w:val="normaltextrun"/>
          <w:rFonts w:eastAsiaTheme="majorEastAsia"/>
          <w:lang w:val="en-US"/>
        </w:rPr>
        <w:t xml:space="preserve">. It is also associated with a significant increase in the complication rate </w:t>
      </w:r>
      <w:r>
        <w:rPr>
          <w:rStyle w:val="contentcontrolboundarysink"/>
          <w:color w:val="000000"/>
          <w:lang w:val="en-US"/>
        </w:rPr>
        <w:t>​</w:t>
      </w:r>
      <w:r>
        <w:rPr>
          <w:rStyle w:val="normaltextrun"/>
          <w:rFonts w:eastAsiaTheme="majorEastAsia"/>
          <w:color w:val="000000"/>
          <w:lang w:val="en-US"/>
        </w:rPr>
        <w:t>(</w:t>
      </w:r>
      <w:proofErr w:type="spellStart"/>
      <w:r>
        <w:rPr>
          <w:rStyle w:val="normaltextrun"/>
          <w:rFonts w:eastAsiaTheme="majorEastAsia"/>
          <w:color w:val="000000"/>
          <w:lang w:val="en-US"/>
        </w:rPr>
        <w:t>Wozniewska</w:t>
      </w:r>
      <w:proofErr w:type="spellEnd"/>
      <w:r>
        <w:rPr>
          <w:rStyle w:val="normaltextrun"/>
          <w:rFonts w:eastAsiaTheme="majorEastAsia"/>
          <w:color w:val="000000"/>
          <w:lang w:val="en-US"/>
        </w:rPr>
        <w:t xml:space="preserve"> et al., 2021)</w:t>
      </w:r>
      <w:r>
        <w:rPr>
          <w:rStyle w:val="contentcontrolboundarysink"/>
          <w:color w:val="000000"/>
          <w:lang w:val="en-US"/>
        </w:rPr>
        <w:t>​</w:t>
      </w:r>
      <w:r>
        <w:rPr>
          <w:rStyle w:val="normaltextrun"/>
          <w:rFonts w:eastAsiaTheme="majorEastAsia"/>
          <w:lang w:val="en-US"/>
        </w:rPr>
        <w:t xml:space="preserve">. Enhanced recovery after bariatric surgery (ERABS) implementation </w:t>
      </w:r>
      <w:r>
        <w:rPr>
          <w:rStyle w:val="contentcontrolboundarysink"/>
          <w:color w:val="000000"/>
          <w:lang w:val="en-US"/>
        </w:rPr>
        <w:t>​</w:t>
      </w:r>
      <w:r>
        <w:rPr>
          <w:rStyle w:val="normaltextrun"/>
          <w:rFonts w:eastAsiaTheme="majorEastAsia"/>
          <w:color w:val="000000"/>
          <w:lang w:val="en-US"/>
        </w:rPr>
        <w:t>(Zhou et al., 2021)</w:t>
      </w:r>
      <w:r>
        <w:rPr>
          <w:rStyle w:val="contentcontrolboundarysink"/>
          <w:color w:val="000000"/>
          <w:lang w:val="en-US"/>
        </w:rPr>
        <w:t>​</w:t>
      </w:r>
      <w:r>
        <w:rPr>
          <w:rStyle w:val="normaltextrun"/>
          <w:rFonts w:eastAsiaTheme="majorEastAsia"/>
          <w:lang w:val="en-US"/>
        </w:rPr>
        <w:t xml:space="preserve"> results in the quick mobilization of patients and a reduced length of hospital stay (LOS). Surgical hemostasis becomes even more important to achieve. Patients operated on according to the ERABS protocol are, in general, discharged on the first postoperative day, unless there are </w:t>
      </w:r>
      <w:r>
        <w:rPr>
          <w:rStyle w:val="normaltextrun"/>
          <w:rFonts w:eastAsiaTheme="majorEastAsia"/>
          <w:lang w:val="en-US"/>
        </w:rPr>
        <w:lastRenderedPageBreak/>
        <w:t xml:space="preserve">reasons to keep them a day longer in hospital. Here, patient safety is one of the factors to consider. Postoperative bleeding is still one of the most common complications following sleeve gastrectomy </w:t>
      </w:r>
      <w:r>
        <w:rPr>
          <w:rStyle w:val="contentcontrolboundarysink"/>
          <w:color w:val="000000"/>
          <w:lang w:val="en-US"/>
        </w:rPr>
        <w:t>​</w:t>
      </w:r>
      <w:r>
        <w:rPr>
          <w:rStyle w:val="normaltextrun"/>
          <w:rFonts w:eastAsiaTheme="majorEastAsia"/>
          <w:color w:val="000000"/>
          <w:lang w:val="en-US"/>
        </w:rPr>
        <w:t>(</w:t>
      </w:r>
      <w:proofErr w:type="spellStart"/>
      <w:r>
        <w:rPr>
          <w:rStyle w:val="normaltextrun"/>
          <w:rFonts w:eastAsiaTheme="majorEastAsia"/>
          <w:color w:val="000000"/>
          <w:lang w:val="en-US"/>
        </w:rPr>
        <w:t>Mocanu</w:t>
      </w:r>
      <w:proofErr w:type="spellEnd"/>
      <w:r>
        <w:rPr>
          <w:rStyle w:val="normaltextrun"/>
          <w:rFonts w:eastAsiaTheme="majorEastAsia"/>
          <w:color w:val="000000"/>
          <w:lang w:val="en-US"/>
        </w:rPr>
        <w:t xml:space="preserve"> et al., 2019)</w:t>
      </w:r>
      <w:r>
        <w:rPr>
          <w:rStyle w:val="contentcontrolboundarysink"/>
          <w:color w:val="000000"/>
          <w:lang w:val="en-US"/>
        </w:rPr>
        <w:t>​</w:t>
      </w:r>
      <w:r>
        <w:rPr>
          <w:rStyle w:val="normaltextrun"/>
          <w:rFonts w:eastAsiaTheme="majorEastAsia"/>
          <w:lang w:val="en-US"/>
        </w:rPr>
        <w:t xml:space="preserve"> and is associated with higher mortality and morbidity </w:t>
      </w:r>
      <w:r>
        <w:rPr>
          <w:rStyle w:val="contentcontrolboundarysink"/>
          <w:color w:val="000000"/>
          <w:lang w:val="en-US"/>
        </w:rPr>
        <w:t>​</w:t>
      </w:r>
      <w:r>
        <w:rPr>
          <w:rStyle w:val="normaltextrun"/>
          <w:rFonts w:eastAsiaTheme="majorEastAsia"/>
          <w:color w:val="000000"/>
          <w:lang w:val="en-US"/>
        </w:rPr>
        <w:t>(</w:t>
      </w:r>
      <w:proofErr w:type="spellStart"/>
      <w:r>
        <w:rPr>
          <w:rStyle w:val="normaltextrun"/>
          <w:rFonts w:eastAsiaTheme="majorEastAsia"/>
          <w:color w:val="000000"/>
          <w:lang w:val="en-US"/>
        </w:rPr>
        <w:t>Straatman</w:t>
      </w:r>
      <w:proofErr w:type="spellEnd"/>
      <w:r>
        <w:rPr>
          <w:rStyle w:val="normaltextrun"/>
          <w:rFonts w:eastAsiaTheme="majorEastAsia"/>
          <w:color w:val="000000"/>
          <w:lang w:val="en-US"/>
        </w:rPr>
        <w:t xml:space="preserve"> et al., 2022)</w:t>
      </w:r>
      <w:r>
        <w:rPr>
          <w:rStyle w:val="contentcontrolboundarysink"/>
          <w:color w:val="000000"/>
          <w:lang w:val="en-US"/>
        </w:rPr>
        <w:t>​</w:t>
      </w:r>
      <w:r>
        <w:rPr>
          <w:rStyle w:val="normaltextrun"/>
          <w:rFonts w:eastAsiaTheme="majorEastAsia"/>
          <w:lang w:val="en-US"/>
        </w:rPr>
        <w:t>.</w:t>
      </w:r>
      <w:r w:rsidRPr="0052741B">
        <w:rPr>
          <w:rStyle w:val="eop"/>
          <w:rFonts w:eastAsiaTheme="majorEastAsia"/>
          <w:lang w:val="en-US"/>
        </w:rPr>
        <w:t> </w:t>
      </w:r>
    </w:p>
    <w:p w14:paraId="139352AF" w14:textId="77777777" w:rsidR="00F01F13" w:rsidRPr="0052741B" w:rsidRDefault="00F01F13" w:rsidP="00F01F13">
      <w:pPr>
        <w:pStyle w:val="paragraph"/>
        <w:spacing w:before="0" w:beforeAutospacing="0" w:after="0" w:afterAutospacing="0" w:line="360" w:lineRule="auto"/>
        <w:ind w:firstLine="270"/>
        <w:jc w:val="both"/>
        <w:textAlignment w:val="baseline"/>
        <w:rPr>
          <w:rFonts w:ascii="Segoe UI" w:hAnsi="Segoe UI" w:cs="Segoe UI"/>
          <w:sz w:val="18"/>
          <w:szCs w:val="18"/>
          <w:lang w:val="en-US"/>
        </w:rPr>
      </w:pPr>
      <w:r>
        <w:rPr>
          <w:rStyle w:val="normaltextrun"/>
          <w:rFonts w:eastAsiaTheme="majorEastAsia"/>
          <w:color w:val="0D0D0D"/>
          <w:shd w:val="clear" w:color="auto" w:fill="FFFFFF"/>
          <w:lang w:val="en-US"/>
        </w:rPr>
        <w:t>Amidst the rising prevalence of obesity and the proven effectiveness of bariatric surgery in managing obesity and its related metabolic conditions, optimizing postoperative outcomes and patient safety remains paramount. The concern of surgical bleeding, a common complication in bariatric surgery, highlights the urgent need for innovative solutions to mitigate this risk. Tranexamic acid (TXA), known for its antifibrinolytic properties, presents a promising intervention. There is a critical need for a well-structured clinical trial to investigate the influence of TXA on reducing hemorrhagic complications in patients undergoing bariatric surgery. This trial is vital to ascertain the efficacy of TXA in enhancing surgical hemostasis, thereby potentially lowering postoperative bleeding rates, improving patient recovery times, and reducing hospital stays. Such research could significantly contribute to advancing the safety and outcomes of bariatric surgery, offering a new horizon in the care of patients with obesity. </w:t>
      </w:r>
      <w:r w:rsidRPr="0052741B">
        <w:rPr>
          <w:rStyle w:val="eop"/>
          <w:rFonts w:eastAsiaTheme="majorEastAsia"/>
          <w:color w:val="0D0D0D"/>
          <w:lang w:val="en-US"/>
        </w:rPr>
        <w:t> </w:t>
      </w:r>
    </w:p>
    <w:p w14:paraId="15D7BDB9" w14:textId="77777777" w:rsidR="00F01F13" w:rsidRPr="0052741B" w:rsidRDefault="00F01F13" w:rsidP="00F01F13">
      <w:pPr>
        <w:pStyle w:val="paragraph"/>
        <w:spacing w:before="0" w:beforeAutospacing="0" w:after="0" w:afterAutospacing="0" w:line="360" w:lineRule="auto"/>
        <w:ind w:firstLine="705"/>
        <w:jc w:val="both"/>
        <w:textAlignment w:val="baseline"/>
        <w:rPr>
          <w:rFonts w:ascii="Segoe UI" w:hAnsi="Segoe UI" w:cs="Segoe UI"/>
          <w:sz w:val="18"/>
          <w:szCs w:val="18"/>
          <w:lang w:val="en-US"/>
        </w:rPr>
      </w:pPr>
      <w:r>
        <w:rPr>
          <w:rStyle w:val="normaltextrun"/>
          <w:rFonts w:eastAsiaTheme="majorEastAsia"/>
          <w:color w:val="0D0D0D"/>
          <w:shd w:val="clear" w:color="auto" w:fill="FFFFFF"/>
          <w:lang w:val="en-US"/>
        </w:rPr>
        <w:t>The primary study hypothesis is single dose of Tranexamic Acid will decrease hemoglobin concentration in abdominal drainage following sleeve gastrectomy and therefore, hidden blood loss will decrease.</w:t>
      </w:r>
      <w:r w:rsidRPr="0052741B">
        <w:rPr>
          <w:rStyle w:val="eop"/>
          <w:rFonts w:eastAsiaTheme="majorEastAsia"/>
          <w:color w:val="0D0D0D"/>
          <w:lang w:val="en-US"/>
        </w:rPr>
        <w:t> </w:t>
      </w:r>
    </w:p>
    <w:p w14:paraId="109613E3" w14:textId="77777777" w:rsidR="00F01F13" w:rsidRPr="0052741B" w:rsidRDefault="00F01F13" w:rsidP="00F01F13">
      <w:pPr>
        <w:pStyle w:val="paragraph"/>
        <w:spacing w:before="0" w:beforeAutospacing="0" w:after="0" w:afterAutospacing="0" w:line="360" w:lineRule="auto"/>
        <w:ind w:firstLine="705"/>
        <w:jc w:val="both"/>
        <w:textAlignment w:val="baseline"/>
        <w:rPr>
          <w:rFonts w:ascii="Segoe UI" w:hAnsi="Segoe UI" w:cs="Segoe UI"/>
          <w:sz w:val="18"/>
          <w:szCs w:val="18"/>
          <w:lang w:val="en-US"/>
        </w:rPr>
      </w:pPr>
      <w:r>
        <w:rPr>
          <w:rStyle w:val="normaltextrun"/>
          <w:rFonts w:eastAsiaTheme="majorEastAsia"/>
          <w:color w:val="222222"/>
          <w:shd w:val="clear" w:color="auto" w:fill="FFFFFF"/>
          <w:lang w:val="en-US"/>
        </w:rPr>
        <w:t>The TXA-SG trial is designed as randomized, control, patient blinded single center trial with parallel groups, with primary endpoint of hemoglobin concentration in abdominal cavity drainage. The randomization will be performed as block randomization with allocation 1:1.</w:t>
      </w:r>
      <w:r w:rsidRPr="0052741B">
        <w:rPr>
          <w:rStyle w:val="eop"/>
          <w:rFonts w:eastAsiaTheme="majorEastAsia"/>
          <w:color w:val="222222"/>
          <w:lang w:val="en-US"/>
        </w:rPr>
        <w:t> </w:t>
      </w:r>
    </w:p>
    <w:p w14:paraId="6885AF59"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sidRPr="0052741B">
        <w:rPr>
          <w:rStyle w:val="eop"/>
          <w:rFonts w:eastAsiaTheme="majorEastAsia"/>
          <w:color w:val="222222"/>
          <w:lang w:val="en-US"/>
        </w:rPr>
        <w:t> </w:t>
      </w:r>
    </w:p>
    <w:p w14:paraId="6BA4D8E6"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222222"/>
          <w:u w:val="single"/>
          <w:shd w:val="clear" w:color="auto" w:fill="FFFFFF"/>
          <w:lang w:val="en-US"/>
        </w:rPr>
        <w:t>Study setting </w:t>
      </w:r>
      <w:r w:rsidRPr="0052741B">
        <w:rPr>
          <w:rStyle w:val="eop"/>
          <w:rFonts w:eastAsiaTheme="majorEastAsia"/>
          <w:color w:val="222222"/>
          <w:lang w:val="en-US"/>
        </w:rPr>
        <w:t> </w:t>
      </w:r>
    </w:p>
    <w:p w14:paraId="2E21DB27"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222222"/>
          <w:shd w:val="clear" w:color="auto" w:fill="FFFFFF"/>
          <w:lang w:val="en-US"/>
        </w:rPr>
        <w:t>This is a single center trial, conducted in academic hospital in a city of Gdansk, Poland.</w:t>
      </w:r>
      <w:r w:rsidRPr="0052741B">
        <w:rPr>
          <w:rStyle w:val="eop"/>
          <w:rFonts w:eastAsiaTheme="majorEastAsia"/>
          <w:color w:val="222222"/>
          <w:lang w:val="en-US"/>
        </w:rPr>
        <w:t> </w:t>
      </w:r>
    </w:p>
    <w:p w14:paraId="63E13AB6"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222222"/>
          <w:shd w:val="clear" w:color="auto" w:fill="FFFFFF"/>
          <w:lang w:val="en-US"/>
        </w:rPr>
        <w:t>Inclusion criteria </w:t>
      </w:r>
      <w:r w:rsidRPr="0052741B">
        <w:rPr>
          <w:rStyle w:val="eop"/>
          <w:rFonts w:eastAsiaTheme="majorEastAsia"/>
          <w:color w:val="222222"/>
          <w:lang w:val="en-US"/>
        </w:rPr>
        <w:t> </w:t>
      </w:r>
    </w:p>
    <w:p w14:paraId="52964643"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lang w:val="en-US"/>
        </w:rPr>
        <w:t>Patients eligible for the trial must comply with all the following at randomization:</w:t>
      </w:r>
      <w:r w:rsidRPr="0052741B">
        <w:rPr>
          <w:rStyle w:val="eop"/>
          <w:rFonts w:eastAsiaTheme="majorEastAsia"/>
          <w:lang w:val="en-US"/>
        </w:rPr>
        <w:t> </w:t>
      </w:r>
    </w:p>
    <w:p w14:paraId="6A1252A0" w14:textId="77777777" w:rsidR="00F01F13" w:rsidRDefault="00F01F13" w:rsidP="00F01F13">
      <w:pPr>
        <w:pStyle w:val="paragraph"/>
        <w:numPr>
          <w:ilvl w:val="0"/>
          <w:numId w:val="1"/>
        </w:numPr>
        <w:spacing w:before="0" w:beforeAutospacing="0" w:after="0" w:afterAutospacing="0" w:line="360" w:lineRule="auto"/>
        <w:ind w:left="1080" w:firstLine="0"/>
        <w:jc w:val="both"/>
        <w:textAlignment w:val="baseline"/>
      </w:pPr>
      <w:r>
        <w:rPr>
          <w:rStyle w:val="normaltextrun"/>
          <w:rFonts w:eastAsiaTheme="majorEastAsia"/>
          <w:lang w:val="en-US"/>
        </w:rPr>
        <w:t xml:space="preserve">Age &gt;= </w:t>
      </w:r>
      <w:r>
        <w:rPr>
          <w:rStyle w:val="normaltextrun"/>
          <w:rFonts w:eastAsiaTheme="majorEastAsia"/>
          <w:color w:val="222222"/>
          <w:shd w:val="clear" w:color="auto" w:fill="FFFFFF"/>
          <w:lang w:val="en-US"/>
        </w:rPr>
        <w:t>18</w:t>
      </w:r>
      <w:r>
        <w:rPr>
          <w:rStyle w:val="eop"/>
          <w:rFonts w:eastAsiaTheme="majorEastAsia"/>
          <w:color w:val="222222"/>
        </w:rPr>
        <w:t> </w:t>
      </w:r>
    </w:p>
    <w:p w14:paraId="5BF8BF9B" w14:textId="77777777" w:rsidR="00F01F13" w:rsidRPr="0052741B" w:rsidRDefault="00F01F13" w:rsidP="00F01F13">
      <w:pPr>
        <w:pStyle w:val="paragraph"/>
        <w:numPr>
          <w:ilvl w:val="0"/>
          <w:numId w:val="1"/>
        </w:numPr>
        <w:spacing w:before="0" w:beforeAutospacing="0" w:after="0" w:afterAutospacing="0" w:line="360" w:lineRule="auto"/>
        <w:ind w:left="1080" w:firstLine="0"/>
        <w:jc w:val="both"/>
        <w:textAlignment w:val="baseline"/>
        <w:rPr>
          <w:lang w:val="en-US"/>
        </w:rPr>
      </w:pPr>
      <w:r>
        <w:rPr>
          <w:rStyle w:val="normaltextrun"/>
          <w:rFonts w:eastAsiaTheme="majorEastAsia"/>
          <w:lang w:val="en-US"/>
        </w:rPr>
        <w:t>Qualification for sleeve gastrectomy as an initial procedure</w:t>
      </w:r>
      <w:r w:rsidRPr="0052741B">
        <w:rPr>
          <w:rStyle w:val="eop"/>
          <w:rFonts w:eastAsiaTheme="majorEastAsia"/>
          <w:lang w:val="en-US"/>
        </w:rPr>
        <w:t> </w:t>
      </w:r>
    </w:p>
    <w:p w14:paraId="70DB8455" w14:textId="77777777" w:rsidR="00F01F13" w:rsidRPr="0052741B" w:rsidRDefault="00F01F13" w:rsidP="00F01F13">
      <w:pPr>
        <w:pStyle w:val="paragraph"/>
        <w:numPr>
          <w:ilvl w:val="0"/>
          <w:numId w:val="1"/>
        </w:numPr>
        <w:spacing w:before="0" w:beforeAutospacing="0" w:after="0" w:afterAutospacing="0" w:line="360" w:lineRule="auto"/>
        <w:ind w:left="1080" w:firstLine="0"/>
        <w:jc w:val="both"/>
        <w:textAlignment w:val="baseline"/>
        <w:rPr>
          <w:lang w:val="en-US"/>
        </w:rPr>
      </w:pPr>
      <w:r>
        <w:rPr>
          <w:rStyle w:val="normaltextrun"/>
          <w:rFonts w:eastAsiaTheme="majorEastAsia"/>
          <w:lang w:val="en-US"/>
        </w:rPr>
        <w:t>Obtained consent for participating in the trial.</w:t>
      </w:r>
      <w:r w:rsidRPr="0052741B">
        <w:rPr>
          <w:rStyle w:val="eop"/>
          <w:rFonts w:eastAsiaTheme="majorEastAsia"/>
          <w:lang w:val="en-US"/>
        </w:rPr>
        <w:t> </w:t>
      </w:r>
    </w:p>
    <w:p w14:paraId="3070A7B7" w14:textId="77777777" w:rsidR="00F01F13" w:rsidRPr="0052741B" w:rsidRDefault="00F01F13" w:rsidP="00F01F13">
      <w:pPr>
        <w:pStyle w:val="paragraph"/>
        <w:spacing w:before="0" w:beforeAutospacing="0" w:after="0" w:afterAutospacing="0" w:line="360" w:lineRule="auto"/>
        <w:ind w:left="720"/>
        <w:jc w:val="both"/>
        <w:textAlignment w:val="baseline"/>
        <w:rPr>
          <w:rFonts w:ascii="Segoe UI" w:hAnsi="Segoe UI" w:cs="Segoe UI"/>
          <w:sz w:val="18"/>
          <w:szCs w:val="18"/>
          <w:lang w:val="en-US"/>
        </w:rPr>
      </w:pPr>
      <w:r w:rsidRPr="0052741B">
        <w:rPr>
          <w:rStyle w:val="eop"/>
          <w:rFonts w:eastAsiaTheme="majorEastAsia"/>
          <w:lang w:val="en-US"/>
        </w:rPr>
        <w:t> </w:t>
      </w:r>
    </w:p>
    <w:p w14:paraId="6CDEF477" w14:textId="77777777" w:rsidR="00F01F13" w:rsidRDefault="00F01F13" w:rsidP="00F01F13">
      <w:pPr>
        <w:pStyle w:val="paragraph"/>
        <w:spacing w:before="0" w:beforeAutospacing="0" w:after="0" w:afterAutospacing="0" w:line="360" w:lineRule="auto"/>
        <w:jc w:val="both"/>
        <w:textAlignment w:val="baseline"/>
        <w:rPr>
          <w:rFonts w:ascii="Segoe UI" w:hAnsi="Segoe UI" w:cs="Segoe UI"/>
          <w:sz w:val="18"/>
          <w:szCs w:val="18"/>
        </w:rPr>
      </w:pPr>
      <w:r>
        <w:rPr>
          <w:rStyle w:val="normaltextrun"/>
          <w:rFonts w:eastAsiaTheme="majorEastAsia"/>
          <w:color w:val="222222"/>
          <w:shd w:val="clear" w:color="auto" w:fill="FFFFFF"/>
          <w:lang w:val="en-US"/>
        </w:rPr>
        <w:t>Exclusion criteria:</w:t>
      </w:r>
      <w:r>
        <w:rPr>
          <w:rStyle w:val="eop"/>
          <w:rFonts w:eastAsiaTheme="majorEastAsia"/>
          <w:color w:val="222222"/>
        </w:rPr>
        <w:t> </w:t>
      </w:r>
    </w:p>
    <w:p w14:paraId="40556308" w14:textId="77777777" w:rsidR="00F01F13" w:rsidRPr="0052741B" w:rsidRDefault="00F01F13" w:rsidP="00F01F13">
      <w:pPr>
        <w:pStyle w:val="paragraph"/>
        <w:numPr>
          <w:ilvl w:val="0"/>
          <w:numId w:val="2"/>
        </w:numPr>
        <w:spacing w:before="0" w:beforeAutospacing="0" w:after="0" w:afterAutospacing="0" w:line="360" w:lineRule="auto"/>
        <w:ind w:left="1785" w:firstLine="0"/>
        <w:jc w:val="both"/>
        <w:textAlignment w:val="baseline"/>
        <w:rPr>
          <w:lang w:val="en-US"/>
        </w:rPr>
      </w:pPr>
      <w:r>
        <w:rPr>
          <w:rStyle w:val="normaltextrun"/>
          <w:rFonts w:eastAsiaTheme="majorEastAsia"/>
          <w:lang w:val="en-US"/>
        </w:rPr>
        <w:t>Qualification for a procedure other than SG</w:t>
      </w:r>
      <w:r w:rsidRPr="0052741B">
        <w:rPr>
          <w:rStyle w:val="eop"/>
          <w:rFonts w:eastAsiaTheme="majorEastAsia"/>
          <w:lang w:val="en-US"/>
        </w:rPr>
        <w:t> </w:t>
      </w:r>
    </w:p>
    <w:p w14:paraId="26C4EFAB" w14:textId="77777777" w:rsidR="00F01F13" w:rsidRPr="0052741B" w:rsidRDefault="00F01F13" w:rsidP="00F01F13">
      <w:pPr>
        <w:pStyle w:val="paragraph"/>
        <w:numPr>
          <w:ilvl w:val="0"/>
          <w:numId w:val="2"/>
        </w:numPr>
        <w:spacing w:before="0" w:beforeAutospacing="0" w:after="0" w:afterAutospacing="0" w:line="360" w:lineRule="auto"/>
        <w:ind w:left="1785" w:firstLine="0"/>
        <w:jc w:val="both"/>
        <w:textAlignment w:val="baseline"/>
        <w:rPr>
          <w:lang w:val="en-US"/>
        </w:rPr>
      </w:pPr>
      <w:r>
        <w:rPr>
          <w:rStyle w:val="normaltextrun"/>
          <w:rFonts w:eastAsiaTheme="majorEastAsia"/>
          <w:lang w:val="en-US"/>
        </w:rPr>
        <w:t>Usage of anticoagulative agents in the perioperative period, including:</w:t>
      </w:r>
      <w:r w:rsidRPr="0052741B">
        <w:rPr>
          <w:rStyle w:val="eop"/>
          <w:rFonts w:eastAsiaTheme="majorEastAsia"/>
          <w:lang w:val="en-US"/>
        </w:rPr>
        <w:t> </w:t>
      </w:r>
    </w:p>
    <w:p w14:paraId="6C2B2AB7" w14:textId="77777777" w:rsidR="00F01F13" w:rsidRPr="0052741B" w:rsidRDefault="00F01F13" w:rsidP="00F01F13">
      <w:pPr>
        <w:pStyle w:val="paragraph"/>
        <w:numPr>
          <w:ilvl w:val="0"/>
          <w:numId w:val="2"/>
        </w:numPr>
        <w:spacing w:before="0" w:beforeAutospacing="0" w:after="0" w:afterAutospacing="0" w:line="360" w:lineRule="auto"/>
        <w:ind w:left="1785" w:firstLine="0"/>
        <w:jc w:val="both"/>
        <w:textAlignment w:val="baseline"/>
        <w:rPr>
          <w:lang w:val="en-US"/>
        </w:rPr>
      </w:pPr>
      <w:r>
        <w:rPr>
          <w:rStyle w:val="normaltextrun"/>
          <w:rFonts w:eastAsiaTheme="majorEastAsia"/>
          <w:lang w:val="en-US"/>
        </w:rPr>
        <w:lastRenderedPageBreak/>
        <w:t>Indirect thrombin inhibitors (Fondaparinux, UFH, LMWH in therapeutic doses)</w:t>
      </w:r>
      <w:r w:rsidRPr="0052741B">
        <w:rPr>
          <w:rStyle w:val="eop"/>
          <w:rFonts w:eastAsiaTheme="majorEastAsia"/>
          <w:lang w:val="en-US"/>
        </w:rPr>
        <w:t> </w:t>
      </w:r>
    </w:p>
    <w:p w14:paraId="4F12A624" w14:textId="77777777" w:rsidR="00F01F13" w:rsidRPr="0052741B" w:rsidRDefault="00F01F13" w:rsidP="00F01F13">
      <w:pPr>
        <w:pStyle w:val="paragraph"/>
        <w:numPr>
          <w:ilvl w:val="0"/>
          <w:numId w:val="2"/>
        </w:numPr>
        <w:spacing w:before="0" w:beforeAutospacing="0" w:after="0" w:afterAutospacing="0" w:line="360" w:lineRule="auto"/>
        <w:ind w:left="1785" w:firstLine="0"/>
        <w:jc w:val="both"/>
        <w:textAlignment w:val="baseline"/>
        <w:rPr>
          <w:lang w:val="en-US"/>
        </w:rPr>
      </w:pPr>
      <w:r>
        <w:rPr>
          <w:rStyle w:val="normaltextrun"/>
          <w:rFonts w:eastAsiaTheme="majorEastAsia"/>
          <w:lang w:val="en-US"/>
        </w:rPr>
        <w:t>Direct inhibitors of factor Xa (NOAC)</w:t>
      </w:r>
      <w:r w:rsidRPr="0052741B">
        <w:rPr>
          <w:rStyle w:val="eop"/>
          <w:rFonts w:eastAsiaTheme="majorEastAsia"/>
          <w:lang w:val="en-US"/>
        </w:rPr>
        <w:t> </w:t>
      </w:r>
    </w:p>
    <w:p w14:paraId="197C9011" w14:textId="77777777" w:rsidR="00F01F13" w:rsidRDefault="00F01F13" w:rsidP="00F01F13">
      <w:pPr>
        <w:pStyle w:val="paragraph"/>
        <w:numPr>
          <w:ilvl w:val="0"/>
          <w:numId w:val="2"/>
        </w:numPr>
        <w:spacing w:before="0" w:beforeAutospacing="0" w:after="0" w:afterAutospacing="0" w:line="360" w:lineRule="auto"/>
        <w:ind w:left="1785" w:firstLine="0"/>
        <w:jc w:val="both"/>
        <w:textAlignment w:val="baseline"/>
      </w:pPr>
      <w:r>
        <w:rPr>
          <w:rStyle w:val="normaltextrun"/>
          <w:rFonts w:eastAsiaTheme="majorEastAsia"/>
          <w:lang w:val="en-US"/>
        </w:rPr>
        <w:t>Direct thrombin inhibitors (Dabigatran)</w:t>
      </w:r>
      <w:r>
        <w:rPr>
          <w:rStyle w:val="eop"/>
          <w:rFonts w:eastAsiaTheme="majorEastAsia"/>
        </w:rPr>
        <w:t> </w:t>
      </w:r>
    </w:p>
    <w:p w14:paraId="5AAF9F9C" w14:textId="77777777" w:rsidR="00F01F13" w:rsidRPr="0052741B" w:rsidRDefault="00F01F13" w:rsidP="00F01F13">
      <w:pPr>
        <w:pStyle w:val="paragraph"/>
        <w:numPr>
          <w:ilvl w:val="0"/>
          <w:numId w:val="2"/>
        </w:numPr>
        <w:spacing w:before="0" w:beforeAutospacing="0" w:after="0" w:afterAutospacing="0" w:line="360" w:lineRule="auto"/>
        <w:ind w:left="1785" w:firstLine="0"/>
        <w:jc w:val="both"/>
        <w:textAlignment w:val="baseline"/>
        <w:rPr>
          <w:lang w:val="en-US"/>
        </w:rPr>
      </w:pPr>
      <w:r>
        <w:rPr>
          <w:rStyle w:val="normaltextrun"/>
          <w:rFonts w:eastAsiaTheme="majorEastAsia"/>
          <w:lang w:val="en-US"/>
        </w:rPr>
        <w:t xml:space="preserve">Vitamin K Antagonists (VKA: </w:t>
      </w:r>
      <w:proofErr w:type="spellStart"/>
      <w:r>
        <w:rPr>
          <w:rStyle w:val="normaltextrun"/>
          <w:rFonts w:eastAsiaTheme="majorEastAsia"/>
          <w:lang w:val="en-US"/>
        </w:rPr>
        <w:t>acenokumarol</w:t>
      </w:r>
      <w:proofErr w:type="spellEnd"/>
      <w:r>
        <w:rPr>
          <w:rStyle w:val="normaltextrun"/>
          <w:rFonts w:eastAsiaTheme="majorEastAsia"/>
          <w:lang w:val="en-US"/>
        </w:rPr>
        <w:t>, warfarin)</w:t>
      </w:r>
      <w:r w:rsidRPr="0052741B">
        <w:rPr>
          <w:rStyle w:val="eop"/>
          <w:rFonts w:eastAsiaTheme="majorEastAsia"/>
          <w:lang w:val="en-US"/>
        </w:rPr>
        <w:t> </w:t>
      </w:r>
    </w:p>
    <w:p w14:paraId="1E8B0FCC" w14:textId="77777777" w:rsidR="00F01F13" w:rsidRPr="0052741B" w:rsidRDefault="00F01F13" w:rsidP="00F01F13">
      <w:pPr>
        <w:pStyle w:val="paragraph"/>
        <w:numPr>
          <w:ilvl w:val="0"/>
          <w:numId w:val="2"/>
        </w:numPr>
        <w:spacing w:before="0" w:beforeAutospacing="0" w:after="0" w:afterAutospacing="0" w:line="360" w:lineRule="auto"/>
        <w:ind w:left="1785" w:firstLine="0"/>
        <w:jc w:val="both"/>
        <w:textAlignment w:val="baseline"/>
        <w:rPr>
          <w:lang w:val="en-US"/>
        </w:rPr>
      </w:pPr>
      <w:r>
        <w:rPr>
          <w:rStyle w:val="normaltextrun"/>
          <w:rFonts w:eastAsiaTheme="majorEastAsia"/>
          <w:lang w:val="en-US"/>
        </w:rPr>
        <w:t>Platelet aggregation inhibitors (excluding ASA in doses of 75mg per day)</w:t>
      </w:r>
      <w:r w:rsidRPr="0052741B">
        <w:rPr>
          <w:rStyle w:val="eop"/>
          <w:rFonts w:eastAsiaTheme="majorEastAsia"/>
          <w:lang w:val="en-US"/>
        </w:rPr>
        <w:t> </w:t>
      </w:r>
    </w:p>
    <w:p w14:paraId="57E9BCB4" w14:textId="77777777" w:rsidR="00F01F13" w:rsidRDefault="00F01F13" w:rsidP="00F01F13">
      <w:pPr>
        <w:pStyle w:val="paragraph"/>
        <w:numPr>
          <w:ilvl w:val="0"/>
          <w:numId w:val="2"/>
        </w:numPr>
        <w:spacing w:before="0" w:beforeAutospacing="0" w:after="0" w:afterAutospacing="0" w:line="360" w:lineRule="auto"/>
        <w:ind w:left="1785" w:firstLine="0"/>
        <w:jc w:val="both"/>
        <w:textAlignment w:val="baseline"/>
      </w:pPr>
      <w:r>
        <w:rPr>
          <w:rStyle w:val="normaltextrun"/>
          <w:rFonts w:eastAsiaTheme="majorEastAsia"/>
          <w:lang w:val="en-US"/>
        </w:rPr>
        <w:t>P2Y12 receptor inhibitors</w:t>
      </w:r>
      <w:r>
        <w:rPr>
          <w:rStyle w:val="eop"/>
          <w:rFonts w:eastAsiaTheme="majorEastAsia"/>
        </w:rPr>
        <w:t> </w:t>
      </w:r>
    </w:p>
    <w:p w14:paraId="3CF93D0D" w14:textId="77777777" w:rsidR="00F01F13" w:rsidRPr="0052741B" w:rsidRDefault="00F01F13" w:rsidP="00F01F13">
      <w:pPr>
        <w:pStyle w:val="paragraph"/>
        <w:numPr>
          <w:ilvl w:val="0"/>
          <w:numId w:val="3"/>
        </w:numPr>
        <w:spacing w:before="0" w:beforeAutospacing="0" w:after="0" w:afterAutospacing="0" w:line="360" w:lineRule="auto"/>
        <w:ind w:left="1785" w:firstLine="0"/>
        <w:jc w:val="both"/>
        <w:textAlignment w:val="baseline"/>
        <w:rPr>
          <w:lang w:val="en-US"/>
        </w:rPr>
      </w:pPr>
      <w:r>
        <w:rPr>
          <w:rStyle w:val="normaltextrun"/>
          <w:rFonts w:eastAsiaTheme="majorEastAsia"/>
          <w:lang w:val="en-US"/>
        </w:rPr>
        <w:t>Prior diagnosis of congenital or acquired blood coagulation disorders.</w:t>
      </w:r>
      <w:r w:rsidRPr="0052741B">
        <w:rPr>
          <w:rStyle w:val="eop"/>
          <w:rFonts w:eastAsiaTheme="majorEastAsia"/>
          <w:lang w:val="en-US"/>
        </w:rPr>
        <w:t> </w:t>
      </w:r>
    </w:p>
    <w:p w14:paraId="40A7F8A2" w14:textId="77777777" w:rsidR="00F01F13" w:rsidRPr="0052741B" w:rsidRDefault="00F01F13" w:rsidP="00F01F13">
      <w:pPr>
        <w:pStyle w:val="paragraph"/>
        <w:numPr>
          <w:ilvl w:val="0"/>
          <w:numId w:val="3"/>
        </w:numPr>
        <w:spacing w:before="0" w:beforeAutospacing="0" w:after="0" w:afterAutospacing="0" w:line="360" w:lineRule="auto"/>
        <w:ind w:left="1785" w:firstLine="0"/>
        <w:jc w:val="both"/>
        <w:textAlignment w:val="baseline"/>
        <w:rPr>
          <w:lang w:val="en-US"/>
        </w:rPr>
      </w:pPr>
      <w:r>
        <w:rPr>
          <w:rStyle w:val="normaltextrun"/>
          <w:rFonts w:eastAsiaTheme="majorEastAsia"/>
          <w:lang w:val="en-US"/>
        </w:rPr>
        <w:t>Diagnosed allergic reactions to TXA in medical history.</w:t>
      </w:r>
      <w:r w:rsidRPr="0052741B">
        <w:rPr>
          <w:rStyle w:val="eop"/>
          <w:rFonts w:eastAsiaTheme="majorEastAsia"/>
          <w:lang w:val="en-US"/>
        </w:rPr>
        <w:t> </w:t>
      </w:r>
    </w:p>
    <w:p w14:paraId="06FA41B0" w14:textId="77777777" w:rsidR="00F01F13" w:rsidRPr="0052741B" w:rsidRDefault="00F01F13" w:rsidP="00F01F13">
      <w:pPr>
        <w:pStyle w:val="paragraph"/>
        <w:numPr>
          <w:ilvl w:val="0"/>
          <w:numId w:val="3"/>
        </w:numPr>
        <w:spacing w:before="0" w:beforeAutospacing="0" w:after="0" w:afterAutospacing="0" w:line="360" w:lineRule="auto"/>
        <w:ind w:left="1785" w:firstLine="0"/>
        <w:jc w:val="both"/>
        <w:textAlignment w:val="baseline"/>
        <w:rPr>
          <w:lang w:val="en-US"/>
        </w:rPr>
      </w:pPr>
      <w:r>
        <w:rPr>
          <w:rStyle w:val="normaltextrun"/>
          <w:rFonts w:eastAsiaTheme="majorEastAsia"/>
          <w:lang w:val="en-US"/>
        </w:rPr>
        <w:t>Chronic Kidney Disease in stage G3 or more advanced</w:t>
      </w:r>
      <w:r w:rsidRPr="0052741B">
        <w:rPr>
          <w:rStyle w:val="eop"/>
          <w:rFonts w:eastAsiaTheme="majorEastAsia"/>
          <w:lang w:val="en-US"/>
        </w:rPr>
        <w:t> </w:t>
      </w:r>
    </w:p>
    <w:p w14:paraId="49B6A074" w14:textId="77777777" w:rsidR="00F01F13" w:rsidRDefault="00F01F13" w:rsidP="00F01F13">
      <w:pPr>
        <w:pStyle w:val="paragraph"/>
        <w:numPr>
          <w:ilvl w:val="0"/>
          <w:numId w:val="3"/>
        </w:numPr>
        <w:spacing w:before="0" w:beforeAutospacing="0" w:after="0" w:afterAutospacing="0" w:line="360" w:lineRule="auto"/>
        <w:ind w:left="1785" w:firstLine="0"/>
        <w:jc w:val="both"/>
        <w:textAlignment w:val="baseline"/>
      </w:pPr>
      <w:r>
        <w:rPr>
          <w:rStyle w:val="normaltextrun"/>
          <w:rFonts w:eastAsiaTheme="majorEastAsia"/>
          <w:lang w:val="en-US"/>
        </w:rPr>
        <w:t>Chronic hemodialysis</w:t>
      </w:r>
      <w:r>
        <w:rPr>
          <w:rStyle w:val="eop"/>
          <w:rFonts w:eastAsiaTheme="majorEastAsia"/>
        </w:rPr>
        <w:t> </w:t>
      </w:r>
    </w:p>
    <w:p w14:paraId="7E365FB9" w14:textId="77777777" w:rsidR="00F01F13" w:rsidRDefault="00F01F13" w:rsidP="00F01F13">
      <w:pPr>
        <w:pStyle w:val="paragraph"/>
        <w:numPr>
          <w:ilvl w:val="0"/>
          <w:numId w:val="3"/>
        </w:numPr>
        <w:spacing w:before="0" w:beforeAutospacing="0" w:after="0" w:afterAutospacing="0" w:line="360" w:lineRule="auto"/>
        <w:ind w:left="1785" w:firstLine="0"/>
        <w:jc w:val="both"/>
        <w:textAlignment w:val="baseline"/>
      </w:pPr>
      <w:proofErr w:type="spellStart"/>
      <w:r>
        <w:rPr>
          <w:rStyle w:val="normaltextrun"/>
          <w:rFonts w:eastAsiaTheme="majorEastAsia"/>
          <w:lang w:val="en-US"/>
        </w:rPr>
        <w:t>Haematuria</w:t>
      </w:r>
      <w:proofErr w:type="spellEnd"/>
      <w:r>
        <w:rPr>
          <w:rStyle w:val="normaltextrun"/>
          <w:rFonts w:eastAsiaTheme="majorEastAsia"/>
          <w:lang w:val="en-US"/>
        </w:rPr>
        <w:t xml:space="preserve"> in medical history</w:t>
      </w:r>
      <w:r>
        <w:rPr>
          <w:rStyle w:val="eop"/>
          <w:rFonts w:eastAsiaTheme="majorEastAsia"/>
        </w:rPr>
        <w:t> </w:t>
      </w:r>
    </w:p>
    <w:p w14:paraId="07033765" w14:textId="77777777" w:rsidR="00F01F13" w:rsidRDefault="00F01F13" w:rsidP="00F01F13">
      <w:pPr>
        <w:pStyle w:val="paragraph"/>
        <w:numPr>
          <w:ilvl w:val="0"/>
          <w:numId w:val="3"/>
        </w:numPr>
        <w:spacing w:before="0" w:beforeAutospacing="0" w:after="0" w:afterAutospacing="0" w:line="360" w:lineRule="auto"/>
        <w:ind w:left="1785" w:firstLine="0"/>
        <w:jc w:val="both"/>
        <w:textAlignment w:val="baseline"/>
      </w:pPr>
      <w:r>
        <w:rPr>
          <w:rStyle w:val="normaltextrun"/>
          <w:rFonts w:eastAsiaTheme="majorEastAsia"/>
          <w:lang w:val="en-US"/>
        </w:rPr>
        <w:t>Seizures in medical history</w:t>
      </w:r>
      <w:r>
        <w:rPr>
          <w:rStyle w:val="eop"/>
          <w:rFonts w:eastAsiaTheme="majorEastAsia"/>
        </w:rPr>
        <w:t> </w:t>
      </w:r>
    </w:p>
    <w:p w14:paraId="2170C27C" w14:textId="77777777" w:rsidR="00F01F13" w:rsidRDefault="00F01F13" w:rsidP="00F01F13">
      <w:pPr>
        <w:pStyle w:val="paragraph"/>
        <w:spacing w:before="0" w:beforeAutospacing="0" w:after="0" w:afterAutospacing="0" w:line="360" w:lineRule="auto"/>
        <w:jc w:val="both"/>
        <w:textAlignment w:val="baseline"/>
        <w:rPr>
          <w:rFonts w:ascii="Segoe UI" w:hAnsi="Segoe UI" w:cs="Segoe UI"/>
          <w:sz w:val="18"/>
          <w:szCs w:val="18"/>
        </w:rPr>
      </w:pPr>
      <w:r>
        <w:rPr>
          <w:rStyle w:val="normaltextrun"/>
          <w:rFonts w:eastAsiaTheme="majorEastAsia"/>
          <w:u w:val="single"/>
          <w:lang w:val="en-US"/>
        </w:rPr>
        <w:t>Intervention for each group:</w:t>
      </w:r>
      <w:r>
        <w:rPr>
          <w:rStyle w:val="eop"/>
          <w:rFonts w:eastAsiaTheme="majorEastAsia"/>
        </w:rPr>
        <w:t> </w:t>
      </w:r>
    </w:p>
    <w:p w14:paraId="7DE1C9A3" w14:textId="77777777" w:rsidR="00F01F13" w:rsidRPr="0052741B" w:rsidRDefault="00F01F13" w:rsidP="00F01F13">
      <w:pPr>
        <w:pStyle w:val="paragraph"/>
        <w:spacing w:before="0" w:beforeAutospacing="0" w:after="0" w:afterAutospacing="0" w:line="360" w:lineRule="auto"/>
        <w:ind w:firstLine="555"/>
        <w:jc w:val="both"/>
        <w:textAlignment w:val="baseline"/>
        <w:rPr>
          <w:rFonts w:ascii="Segoe UI" w:hAnsi="Segoe UI" w:cs="Segoe UI"/>
          <w:sz w:val="18"/>
          <w:szCs w:val="18"/>
          <w:lang w:val="en-US"/>
        </w:rPr>
      </w:pPr>
      <w:r>
        <w:rPr>
          <w:rStyle w:val="normaltextrun"/>
          <w:rFonts w:eastAsiaTheme="majorEastAsia"/>
          <w:color w:val="000000"/>
          <w:lang w:val="en-US"/>
        </w:rPr>
        <w:t xml:space="preserve">All qualified for intervention patients will receive a single dose of 1g of </w:t>
      </w:r>
      <w:proofErr w:type="spellStart"/>
      <w:r>
        <w:rPr>
          <w:rStyle w:val="normaltextrun"/>
          <w:rFonts w:eastAsiaTheme="majorEastAsia"/>
          <w:color w:val="000000"/>
          <w:lang w:val="en-US"/>
        </w:rPr>
        <w:t>i.v.</w:t>
      </w:r>
      <w:proofErr w:type="spellEnd"/>
      <w:r>
        <w:rPr>
          <w:rStyle w:val="normaltextrun"/>
          <w:rFonts w:eastAsiaTheme="majorEastAsia"/>
          <w:color w:val="000000"/>
          <w:lang w:val="en-US"/>
        </w:rPr>
        <w:t xml:space="preserve"> TXA bolus at a loading dose of 1g over 10 minutes, within 10 minutes of the induction of anesthesia, preceding the anticipated skin incision. </w:t>
      </w:r>
      <w:r w:rsidRPr="0052741B">
        <w:rPr>
          <w:rStyle w:val="eop"/>
          <w:rFonts w:eastAsiaTheme="majorEastAsia"/>
          <w:color w:val="000000"/>
          <w:lang w:val="en-US"/>
        </w:rPr>
        <w:t> </w:t>
      </w:r>
    </w:p>
    <w:p w14:paraId="5A017410"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color w:val="000000"/>
          <w:lang w:val="en-US"/>
        </w:rPr>
        <w:t>Preceding the end of the procedure, a Redon drain will be placed alongside the staple line to monitor blood loss in the perioperative period. Drainage placement is performed only for study purposes.</w:t>
      </w:r>
      <w:r w:rsidRPr="0052741B">
        <w:rPr>
          <w:rStyle w:val="eop"/>
          <w:rFonts w:eastAsiaTheme="majorEastAsia"/>
          <w:color w:val="000000"/>
          <w:lang w:val="en-US"/>
        </w:rPr>
        <w:t> </w:t>
      </w:r>
    </w:p>
    <w:p w14:paraId="04CE81C7" w14:textId="77777777" w:rsidR="00F01F13" w:rsidRPr="0052741B" w:rsidRDefault="00F01F13" w:rsidP="00F01F13">
      <w:pPr>
        <w:pStyle w:val="paragraph"/>
        <w:spacing w:before="0" w:beforeAutospacing="0" w:after="0" w:afterAutospacing="0" w:line="360" w:lineRule="auto"/>
        <w:ind w:firstLine="705"/>
        <w:jc w:val="both"/>
        <w:textAlignment w:val="baseline"/>
        <w:rPr>
          <w:rFonts w:ascii="Segoe UI" w:hAnsi="Segoe UI" w:cs="Segoe UI"/>
          <w:sz w:val="18"/>
          <w:szCs w:val="18"/>
          <w:lang w:val="en-US"/>
        </w:rPr>
      </w:pPr>
      <w:r>
        <w:rPr>
          <w:rStyle w:val="normaltextrun"/>
          <w:rFonts w:eastAsiaTheme="majorEastAsia"/>
          <w:color w:val="222222"/>
          <w:shd w:val="clear" w:color="auto" w:fill="FFFFFF"/>
          <w:lang w:val="en-US"/>
        </w:rPr>
        <w:t>Study protocol include single dose pharmacological intervention therefore there are no criteria for discontinuing of modifying allocated interventions. </w:t>
      </w:r>
      <w:r w:rsidRPr="0052741B">
        <w:rPr>
          <w:rStyle w:val="eop"/>
          <w:rFonts w:eastAsiaTheme="majorEastAsia"/>
          <w:color w:val="222222"/>
          <w:lang w:val="en-US"/>
        </w:rPr>
        <w:t> </w:t>
      </w:r>
    </w:p>
    <w:p w14:paraId="01555B5B" w14:textId="77777777" w:rsidR="00F01F13" w:rsidRPr="0052741B" w:rsidRDefault="00F01F13" w:rsidP="00F01F13">
      <w:pPr>
        <w:pStyle w:val="paragraph"/>
        <w:spacing w:before="0" w:beforeAutospacing="0" w:after="0" w:afterAutospacing="0" w:line="360" w:lineRule="auto"/>
        <w:ind w:firstLine="705"/>
        <w:jc w:val="both"/>
        <w:textAlignment w:val="baseline"/>
        <w:rPr>
          <w:rFonts w:ascii="Segoe UI" w:hAnsi="Segoe UI" w:cs="Segoe UI"/>
          <w:sz w:val="18"/>
          <w:szCs w:val="18"/>
          <w:lang w:val="en-US"/>
        </w:rPr>
      </w:pPr>
      <w:r>
        <w:rPr>
          <w:rStyle w:val="normaltextrun"/>
          <w:rFonts w:eastAsiaTheme="majorEastAsia"/>
          <w:lang w:val="en-US"/>
        </w:rPr>
        <w:t xml:space="preserve">The primary outcome parameter was the mean </w:t>
      </w:r>
      <w:proofErr w:type="spellStart"/>
      <w:r>
        <w:rPr>
          <w:rStyle w:val="normaltextrun"/>
          <w:rFonts w:eastAsiaTheme="majorEastAsia"/>
          <w:lang w:val="en-US"/>
        </w:rPr>
        <w:t>haemoglobin</w:t>
      </w:r>
      <w:proofErr w:type="spellEnd"/>
      <w:r>
        <w:rPr>
          <w:rStyle w:val="normaltextrun"/>
          <w:rFonts w:eastAsiaTheme="majorEastAsia"/>
          <w:lang w:val="en-US"/>
        </w:rPr>
        <w:t xml:space="preserve"> concentration in the drainage sample, measured through performing a CBC. The secondary outcomes were blood loss (defined as the difference between the preoperative and postoperative </w:t>
      </w:r>
      <w:proofErr w:type="spellStart"/>
      <w:r>
        <w:rPr>
          <w:rStyle w:val="normaltextrun"/>
          <w:rFonts w:eastAsiaTheme="majorEastAsia"/>
          <w:lang w:val="en-US"/>
        </w:rPr>
        <w:t>haemoglobin</w:t>
      </w:r>
      <w:proofErr w:type="spellEnd"/>
      <w:r>
        <w:rPr>
          <w:rStyle w:val="normaltextrun"/>
          <w:rFonts w:eastAsiaTheme="majorEastAsia"/>
          <w:lang w:val="en-US"/>
        </w:rPr>
        <w:t xml:space="preserve"> concentration in the peripheral blood sample), the drainage volume in ml, the </w:t>
      </w:r>
      <w:proofErr w:type="spellStart"/>
      <w:r>
        <w:rPr>
          <w:rStyle w:val="normaltextrun"/>
          <w:rFonts w:eastAsiaTheme="majorEastAsia"/>
          <w:lang w:val="en-US"/>
        </w:rPr>
        <w:t>haemoglobin</w:t>
      </w:r>
      <w:proofErr w:type="spellEnd"/>
      <w:r>
        <w:rPr>
          <w:rStyle w:val="normaltextrun"/>
          <w:rFonts w:eastAsiaTheme="majorEastAsia"/>
          <w:lang w:val="en-US"/>
        </w:rPr>
        <w:t xml:space="preserve"> mass in drainage (evaluated by multiplying the drainage volume and </w:t>
      </w:r>
      <w:proofErr w:type="spellStart"/>
      <w:r>
        <w:rPr>
          <w:rStyle w:val="normaltextrun"/>
          <w:rFonts w:eastAsiaTheme="majorEastAsia"/>
          <w:lang w:val="en-US"/>
        </w:rPr>
        <w:t>haemoglobin</w:t>
      </w:r>
      <w:proofErr w:type="spellEnd"/>
      <w:r>
        <w:rPr>
          <w:rStyle w:val="normaltextrun"/>
          <w:rFonts w:eastAsiaTheme="majorEastAsia"/>
          <w:lang w:val="en-US"/>
        </w:rPr>
        <w:t xml:space="preserve"> concentration) the procedure time (minutes), the extended postoperative hospital stay (days), major surgical complications due to bleeding (defined as a </w:t>
      </w:r>
      <w:proofErr w:type="spellStart"/>
      <w:r>
        <w:rPr>
          <w:rStyle w:val="normaltextrun"/>
          <w:rFonts w:eastAsiaTheme="majorEastAsia"/>
          <w:lang w:val="en-US"/>
        </w:rPr>
        <w:t>Clavien-Dindo</w:t>
      </w:r>
      <w:proofErr w:type="spellEnd"/>
      <w:r>
        <w:rPr>
          <w:rStyle w:val="normaltextrun"/>
          <w:rFonts w:eastAsiaTheme="majorEastAsia"/>
          <w:lang w:val="en-US"/>
        </w:rPr>
        <w:t xml:space="preserve"> score &gt;=3), necessity for blood transfusion, peripheral arterial thrombosis and symptomatic proximal venous thromboembolism (VTE) at 30 days after randomization on the clinical follow-up appointment. </w:t>
      </w:r>
      <w:r w:rsidRPr="0052741B">
        <w:rPr>
          <w:rStyle w:val="eop"/>
          <w:rFonts w:eastAsiaTheme="majorEastAsia"/>
          <w:lang w:val="en-US"/>
        </w:rPr>
        <w:t> </w:t>
      </w:r>
    </w:p>
    <w:p w14:paraId="429E5E0B" w14:textId="791D0B12"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sz w:val="18"/>
          <w:szCs w:val="18"/>
          <w:lang w:val="en-US"/>
        </w:rPr>
      </w:pPr>
      <w:r>
        <w:rPr>
          <w:rStyle w:val="normaltextrun"/>
          <w:rFonts w:eastAsiaTheme="majorEastAsia"/>
          <w:lang w:val="en-US"/>
        </w:rPr>
        <w:lastRenderedPageBreak/>
        <w:t>Enrolment starts on 4</w:t>
      </w:r>
      <w:r>
        <w:rPr>
          <w:rStyle w:val="normaltextrun"/>
          <w:rFonts w:eastAsiaTheme="majorEastAsia"/>
          <w:sz w:val="19"/>
          <w:szCs w:val="19"/>
          <w:vertAlign w:val="superscript"/>
          <w:lang w:val="en-US"/>
        </w:rPr>
        <w:t>th</w:t>
      </w:r>
      <w:r>
        <w:rPr>
          <w:rStyle w:val="normaltextrun"/>
          <w:rFonts w:eastAsiaTheme="majorEastAsia"/>
          <w:lang w:val="en-US"/>
        </w:rPr>
        <w:t xml:space="preserve"> of </w:t>
      </w:r>
      <w:proofErr w:type="gramStart"/>
      <w:r>
        <w:rPr>
          <w:rStyle w:val="normaltextrun"/>
          <w:rFonts w:eastAsiaTheme="majorEastAsia"/>
          <w:lang w:val="en-US"/>
        </w:rPr>
        <w:t>July,</w:t>
      </w:r>
      <w:proofErr w:type="gramEnd"/>
      <w:r>
        <w:rPr>
          <w:rStyle w:val="normaltextrun"/>
          <w:rFonts w:eastAsiaTheme="majorEastAsia"/>
          <w:lang w:val="en-US"/>
        </w:rPr>
        <w:t xml:space="preserve"> 2022; the power study calculation is scheduled after partial collection of data to evaluate study groups. The post operative follow-up visit is planned 30 days after intervention. The study will be conducted in the high-volume center (around 400 operations per year) therefore adequate enrolment will be ensured. </w:t>
      </w:r>
      <w:r>
        <w:rPr>
          <w:rStyle w:val="normaltextrun"/>
          <w:rFonts w:eastAsiaTheme="majorEastAsia"/>
          <w:color w:val="000000"/>
          <w:lang w:val="en-US"/>
        </w:rPr>
        <w:t xml:space="preserve">A block randomization </w:t>
      </w:r>
      <w:r>
        <w:rPr>
          <w:rStyle w:val="normaltextrun"/>
          <w:rFonts w:eastAsiaTheme="majorEastAsia"/>
          <w:lang w:val="en-US"/>
        </w:rPr>
        <w:t>will be</w:t>
      </w:r>
      <w:r>
        <w:rPr>
          <w:rStyle w:val="normaltextrun"/>
          <w:rFonts w:eastAsiaTheme="majorEastAsia"/>
          <w:color w:val="000000"/>
          <w:lang w:val="en-US"/>
        </w:rPr>
        <w:t xml:space="preserve"> </w:t>
      </w:r>
      <w:r>
        <w:rPr>
          <w:rStyle w:val="normaltextrun"/>
          <w:rFonts w:eastAsiaTheme="majorEastAsia"/>
          <w:lang w:val="en-US"/>
        </w:rPr>
        <w:t>used</w:t>
      </w:r>
      <w:r>
        <w:rPr>
          <w:rStyle w:val="normaltextrun"/>
          <w:rFonts w:eastAsiaTheme="majorEastAsia"/>
          <w:color w:val="000000"/>
          <w:lang w:val="en-US"/>
        </w:rPr>
        <w:t xml:space="preserve"> to allocate patients to different interventions </w:t>
      </w:r>
      <w:r w:rsidR="0099215B">
        <w:rPr>
          <w:rStyle w:val="normaltextrun"/>
          <w:rFonts w:eastAsiaTheme="majorEastAsia"/>
          <w:color w:val="000000"/>
          <w:lang w:val="en-US"/>
        </w:rPr>
        <w:t>based on</w:t>
      </w:r>
      <w:r>
        <w:rPr>
          <w:rStyle w:val="normaltextrun"/>
          <w:rFonts w:eastAsiaTheme="majorEastAsia"/>
          <w:color w:val="000000"/>
          <w:lang w:val="en-US"/>
        </w:rPr>
        <w:t xml:space="preserve"> the operating schedule of the center. Block size varies depending on the operating room availability. Patients </w:t>
      </w:r>
      <w:r>
        <w:rPr>
          <w:rStyle w:val="normaltextrun"/>
          <w:rFonts w:eastAsiaTheme="majorEastAsia"/>
          <w:lang w:val="en-US"/>
        </w:rPr>
        <w:t>will be</w:t>
      </w:r>
      <w:r>
        <w:rPr>
          <w:rStyle w:val="normaltextrun"/>
          <w:rFonts w:eastAsiaTheme="majorEastAsia"/>
          <w:color w:val="000000"/>
          <w:lang w:val="en-US"/>
        </w:rPr>
        <w:t xml:space="preserve"> assigned to the control and test groups alternately on a weekly basis. To further reduce possible bias, different physicians qualifying patients for operation who had no interaction with those physicians scheduling the operations.</w:t>
      </w:r>
      <w:r>
        <w:rPr>
          <w:rStyle w:val="normaltextrun"/>
          <w:rFonts w:eastAsiaTheme="majorEastAsia"/>
          <w:lang w:val="en-US"/>
        </w:rPr>
        <w:t xml:space="preserve"> </w:t>
      </w:r>
      <w:r w:rsidR="0099215B">
        <w:rPr>
          <w:lang w:val="en-US"/>
        </w:rPr>
        <w:t>The collected</w:t>
      </w:r>
      <w:r w:rsidR="0099215B" w:rsidRPr="000A7E99">
        <w:rPr>
          <w:lang w:val="en-US"/>
        </w:rPr>
        <w:t xml:space="preserve"> data </w:t>
      </w:r>
      <w:r w:rsidR="0099215B">
        <w:rPr>
          <w:lang w:val="en-US"/>
        </w:rPr>
        <w:t>will be</w:t>
      </w:r>
      <w:r w:rsidR="0099215B" w:rsidRPr="000A7E99">
        <w:rPr>
          <w:lang w:val="en-US"/>
        </w:rPr>
        <w:t xml:space="preserve"> analyzed according to </w:t>
      </w:r>
      <w:r w:rsidR="0099215B">
        <w:rPr>
          <w:lang w:val="en-US"/>
        </w:rPr>
        <w:t xml:space="preserve">both </w:t>
      </w:r>
      <w:r w:rsidR="0099215B" w:rsidRPr="000A7E99">
        <w:rPr>
          <w:lang w:val="en-US"/>
        </w:rPr>
        <w:t xml:space="preserve">the intention-to-treat </w:t>
      </w:r>
      <w:r w:rsidR="0099215B">
        <w:rPr>
          <w:lang w:val="en-US"/>
        </w:rPr>
        <w:t xml:space="preserve">and per protocol </w:t>
      </w:r>
      <w:r w:rsidR="0099215B" w:rsidRPr="000A7E99">
        <w:rPr>
          <w:lang w:val="en-US"/>
        </w:rPr>
        <w:t>principle</w:t>
      </w:r>
      <w:r w:rsidR="0099215B">
        <w:rPr>
          <w:lang w:val="en-US"/>
        </w:rPr>
        <w:t>s</w:t>
      </w:r>
      <w:r w:rsidR="0099215B" w:rsidRPr="000A7E99">
        <w:rPr>
          <w:lang w:val="en-US"/>
        </w:rPr>
        <w:t>.</w:t>
      </w:r>
      <w:r w:rsidR="0099215B">
        <w:rPr>
          <w:lang w:val="en-US"/>
        </w:rPr>
        <w:t xml:space="preserve"> Categorical data will be presented as numbers and percentages of the analyzed group.  Continuous variables will be reported using mean and 95% confidence interval for normally distributed data and as median with 5</w:t>
      </w:r>
      <w:r w:rsidR="0099215B" w:rsidRPr="00E13BCB">
        <w:rPr>
          <w:vertAlign w:val="superscript"/>
          <w:lang w:val="en-US"/>
        </w:rPr>
        <w:t>th</w:t>
      </w:r>
      <w:r w:rsidR="0099215B">
        <w:rPr>
          <w:lang w:val="en-US"/>
        </w:rPr>
        <w:t>-95</w:t>
      </w:r>
      <w:r w:rsidR="0099215B" w:rsidRPr="00E13BCB">
        <w:rPr>
          <w:vertAlign w:val="superscript"/>
          <w:lang w:val="en-US"/>
        </w:rPr>
        <w:t>th</w:t>
      </w:r>
      <w:r w:rsidR="0099215B">
        <w:rPr>
          <w:lang w:val="en-US"/>
        </w:rPr>
        <w:t xml:space="preserve"> percentile range otherwise. All statistical tests will be performed using </w:t>
      </w:r>
      <w:r w:rsidR="0099215B" w:rsidRPr="000A7E99">
        <w:rPr>
          <w:lang w:val="en-US"/>
        </w:rPr>
        <w:t xml:space="preserve">SAS Studio ver. 3.81. </w:t>
      </w:r>
      <w:r w:rsidR="0099215B">
        <w:rPr>
          <w:lang w:val="en-US"/>
        </w:rPr>
        <w:t>Group comparison for categorical variables will be assessed using Chi-square test.  ANOVA or Mann-Whitney test will be used for normally or non-normally distributed continuous variables respectively. The level of statistical significance is determined as p&lt;0.05.</w:t>
      </w:r>
      <w:r w:rsidR="0099215B" w:rsidRPr="0052741B">
        <w:rPr>
          <w:rStyle w:val="eop"/>
          <w:rFonts w:eastAsiaTheme="majorEastAsia"/>
          <w:lang w:val="en-US"/>
        </w:rPr>
        <w:t> </w:t>
      </w:r>
      <w:r w:rsidRPr="0052741B">
        <w:rPr>
          <w:rStyle w:val="eop"/>
          <w:rFonts w:eastAsiaTheme="majorEastAsia"/>
          <w:lang w:val="en-US"/>
        </w:rPr>
        <w:t> </w:t>
      </w:r>
    </w:p>
    <w:p w14:paraId="508A9760" w14:textId="77777777" w:rsidR="00F01F13" w:rsidRPr="0052741B" w:rsidRDefault="00F01F13" w:rsidP="00F01F13">
      <w:pPr>
        <w:pStyle w:val="paragraph"/>
        <w:spacing w:before="0" w:beforeAutospacing="0" w:after="0" w:afterAutospacing="0" w:line="360" w:lineRule="auto"/>
        <w:jc w:val="both"/>
        <w:textAlignment w:val="baseline"/>
        <w:rPr>
          <w:rFonts w:ascii="Segoe UI" w:hAnsi="Segoe UI" w:cs="Segoe UI"/>
          <w:color w:val="000000"/>
          <w:sz w:val="18"/>
          <w:szCs w:val="18"/>
          <w:lang w:val="en-US"/>
        </w:rPr>
      </w:pPr>
      <w:r w:rsidRPr="0052741B">
        <w:rPr>
          <w:rStyle w:val="eop"/>
          <w:rFonts w:eastAsiaTheme="majorEastAsia"/>
          <w:color w:val="000000"/>
          <w:lang w:val="en-US"/>
        </w:rPr>
        <w:t> </w:t>
      </w:r>
    </w:p>
    <w:p w14:paraId="6FDE18D6" w14:textId="77777777" w:rsidR="00F01F13" w:rsidRPr="0052741B" w:rsidRDefault="00F01F13" w:rsidP="00F01F13">
      <w:pPr>
        <w:pStyle w:val="paragraph"/>
        <w:spacing w:before="0" w:beforeAutospacing="0" w:after="0" w:afterAutospacing="0" w:line="360" w:lineRule="auto"/>
        <w:ind w:hanging="480"/>
        <w:textAlignment w:val="baseline"/>
        <w:rPr>
          <w:rFonts w:ascii="Segoe UI" w:hAnsi="Segoe UI" w:cs="Segoe UI"/>
          <w:sz w:val="18"/>
          <w:szCs w:val="18"/>
          <w:lang w:val="en-US"/>
        </w:rPr>
      </w:pPr>
      <w:r>
        <w:rPr>
          <w:rStyle w:val="contentcontrolboundarysink"/>
          <w:color w:val="222222"/>
          <w:shd w:val="clear" w:color="auto" w:fill="FFFFFF"/>
          <w:lang w:val="en-US"/>
        </w:rPr>
        <w:t>​​</w:t>
      </w:r>
      <w:proofErr w:type="spellStart"/>
      <w:r>
        <w:rPr>
          <w:rStyle w:val="normaltextrun"/>
          <w:rFonts w:ascii="Aptos" w:eastAsiaTheme="majorEastAsia" w:hAnsi="Aptos" w:cs="Segoe UI"/>
          <w:lang w:val="en-US"/>
        </w:rPr>
        <w:t>Alsumali</w:t>
      </w:r>
      <w:proofErr w:type="spellEnd"/>
      <w:r>
        <w:rPr>
          <w:rStyle w:val="normaltextrun"/>
          <w:rFonts w:ascii="Aptos" w:eastAsiaTheme="majorEastAsia" w:hAnsi="Aptos" w:cs="Segoe UI"/>
          <w:lang w:val="en-US"/>
        </w:rPr>
        <w:t xml:space="preserve">, A., </w:t>
      </w:r>
      <w:proofErr w:type="spellStart"/>
      <w:r>
        <w:rPr>
          <w:rStyle w:val="normaltextrun"/>
          <w:rFonts w:ascii="Aptos" w:eastAsiaTheme="majorEastAsia" w:hAnsi="Aptos" w:cs="Segoe UI"/>
          <w:lang w:val="en-US"/>
        </w:rPr>
        <w:t>Eguale</w:t>
      </w:r>
      <w:proofErr w:type="spellEnd"/>
      <w:r>
        <w:rPr>
          <w:rStyle w:val="normaltextrun"/>
          <w:rFonts w:ascii="Aptos" w:eastAsiaTheme="majorEastAsia" w:hAnsi="Aptos" w:cs="Segoe UI"/>
          <w:lang w:val="en-US"/>
        </w:rPr>
        <w:t xml:space="preserve">, T., </w:t>
      </w:r>
      <w:proofErr w:type="spellStart"/>
      <w:r>
        <w:rPr>
          <w:rStyle w:val="normaltextrun"/>
          <w:rFonts w:ascii="Aptos" w:eastAsiaTheme="majorEastAsia" w:hAnsi="Aptos" w:cs="Segoe UI"/>
          <w:lang w:val="en-US"/>
        </w:rPr>
        <w:t>Bairdain</w:t>
      </w:r>
      <w:proofErr w:type="spellEnd"/>
      <w:r>
        <w:rPr>
          <w:rStyle w:val="normaltextrun"/>
          <w:rFonts w:ascii="Aptos" w:eastAsiaTheme="majorEastAsia" w:hAnsi="Aptos" w:cs="Segoe UI"/>
          <w:lang w:val="en-US"/>
        </w:rPr>
        <w:t xml:space="preserve">, S., &amp; </w:t>
      </w:r>
      <w:proofErr w:type="spellStart"/>
      <w:r>
        <w:rPr>
          <w:rStyle w:val="normaltextrun"/>
          <w:rFonts w:ascii="Aptos" w:eastAsiaTheme="majorEastAsia" w:hAnsi="Aptos" w:cs="Segoe UI"/>
          <w:lang w:val="en-US"/>
        </w:rPr>
        <w:t>Samnaliev</w:t>
      </w:r>
      <w:proofErr w:type="spellEnd"/>
      <w:r>
        <w:rPr>
          <w:rStyle w:val="normaltextrun"/>
          <w:rFonts w:ascii="Aptos" w:eastAsiaTheme="majorEastAsia" w:hAnsi="Aptos" w:cs="Segoe UI"/>
          <w:lang w:val="en-US"/>
        </w:rPr>
        <w:t xml:space="preserve">, M. (2018). Cost-Effectiveness Analysis of Bariatric Surgery for Morbid Obesity. </w:t>
      </w:r>
      <w:r>
        <w:rPr>
          <w:rStyle w:val="normaltextrun"/>
          <w:rFonts w:ascii="Aptos" w:eastAsiaTheme="majorEastAsia" w:hAnsi="Aptos" w:cs="Segoe UI"/>
          <w:i/>
          <w:iCs/>
          <w:lang w:val="en-US"/>
        </w:rPr>
        <w:t>Obesity Surgery</w:t>
      </w:r>
      <w:r>
        <w:rPr>
          <w:rStyle w:val="normaltextrun"/>
          <w:rFonts w:ascii="Aptos" w:eastAsiaTheme="majorEastAsia" w:hAnsi="Aptos" w:cs="Segoe UI"/>
          <w:lang w:val="en-US"/>
        </w:rPr>
        <w:t xml:space="preserve">, </w:t>
      </w:r>
      <w:r>
        <w:rPr>
          <w:rStyle w:val="normaltextrun"/>
          <w:rFonts w:ascii="Aptos" w:eastAsiaTheme="majorEastAsia" w:hAnsi="Aptos" w:cs="Segoe UI"/>
          <w:i/>
          <w:iCs/>
          <w:lang w:val="en-US"/>
        </w:rPr>
        <w:t>28</w:t>
      </w:r>
      <w:r>
        <w:rPr>
          <w:rStyle w:val="normaltextrun"/>
          <w:rFonts w:ascii="Aptos" w:eastAsiaTheme="majorEastAsia" w:hAnsi="Aptos" w:cs="Segoe UI"/>
          <w:lang w:val="en-US"/>
        </w:rPr>
        <w:t>(8). https://doi.org/10.1007/s11695-017-3100-0</w:t>
      </w:r>
      <w:r w:rsidRPr="0052741B">
        <w:rPr>
          <w:rStyle w:val="eop"/>
          <w:rFonts w:ascii="Aptos" w:eastAsiaTheme="majorEastAsia" w:hAnsi="Aptos" w:cs="Segoe UI"/>
          <w:lang w:val="en-US"/>
        </w:rPr>
        <w:t> </w:t>
      </w:r>
    </w:p>
    <w:p w14:paraId="366BB737" w14:textId="77777777" w:rsidR="00F01F13" w:rsidRPr="0052741B" w:rsidRDefault="00F01F13" w:rsidP="00F01F13">
      <w:pPr>
        <w:pStyle w:val="paragraph"/>
        <w:spacing w:before="0" w:beforeAutospacing="0" w:after="0" w:afterAutospacing="0" w:line="360" w:lineRule="auto"/>
        <w:ind w:hanging="480"/>
        <w:textAlignment w:val="baseline"/>
        <w:rPr>
          <w:rFonts w:ascii="Segoe UI" w:hAnsi="Segoe UI" w:cs="Segoe UI"/>
          <w:sz w:val="18"/>
          <w:szCs w:val="18"/>
          <w:lang w:val="en-US"/>
        </w:rPr>
      </w:pPr>
      <w:r>
        <w:rPr>
          <w:rStyle w:val="contentcontrolboundarysink"/>
          <w:rFonts w:ascii="Arial" w:hAnsi="Arial" w:cs="Arial"/>
          <w:lang w:val="en-US"/>
        </w:rPr>
        <w:t>​</w:t>
      </w:r>
      <w:proofErr w:type="spellStart"/>
      <w:r>
        <w:rPr>
          <w:rStyle w:val="normaltextrun"/>
          <w:rFonts w:ascii="Aptos" w:eastAsiaTheme="majorEastAsia" w:hAnsi="Aptos" w:cs="Segoe UI"/>
          <w:lang w:val="en-US"/>
        </w:rPr>
        <w:t>Kassir</w:t>
      </w:r>
      <w:proofErr w:type="spellEnd"/>
      <w:r>
        <w:rPr>
          <w:rStyle w:val="normaltextrun"/>
          <w:rFonts w:ascii="Aptos" w:eastAsiaTheme="majorEastAsia" w:hAnsi="Aptos" w:cs="Segoe UI"/>
          <w:lang w:val="en-US"/>
        </w:rPr>
        <w:t xml:space="preserve">, R., Debs, T., Blanc, P., </w:t>
      </w:r>
      <w:proofErr w:type="spellStart"/>
      <w:r>
        <w:rPr>
          <w:rStyle w:val="normaltextrun"/>
          <w:rFonts w:ascii="Aptos" w:eastAsiaTheme="majorEastAsia" w:hAnsi="Aptos" w:cs="Segoe UI"/>
          <w:lang w:val="en-US"/>
        </w:rPr>
        <w:t>Gugenheim</w:t>
      </w:r>
      <w:proofErr w:type="spellEnd"/>
      <w:r>
        <w:rPr>
          <w:rStyle w:val="normaltextrun"/>
          <w:rFonts w:ascii="Aptos" w:eastAsiaTheme="majorEastAsia" w:hAnsi="Aptos" w:cs="Segoe UI"/>
          <w:lang w:val="en-US"/>
        </w:rPr>
        <w:t xml:space="preserve">, J., Ben Amor, I., </w:t>
      </w:r>
      <w:proofErr w:type="spellStart"/>
      <w:r>
        <w:rPr>
          <w:rStyle w:val="normaltextrun"/>
          <w:rFonts w:ascii="Aptos" w:eastAsiaTheme="majorEastAsia" w:hAnsi="Aptos" w:cs="Segoe UI"/>
          <w:lang w:val="en-US"/>
        </w:rPr>
        <w:t>Boutet</w:t>
      </w:r>
      <w:proofErr w:type="spellEnd"/>
      <w:r>
        <w:rPr>
          <w:rStyle w:val="normaltextrun"/>
          <w:rFonts w:ascii="Aptos" w:eastAsiaTheme="majorEastAsia" w:hAnsi="Aptos" w:cs="Segoe UI"/>
          <w:lang w:val="en-US"/>
        </w:rPr>
        <w:t xml:space="preserve">, C., &amp; </w:t>
      </w:r>
      <w:proofErr w:type="spellStart"/>
      <w:r>
        <w:rPr>
          <w:rStyle w:val="normaltextrun"/>
          <w:rFonts w:ascii="Aptos" w:eastAsiaTheme="majorEastAsia" w:hAnsi="Aptos" w:cs="Segoe UI"/>
          <w:lang w:val="en-US"/>
        </w:rPr>
        <w:t>Tiffet</w:t>
      </w:r>
      <w:proofErr w:type="spellEnd"/>
      <w:r>
        <w:rPr>
          <w:rStyle w:val="normaltextrun"/>
          <w:rFonts w:ascii="Aptos" w:eastAsiaTheme="majorEastAsia" w:hAnsi="Aptos" w:cs="Segoe UI"/>
          <w:lang w:val="en-US"/>
        </w:rPr>
        <w:t xml:space="preserve">, O. (2016). Complications of bariatric surgery: Presentation and emergency management. </w:t>
      </w:r>
      <w:r>
        <w:rPr>
          <w:rStyle w:val="normaltextrun"/>
          <w:rFonts w:ascii="Aptos" w:eastAsiaTheme="majorEastAsia" w:hAnsi="Aptos" w:cs="Segoe UI"/>
          <w:i/>
          <w:iCs/>
          <w:lang w:val="en-US"/>
        </w:rPr>
        <w:t>International Journal of Surgery (London, England)</w:t>
      </w:r>
      <w:r>
        <w:rPr>
          <w:rStyle w:val="normaltextrun"/>
          <w:rFonts w:ascii="Aptos" w:eastAsiaTheme="majorEastAsia" w:hAnsi="Aptos" w:cs="Segoe UI"/>
          <w:lang w:val="en-US"/>
        </w:rPr>
        <w:t xml:space="preserve">, </w:t>
      </w:r>
      <w:r>
        <w:rPr>
          <w:rStyle w:val="normaltextrun"/>
          <w:rFonts w:ascii="Aptos" w:eastAsiaTheme="majorEastAsia" w:hAnsi="Aptos" w:cs="Segoe UI"/>
          <w:i/>
          <w:iCs/>
          <w:lang w:val="en-US"/>
        </w:rPr>
        <w:t>27</w:t>
      </w:r>
      <w:r>
        <w:rPr>
          <w:rStyle w:val="normaltextrun"/>
          <w:rFonts w:ascii="Aptos" w:eastAsiaTheme="majorEastAsia" w:hAnsi="Aptos" w:cs="Segoe UI"/>
          <w:lang w:val="en-US"/>
        </w:rPr>
        <w:t>, 77–81. https://doi.org/10.1016/J.IJSU.2016.01.067</w:t>
      </w:r>
      <w:r w:rsidRPr="0052741B">
        <w:rPr>
          <w:rStyle w:val="eop"/>
          <w:rFonts w:ascii="Aptos" w:eastAsiaTheme="majorEastAsia" w:hAnsi="Aptos" w:cs="Segoe UI"/>
          <w:lang w:val="en-US"/>
        </w:rPr>
        <w:t> </w:t>
      </w:r>
    </w:p>
    <w:p w14:paraId="5D607AFE" w14:textId="77777777" w:rsidR="00F01F13" w:rsidRPr="0052741B" w:rsidRDefault="00F01F13" w:rsidP="00F01F13">
      <w:pPr>
        <w:pStyle w:val="paragraph"/>
        <w:spacing w:before="0" w:beforeAutospacing="0" w:after="0" w:afterAutospacing="0" w:line="360" w:lineRule="auto"/>
        <w:ind w:hanging="480"/>
        <w:textAlignment w:val="baseline"/>
        <w:rPr>
          <w:rFonts w:ascii="Segoe UI" w:hAnsi="Segoe UI" w:cs="Segoe UI"/>
          <w:sz w:val="18"/>
          <w:szCs w:val="18"/>
          <w:lang w:val="en-US"/>
        </w:rPr>
      </w:pPr>
      <w:r>
        <w:rPr>
          <w:rStyle w:val="contentcontrolboundarysink"/>
          <w:rFonts w:ascii="Arial" w:hAnsi="Arial" w:cs="Arial"/>
          <w:lang w:val="en-US"/>
        </w:rPr>
        <w:t>​</w:t>
      </w:r>
      <w:proofErr w:type="spellStart"/>
      <w:r>
        <w:rPr>
          <w:rStyle w:val="normaltextrun"/>
          <w:rFonts w:ascii="Aptos" w:eastAsiaTheme="majorEastAsia" w:hAnsi="Aptos" w:cs="Segoe UI"/>
          <w:lang w:val="en-US"/>
        </w:rPr>
        <w:t>Kitahama</w:t>
      </w:r>
      <w:proofErr w:type="spellEnd"/>
      <w:r>
        <w:rPr>
          <w:rStyle w:val="normaltextrun"/>
          <w:rFonts w:ascii="Aptos" w:eastAsiaTheme="majorEastAsia" w:hAnsi="Aptos" w:cs="Segoe UI"/>
          <w:lang w:val="en-US"/>
        </w:rPr>
        <w:t xml:space="preserve">, S., Smith, M. D., Rosencrantz, D. R., &amp; Patterson, E. J. (2013). Is bariatric surgery safe in patients who refuse blood transfusion? </w:t>
      </w:r>
      <w:r>
        <w:rPr>
          <w:rStyle w:val="normaltextrun"/>
          <w:rFonts w:ascii="Aptos" w:eastAsiaTheme="majorEastAsia" w:hAnsi="Aptos" w:cs="Segoe UI"/>
          <w:i/>
          <w:iCs/>
          <w:lang w:val="en-US"/>
        </w:rPr>
        <w:t xml:space="preserve">Surgery for Obesity and Related </w:t>
      </w:r>
      <w:proofErr w:type="gramStart"/>
      <w:r>
        <w:rPr>
          <w:rStyle w:val="normaltextrun"/>
          <w:rFonts w:ascii="Aptos" w:eastAsiaTheme="majorEastAsia" w:hAnsi="Aptos" w:cs="Segoe UI"/>
          <w:i/>
          <w:iCs/>
          <w:lang w:val="en-US"/>
        </w:rPr>
        <w:t>Diseases</w:t>
      </w:r>
      <w:r>
        <w:rPr>
          <w:rStyle w:val="normaltextrun"/>
          <w:rFonts w:ascii="Arial" w:eastAsiaTheme="majorEastAsia" w:hAnsi="Arial" w:cs="Arial"/>
          <w:i/>
          <w:iCs/>
          <w:lang w:val="en-US"/>
        </w:rPr>
        <w:t> </w:t>
      </w:r>
      <w:r>
        <w:rPr>
          <w:rStyle w:val="normaltextrun"/>
          <w:rFonts w:ascii="Aptos" w:eastAsiaTheme="majorEastAsia" w:hAnsi="Aptos" w:cs="Segoe UI"/>
          <w:i/>
          <w:iCs/>
          <w:lang w:val="en-US"/>
        </w:rPr>
        <w:t>:</w:t>
      </w:r>
      <w:proofErr w:type="gramEnd"/>
      <w:r>
        <w:rPr>
          <w:rStyle w:val="normaltextrun"/>
          <w:rFonts w:ascii="Aptos" w:eastAsiaTheme="majorEastAsia" w:hAnsi="Aptos" w:cs="Segoe UI"/>
          <w:i/>
          <w:iCs/>
          <w:lang w:val="en-US"/>
        </w:rPr>
        <w:t xml:space="preserve"> Official Journal of the American Society for Bariatric Surgery</w:t>
      </w:r>
      <w:r>
        <w:rPr>
          <w:rStyle w:val="normaltextrun"/>
          <w:rFonts w:ascii="Aptos" w:eastAsiaTheme="majorEastAsia" w:hAnsi="Aptos" w:cs="Segoe UI"/>
          <w:lang w:val="en-US"/>
        </w:rPr>
        <w:t xml:space="preserve">, </w:t>
      </w:r>
      <w:r>
        <w:rPr>
          <w:rStyle w:val="normaltextrun"/>
          <w:rFonts w:ascii="Aptos" w:eastAsiaTheme="majorEastAsia" w:hAnsi="Aptos" w:cs="Segoe UI"/>
          <w:i/>
          <w:iCs/>
          <w:lang w:val="en-US"/>
        </w:rPr>
        <w:t>9</w:t>
      </w:r>
      <w:r>
        <w:rPr>
          <w:rStyle w:val="normaltextrun"/>
          <w:rFonts w:ascii="Aptos" w:eastAsiaTheme="majorEastAsia" w:hAnsi="Aptos" w:cs="Segoe UI"/>
          <w:lang w:val="en-US"/>
        </w:rPr>
        <w:t>(3), 390–394. https://doi.org/10.1016/J.SOARD.2012.02.008</w:t>
      </w:r>
      <w:r w:rsidRPr="0052741B">
        <w:rPr>
          <w:rStyle w:val="eop"/>
          <w:rFonts w:ascii="Aptos" w:eastAsiaTheme="majorEastAsia" w:hAnsi="Aptos" w:cs="Segoe UI"/>
          <w:lang w:val="en-US"/>
        </w:rPr>
        <w:t> </w:t>
      </w:r>
    </w:p>
    <w:p w14:paraId="595B3D16" w14:textId="77777777" w:rsidR="00F01F13" w:rsidRPr="0052741B" w:rsidRDefault="00F01F13" w:rsidP="00F01F13">
      <w:pPr>
        <w:pStyle w:val="paragraph"/>
        <w:spacing w:before="0" w:beforeAutospacing="0" w:after="0" w:afterAutospacing="0" w:line="360" w:lineRule="auto"/>
        <w:ind w:hanging="480"/>
        <w:textAlignment w:val="baseline"/>
        <w:rPr>
          <w:rFonts w:ascii="Segoe UI" w:hAnsi="Segoe UI" w:cs="Segoe UI"/>
          <w:sz w:val="18"/>
          <w:szCs w:val="18"/>
          <w:lang w:val="en-US"/>
        </w:rPr>
      </w:pPr>
      <w:r>
        <w:rPr>
          <w:rStyle w:val="contentcontrolboundarysink"/>
          <w:rFonts w:ascii="Arial" w:hAnsi="Arial" w:cs="Arial"/>
        </w:rPr>
        <w:t>​</w:t>
      </w:r>
      <w:proofErr w:type="spellStart"/>
      <w:r>
        <w:rPr>
          <w:rStyle w:val="normaltextrun"/>
          <w:rFonts w:ascii="Aptos" w:eastAsiaTheme="majorEastAsia" w:hAnsi="Aptos" w:cs="Segoe UI"/>
        </w:rPr>
        <w:t>McCarty</w:t>
      </w:r>
      <w:proofErr w:type="spellEnd"/>
      <w:r>
        <w:rPr>
          <w:rStyle w:val="normaltextrun"/>
          <w:rFonts w:ascii="Aptos" w:eastAsiaTheme="majorEastAsia" w:hAnsi="Aptos" w:cs="Segoe UI"/>
        </w:rPr>
        <w:t xml:space="preserve">, T. R., &amp; Kumar, N. (2022). </w:t>
      </w:r>
      <w:r>
        <w:rPr>
          <w:rStyle w:val="normaltextrun"/>
          <w:rFonts w:ascii="Aptos" w:eastAsiaTheme="majorEastAsia" w:hAnsi="Aptos" w:cs="Segoe UI"/>
          <w:lang w:val="en-US"/>
        </w:rPr>
        <w:t xml:space="preserve">Revision Bariatric Procedures and Management of Complications from Bariatric Surgery. </w:t>
      </w:r>
      <w:r>
        <w:rPr>
          <w:rStyle w:val="normaltextrun"/>
          <w:rFonts w:ascii="Aptos" w:eastAsiaTheme="majorEastAsia" w:hAnsi="Aptos" w:cs="Segoe UI"/>
          <w:i/>
          <w:iCs/>
          <w:lang w:val="en-US"/>
        </w:rPr>
        <w:t>Digestive Diseases and Sciences</w:t>
      </w:r>
      <w:r>
        <w:rPr>
          <w:rStyle w:val="normaltextrun"/>
          <w:rFonts w:ascii="Aptos" w:eastAsiaTheme="majorEastAsia" w:hAnsi="Aptos" w:cs="Segoe UI"/>
          <w:lang w:val="en-US"/>
        </w:rPr>
        <w:t xml:space="preserve">, </w:t>
      </w:r>
      <w:r>
        <w:rPr>
          <w:rStyle w:val="normaltextrun"/>
          <w:rFonts w:ascii="Aptos" w:eastAsiaTheme="majorEastAsia" w:hAnsi="Aptos" w:cs="Segoe UI"/>
          <w:i/>
          <w:iCs/>
          <w:lang w:val="en-US"/>
        </w:rPr>
        <w:t>67</w:t>
      </w:r>
      <w:r>
        <w:rPr>
          <w:rStyle w:val="normaltextrun"/>
          <w:rFonts w:ascii="Aptos" w:eastAsiaTheme="majorEastAsia" w:hAnsi="Aptos" w:cs="Segoe UI"/>
          <w:lang w:val="en-US"/>
        </w:rPr>
        <w:t>(5), 1688–1701. https://doi.org/10.1007/S10620-022-07397-9</w:t>
      </w:r>
      <w:r w:rsidRPr="0052741B">
        <w:rPr>
          <w:rStyle w:val="eop"/>
          <w:rFonts w:ascii="Aptos" w:eastAsiaTheme="majorEastAsia" w:hAnsi="Aptos" w:cs="Segoe UI"/>
          <w:lang w:val="en-US"/>
        </w:rPr>
        <w:t> </w:t>
      </w:r>
    </w:p>
    <w:p w14:paraId="1C435487" w14:textId="77777777" w:rsidR="00F01F13" w:rsidRPr="0052741B" w:rsidRDefault="00F01F13" w:rsidP="00F01F13">
      <w:pPr>
        <w:pStyle w:val="paragraph"/>
        <w:spacing w:before="0" w:beforeAutospacing="0" w:after="0" w:afterAutospacing="0" w:line="360" w:lineRule="auto"/>
        <w:ind w:hanging="480"/>
        <w:textAlignment w:val="baseline"/>
        <w:rPr>
          <w:rFonts w:ascii="Segoe UI" w:hAnsi="Segoe UI" w:cs="Segoe UI"/>
          <w:sz w:val="18"/>
          <w:szCs w:val="18"/>
          <w:lang w:val="en-US"/>
        </w:rPr>
      </w:pPr>
      <w:r>
        <w:rPr>
          <w:rStyle w:val="contentcontrolboundarysink"/>
          <w:rFonts w:ascii="Arial" w:hAnsi="Arial" w:cs="Arial"/>
          <w:lang w:val="en-US"/>
        </w:rPr>
        <w:t>​</w:t>
      </w:r>
      <w:proofErr w:type="spellStart"/>
      <w:r>
        <w:rPr>
          <w:rStyle w:val="normaltextrun"/>
          <w:rFonts w:ascii="Aptos" w:eastAsiaTheme="majorEastAsia" w:hAnsi="Aptos" w:cs="Segoe UI"/>
          <w:lang w:val="en-US"/>
        </w:rPr>
        <w:t>Mocanu</w:t>
      </w:r>
      <w:proofErr w:type="spellEnd"/>
      <w:r>
        <w:rPr>
          <w:rStyle w:val="normaltextrun"/>
          <w:rFonts w:ascii="Aptos" w:eastAsiaTheme="majorEastAsia" w:hAnsi="Aptos" w:cs="Segoe UI"/>
          <w:lang w:val="en-US"/>
        </w:rPr>
        <w:t xml:space="preserve">, V., Dang, J., </w:t>
      </w:r>
      <w:proofErr w:type="spellStart"/>
      <w:r>
        <w:rPr>
          <w:rStyle w:val="normaltextrun"/>
          <w:rFonts w:ascii="Aptos" w:eastAsiaTheme="majorEastAsia" w:hAnsi="Aptos" w:cs="Segoe UI"/>
          <w:lang w:val="en-US"/>
        </w:rPr>
        <w:t>Ladak</w:t>
      </w:r>
      <w:proofErr w:type="spellEnd"/>
      <w:r>
        <w:rPr>
          <w:rStyle w:val="normaltextrun"/>
          <w:rFonts w:ascii="Aptos" w:eastAsiaTheme="majorEastAsia" w:hAnsi="Aptos" w:cs="Segoe UI"/>
          <w:lang w:val="en-US"/>
        </w:rPr>
        <w:t xml:space="preserve">, F., Switzer, N., Birch, D. W., &amp; </w:t>
      </w:r>
      <w:proofErr w:type="spellStart"/>
      <w:r>
        <w:rPr>
          <w:rStyle w:val="normaltextrun"/>
          <w:rFonts w:ascii="Aptos" w:eastAsiaTheme="majorEastAsia" w:hAnsi="Aptos" w:cs="Segoe UI"/>
          <w:lang w:val="en-US"/>
        </w:rPr>
        <w:t>Karmali</w:t>
      </w:r>
      <w:proofErr w:type="spellEnd"/>
      <w:r>
        <w:rPr>
          <w:rStyle w:val="normaltextrun"/>
          <w:rFonts w:ascii="Aptos" w:eastAsiaTheme="majorEastAsia" w:hAnsi="Aptos" w:cs="Segoe UI"/>
          <w:lang w:val="en-US"/>
        </w:rPr>
        <w:t xml:space="preserve">, S. (2019). Predictors and outcomes of bleed after sleeve gastrectomy: an analysis of the MBSAQIP data registry. </w:t>
      </w:r>
      <w:r>
        <w:rPr>
          <w:rStyle w:val="normaltextrun"/>
          <w:rFonts w:ascii="Aptos" w:eastAsiaTheme="majorEastAsia" w:hAnsi="Aptos" w:cs="Segoe UI"/>
          <w:i/>
          <w:iCs/>
          <w:lang w:val="en-US"/>
        </w:rPr>
        <w:lastRenderedPageBreak/>
        <w:t>Surgery for Obesity and Related Diseases</w:t>
      </w:r>
      <w:r>
        <w:rPr>
          <w:rStyle w:val="normaltextrun"/>
          <w:rFonts w:ascii="Aptos" w:eastAsiaTheme="majorEastAsia" w:hAnsi="Aptos" w:cs="Segoe UI"/>
          <w:lang w:val="en-US"/>
        </w:rPr>
        <w:t xml:space="preserve">, </w:t>
      </w:r>
      <w:r>
        <w:rPr>
          <w:rStyle w:val="normaltextrun"/>
          <w:rFonts w:ascii="Aptos" w:eastAsiaTheme="majorEastAsia" w:hAnsi="Aptos" w:cs="Segoe UI"/>
          <w:i/>
          <w:iCs/>
          <w:lang w:val="en-US"/>
        </w:rPr>
        <w:t>15</w:t>
      </w:r>
      <w:r>
        <w:rPr>
          <w:rStyle w:val="normaltextrun"/>
          <w:rFonts w:ascii="Aptos" w:eastAsiaTheme="majorEastAsia" w:hAnsi="Aptos" w:cs="Segoe UI"/>
          <w:lang w:val="en-US"/>
        </w:rPr>
        <w:t>(10). https://doi.org/10.1016/j.soard.2019.07.017</w:t>
      </w:r>
      <w:r w:rsidRPr="0052741B">
        <w:rPr>
          <w:rStyle w:val="eop"/>
          <w:rFonts w:ascii="Aptos" w:eastAsiaTheme="majorEastAsia" w:hAnsi="Aptos" w:cs="Segoe UI"/>
          <w:lang w:val="en-US"/>
        </w:rPr>
        <w:t> </w:t>
      </w:r>
    </w:p>
    <w:p w14:paraId="5E0E8938" w14:textId="77777777" w:rsidR="00F01F13" w:rsidRPr="0052741B" w:rsidRDefault="00F01F13" w:rsidP="00F01F13">
      <w:pPr>
        <w:pStyle w:val="paragraph"/>
        <w:spacing w:before="0" w:beforeAutospacing="0" w:after="0" w:afterAutospacing="0" w:line="360" w:lineRule="auto"/>
        <w:ind w:hanging="480"/>
        <w:textAlignment w:val="baseline"/>
        <w:rPr>
          <w:rFonts w:ascii="Segoe UI" w:hAnsi="Segoe UI" w:cs="Segoe UI"/>
          <w:sz w:val="18"/>
          <w:szCs w:val="18"/>
          <w:lang w:val="en-US"/>
        </w:rPr>
      </w:pPr>
      <w:r>
        <w:rPr>
          <w:rStyle w:val="contentcontrolboundarysink"/>
          <w:rFonts w:ascii="Arial" w:hAnsi="Arial" w:cs="Arial"/>
          <w:lang w:val="en-US"/>
        </w:rPr>
        <w:t>​</w:t>
      </w:r>
      <w:proofErr w:type="spellStart"/>
      <w:r>
        <w:rPr>
          <w:rStyle w:val="normaltextrun"/>
          <w:rFonts w:ascii="Aptos" w:eastAsiaTheme="majorEastAsia" w:hAnsi="Aptos" w:cs="Segoe UI"/>
          <w:lang w:val="en-US"/>
        </w:rPr>
        <w:t>Noparatayaporn</w:t>
      </w:r>
      <w:proofErr w:type="spellEnd"/>
      <w:r>
        <w:rPr>
          <w:rStyle w:val="normaltextrun"/>
          <w:rFonts w:ascii="Aptos" w:eastAsiaTheme="majorEastAsia" w:hAnsi="Aptos" w:cs="Segoe UI"/>
          <w:lang w:val="en-US"/>
        </w:rPr>
        <w:t xml:space="preserve">, P., </w:t>
      </w:r>
      <w:proofErr w:type="spellStart"/>
      <w:r>
        <w:rPr>
          <w:rStyle w:val="normaltextrun"/>
          <w:rFonts w:ascii="Aptos" w:eastAsiaTheme="majorEastAsia" w:hAnsi="Aptos" w:cs="Segoe UI"/>
          <w:lang w:val="en-US"/>
        </w:rPr>
        <w:t>Thavorncharoensap</w:t>
      </w:r>
      <w:proofErr w:type="spellEnd"/>
      <w:r>
        <w:rPr>
          <w:rStyle w:val="normaltextrun"/>
          <w:rFonts w:ascii="Aptos" w:eastAsiaTheme="majorEastAsia" w:hAnsi="Aptos" w:cs="Segoe UI"/>
          <w:lang w:val="en-US"/>
        </w:rPr>
        <w:t xml:space="preserve">, M., </w:t>
      </w:r>
      <w:proofErr w:type="spellStart"/>
      <w:r>
        <w:rPr>
          <w:rStyle w:val="normaltextrun"/>
          <w:rFonts w:ascii="Aptos" w:eastAsiaTheme="majorEastAsia" w:hAnsi="Aptos" w:cs="Segoe UI"/>
          <w:lang w:val="en-US"/>
        </w:rPr>
        <w:t>Chaikledkaew</w:t>
      </w:r>
      <w:proofErr w:type="spellEnd"/>
      <w:r>
        <w:rPr>
          <w:rStyle w:val="normaltextrun"/>
          <w:rFonts w:ascii="Aptos" w:eastAsiaTheme="majorEastAsia" w:hAnsi="Aptos" w:cs="Segoe UI"/>
          <w:lang w:val="en-US"/>
        </w:rPr>
        <w:t xml:space="preserve">, U., </w:t>
      </w:r>
      <w:proofErr w:type="spellStart"/>
      <w:r>
        <w:rPr>
          <w:rStyle w:val="normaltextrun"/>
          <w:rFonts w:ascii="Aptos" w:eastAsiaTheme="majorEastAsia" w:hAnsi="Aptos" w:cs="Segoe UI"/>
          <w:lang w:val="en-US"/>
        </w:rPr>
        <w:t>Bagepally</w:t>
      </w:r>
      <w:proofErr w:type="spellEnd"/>
      <w:r>
        <w:rPr>
          <w:rStyle w:val="normaltextrun"/>
          <w:rFonts w:ascii="Aptos" w:eastAsiaTheme="majorEastAsia" w:hAnsi="Aptos" w:cs="Segoe UI"/>
          <w:lang w:val="en-US"/>
        </w:rPr>
        <w:t xml:space="preserve">, B. S., &amp; </w:t>
      </w:r>
      <w:proofErr w:type="spellStart"/>
      <w:r>
        <w:rPr>
          <w:rStyle w:val="normaltextrun"/>
          <w:rFonts w:ascii="Aptos" w:eastAsiaTheme="majorEastAsia" w:hAnsi="Aptos" w:cs="Segoe UI"/>
          <w:lang w:val="en-US"/>
        </w:rPr>
        <w:t>Thakkinstian</w:t>
      </w:r>
      <w:proofErr w:type="spellEnd"/>
      <w:r>
        <w:rPr>
          <w:rStyle w:val="normaltextrun"/>
          <w:rFonts w:ascii="Aptos" w:eastAsiaTheme="majorEastAsia" w:hAnsi="Aptos" w:cs="Segoe UI"/>
          <w:lang w:val="en-US"/>
        </w:rPr>
        <w:t xml:space="preserve">, A. (2021). Incremental Net Monetary Benefit of Bariatric Surgery: Systematic Review and Meta-Analysis of Cost-Effectiveness </w:t>
      </w:r>
      <w:proofErr w:type="gramStart"/>
      <w:r>
        <w:rPr>
          <w:rStyle w:val="normaltextrun"/>
          <w:rFonts w:ascii="Aptos" w:eastAsiaTheme="majorEastAsia" w:hAnsi="Aptos" w:cs="Segoe UI"/>
          <w:lang w:val="en-US"/>
        </w:rPr>
        <w:t>Evidences</w:t>
      </w:r>
      <w:proofErr w:type="gramEnd"/>
      <w:r>
        <w:rPr>
          <w:rStyle w:val="normaltextrun"/>
          <w:rFonts w:ascii="Aptos" w:eastAsiaTheme="majorEastAsia" w:hAnsi="Aptos" w:cs="Segoe UI"/>
          <w:lang w:val="en-US"/>
        </w:rPr>
        <w:t xml:space="preserve">. In </w:t>
      </w:r>
      <w:r>
        <w:rPr>
          <w:rStyle w:val="normaltextrun"/>
          <w:rFonts w:ascii="Aptos" w:eastAsiaTheme="majorEastAsia" w:hAnsi="Aptos" w:cs="Segoe UI"/>
          <w:i/>
          <w:iCs/>
          <w:lang w:val="en-US"/>
        </w:rPr>
        <w:t>Obesity Surgery</w:t>
      </w:r>
      <w:r>
        <w:rPr>
          <w:rStyle w:val="normaltextrun"/>
          <w:rFonts w:ascii="Aptos" w:eastAsiaTheme="majorEastAsia" w:hAnsi="Aptos" w:cs="Segoe UI"/>
          <w:lang w:val="en-US"/>
        </w:rPr>
        <w:t xml:space="preserve"> (Vol. 31, Issue 7). https://doi.org/10.1007/s11695-021-05415-9</w:t>
      </w:r>
      <w:r w:rsidRPr="0052741B">
        <w:rPr>
          <w:rStyle w:val="eop"/>
          <w:rFonts w:ascii="Aptos" w:eastAsiaTheme="majorEastAsia" w:hAnsi="Aptos" w:cs="Segoe UI"/>
          <w:lang w:val="en-US"/>
        </w:rPr>
        <w:t> </w:t>
      </w:r>
    </w:p>
    <w:p w14:paraId="6EB322CD" w14:textId="77777777" w:rsidR="00F01F13" w:rsidRPr="0052741B" w:rsidRDefault="00F01F13" w:rsidP="00F01F13">
      <w:pPr>
        <w:pStyle w:val="paragraph"/>
        <w:spacing w:before="0" w:beforeAutospacing="0" w:after="0" w:afterAutospacing="0" w:line="360" w:lineRule="auto"/>
        <w:ind w:hanging="480"/>
        <w:textAlignment w:val="baseline"/>
        <w:rPr>
          <w:rFonts w:ascii="Segoe UI" w:hAnsi="Segoe UI" w:cs="Segoe UI"/>
          <w:sz w:val="18"/>
          <w:szCs w:val="18"/>
          <w:lang w:val="en-US"/>
        </w:rPr>
      </w:pPr>
      <w:r>
        <w:rPr>
          <w:rStyle w:val="contentcontrolboundarysink"/>
          <w:rFonts w:ascii="Arial" w:hAnsi="Arial" w:cs="Arial"/>
          <w:lang w:val="en-US"/>
        </w:rPr>
        <w:t>​</w:t>
      </w:r>
      <w:proofErr w:type="spellStart"/>
      <w:r>
        <w:rPr>
          <w:rStyle w:val="normaltextrun"/>
          <w:rFonts w:ascii="Aptos" w:eastAsiaTheme="majorEastAsia" w:hAnsi="Aptos" w:cs="Segoe UI"/>
          <w:lang w:val="en-US"/>
        </w:rPr>
        <w:t>Souche</w:t>
      </w:r>
      <w:proofErr w:type="spellEnd"/>
      <w:r>
        <w:rPr>
          <w:rStyle w:val="normaltextrun"/>
          <w:rFonts w:ascii="Aptos" w:eastAsiaTheme="majorEastAsia" w:hAnsi="Aptos" w:cs="Segoe UI"/>
          <w:lang w:val="en-US"/>
        </w:rPr>
        <w:t xml:space="preserve">, R., de Jong, A., </w:t>
      </w:r>
      <w:proofErr w:type="spellStart"/>
      <w:r>
        <w:rPr>
          <w:rStyle w:val="normaltextrun"/>
          <w:rFonts w:ascii="Aptos" w:eastAsiaTheme="majorEastAsia" w:hAnsi="Aptos" w:cs="Segoe UI"/>
          <w:lang w:val="en-US"/>
        </w:rPr>
        <w:t>Nomine-Criqui</w:t>
      </w:r>
      <w:proofErr w:type="spellEnd"/>
      <w:r>
        <w:rPr>
          <w:rStyle w:val="normaltextrun"/>
          <w:rFonts w:ascii="Aptos" w:eastAsiaTheme="majorEastAsia" w:hAnsi="Aptos" w:cs="Segoe UI"/>
          <w:lang w:val="en-US"/>
        </w:rPr>
        <w:t xml:space="preserve">, C., Nedelcu, M., </w:t>
      </w:r>
      <w:proofErr w:type="spellStart"/>
      <w:r>
        <w:rPr>
          <w:rStyle w:val="normaltextrun"/>
          <w:rFonts w:ascii="Aptos" w:eastAsiaTheme="majorEastAsia" w:hAnsi="Aptos" w:cs="Segoe UI"/>
          <w:lang w:val="en-US"/>
        </w:rPr>
        <w:t>Brunaud</w:t>
      </w:r>
      <w:proofErr w:type="spellEnd"/>
      <w:r>
        <w:rPr>
          <w:rStyle w:val="normaltextrun"/>
          <w:rFonts w:ascii="Aptos" w:eastAsiaTheme="majorEastAsia" w:hAnsi="Aptos" w:cs="Segoe UI"/>
          <w:lang w:val="en-US"/>
        </w:rPr>
        <w:t xml:space="preserve">, L., &amp; </w:t>
      </w:r>
      <w:proofErr w:type="spellStart"/>
      <w:r>
        <w:rPr>
          <w:rStyle w:val="normaltextrun"/>
          <w:rFonts w:ascii="Aptos" w:eastAsiaTheme="majorEastAsia" w:hAnsi="Aptos" w:cs="Segoe UI"/>
          <w:lang w:val="en-US"/>
        </w:rPr>
        <w:t>Nocca</w:t>
      </w:r>
      <w:proofErr w:type="spellEnd"/>
      <w:r>
        <w:rPr>
          <w:rStyle w:val="normaltextrun"/>
          <w:rFonts w:ascii="Aptos" w:eastAsiaTheme="majorEastAsia" w:hAnsi="Aptos" w:cs="Segoe UI"/>
          <w:lang w:val="en-US"/>
        </w:rPr>
        <w:t xml:space="preserve">, D. (2018). [Complications after bariatric surgery]. </w:t>
      </w:r>
      <w:r>
        <w:rPr>
          <w:rStyle w:val="normaltextrun"/>
          <w:rFonts w:ascii="Aptos" w:eastAsiaTheme="majorEastAsia" w:hAnsi="Aptos" w:cs="Segoe UI"/>
          <w:i/>
          <w:iCs/>
          <w:lang w:val="en-US"/>
        </w:rPr>
        <w:t xml:space="preserve">Presse </w:t>
      </w:r>
      <w:proofErr w:type="spellStart"/>
      <w:r>
        <w:rPr>
          <w:rStyle w:val="normaltextrun"/>
          <w:rFonts w:ascii="Aptos" w:eastAsiaTheme="majorEastAsia" w:hAnsi="Aptos" w:cs="Segoe UI"/>
          <w:i/>
          <w:iCs/>
          <w:lang w:val="en-US"/>
        </w:rPr>
        <w:t>Medicale</w:t>
      </w:r>
      <w:proofErr w:type="spellEnd"/>
      <w:r>
        <w:rPr>
          <w:rStyle w:val="normaltextrun"/>
          <w:rFonts w:ascii="Aptos" w:eastAsiaTheme="majorEastAsia" w:hAnsi="Aptos" w:cs="Segoe UI"/>
          <w:i/>
          <w:iCs/>
          <w:lang w:val="en-US"/>
        </w:rPr>
        <w:t xml:space="preserve"> (Paris, </w:t>
      </w:r>
      <w:proofErr w:type="gramStart"/>
      <w:r>
        <w:rPr>
          <w:rStyle w:val="normaltextrun"/>
          <w:rFonts w:ascii="Aptos" w:eastAsiaTheme="majorEastAsia" w:hAnsi="Aptos" w:cs="Segoe UI"/>
          <w:i/>
          <w:iCs/>
          <w:lang w:val="en-US"/>
        </w:rPr>
        <w:t>France</w:t>
      </w:r>
      <w:r>
        <w:rPr>
          <w:rStyle w:val="normaltextrun"/>
          <w:rFonts w:ascii="Arial" w:eastAsiaTheme="majorEastAsia" w:hAnsi="Arial" w:cs="Arial"/>
          <w:i/>
          <w:iCs/>
          <w:lang w:val="en-US"/>
        </w:rPr>
        <w:t> </w:t>
      </w:r>
      <w:r>
        <w:rPr>
          <w:rStyle w:val="normaltextrun"/>
          <w:rFonts w:ascii="Aptos" w:eastAsiaTheme="majorEastAsia" w:hAnsi="Aptos" w:cs="Segoe UI"/>
          <w:i/>
          <w:iCs/>
          <w:lang w:val="en-US"/>
        </w:rPr>
        <w:t>:</w:t>
      </w:r>
      <w:proofErr w:type="gramEnd"/>
      <w:r>
        <w:rPr>
          <w:rStyle w:val="normaltextrun"/>
          <w:rFonts w:ascii="Aptos" w:eastAsiaTheme="majorEastAsia" w:hAnsi="Aptos" w:cs="Segoe UI"/>
          <w:i/>
          <w:iCs/>
          <w:lang w:val="en-US"/>
        </w:rPr>
        <w:t xml:space="preserve"> 1983)</w:t>
      </w:r>
      <w:r>
        <w:rPr>
          <w:rStyle w:val="normaltextrun"/>
          <w:rFonts w:ascii="Aptos" w:eastAsiaTheme="majorEastAsia" w:hAnsi="Aptos" w:cs="Segoe UI"/>
          <w:lang w:val="en-US"/>
        </w:rPr>
        <w:t xml:space="preserve">, </w:t>
      </w:r>
      <w:r>
        <w:rPr>
          <w:rStyle w:val="normaltextrun"/>
          <w:rFonts w:ascii="Aptos" w:eastAsiaTheme="majorEastAsia" w:hAnsi="Aptos" w:cs="Segoe UI"/>
          <w:i/>
          <w:iCs/>
          <w:lang w:val="en-US"/>
        </w:rPr>
        <w:t>47</w:t>
      </w:r>
      <w:r>
        <w:rPr>
          <w:rStyle w:val="normaltextrun"/>
          <w:rFonts w:ascii="Aptos" w:eastAsiaTheme="majorEastAsia" w:hAnsi="Aptos" w:cs="Segoe UI"/>
          <w:lang w:val="en-US"/>
        </w:rPr>
        <w:t>(5), 464–470. https://doi.org/10.1016/J.LPM.2018.03.024</w:t>
      </w:r>
      <w:r w:rsidRPr="0052741B">
        <w:rPr>
          <w:rStyle w:val="eop"/>
          <w:rFonts w:ascii="Aptos" w:eastAsiaTheme="majorEastAsia" w:hAnsi="Aptos" w:cs="Segoe UI"/>
          <w:lang w:val="en-US"/>
        </w:rPr>
        <w:t> </w:t>
      </w:r>
    </w:p>
    <w:p w14:paraId="694AFD2B" w14:textId="77777777" w:rsidR="00F01F13" w:rsidRPr="0052741B" w:rsidRDefault="00F01F13" w:rsidP="00F01F13">
      <w:pPr>
        <w:pStyle w:val="paragraph"/>
        <w:spacing w:before="0" w:beforeAutospacing="0" w:after="0" w:afterAutospacing="0" w:line="360" w:lineRule="auto"/>
        <w:ind w:hanging="480"/>
        <w:textAlignment w:val="baseline"/>
        <w:rPr>
          <w:rFonts w:ascii="Segoe UI" w:hAnsi="Segoe UI" w:cs="Segoe UI"/>
          <w:sz w:val="18"/>
          <w:szCs w:val="18"/>
          <w:lang w:val="en-US"/>
        </w:rPr>
      </w:pPr>
      <w:r>
        <w:rPr>
          <w:rStyle w:val="contentcontrolboundarysink"/>
          <w:rFonts w:ascii="Arial" w:hAnsi="Arial" w:cs="Arial"/>
          <w:lang w:val="en-US"/>
        </w:rPr>
        <w:t>​</w:t>
      </w:r>
      <w:proofErr w:type="spellStart"/>
      <w:r>
        <w:rPr>
          <w:rStyle w:val="normaltextrun"/>
          <w:rFonts w:ascii="Aptos" w:eastAsiaTheme="majorEastAsia" w:hAnsi="Aptos" w:cs="Segoe UI"/>
          <w:lang w:val="en-US"/>
        </w:rPr>
        <w:t>Straatman</w:t>
      </w:r>
      <w:proofErr w:type="spellEnd"/>
      <w:r>
        <w:rPr>
          <w:rStyle w:val="normaltextrun"/>
          <w:rFonts w:ascii="Aptos" w:eastAsiaTheme="majorEastAsia" w:hAnsi="Aptos" w:cs="Segoe UI"/>
          <w:lang w:val="en-US"/>
        </w:rPr>
        <w:t xml:space="preserve">, J., </w:t>
      </w:r>
      <w:proofErr w:type="spellStart"/>
      <w:r>
        <w:rPr>
          <w:rStyle w:val="normaltextrun"/>
          <w:rFonts w:ascii="Aptos" w:eastAsiaTheme="majorEastAsia" w:hAnsi="Aptos" w:cs="Segoe UI"/>
          <w:lang w:val="en-US"/>
        </w:rPr>
        <w:t>Verhaak</w:t>
      </w:r>
      <w:proofErr w:type="spellEnd"/>
      <w:r>
        <w:rPr>
          <w:rStyle w:val="normaltextrun"/>
          <w:rFonts w:ascii="Aptos" w:eastAsiaTheme="majorEastAsia" w:hAnsi="Aptos" w:cs="Segoe UI"/>
          <w:lang w:val="en-US"/>
        </w:rPr>
        <w:t xml:space="preserve">, T., </w:t>
      </w:r>
      <w:proofErr w:type="spellStart"/>
      <w:r>
        <w:rPr>
          <w:rStyle w:val="normaltextrun"/>
          <w:rFonts w:ascii="Aptos" w:eastAsiaTheme="majorEastAsia" w:hAnsi="Aptos" w:cs="Segoe UI"/>
          <w:lang w:val="en-US"/>
        </w:rPr>
        <w:t>Demirkiran</w:t>
      </w:r>
      <w:proofErr w:type="spellEnd"/>
      <w:r>
        <w:rPr>
          <w:rStyle w:val="normaltextrun"/>
          <w:rFonts w:ascii="Aptos" w:eastAsiaTheme="majorEastAsia" w:hAnsi="Aptos" w:cs="Segoe UI"/>
          <w:lang w:val="en-US"/>
        </w:rPr>
        <w:t xml:space="preserve">, A., </w:t>
      </w:r>
      <w:proofErr w:type="spellStart"/>
      <w:r>
        <w:rPr>
          <w:rStyle w:val="normaltextrun"/>
          <w:rFonts w:ascii="Aptos" w:eastAsiaTheme="majorEastAsia" w:hAnsi="Aptos" w:cs="Segoe UI"/>
          <w:lang w:val="en-US"/>
        </w:rPr>
        <w:t>Harlaar</w:t>
      </w:r>
      <w:proofErr w:type="spellEnd"/>
      <w:r>
        <w:rPr>
          <w:rStyle w:val="normaltextrun"/>
          <w:rFonts w:ascii="Aptos" w:eastAsiaTheme="majorEastAsia" w:hAnsi="Aptos" w:cs="Segoe UI"/>
          <w:lang w:val="en-US"/>
        </w:rPr>
        <w:t xml:space="preserve">, N. J., Cense, H. A., Jonker, F. H. W., de Brauw, L. M., de Castro, S. M. M., Damen, S. L., Jonker, F., </w:t>
      </w:r>
      <w:proofErr w:type="spellStart"/>
      <w:r>
        <w:rPr>
          <w:rStyle w:val="normaltextrun"/>
          <w:rFonts w:ascii="Aptos" w:eastAsiaTheme="majorEastAsia" w:hAnsi="Aptos" w:cs="Segoe UI"/>
          <w:lang w:val="en-US"/>
        </w:rPr>
        <w:t>Dunkelgrün</w:t>
      </w:r>
      <w:proofErr w:type="spellEnd"/>
      <w:r>
        <w:rPr>
          <w:rStyle w:val="normaltextrun"/>
          <w:rFonts w:ascii="Aptos" w:eastAsiaTheme="majorEastAsia" w:hAnsi="Aptos" w:cs="Segoe UI"/>
          <w:lang w:val="en-US"/>
        </w:rPr>
        <w:t xml:space="preserve">, M., </w:t>
      </w:r>
      <w:proofErr w:type="spellStart"/>
      <w:r>
        <w:rPr>
          <w:rStyle w:val="normaltextrun"/>
          <w:rFonts w:ascii="Aptos" w:eastAsiaTheme="majorEastAsia" w:hAnsi="Aptos" w:cs="Segoe UI"/>
          <w:lang w:val="en-US"/>
        </w:rPr>
        <w:t>Faneyte</w:t>
      </w:r>
      <w:proofErr w:type="spellEnd"/>
      <w:r>
        <w:rPr>
          <w:rStyle w:val="normaltextrun"/>
          <w:rFonts w:ascii="Aptos" w:eastAsiaTheme="majorEastAsia" w:hAnsi="Aptos" w:cs="Segoe UI"/>
          <w:lang w:val="en-US"/>
        </w:rPr>
        <w:t xml:space="preserve">, I. F., </w:t>
      </w:r>
      <w:proofErr w:type="spellStart"/>
      <w:r>
        <w:rPr>
          <w:rStyle w:val="normaltextrun"/>
          <w:rFonts w:ascii="Aptos" w:eastAsiaTheme="majorEastAsia" w:hAnsi="Aptos" w:cs="Segoe UI"/>
          <w:lang w:val="en-US"/>
        </w:rPr>
        <w:t>Greve</w:t>
      </w:r>
      <w:proofErr w:type="spellEnd"/>
      <w:r>
        <w:rPr>
          <w:rStyle w:val="normaltextrun"/>
          <w:rFonts w:ascii="Aptos" w:eastAsiaTheme="majorEastAsia" w:hAnsi="Aptos" w:cs="Segoe UI"/>
          <w:lang w:val="en-US"/>
        </w:rPr>
        <w:t xml:space="preserve">, J. W. M., </w:t>
      </w:r>
      <w:proofErr w:type="spellStart"/>
      <w:r>
        <w:rPr>
          <w:rStyle w:val="normaltextrun"/>
          <w:rFonts w:ascii="Aptos" w:eastAsiaTheme="majorEastAsia" w:hAnsi="Aptos" w:cs="Segoe UI"/>
          <w:lang w:val="en-US"/>
        </w:rPr>
        <w:t>Hazebroek</w:t>
      </w:r>
      <w:proofErr w:type="spellEnd"/>
      <w:r>
        <w:rPr>
          <w:rStyle w:val="normaltextrun"/>
          <w:rFonts w:ascii="Aptos" w:eastAsiaTheme="majorEastAsia" w:hAnsi="Aptos" w:cs="Segoe UI"/>
          <w:lang w:val="en-US"/>
        </w:rPr>
        <w:t xml:space="preserve">, E. J., van ‘t Hof, G., Janssen, I. M. C., Jutte, E. H., </w:t>
      </w:r>
      <w:proofErr w:type="spellStart"/>
      <w:r>
        <w:rPr>
          <w:rStyle w:val="normaltextrun"/>
          <w:rFonts w:ascii="Aptos" w:eastAsiaTheme="majorEastAsia" w:hAnsi="Aptos" w:cs="Segoe UI"/>
          <w:lang w:val="en-US"/>
        </w:rPr>
        <w:t>Klaassen</w:t>
      </w:r>
      <w:proofErr w:type="spellEnd"/>
      <w:r>
        <w:rPr>
          <w:rStyle w:val="normaltextrun"/>
          <w:rFonts w:ascii="Aptos" w:eastAsiaTheme="majorEastAsia" w:hAnsi="Aptos" w:cs="Segoe UI"/>
          <w:lang w:val="en-US"/>
        </w:rPr>
        <w:t xml:space="preserve">, R. A., </w:t>
      </w:r>
      <w:proofErr w:type="spellStart"/>
      <w:r>
        <w:rPr>
          <w:rStyle w:val="normaltextrun"/>
          <w:rFonts w:ascii="Aptos" w:eastAsiaTheme="majorEastAsia" w:hAnsi="Aptos" w:cs="Segoe UI"/>
          <w:lang w:val="en-US"/>
        </w:rPr>
        <w:t>Lagae</w:t>
      </w:r>
      <w:proofErr w:type="spellEnd"/>
      <w:r>
        <w:rPr>
          <w:rStyle w:val="normaltextrun"/>
          <w:rFonts w:ascii="Aptos" w:eastAsiaTheme="majorEastAsia" w:hAnsi="Aptos" w:cs="Segoe UI"/>
          <w:lang w:val="en-US"/>
        </w:rPr>
        <w:t xml:space="preserve">, E. A. G. L., … </w:t>
      </w:r>
      <w:proofErr w:type="spellStart"/>
      <w:r>
        <w:rPr>
          <w:rStyle w:val="normaltextrun"/>
          <w:rFonts w:ascii="Aptos" w:eastAsiaTheme="majorEastAsia" w:hAnsi="Aptos" w:cs="Segoe UI"/>
          <w:lang w:val="en-US"/>
        </w:rPr>
        <w:t>Vening</w:t>
      </w:r>
      <w:proofErr w:type="spellEnd"/>
      <w:r>
        <w:rPr>
          <w:rStyle w:val="normaltextrun"/>
          <w:rFonts w:ascii="Aptos" w:eastAsiaTheme="majorEastAsia" w:hAnsi="Aptos" w:cs="Segoe UI"/>
          <w:lang w:val="en-US"/>
        </w:rPr>
        <w:t xml:space="preserve">, W. (2022). Risk factors for postoperative bleeding in bariatric surgery. </w:t>
      </w:r>
      <w:r>
        <w:rPr>
          <w:rStyle w:val="normaltextrun"/>
          <w:rFonts w:ascii="Aptos" w:eastAsiaTheme="majorEastAsia" w:hAnsi="Aptos" w:cs="Segoe UI"/>
          <w:i/>
          <w:iCs/>
          <w:lang w:val="en-US"/>
        </w:rPr>
        <w:t>Surgery for Obesity and Related Diseases</w:t>
      </w:r>
      <w:r>
        <w:rPr>
          <w:rStyle w:val="normaltextrun"/>
          <w:rFonts w:ascii="Aptos" w:eastAsiaTheme="majorEastAsia" w:hAnsi="Aptos" w:cs="Segoe UI"/>
          <w:lang w:val="en-US"/>
        </w:rPr>
        <w:t xml:space="preserve">, </w:t>
      </w:r>
      <w:r>
        <w:rPr>
          <w:rStyle w:val="normaltextrun"/>
          <w:rFonts w:ascii="Aptos" w:eastAsiaTheme="majorEastAsia" w:hAnsi="Aptos" w:cs="Segoe UI"/>
          <w:i/>
          <w:iCs/>
          <w:lang w:val="en-US"/>
        </w:rPr>
        <w:t>18</w:t>
      </w:r>
      <w:r>
        <w:rPr>
          <w:rStyle w:val="normaltextrun"/>
          <w:rFonts w:ascii="Aptos" w:eastAsiaTheme="majorEastAsia" w:hAnsi="Aptos" w:cs="Segoe UI"/>
          <w:lang w:val="en-US"/>
        </w:rPr>
        <w:t>(8). https://doi.org/10.1016/j.soard.2022.05.010</w:t>
      </w:r>
      <w:r w:rsidRPr="0052741B">
        <w:rPr>
          <w:rStyle w:val="eop"/>
          <w:rFonts w:ascii="Aptos" w:eastAsiaTheme="majorEastAsia" w:hAnsi="Aptos" w:cs="Segoe UI"/>
          <w:lang w:val="en-US"/>
        </w:rPr>
        <w:t> </w:t>
      </w:r>
    </w:p>
    <w:p w14:paraId="7CDF4DA2" w14:textId="77777777" w:rsidR="00F01F13" w:rsidRPr="0052741B" w:rsidRDefault="00F01F13" w:rsidP="00F01F13">
      <w:pPr>
        <w:pStyle w:val="paragraph"/>
        <w:spacing w:before="0" w:beforeAutospacing="0" w:after="0" w:afterAutospacing="0" w:line="360" w:lineRule="auto"/>
        <w:ind w:hanging="480"/>
        <w:textAlignment w:val="baseline"/>
        <w:rPr>
          <w:rFonts w:ascii="Segoe UI" w:hAnsi="Segoe UI" w:cs="Segoe UI"/>
          <w:sz w:val="18"/>
          <w:szCs w:val="18"/>
          <w:lang w:val="en-US"/>
        </w:rPr>
      </w:pPr>
      <w:r>
        <w:rPr>
          <w:rStyle w:val="contentcontrolboundarysink"/>
          <w:rFonts w:ascii="Arial" w:hAnsi="Arial" w:cs="Arial"/>
        </w:rPr>
        <w:t>​</w:t>
      </w:r>
      <w:proofErr w:type="spellStart"/>
      <w:r>
        <w:rPr>
          <w:rStyle w:val="normaltextrun"/>
          <w:rFonts w:ascii="Aptos" w:eastAsiaTheme="majorEastAsia" w:hAnsi="Aptos" w:cs="Segoe UI"/>
        </w:rPr>
        <w:t>Wozniewska</w:t>
      </w:r>
      <w:proofErr w:type="spellEnd"/>
      <w:r>
        <w:rPr>
          <w:rStyle w:val="normaltextrun"/>
          <w:rFonts w:ascii="Aptos" w:eastAsiaTheme="majorEastAsia" w:hAnsi="Aptos" w:cs="Segoe UI"/>
        </w:rPr>
        <w:t xml:space="preserve">, P., </w:t>
      </w:r>
      <w:proofErr w:type="spellStart"/>
      <w:r>
        <w:rPr>
          <w:rStyle w:val="normaltextrun"/>
          <w:rFonts w:ascii="Aptos" w:eastAsiaTheme="majorEastAsia" w:hAnsi="Aptos" w:cs="Segoe UI"/>
        </w:rPr>
        <w:t>Diemieszczyk</w:t>
      </w:r>
      <w:proofErr w:type="spellEnd"/>
      <w:r>
        <w:rPr>
          <w:rStyle w:val="normaltextrun"/>
          <w:rFonts w:ascii="Aptos" w:eastAsiaTheme="majorEastAsia" w:hAnsi="Aptos" w:cs="Segoe UI"/>
        </w:rPr>
        <w:t xml:space="preserve">, I., &amp; </w:t>
      </w:r>
      <w:proofErr w:type="spellStart"/>
      <w:r>
        <w:rPr>
          <w:rStyle w:val="normaltextrun"/>
          <w:rFonts w:ascii="Aptos" w:eastAsiaTheme="majorEastAsia" w:hAnsi="Aptos" w:cs="Segoe UI"/>
        </w:rPr>
        <w:t>Hady</w:t>
      </w:r>
      <w:proofErr w:type="spellEnd"/>
      <w:r>
        <w:rPr>
          <w:rStyle w:val="normaltextrun"/>
          <w:rFonts w:ascii="Aptos" w:eastAsiaTheme="majorEastAsia" w:hAnsi="Aptos" w:cs="Segoe UI"/>
        </w:rPr>
        <w:t xml:space="preserve">, H. R. (2021). </w:t>
      </w:r>
      <w:r>
        <w:rPr>
          <w:rStyle w:val="normaltextrun"/>
          <w:rFonts w:ascii="Aptos" w:eastAsiaTheme="majorEastAsia" w:hAnsi="Aptos" w:cs="Segoe UI"/>
          <w:lang w:val="en-US"/>
        </w:rPr>
        <w:t xml:space="preserve">Complications associated with laparoscopic sleeve gastrectomy - A review. In </w:t>
      </w:r>
      <w:proofErr w:type="spellStart"/>
      <w:r>
        <w:rPr>
          <w:rStyle w:val="normaltextrun"/>
          <w:rFonts w:ascii="Aptos" w:eastAsiaTheme="majorEastAsia" w:hAnsi="Aptos" w:cs="Segoe UI"/>
          <w:i/>
          <w:iCs/>
          <w:lang w:val="en-US"/>
        </w:rPr>
        <w:t>Przeglad</w:t>
      </w:r>
      <w:proofErr w:type="spellEnd"/>
      <w:r>
        <w:rPr>
          <w:rStyle w:val="normaltextrun"/>
          <w:rFonts w:ascii="Aptos" w:eastAsiaTheme="majorEastAsia" w:hAnsi="Aptos" w:cs="Segoe UI"/>
          <w:i/>
          <w:iCs/>
          <w:lang w:val="en-US"/>
        </w:rPr>
        <w:t xml:space="preserve"> </w:t>
      </w:r>
      <w:proofErr w:type="spellStart"/>
      <w:r>
        <w:rPr>
          <w:rStyle w:val="normaltextrun"/>
          <w:rFonts w:ascii="Aptos" w:eastAsiaTheme="majorEastAsia" w:hAnsi="Aptos" w:cs="Segoe UI"/>
          <w:i/>
          <w:iCs/>
          <w:lang w:val="en-US"/>
        </w:rPr>
        <w:t>Gastroenterologiczny</w:t>
      </w:r>
      <w:proofErr w:type="spellEnd"/>
      <w:r>
        <w:rPr>
          <w:rStyle w:val="normaltextrun"/>
          <w:rFonts w:ascii="Aptos" w:eastAsiaTheme="majorEastAsia" w:hAnsi="Aptos" w:cs="Segoe UI"/>
          <w:lang w:val="en-US"/>
        </w:rPr>
        <w:t xml:space="preserve"> (Vol. 16, Issue 1). https://doi.org/10.5114/pg.2021.104733</w:t>
      </w:r>
      <w:r w:rsidRPr="0052741B">
        <w:rPr>
          <w:rStyle w:val="eop"/>
          <w:rFonts w:ascii="Aptos" w:eastAsiaTheme="majorEastAsia" w:hAnsi="Aptos" w:cs="Segoe UI"/>
          <w:lang w:val="en-US"/>
        </w:rPr>
        <w:t> </w:t>
      </w:r>
    </w:p>
    <w:p w14:paraId="1DD7DEA6" w14:textId="6A08F825" w:rsidR="00453DC8" w:rsidRPr="00F01F13" w:rsidRDefault="00F01F13" w:rsidP="00F01F13">
      <w:pPr>
        <w:pStyle w:val="paragraph"/>
        <w:spacing w:before="0" w:beforeAutospacing="0" w:after="0" w:afterAutospacing="0" w:line="360" w:lineRule="auto"/>
        <w:ind w:hanging="480"/>
        <w:textAlignment w:val="baseline"/>
        <w:rPr>
          <w:rFonts w:ascii="Segoe UI" w:hAnsi="Segoe UI" w:cs="Segoe UI"/>
          <w:sz w:val="18"/>
          <w:szCs w:val="18"/>
        </w:rPr>
      </w:pPr>
      <w:r>
        <w:rPr>
          <w:rStyle w:val="contentcontrolboundarysink"/>
          <w:rFonts w:ascii="Arial" w:hAnsi="Arial" w:cs="Arial"/>
          <w:lang w:val="en-US"/>
        </w:rPr>
        <w:t>​</w:t>
      </w:r>
      <w:r>
        <w:rPr>
          <w:rStyle w:val="normaltextrun"/>
          <w:rFonts w:ascii="Aptos" w:eastAsiaTheme="majorEastAsia" w:hAnsi="Aptos" w:cs="Segoe UI"/>
          <w:lang w:val="en-US"/>
        </w:rPr>
        <w:t xml:space="preserve">Zhou, J., Du, R., Wang, L., Wang, F., Li, D., Tong, G., Wang, W., Ding, X., &amp; Wang, D. (2021). The Application of Enhanced Recovery After Surgery (ERAS) for Patients Undergoing Bariatric Surgery: </w:t>
      </w:r>
      <w:proofErr w:type="gramStart"/>
      <w:r>
        <w:rPr>
          <w:rStyle w:val="normaltextrun"/>
          <w:rFonts w:ascii="Aptos" w:eastAsiaTheme="majorEastAsia" w:hAnsi="Aptos" w:cs="Segoe UI"/>
          <w:lang w:val="en-US"/>
        </w:rPr>
        <w:t>a</w:t>
      </w:r>
      <w:proofErr w:type="gramEnd"/>
      <w:r>
        <w:rPr>
          <w:rStyle w:val="normaltextrun"/>
          <w:rFonts w:ascii="Aptos" w:eastAsiaTheme="majorEastAsia" w:hAnsi="Aptos" w:cs="Segoe UI"/>
          <w:lang w:val="en-US"/>
        </w:rPr>
        <w:t xml:space="preserve"> Systematic Review and Meta-analysis. </w:t>
      </w:r>
      <w:r>
        <w:rPr>
          <w:rStyle w:val="normaltextrun"/>
          <w:rFonts w:ascii="Aptos" w:eastAsiaTheme="majorEastAsia" w:hAnsi="Aptos" w:cs="Segoe UI"/>
          <w:i/>
          <w:iCs/>
          <w:lang w:val="en-US"/>
        </w:rPr>
        <w:t>Obesity Surgery</w:t>
      </w:r>
      <w:r>
        <w:rPr>
          <w:rStyle w:val="normaltextrun"/>
          <w:rFonts w:ascii="Aptos" w:eastAsiaTheme="majorEastAsia" w:hAnsi="Aptos" w:cs="Segoe UI"/>
          <w:lang w:val="en-US"/>
        </w:rPr>
        <w:t xml:space="preserve">, </w:t>
      </w:r>
      <w:r>
        <w:rPr>
          <w:rStyle w:val="normaltextrun"/>
          <w:rFonts w:ascii="Aptos" w:eastAsiaTheme="majorEastAsia" w:hAnsi="Aptos" w:cs="Segoe UI"/>
          <w:i/>
          <w:iCs/>
          <w:lang w:val="en-US"/>
        </w:rPr>
        <w:t>31</w:t>
      </w:r>
      <w:r>
        <w:rPr>
          <w:rStyle w:val="normaltextrun"/>
          <w:rFonts w:ascii="Aptos" w:eastAsiaTheme="majorEastAsia" w:hAnsi="Aptos" w:cs="Segoe UI"/>
          <w:lang w:val="en-US"/>
        </w:rPr>
        <w:t>(3), 1321–1331. https://doi.org/10.1007/S11695-020-05209-5</w:t>
      </w:r>
      <w:r>
        <w:rPr>
          <w:rStyle w:val="eop"/>
          <w:rFonts w:ascii="Aptos" w:eastAsiaTheme="majorEastAsia" w:hAnsi="Aptos" w:cs="Segoe UI"/>
        </w:rPr>
        <w:t> </w:t>
      </w:r>
    </w:p>
    <w:sectPr w:rsidR="00453DC8" w:rsidRPr="00F01F1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36201"/>
    <w:multiLevelType w:val="multilevel"/>
    <w:tmpl w:val="0E5C3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40535"/>
    <w:multiLevelType w:val="multilevel"/>
    <w:tmpl w:val="07E2D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4E24A8B"/>
    <w:multiLevelType w:val="multilevel"/>
    <w:tmpl w:val="D3969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68999909">
    <w:abstractNumId w:val="1"/>
  </w:num>
  <w:num w:numId="2" w16cid:durableId="150677400">
    <w:abstractNumId w:val="2"/>
  </w:num>
  <w:num w:numId="3" w16cid:durableId="579950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F13"/>
    <w:rsid w:val="00193FE9"/>
    <w:rsid w:val="00355446"/>
    <w:rsid w:val="00453DC8"/>
    <w:rsid w:val="006B19D6"/>
    <w:rsid w:val="0099215B"/>
    <w:rsid w:val="00A83678"/>
    <w:rsid w:val="00B639A2"/>
    <w:rsid w:val="00C067A7"/>
    <w:rsid w:val="00F01F13"/>
    <w:rsid w:val="00FB6C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36CE34A3"/>
  <w15:chartTrackingRefBased/>
  <w15:docId w15:val="{C96E6252-873C-FE45-8524-86F9E819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01F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F01F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F01F13"/>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F01F13"/>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F01F13"/>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F01F1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F01F1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F01F1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F01F1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01F13"/>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F01F13"/>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F01F13"/>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F01F13"/>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F01F13"/>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F01F1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F01F1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F01F1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F01F13"/>
    <w:rPr>
      <w:rFonts w:eastAsiaTheme="majorEastAsia" w:cstheme="majorBidi"/>
      <w:color w:val="272727" w:themeColor="text1" w:themeTint="D8"/>
    </w:rPr>
  </w:style>
  <w:style w:type="paragraph" w:styleId="Tytu">
    <w:name w:val="Title"/>
    <w:basedOn w:val="Normalny"/>
    <w:next w:val="Normalny"/>
    <w:link w:val="TytuZnak"/>
    <w:uiPriority w:val="10"/>
    <w:qFormat/>
    <w:rsid w:val="00F01F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F01F1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F01F1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F01F1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F01F13"/>
    <w:pPr>
      <w:spacing w:before="160"/>
      <w:jc w:val="center"/>
    </w:pPr>
    <w:rPr>
      <w:i/>
      <w:iCs/>
      <w:color w:val="404040" w:themeColor="text1" w:themeTint="BF"/>
    </w:rPr>
  </w:style>
  <w:style w:type="character" w:customStyle="1" w:styleId="CytatZnak">
    <w:name w:val="Cytat Znak"/>
    <w:basedOn w:val="Domylnaczcionkaakapitu"/>
    <w:link w:val="Cytat"/>
    <w:uiPriority w:val="29"/>
    <w:rsid w:val="00F01F13"/>
    <w:rPr>
      <w:i/>
      <w:iCs/>
      <w:color w:val="404040" w:themeColor="text1" w:themeTint="BF"/>
    </w:rPr>
  </w:style>
  <w:style w:type="paragraph" w:styleId="Akapitzlist">
    <w:name w:val="List Paragraph"/>
    <w:basedOn w:val="Normalny"/>
    <w:uiPriority w:val="34"/>
    <w:qFormat/>
    <w:rsid w:val="00F01F13"/>
    <w:pPr>
      <w:ind w:left="720"/>
      <w:contextualSpacing/>
    </w:pPr>
  </w:style>
  <w:style w:type="character" w:styleId="Wyrnienieintensywne">
    <w:name w:val="Intense Emphasis"/>
    <w:basedOn w:val="Domylnaczcionkaakapitu"/>
    <w:uiPriority w:val="21"/>
    <w:qFormat/>
    <w:rsid w:val="00F01F13"/>
    <w:rPr>
      <w:i/>
      <w:iCs/>
      <w:color w:val="0F4761" w:themeColor="accent1" w:themeShade="BF"/>
    </w:rPr>
  </w:style>
  <w:style w:type="paragraph" w:styleId="Cytatintensywny">
    <w:name w:val="Intense Quote"/>
    <w:basedOn w:val="Normalny"/>
    <w:next w:val="Normalny"/>
    <w:link w:val="CytatintensywnyZnak"/>
    <w:uiPriority w:val="30"/>
    <w:qFormat/>
    <w:rsid w:val="00F01F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F01F13"/>
    <w:rPr>
      <w:i/>
      <w:iCs/>
      <w:color w:val="0F4761" w:themeColor="accent1" w:themeShade="BF"/>
    </w:rPr>
  </w:style>
  <w:style w:type="character" w:styleId="Odwoanieintensywne">
    <w:name w:val="Intense Reference"/>
    <w:basedOn w:val="Domylnaczcionkaakapitu"/>
    <w:uiPriority w:val="32"/>
    <w:qFormat/>
    <w:rsid w:val="00F01F13"/>
    <w:rPr>
      <w:b/>
      <w:bCs/>
      <w:smallCaps/>
      <w:color w:val="0F4761" w:themeColor="accent1" w:themeShade="BF"/>
      <w:spacing w:val="5"/>
    </w:rPr>
  </w:style>
  <w:style w:type="paragraph" w:customStyle="1" w:styleId="paragraph">
    <w:name w:val="paragraph"/>
    <w:basedOn w:val="Normalny"/>
    <w:rsid w:val="00F01F13"/>
    <w:pPr>
      <w:spacing w:before="100" w:beforeAutospacing="1" w:after="100" w:afterAutospacing="1" w:line="240" w:lineRule="auto"/>
    </w:pPr>
    <w:rPr>
      <w:rFonts w:ascii="Times New Roman" w:eastAsia="Times New Roman" w:hAnsi="Times New Roman" w:cs="Times New Roman"/>
      <w:kern w:val="0"/>
      <w:lang w:eastAsia="pl-PL"/>
      <w14:ligatures w14:val="none"/>
    </w:rPr>
  </w:style>
  <w:style w:type="character" w:customStyle="1" w:styleId="normaltextrun">
    <w:name w:val="normaltextrun"/>
    <w:basedOn w:val="Domylnaczcionkaakapitu"/>
    <w:rsid w:val="00F01F13"/>
  </w:style>
  <w:style w:type="character" w:customStyle="1" w:styleId="eop">
    <w:name w:val="eop"/>
    <w:basedOn w:val="Domylnaczcionkaakapitu"/>
    <w:rsid w:val="00F01F13"/>
  </w:style>
  <w:style w:type="character" w:customStyle="1" w:styleId="contentcontrolboundarysink">
    <w:name w:val="contentcontrolboundarysink"/>
    <w:basedOn w:val="Domylnaczcionkaakapitu"/>
    <w:rsid w:val="00F01F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linicaltrials.gov"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1553</Words>
  <Characters>9318</Characters>
  <Application>Microsoft Office Word</Application>
  <DocSecurity>0</DocSecurity>
  <Lines>77</Lines>
  <Paragraphs>21</Paragraphs>
  <ScaleCrop>false</ScaleCrop>
  <Company/>
  <LinksUpToDate>false</LinksUpToDate>
  <CharactersWithSpaces>10850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Ksawery Bieniaszewski</dc:creator>
  <cp:keywords/>
  <dc:description/>
  <cp:lastModifiedBy>Ksawery Bieniaszewski</cp:lastModifiedBy>
  <cp:revision>5</cp:revision>
  <dcterms:created xsi:type="dcterms:W3CDTF">2024-03-30T15:54:00Z</dcterms:created>
  <dcterms:modified xsi:type="dcterms:W3CDTF">2024-10-10T17:30:00Z</dcterms:modified>
</cp:coreProperties>
</file>