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03B0B1" w14:textId="77777777" w:rsidR="009027D4" w:rsidRDefault="009027D4" w:rsidP="009027D4">
      <w:pPr>
        <w:pStyle w:val="Tre"/>
        <w:spacing w:line="36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Standard perioperative protocol for bariatr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ic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surgery.</w:t>
      </w:r>
    </w:p>
    <w:p w14:paraId="779E3EE7" w14:textId="77777777" w:rsidR="009027D4" w:rsidRDefault="009027D4" w:rsidP="009027D4">
      <w:pPr>
        <w:pStyle w:val="Tre"/>
        <w:spacing w:line="36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</w:p>
    <w:p w14:paraId="0CE02480" w14:textId="77777777" w:rsidR="009027D4" w:rsidRDefault="009027D4" w:rsidP="009027D4">
      <w:pPr>
        <w:pStyle w:val="Tre"/>
        <w:spacing w:line="36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Patients are admitted to 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the 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surgical ward one day before the operation (long-track protocol) in 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the 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case 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of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the distance to hospital 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being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more than 50 km or patients present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ing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mov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e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ment disabilities or 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of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elder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y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age, otherwise the admission takes place 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n the day of surgery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in the morning (fast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-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track protocol - 7:00). During admittance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, a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physical examination and anamnesis are performed together with rework of the lab tests. The standard premedication is used which includes oral admission of 1 g of Paracetamol, 20 mg of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Omeprazolum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and 10 mg of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Metoclopramidum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. Additionally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for antibiotic prophylaxis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, a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weight depe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n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dent dose (1-3 g) of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Cefazolinum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is administered. </w:t>
      </w:r>
    </w:p>
    <w:p w14:paraId="0DE4EA4A" w14:textId="77777777" w:rsidR="009027D4" w:rsidRDefault="009027D4" w:rsidP="009027D4">
      <w:pPr>
        <w:pStyle w:val="Tre"/>
        <w:spacing w:line="36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The surgery is conducted under general anesthesia according to 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the 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standar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di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zed protocol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which include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s the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medication set: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sufentanil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10 mcg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i.v.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; propofol 1.5-2 mg/kg IBW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i.v.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; rocuronium 0.6 mg/kg IBW or, for consideration, succinylcholine in cases of anticipated difficulties in tracheal intubation.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During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the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initial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phase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of the procedure, the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patient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receive</w:t>
      </w:r>
      <w:proofErr w:type="spellEnd"/>
      <w:r w:rsidRPr="0084561A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en-US"/>
        </w:rPr>
        <w:t>s</w:t>
      </w:r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dexamethasone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8 mg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i.v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. and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metamizole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2.5 g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i.v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. in an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infusion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lasting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about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30 minutes. At the end of </w:t>
      </w:r>
      <w:r w:rsidRPr="0084561A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en-US"/>
        </w:rPr>
        <w:t xml:space="preserve">the </w:t>
      </w:r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procedure</w:t>
      </w:r>
      <w:r w:rsidRPr="0084561A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en-US"/>
        </w:rPr>
        <w:t>,</w:t>
      </w:r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oxycodone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10 mg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i.v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.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is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administered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.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During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an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uncomplicated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surgical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procedure,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balanced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restrictive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fluid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therapy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is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recommended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.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During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anesthesia</w:t>
      </w:r>
      <w:proofErr w:type="spellEnd"/>
      <w:r w:rsidRPr="0084561A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en-US"/>
        </w:rPr>
        <w:t>,</w:t>
      </w:r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the use of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coanalgesics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such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as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IV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ketamine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, IV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magnesium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, IV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paracetamol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or IV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metamizole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is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allowed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. Reversal of the action of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neuromuscular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blocking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agents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is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performed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using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atropine </w:t>
      </w:r>
      <w:proofErr w:type="gram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in a</w:t>
      </w:r>
      <w:proofErr w:type="gram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dose of 0.5 mg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i.v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. and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neostigmine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1.0-3.0 mg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i.v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. or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sugammadex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2 mg/kg IBW.</w:t>
      </w:r>
    </w:p>
    <w:p w14:paraId="21FCDDAB" w14:textId="77777777" w:rsidR="009027D4" w:rsidRDefault="009027D4" w:rsidP="009027D4">
      <w:pPr>
        <w:pStyle w:val="Tre"/>
        <w:spacing w:line="36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We used 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the 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four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-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tro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ar techni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que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to access 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the 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abdominal cavity, Hasson technique was used to establish the pneumoperitoneum (14 mmHg). The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LigaSure</w:t>
      </w:r>
      <w:r>
        <w:rPr>
          <w:rFonts w:ascii="Times New Roman" w:hAnsi="Times New Roman" w:cs="Times New Roman"/>
          <w:color w:val="auto"/>
          <w:sz w:val="24"/>
          <w:szCs w:val="24"/>
          <w:vertAlign w:val="superscript"/>
          <w:lang w:val="en-US"/>
        </w:rPr>
        <w:t>TM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vertAlign w:val="superscript"/>
          <w:lang w:val="en-U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device is used for liberati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ng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the 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greater curvature of a stomach. A calibrating tube is used for creating a gastric sleeve (34-36 Fr). Medtronic Endo GIA</w:t>
      </w:r>
      <w:r>
        <w:rPr>
          <w:rFonts w:ascii="Times New Roman" w:hAnsi="Times New Roman" w:cs="Times New Roman"/>
          <w:color w:val="auto"/>
          <w:sz w:val="24"/>
          <w:szCs w:val="24"/>
          <w:vertAlign w:val="superscript"/>
          <w:lang w:val="en-US"/>
        </w:rPr>
        <w:t xml:space="preserve">TM 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TRI-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staple</w:t>
      </w:r>
      <w:r>
        <w:rPr>
          <w:rFonts w:ascii="Times New Roman" w:hAnsi="Times New Roman" w:cs="Times New Roman"/>
          <w:color w:val="auto"/>
          <w:sz w:val="24"/>
          <w:szCs w:val="24"/>
          <w:vertAlign w:val="superscript"/>
          <w:lang w:val="en-US"/>
        </w:rPr>
        <w:t>TM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vertAlign w:val="superscript"/>
          <w:lang w:val="en-U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technology 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s used in the following order: X-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Tra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thick (black) cartridge, followed by two Medium/Thick (purple) cartridges followed by Vascular/Medium (gold) (the number of gold staples depend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on the length of the gastric sle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ev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e). </w:t>
      </w:r>
    </w:p>
    <w:p w14:paraId="7CD0B937" w14:textId="77777777" w:rsidR="009027D4" w:rsidRDefault="009027D4" w:rsidP="009027D4">
      <w:pPr>
        <w:pStyle w:val="Tre"/>
        <w:spacing w:line="36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In postoperative pain m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nag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e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ment the following painkillers are given intravenous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ly: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4x1 g of Paracetamol and 4x1g of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Metamizol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(in 3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-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hour intervals each). In case of 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an 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increased need for painkillers (NRS &gt;-6)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patients temporarily receive 100 mg of intravenous Tramadol (up to 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a 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maximum dose of 400 mg per day) or 10 mg of intravenous Oxycodone.</w:t>
      </w:r>
    </w:p>
    <w:p w14:paraId="31B81A9A" w14:textId="607B5BA3" w:rsidR="0052741B" w:rsidRPr="000F4223" w:rsidRDefault="009027D4" w:rsidP="000F4223">
      <w:pPr>
        <w:pStyle w:val="Tre"/>
        <w:spacing w:line="36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To facilitate postoperative nausea, vomiting and flatulence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40 mg of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Drotaverin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, 10 mg of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Metoclopramidum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, 8 mg of intravenous Ondansetron or 8 mg of intravenous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Dexomethasone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could be p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r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escribed. At 5pm on the first day after surgery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standard laboratory test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are taken 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lastRenderedPageBreak/>
        <w:t>from peripheral blood samples, which include: glucose, sodium, potassium, CBC, and C-reactive protein. A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cording to our discharge prot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col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every patien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t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need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to fulfill all discharge criteria: low/moderate pain, ability to drink and swallow medicaments, general good condition, no tachycardia. Before 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being 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discharg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ed,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bariatric education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including dietary recommendations in 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the 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first </w:t>
      </w:r>
      <w:proofErr w:type="gramStart"/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days</w:t>
      </w:r>
      <w:proofErr w:type="gramEnd"/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post-surgery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is conducted. Patients are also informed about wound care m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nag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e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ment. They leave the ward with 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a 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referral for 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an 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outpatient clinic with 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the 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appointed day and time of 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the 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first control visit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which takes place after 7-14 days following surgery. Th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e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n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the next ap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oi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n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tment is schedule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for 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ap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roxim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>ate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ly one month after surgery. Patients are obligated to do </w:t>
      </w:r>
      <w:r w:rsidRPr="0084561A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a 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lab test before the appointment.</w:t>
      </w:r>
      <w:r w:rsidR="0052741B">
        <w:rPr>
          <w:rStyle w:val="contentcontrolboundarysink"/>
          <w:rFonts w:ascii="Arial" w:hAnsi="Arial" w:cs="Arial"/>
          <w:lang w:val="en-US"/>
        </w:rPr>
        <w:t>​</w:t>
      </w:r>
      <w:r w:rsidR="0052741B">
        <w:rPr>
          <w:rStyle w:val="normaltextrun"/>
          <w:rFonts w:ascii="Arial" w:eastAsiaTheme="majorEastAsia" w:hAnsi="Arial" w:cs="Arial"/>
          <w:lang w:val="en-US"/>
        </w:rPr>
        <w:t> </w:t>
      </w:r>
      <w:r w:rsidR="0052741B">
        <w:rPr>
          <w:rStyle w:val="contentcontrolboundarysink"/>
          <w:color w:val="222222"/>
          <w:shd w:val="clear" w:color="auto" w:fill="FFFFFF"/>
          <w:lang w:val="en-US"/>
        </w:rPr>
        <w:t>​</w:t>
      </w:r>
      <w:r w:rsidR="0052741B">
        <w:rPr>
          <w:rStyle w:val="eop"/>
          <w:rFonts w:eastAsiaTheme="majorEastAsia"/>
        </w:rPr>
        <w:t> </w:t>
      </w:r>
    </w:p>
    <w:p w14:paraId="7EE148ED" w14:textId="77777777" w:rsidR="0052741B" w:rsidRDefault="0052741B" w:rsidP="0052741B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ajorEastAsia"/>
        </w:rPr>
        <w:t> </w:t>
      </w:r>
    </w:p>
    <w:p w14:paraId="23B7BB23" w14:textId="77777777" w:rsidR="0052741B" w:rsidRDefault="0052741B" w:rsidP="0052741B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ajorEastAsia"/>
        </w:rPr>
        <w:t> </w:t>
      </w:r>
    </w:p>
    <w:p w14:paraId="5A92FE1D" w14:textId="77777777" w:rsidR="0052741B" w:rsidRDefault="0052741B" w:rsidP="0052741B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ajorEastAsia"/>
        </w:rPr>
        <w:t> </w:t>
      </w:r>
    </w:p>
    <w:p w14:paraId="6C0CD436" w14:textId="77777777" w:rsidR="0052741B" w:rsidRDefault="0052741B" w:rsidP="009027D4">
      <w:pPr>
        <w:pStyle w:val="Tre"/>
        <w:spacing w:line="36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</w:p>
    <w:p w14:paraId="3DB97F15" w14:textId="77777777" w:rsidR="00180CCB" w:rsidRPr="009027D4" w:rsidRDefault="00180CCB">
      <w:pPr>
        <w:rPr>
          <w:lang w:val="en-US"/>
        </w:rPr>
      </w:pPr>
    </w:p>
    <w:sectPr w:rsidR="00180CCB" w:rsidRPr="009027D4" w:rsidSect="00282ED5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altName w:val="Times New Roman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36201"/>
    <w:multiLevelType w:val="multilevel"/>
    <w:tmpl w:val="0E5C3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9440535"/>
    <w:multiLevelType w:val="multilevel"/>
    <w:tmpl w:val="07E2D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4E24A8B"/>
    <w:multiLevelType w:val="multilevel"/>
    <w:tmpl w:val="D3969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568999909">
    <w:abstractNumId w:val="1"/>
  </w:num>
  <w:num w:numId="2" w16cid:durableId="150677400">
    <w:abstractNumId w:val="2"/>
  </w:num>
  <w:num w:numId="3" w16cid:durableId="5799509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7D4"/>
    <w:rsid w:val="000A2233"/>
    <w:rsid w:val="000F4223"/>
    <w:rsid w:val="00180CCB"/>
    <w:rsid w:val="00237B8E"/>
    <w:rsid w:val="00282ED5"/>
    <w:rsid w:val="0052741B"/>
    <w:rsid w:val="00584A9A"/>
    <w:rsid w:val="006E27CC"/>
    <w:rsid w:val="009027D4"/>
    <w:rsid w:val="00943C13"/>
    <w:rsid w:val="00A328F6"/>
    <w:rsid w:val="00F11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6928439"/>
  <w14:defaultImageDpi w14:val="32767"/>
  <w15:chartTrackingRefBased/>
  <w15:docId w15:val="{8D36286A-8AAD-4A44-BC44-9135D6D3B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027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027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027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027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027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027D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027D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027D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027D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027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027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027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027D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027D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027D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027D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027D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027D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027D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027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027D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027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027D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027D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027D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027D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027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027D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027D4"/>
    <w:rPr>
      <w:b/>
      <w:bCs/>
      <w:smallCaps/>
      <w:color w:val="2F5496" w:themeColor="accent1" w:themeShade="BF"/>
      <w:spacing w:val="5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027D4"/>
    <w:rPr>
      <w:kern w:val="0"/>
      <w:sz w:val="20"/>
      <w:szCs w:val="20"/>
      <w14:ligatures w14:val="none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027D4"/>
    <w:rPr>
      <w:kern w:val="0"/>
      <w:sz w:val="20"/>
      <w:szCs w:val="20"/>
      <w14:ligatures w14:val="none"/>
    </w:rPr>
  </w:style>
  <w:style w:type="paragraph" w:customStyle="1" w:styleId="Tre">
    <w:name w:val="Treść"/>
    <w:rsid w:val="009027D4"/>
    <w:rPr>
      <w:rFonts w:ascii="Helvetica Neue" w:eastAsia="Arial Unicode MS" w:hAnsi="Helvetica Neue" w:cs="Arial Unicode MS"/>
      <w:color w:val="000000"/>
      <w:kern w:val="0"/>
      <w:sz w:val="22"/>
      <w:szCs w:val="22"/>
      <w:lang w:val="it-IT" w:eastAsia="pl-PL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customStyle="1" w:styleId="paragraph">
    <w:name w:val="paragraph"/>
    <w:basedOn w:val="Normalny"/>
    <w:rsid w:val="0052741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customStyle="1" w:styleId="normaltextrun">
    <w:name w:val="normaltextrun"/>
    <w:basedOn w:val="Domylnaczcionkaakapitu"/>
    <w:rsid w:val="0052741B"/>
  </w:style>
  <w:style w:type="character" w:customStyle="1" w:styleId="eop">
    <w:name w:val="eop"/>
    <w:basedOn w:val="Domylnaczcionkaakapitu"/>
    <w:rsid w:val="0052741B"/>
  </w:style>
  <w:style w:type="character" w:customStyle="1" w:styleId="contentcontrolboundarysink">
    <w:name w:val="contentcontrolboundarysink"/>
    <w:basedOn w:val="Domylnaczcionkaakapitu"/>
    <w:rsid w:val="005274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731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43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8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7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2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0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27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40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98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3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0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8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3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27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42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89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103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98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51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980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048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1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78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64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12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791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33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69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3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04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207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65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83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3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0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3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5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65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04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1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7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66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5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33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3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3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9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8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4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02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4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9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9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2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0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2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0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3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7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8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6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3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86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52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81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04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19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9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52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07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67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253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65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81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76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36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42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30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48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76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05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173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22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80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72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60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985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64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785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27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65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09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5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3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13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35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5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7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9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7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3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5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2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1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9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12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0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2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15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0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00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1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47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92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4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11223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792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246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3843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294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484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212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0382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399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2186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549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7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212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429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873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0143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916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7437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570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309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745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47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492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5470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710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806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27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4530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249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0994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292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0644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85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8545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483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1243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08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2584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649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50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877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7377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680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0555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984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6432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194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2586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680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7185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254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7278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383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2264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069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2882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973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4825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25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8548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38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0092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179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0766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713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919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88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5317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750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0029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91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301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273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715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39184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425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25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375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226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4165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353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428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360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895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493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7837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796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2344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919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6531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719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329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107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527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861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177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53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286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519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6892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735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441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5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3466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828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2357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094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271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31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177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12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6694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977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193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4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293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756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8197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695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7233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457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58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231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7691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264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2186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86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380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340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9038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921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2114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6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0845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176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3776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085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0303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091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42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53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6516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997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9191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971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1103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800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9591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750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4959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007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915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37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041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944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442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231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924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36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7126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00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437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50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267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487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08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5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210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2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652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488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2565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678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011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223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9161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04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641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692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9131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570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7832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539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1519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938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248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209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7440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180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4009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198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4486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784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9762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79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1891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03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8901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33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944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522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210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139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7983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172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029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71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8958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038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50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454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829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050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1635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08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3774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5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5492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891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7360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249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5649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426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04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08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8924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947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8972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436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6274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55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5104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061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2108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843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7343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276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304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017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458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017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9064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55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1976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572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668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467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5887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451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214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044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928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572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307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051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4015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564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3979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366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5184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29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734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326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731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66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8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82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8621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124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480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461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707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73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0088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679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0466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885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0926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521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585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38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9794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005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8888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655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6450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89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7235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401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781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085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475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812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249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365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779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1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98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0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518</Words>
  <Characters>3114</Characters>
  <Application>Microsoft Office Word</Application>
  <DocSecurity>0</DocSecurity>
  <Lines>25</Lines>
  <Paragraphs>7</Paragraphs>
  <ScaleCrop>false</ScaleCrop>
  <Company/>
  <LinksUpToDate>false</LinksUpToDate>
  <CharactersWithSpaces>3625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Ksawery Bieniaszewski</dc:creator>
  <cp:keywords/>
  <dc:description/>
  <cp:lastModifiedBy>Ksawery Bieniaszewski</cp:lastModifiedBy>
  <cp:revision>2</cp:revision>
  <dcterms:created xsi:type="dcterms:W3CDTF">2024-03-30T15:54:00Z</dcterms:created>
  <dcterms:modified xsi:type="dcterms:W3CDTF">2024-03-30T15:54:00Z</dcterms:modified>
</cp:coreProperties>
</file>