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60"/>
        <w:gridCol w:w="2020"/>
        <w:gridCol w:w="2020"/>
        <w:gridCol w:w="1180"/>
      </w:tblGrid>
      <w:tr w:rsidR="00A204BD" w:rsidRPr="00EE5F99" w14:paraId="607807B2" w14:textId="77777777" w:rsidTr="00C3142B">
        <w:trPr>
          <w:trHeight w:val="438"/>
        </w:trPr>
        <w:tc>
          <w:tcPr>
            <w:tcW w:w="306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6513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Characteristic</w:t>
            </w:r>
          </w:p>
        </w:tc>
        <w:tc>
          <w:tcPr>
            <w:tcW w:w="20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F27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Low expression of HSPB1</w:t>
            </w:r>
          </w:p>
        </w:tc>
        <w:tc>
          <w:tcPr>
            <w:tcW w:w="20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5A8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High expression of HSPB1</w:t>
            </w:r>
          </w:p>
        </w:tc>
        <w:tc>
          <w:tcPr>
            <w:tcW w:w="118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0B4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p</w:t>
            </w:r>
          </w:p>
        </w:tc>
      </w:tr>
      <w:tr w:rsidR="00A204BD" w:rsidRPr="00EE5F99" w14:paraId="174BAB19" w14:textId="77777777" w:rsidTr="00C3142B">
        <w:trPr>
          <w:trHeight w:val="274"/>
        </w:trPr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C347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6B72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322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CB32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322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289C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218CE7C3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FACD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T stage,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63D8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F95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D53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b/>
                <w:bCs/>
                <w:color w:val="000000"/>
                <w:kern w:val="24"/>
                <w:sz w:val="16"/>
                <w:szCs w:val="16"/>
              </w:rPr>
              <w:t>0.023*</w:t>
            </w:r>
          </w:p>
        </w:tc>
      </w:tr>
      <w:tr w:rsidR="00A204BD" w:rsidRPr="00EE5F99" w14:paraId="3D710C8D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3DC5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T1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A76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14 (2.2%)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1F2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6 (0.9%)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B5C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01C4B2AF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B581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T2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F9DA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65 (10.1%)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0296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46 (7.2%)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E39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6FF008F3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7981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T3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DD97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211 (32.9%)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A0A0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225 (35.1%)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E11D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66182F36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43EE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T4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CC4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30 (4.7%)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EE8B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44 (6.9%)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2FED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41AEF640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81D08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 stage,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A3C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D19D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67C6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b/>
                <w:bCs/>
                <w:color w:val="000000"/>
                <w:kern w:val="24"/>
                <w:sz w:val="16"/>
                <w:szCs w:val="16"/>
              </w:rPr>
              <w:t>0.022*</w:t>
            </w:r>
          </w:p>
        </w:tc>
      </w:tr>
      <w:tr w:rsidR="00A204BD" w:rsidRPr="00EE5F99" w14:paraId="77E95FA0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9BAA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BA5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201 (31.4%)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34D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167 (26.1%)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9790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3352E19D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6881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0BEA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69 (10.8%)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E67F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84 (13.1%)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D55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784F50F2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25A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DE9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50 (7.8%)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B666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69 (10.8%)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6610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22815CA4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14BA7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M stage,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0035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CC087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2BD3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0.243</w:t>
            </w:r>
          </w:p>
        </w:tc>
      </w:tr>
      <w:tr w:rsidR="00A204BD" w:rsidRPr="00EE5F99" w14:paraId="68FFF03E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BD70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M0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4B3A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238 (42.2%)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046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237 (42%)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B0C3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551E76C8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0740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M1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2EC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38 (6.7%)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6AA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51 (9%)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0F30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22A2DE2B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FC867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Pathologic stage,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C08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2D6B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3D6C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b/>
                <w:bCs/>
                <w:color w:val="000000"/>
                <w:kern w:val="24"/>
                <w:sz w:val="16"/>
                <w:szCs w:val="16"/>
              </w:rPr>
              <w:t>0.015*</w:t>
            </w:r>
          </w:p>
        </w:tc>
      </w:tr>
      <w:tr w:rsidR="00A204BD" w:rsidRPr="00EE5F99" w14:paraId="6B81F93F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1DD9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lastRenderedPageBreak/>
              <w:t>Stage 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F4FC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69 (11.1%)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A37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42 (6.7%)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1D2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68803B45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3E50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Stage 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93E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122 (19.6%)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4568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116 (18.6%)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990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3F9C7A20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C51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Stage III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18C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82 (13.2%)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38BC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102 (16.4%)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FFB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222EBEA7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006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Stage IV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9728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39 (6.3%)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AED5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51 (8.2%)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130E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07D5F52C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4DC3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Age,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0C9E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AD7F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403B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0.937</w:t>
            </w:r>
          </w:p>
        </w:tc>
      </w:tr>
      <w:tr w:rsidR="00A204BD" w:rsidRPr="00EE5F99" w14:paraId="33F55205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556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&lt;=65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2D2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139 (21.6%)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BEC8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137 (21.3%)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320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31CD09C6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85FFB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&gt;65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1C0B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183 (28.4%)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B8F2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185 (28.7%)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F13F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369B7A49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C91F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Lymphatic invasion,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7C1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118F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351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b/>
                <w:bCs/>
                <w:color w:val="000000"/>
                <w:kern w:val="24"/>
                <w:sz w:val="16"/>
                <w:szCs w:val="16"/>
              </w:rPr>
              <w:t>&lt; 0.001*</w:t>
            </w:r>
          </w:p>
        </w:tc>
      </w:tr>
      <w:tr w:rsidR="00A204BD" w:rsidRPr="00EE5F99" w14:paraId="6C5A7C8F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F0356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B24A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200 (34.4%)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95A1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150 (25.8%)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05A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1DAAC68E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7B6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0D9A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96 (16.5%)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48A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136 (23.4%)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169F5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4116E4D9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FF47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Perineural invasion, n (%)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C8D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239D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E7BC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0.478</w:t>
            </w:r>
          </w:p>
        </w:tc>
      </w:tr>
      <w:tr w:rsidR="00A204BD" w:rsidRPr="00EE5F99" w14:paraId="5FF609C0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329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No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FE249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90 (38.3%)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8E808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85 (36.2%)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48C2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A204BD" w:rsidRPr="00EE5F99" w14:paraId="6AD3662F" w14:textId="77777777" w:rsidTr="00C3142B">
        <w:trPr>
          <w:trHeight w:val="274"/>
        </w:trPr>
        <w:tc>
          <w:tcPr>
            <w:tcW w:w="30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0EB54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FAE3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27 (11.5%)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BC98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Arial" w:eastAsia="DejaVu Sans" w:hAnsi="Arial" w:cs="DejaVu Sans"/>
                <w:color w:val="000000"/>
                <w:kern w:val="24"/>
                <w:sz w:val="16"/>
                <w:szCs w:val="16"/>
              </w:rPr>
              <w:t>33 (14%)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0DCCD" w14:textId="77777777" w:rsidR="00A204BD" w:rsidRPr="00EE5F99" w:rsidRDefault="00A204B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EE5F99">
              <w:rPr>
                <w:rFonts w:ascii="Cambria" w:eastAsia="MS Mincho" w:hAnsi="Cambria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</w:tbl>
    <w:p w14:paraId="036DFCE5" w14:textId="77777777" w:rsidR="00816186" w:rsidRDefault="00816186"/>
    <w:sectPr w:rsidR="0081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BD"/>
    <w:rsid w:val="0058445C"/>
    <w:rsid w:val="00816186"/>
    <w:rsid w:val="00892A5F"/>
    <w:rsid w:val="00A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15C4"/>
  <w15:chartTrackingRefBased/>
  <w15:docId w15:val="{282D8A87-FAAD-47C3-986A-BDDAB0AF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kai</dc:creator>
  <cp:keywords/>
  <dc:description/>
  <cp:lastModifiedBy>he kai</cp:lastModifiedBy>
  <cp:revision>1</cp:revision>
  <dcterms:created xsi:type="dcterms:W3CDTF">2023-08-15T09:45:00Z</dcterms:created>
  <dcterms:modified xsi:type="dcterms:W3CDTF">2023-08-15T09:46:00Z</dcterms:modified>
</cp:coreProperties>
</file>