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6C6B4" w14:textId="6266BFD5" w:rsidR="006C2ED4" w:rsidRPr="006C2ED4" w:rsidRDefault="006C2ED4" w:rsidP="006C2ED4">
      <w:pPr>
        <w:spacing w:line="240" w:lineRule="auto"/>
        <w:ind w:firstLineChars="0" w:firstLine="0"/>
        <w:rPr>
          <w:b/>
          <w:bCs/>
        </w:rPr>
      </w:pPr>
      <w:bookmarkStart w:id="0" w:name="_Hlk149589159"/>
      <w:bookmarkStart w:id="1" w:name="_Hlk143623526"/>
      <w:r w:rsidRPr="006C2ED4">
        <w:rPr>
          <w:b/>
          <w:bCs/>
        </w:rPr>
        <w:t>Supplement</w:t>
      </w:r>
      <w:r>
        <w:rPr>
          <w:b/>
          <w:bCs/>
        </w:rPr>
        <w:t>ary</w:t>
      </w:r>
      <w:r w:rsidRPr="006C2ED4">
        <w:rPr>
          <w:b/>
          <w:bCs/>
        </w:rPr>
        <w:t xml:space="preserve"> Table 1. Research design options for target trial emulation</w:t>
      </w:r>
    </w:p>
    <w:tbl>
      <w:tblPr>
        <w:tblStyle w:val="aa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5"/>
        <w:gridCol w:w="5331"/>
      </w:tblGrid>
      <w:tr w:rsidR="006C2ED4" w:rsidRPr="006C2ED4" w14:paraId="2BA9719A" w14:textId="77777777" w:rsidTr="006C2ED4">
        <w:trPr>
          <w:trHeight w:val="113"/>
        </w:trPr>
        <w:tc>
          <w:tcPr>
            <w:tcW w:w="179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F61C26D" w14:textId="77777777" w:rsidR="006C2ED4" w:rsidRPr="006C2ED4" w:rsidRDefault="006C2ED4" w:rsidP="006C2ED4">
            <w:pPr>
              <w:pStyle w:val="a9"/>
              <w:rPr>
                <w:b/>
                <w:bCs/>
                <w:sz w:val="18"/>
                <w:szCs w:val="21"/>
              </w:rPr>
            </w:pPr>
            <w:r w:rsidRPr="006C2ED4">
              <w:rPr>
                <w:b/>
                <w:bCs/>
                <w:sz w:val="18"/>
                <w:szCs w:val="21"/>
              </w:rPr>
              <w:t>Study Design</w:t>
            </w:r>
          </w:p>
        </w:tc>
        <w:tc>
          <w:tcPr>
            <w:tcW w:w="320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46CC40A" w14:textId="77777777" w:rsidR="006C2ED4" w:rsidRPr="006C2ED4" w:rsidRDefault="006C2ED4" w:rsidP="006C2ED4">
            <w:pPr>
              <w:pStyle w:val="a9"/>
              <w:rPr>
                <w:b/>
                <w:bCs/>
                <w:sz w:val="18"/>
                <w:szCs w:val="21"/>
              </w:rPr>
            </w:pPr>
            <w:r w:rsidRPr="006C2ED4">
              <w:rPr>
                <w:b/>
                <w:bCs/>
                <w:sz w:val="18"/>
                <w:szCs w:val="21"/>
              </w:rPr>
              <w:t>Description</w:t>
            </w:r>
          </w:p>
        </w:tc>
      </w:tr>
      <w:tr w:rsidR="006C2ED4" w:rsidRPr="006C2ED4" w14:paraId="22D9FB89" w14:textId="77777777" w:rsidTr="006C2ED4">
        <w:trPr>
          <w:trHeight w:val="113"/>
        </w:trPr>
        <w:tc>
          <w:tcPr>
            <w:tcW w:w="1791" w:type="pct"/>
            <w:tcBorders>
              <w:top w:val="single" w:sz="4" w:space="0" w:color="auto"/>
            </w:tcBorders>
            <w:hideMark/>
          </w:tcPr>
          <w:p w14:paraId="1E77DCBE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Study Population</w:t>
            </w:r>
          </w:p>
        </w:tc>
        <w:tc>
          <w:tcPr>
            <w:tcW w:w="3209" w:type="pct"/>
            <w:tcBorders>
              <w:top w:val="single" w:sz="4" w:space="0" w:color="auto"/>
            </w:tcBorders>
            <w:hideMark/>
          </w:tcPr>
          <w:p w14:paraId="775C168C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Locally born cohort from 2015 to 2023</w:t>
            </w:r>
          </w:p>
        </w:tc>
      </w:tr>
      <w:tr w:rsidR="006C2ED4" w:rsidRPr="006C2ED4" w14:paraId="4409EF9B" w14:textId="77777777" w:rsidTr="006C2ED4">
        <w:trPr>
          <w:trHeight w:val="113"/>
        </w:trPr>
        <w:tc>
          <w:tcPr>
            <w:tcW w:w="1791" w:type="pct"/>
            <w:hideMark/>
          </w:tcPr>
          <w:p w14:paraId="1F938838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Vaccination Coverage</w:t>
            </w:r>
          </w:p>
        </w:tc>
        <w:tc>
          <w:tcPr>
            <w:tcW w:w="3209" w:type="pct"/>
            <w:hideMark/>
          </w:tcPr>
          <w:p w14:paraId="79DD90D3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National immunization program vaccines coverage for children in 2020 was 99%</w:t>
            </w:r>
          </w:p>
        </w:tc>
      </w:tr>
      <w:tr w:rsidR="006C2ED4" w:rsidRPr="006C2ED4" w14:paraId="1EBC89CC" w14:textId="77777777" w:rsidTr="006C2ED4">
        <w:trPr>
          <w:trHeight w:val="113"/>
        </w:trPr>
        <w:tc>
          <w:tcPr>
            <w:tcW w:w="1791" w:type="pct"/>
            <w:hideMark/>
          </w:tcPr>
          <w:p w14:paraId="4C39D803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Local Birth Definition</w:t>
            </w:r>
          </w:p>
        </w:tc>
        <w:tc>
          <w:tcPr>
            <w:tcW w:w="3209" w:type="pct"/>
            <w:hideMark/>
          </w:tcPr>
          <w:p w14:paraId="6220C899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Birth medical institution is a local hospital or household registration address is local</w:t>
            </w:r>
          </w:p>
        </w:tc>
      </w:tr>
      <w:tr w:rsidR="006C2ED4" w:rsidRPr="006C2ED4" w14:paraId="15DA1016" w14:textId="77777777" w:rsidTr="006C2ED4">
        <w:trPr>
          <w:trHeight w:val="113"/>
        </w:trPr>
        <w:tc>
          <w:tcPr>
            <w:tcW w:w="1791" w:type="pct"/>
            <w:hideMark/>
          </w:tcPr>
          <w:p w14:paraId="41FF2662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Resident Definition</w:t>
            </w:r>
          </w:p>
        </w:tc>
        <w:tc>
          <w:tcPr>
            <w:tcW w:w="3209" w:type="pct"/>
            <w:hideMark/>
          </w:tcPr>
          <w:p w14:paraId="74705E2E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Permanent or residential address is local</w:t>
            </w:r>
          </w:p>
        </w:tc>
      </w:tr>
      <w:tr w:rsidR="006C2ED4" w:rsidRPr="006C2ED4" w14:paraId="7665E029" w14:textId="77777777" w:rsidTr="006C2ED4">
        <w:trPr>
          <w:trHeight w:val="113"/>
        </w:trPr>
        <w:tc>
          <w:tcPr>
            <w:tcW w:w="1791" w:type="pct"/>
            <w:hideMark/>
          </w:tcPr>
          <w:p w14:paraId="69A7DBC1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Rotavirus Vaccination Schedule</w:t>
            </w:r>
          </w:p>
        </w:tc>
        <w:tc>
          <w:tcPr>
            <w:tcW w:w="3209" w:type="pct"/>
            <w:hideMark/>
          </w:tcPr>
          <w:p w14:paraId="67A66B0E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 xml:space="preserve">1) Rotavirus (Live) Vaccine, Oral (Lanzhou Institute of Biological Products) recommended for infants aged 2 months to 3 years, one dose annually; 2) </w:t>
            </w:r>
            <w:proofErr w:type="spellStart"/>
            <w:r w:rsidRPr="006C2ED4">
              <w:rPr>
                <w:sz w:val="18"/>
                <w:szCs w:val="21"/>
              </w:rPr>
              <w:t>Rotateq</w:t>
            </w:r>
            <w:proofErr w:type="spellEnd"/>
            <w:r w:rsidRPr="006C2ED4">
              <w:rPr>
                <w:sz w:val="18"/>
                <w:szCs w:val="21"/>
              </w:rPr>
              <w:t xml:space="preserve"> (Merck) recommended at 2, 4, and 6 months, first dose at 6-12 weeks, subsequent doses at </w:t>
            </w:r>
            <w:proofErr w:type="gramStart"/>
            <w:r w:rsidRPr="006C2ED4">
              <w:rPr>
                <w:sz w:val="18"/>
                <w:szCs w:val="21"/>
              </w:rPr>
              <w:t>4-10 week</w:t>
            </w:r>
            <w:proofErr w:type="gramEnd"/>
            <w:r w:rsidRPr="006C2ED4">
              <w:rPr>
                <w:sz w:val="18"/>
                <w:szCs w:val="21"/>
              </w:rPr>
              <w:t xml:space="preserve"> intervals, all three doses completed by 32 weeks</w:t>
            </w:r>
          </w:p>
        </w:tc>
      </w:tr>
      <w:tr w:rsidR="006C2ED4" w:rsidRPr="006C2ED4" w14:paraId="472603C1" w14:textId="77777777" w:rsidTr="006C2ED4">
        <w:trPr>
          <w:trHeight w:val="113"/>
        </w:trPr>
        <w:tc>
          <w:tcPr>
            <w:tcW w:w="1791" w:type="pct"/>
            <w:hideMark/>
          </w:tcPr>
          <w:p w14:paraId="3D556A33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Observation Period</w:t>
            </w:r>
          </w:p>
        </w:tc>
        <w:tc>
          <w:tcPr>
            <w:tcW w:w="3209" w:type="pct"/>
            <w:hideMark/>
          </w:tcPr>
          <w:p w14:paraId="10D7F02F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 xml:space="preserve">Considering immunization schedule, 90-day post-vaccination risk period, and diagnosis delays, the observation period for Rotavirus (Live) Vaccine is set from birth to 39 months, and for </w:t>
            </w:r>
            <w:proofErr w:type="spellStart"/>
            <w:r w:rsidRPr="006C2ED4">
              <w:rPr>
                <w:sz w:val="18"/>
                <w:szCs w:val="21"/>
              </w:rPr>
              <w:t>Rotateq</w:t>
            </w:r>
            <w:proofErr w:type="spellEnd"/>
            <w:r w:rsidRPr="006C2ED4">
              <w:rPr>
                <w:sz w:val="18"/>
                <w:szCs w:val="21"/>
              </w:rPr>
              <w:t xml:space="preserve"> from birth to 11 months</w:t>
            </w:r>
          </w:p>
        </w:tc>
      </w:tr>
      <w:tr w:rsidR="006C2ED4" w:rsidRPr="006C2ED4" w14:paraId="3BDCB5BD" w14:textId="77777777" w:rsidTr="006C2ED4">
        <w:trPr>
          <w:trHeight w:val="113"/>
        </w:trPr>
        <w:tc>
          <w:tcPr>
            <w:tcW w:w="1791" w:type="pct"/>
            <w:hideMark/>
          </w:tcPr>
          <w:p w14:paraId="186AE44C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Follow-Up</w:t>
            </w:r>
          </w:p>
        </w:tc>
        <w:tc>
          <w:tcPr>
            <w:tcW w:w="3209" w:type="pct"/>
            <w:hideMark/>
          </w:tcPr>
          <w:p w14:paraId="57C501A3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0-3 years vaccination schedule (including immunization program and non-immunization program vaccines), migration, death</w:t>
            </w:r>
          </w:p>
        </w:tc>
      </w:tr>
      <w:tr w:rsidR="006C2ED4" w:rsidRPr="006C2ED4" w14:paraId="4B8B4FBA" w14:textId="77777777" w:rsidTr="006C2ED4">
        <w:trPr>
          <w:trHeight w:val="113"/>
        </w:trPr>
        <w:tc>
          <w:tcPr>
            <w:tcW w:w="1791" w:type="pct"/>
            <w:hideMark/>
          </w:tcPr>
          <w:p w14:paraId="1D34E03D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Subgroups</w:t>
            </w:r>
          </w:p>
        </w:tc>
        <w:tc>
          <w:tcPr>
            <w:tcW w:w="3209" w:type="pct"/>
            <w:hideMark/>
          </w:tcPr>
          <w:p w14:paraId="108B5011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 xml:space="preserve">Birth cohort divided into different subgroups based on rotavirus vaccination status: exposure group (at least one dose of rotavirus vaccine) including Rotavirus (Live) Vaccine group and </w:t>
            </w:r>
            <w:proofErr w:type="spellStart"/>
            <w:r w:rsidRPr="006C2ED4">
              <w:rPr>
                <w:sz w:val="18"/>
                <w:szCs w:val="21"/>
              </w:rPr>
              <w:t>Rotateq</w:t>
            </w:r>
            <w:proofErr w:type="spellEnd"/>
            <w:r w:rsidRPr="006C2ED4">
              <w:rPr>
                <w:sz w:val="18"/>
                <w:szCs w:val="21"/>
              </w:rPr>
              <w:t xml:space="preserve"> group, control group (no rotavirus vaccine during baseline and follow-up periods)</w:t>
            </w:r>
          </w:p>
        </w:tc>
      </w:tr>
      <w:tr w:rsidR="006C2ED4" w:rsidRPr="006C2ED4" w14:paraId="24119211" w14:textId="77777777" w:rsidTr="006C2ED4">
        <w:trPr>
          <w:trHeight w:val="113"/>
        </w:trPr>
        <w:tc>
          <w:tcPr>
            <w:tcW w:w="1791" w:type="pct"/>
            <w:hideMark/>
          </w:tcPr>
          <w:p w14:paraId="3A7E6B36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Cohort Start Time</w:t>
            </w:r>
          </w:p>
        </w:tc>
        <w:tc>
          <w:tcPr>
            <w:tcW w:w="3209" w:type="pct"/>
            <w:hideMark/>
          </w:tcPr>
          <w:p w14:paraId="1EE3CBE3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Baseline period (6-12 weeks of age), first dose administration time for the exposure group</w:t>
            </w:r>
          </w:p>
        </w:tc>
      </w:tr>
      <w:tr w:rsidR="006C2ED4" w:rsidRPr="006C2ED4" w14:paraId="2DFD3FB6" w14:textId="77777777" w:rsidTr="006C2ED4">
        <w:trPr>
          <w:trHeight w:val="113"/>
        </w:trPr>
        <w:tc>
          <w:tcPr>
            <w:tcW w:w="1791" w:type="pct"/>
            <w:hideMark/>
          </w:tcPr>
          <w:p w14:paraId="511D5E68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Cohort End Time</w:t>
            </w:r>
          </w:p>
        </w:tc>
        <w:tc>
          <w:tcPr>
            <w:tcW w:w="3209" w:type="pct"/>
            <w:hideMark/>
          </w:tcPr>
          <w:p w14:paraId="6EBB9984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1) First occurrence of intussusception; 2) death; 3) loss to follow-up; 4) 42 days after the last dose; 5) end of study (earliest occurrence)</w:t>
            </w:r>
          </w:p>
        </w:tc>
      </w:tr>
      <w:tr w:rsidR="006C2ED4" w:rsidRPr="006C2ED4" w14:paraId="2145017A" w14:textId="77777777" w:rsidTr="006C2ED4">
        <w:trPr>
          <w:trHeight w:val="113"/>
        </w:trPr>
        <w:tc>
          <w:tcPr>
            <w:tcW w:w="1791" w:type="pct"/>
            <w:hideMark/>
          </w:tcPr>
          <w:p w14:paraId="6781EC2D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Loss to Follow-Up</w:t>
            </w:r>
          </w:p>
        </w:tc>
        <w:tc>
          <w:tcPr>
            <w:tcW w:w="3209" w:type="pct"/>
            <w:hideMark/>
          </w:tcPr>
          <w:p w14:paraId="7E4E69FD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 xml:space="preserve">Defined as death, migration, or failure to receive any vaccine doses (immunization program or non-immunization program vaccines) at 8-12 months, 12-24 months, or 25-36 months of age; for </w:t>
            </w:r>
            <w:proofErr w:type="spellStart"/>
            <w:r w:rsidRPr="006C2ED4">
              <w:rPr>
                <w:sz w:val="18"/>
                <w:szCs w:val="21"/>
              </w:rPr>
              <w:t>Rotateq</w:t>
            </w:r>
            <w:proofErr w:type="spellEnd"/>
            <w:r w:rsidRPr="006C2ED4">
              <w:rPr>
                <w:sz w:val="18"/>
                <w:szCs w:val="21"/>
              </w:rPr>
              <w:t xml:space="preserve"> recipients, loss to follow-up includes failure to receive any vaccine doses at 8-12 months of age</w:t>
            </w:r>
          </w:p>
        </w:tc>
      </w:tr>
      <w:tr w:rsidR="006C2ED4" w:rsidRPr="006C2ED4" w14:paraId="57419427" w14:textId="77777777" w:rsidTr="006C2ED4">
        <w:trPr>
          <w:trHeight w:val="113"/>
        </w:trPr>
        <w:tc>
          <w:tcPr>
            <w:tcW w:w="1791" w:type="pct"/>
            <w:hideMark/>
          </w:tcPr>
          <w:p w14:paraId="6F5674D1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Data Quality</w:t>
            </w:r>
          </w:p>
        </w:tc>
        <w:tc>
          <w:tcPr>
            <w:tcW w:w="3209" w:type="pct"/>
            <w:hideMark/>
          </w:tcPr>
          <w:p w14:paraId="62CC6B69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High-quality databases from Ningbo, Tianjin, Chongqing, and Jiangsu evaluated for suitability and confirmed by expert review</w:t>
            </w:r>
          </w:p>
        </w:tc>
      </w:tr>
      <w:tr w:rsidR="006C2ED4" w:rsidRPr="006C2ED4" w14:paraId="458FB8DF" w14:textId="77777777" w:rsidTr="006C2ED4">
        <w:trPr>
          <w:trHeight w:val="113"/>
        </w:trPr>
        <w:tc>
          <w:tcPr>
            <w:tcW w:w="1791" w:type="pct"/>
            <w:hideMark/>
          </w:tcPr>
          <w:p w14:paraId="09DD836C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Resident Records</w:t>
            </w:r>
          </w:p>
        </w:tc>
        <w:tc>
          <w:tcPr>
            <w:tcW w:w="3209" w:type="pct"/>
            <w:hideMark/>
          </w:tcPr>
          <w:p w14:paraId="12078541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National Basic Public Health Services resident health records including personal basic information, resident health record information cards, general population visit information, key management population information</w:t>
            </w:r>
          </w:p>
        </w:tc>
      </w:tr>
      <w:tr w:rsidR="006C2ED4" w:rsidRPr="006C2ED4" w14:paraId="78E8751B" w14:textId="77777777" w:rsidTr="006C2ED4">
        <w:trPr>
          <w:trHeight w:val="113"/>
        </w:trPr>
        <w:tc>
          <w:tcPr>
            <w:tcW w:w="1791" w:type="pct"/>
            <w:hideMark/>
          </w:tcPr>
          <w:p w14:paraId="35B42DEF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Maternal and Child Health</w:t>
            </w:r>
          </w:p>
        </w:tc>
        <w:tc>
          <w:tcPr>
            <w:tcW w:w="3209" w:type="pct"/>
            <w:hideMark/>
          </w:tcPr>
          <w:p w14:paraId="5C530B61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Integrated multiple maternal and child health services, digital storage and information sharing for comprehensive health service supervision</w:t>
            </w:r>
          </w:p>
        </w:tc>
      </w:tr>
      <w:tr w:rsidR="006C2ED4" w:rsidRPr="006C2ED4" w14:paraId="4B8A597E" w14:textId="77777777" w:rsidTr="006C2ED4">
        <w:trPr>
          <w:trHeight w:val="113"/>
        </w:trPr>
        <w:tc>
          <w:tcPr>
            <w:tcW w:w="1791" w:type="pct"/>
            <w:hideMark/>
          </w:tcPr>
          <w:p w14:paraId="08E18A18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Electronic Medical Records</w:t>
            </w:r>
          </w:p>
        </w:tc>
        <w:tc>
          <w:tcPr>
            <w:tcW w:w="3209" w:type="pct"/>
            <w:hideMark/>
          </w:tcPr>
          <w:p w14:paraId="4F7B62CE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 xml:space="preserve">Basic inclusion of all public hospitals and/or large non-public hospitals, collected historical and new data from platform hospitals including outpatient, emergency, inpatient, discharge diagnosis, laboratory tests, </w:t>
            </w:r>
            <w:r w:rsidRPr="006C2ED4">
              <w:rPr>
                <w:sz w:val="18"/>
                <w:szCs w:val="21"/>
              </w:rPr>
              <w:lastRenderedPageBreak/>
              <w:t>medical examinations, prescriptions, and surgery records</w:t>
            </w:r>
          </w:p>
        </w:tc>
      </w:tr>
      <w:tr w:rsidR="006C2ED4" w:rsidRPr="006C2ED4" w14:paraId="4D2F836E" w14:textId="77777777" w:rsidTr="006C2ED4">
        <w:trPr>
          <w:trHeight w:val="113"/>
        </w:trPr>
        <w:tc>
          <w:tcPr>
            <w:tcW w:w="1791" w:type="pct"/>
            <w:hideMark/>
          </w:tcPr>
          <w:p w14:paraId="15981CC1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lastRenderedPageBreak/>
              <w:t>Mortality Surveillance</w:t>
            </w:r>
          </w:p>
        </w:tc>
        <w:tc>
          <w:tcPr>
            <w:tcW w:w="3209" w:type="pct"/>
            <w:hideMark/>
          </w:tcPr>
          <w:p w14:paraId="0793D3C3" w14:textId="77777777" w:rsidR="006C2ED4" w:rsidRPr="006C2ED4" w:rsidRDefault="006C2ED4" w:rsidP="006C2ED4">
            <w:pPr>
              <w:pStyle w:val="a9"/>
              <w:rPr>
                <w:sz w:val="18"/>
                <w:szCs w:val="21"/>
              </w:rPr>
            </w:pPr>
            <w:r w:rsidRPr="006C2ED4">
              <w:rPr>
                <w:sz w:val="18"/>
                <w:szCs w:val="21"/>
              </w:rPr>
              <w:t>Data from the national mortality registration reporting information system, extracting anonymous IDs, cause of death ICD10 codes, and date of death</w:t>
            </w:r>
          </w:p>
        </w:tc>
      </w:tr>
    </w:tbl>
    <w:p w14:paraId="647AB63B" w14:textId="77777777" w:rsidR="006C2ED4" w:rsidRDefault="006C2ED4" w:rsidP="006C2ED4">
      <w:pPr>
        <w:pStyle w:val="1"/>
      </w:pPr>
    </w:p>
    <w:p w14:paraId="5C05AC33" w14:textId="1114C29D" w:rsidR="003676B3" w:rsidRPr="003676B3" w:rsidRDefault="006C2ED4" w:rsidP="006C2ED4">
      <w:pPr>
        <w:pStyle w:val="1"/>
      </w:pPr>
      <w:r>
        <w:t xml:space="preserve">Supplementary </w:t>
      </w:r>
      <w:r w:rsidR="003676B3" w:rsidRPr="003676B3">
        <w:t xml:space="preserve">Table </w:t>
      </w:r>
      <w:r>
        <w:t>2</w:t>
      </w:r>
      <w:r w:rsidR="003676B3" w:rsidRPr="003676B3">
        <w:t>. Basic characteristics of the study site and key data sources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52"/>
        <w:gridCol w:w="1970"/>
        <w:gridCol w:w="1415"/>
        <w:gridCol w:w="3769"/>
      </w:tblGrid>
      <w:tr w:rsidR="003676B3" w:rsidRPr="003676B3" w14:paraId="0A191E3F" w14:textId="77777777" w:rsidTr="003676B3">
        <w:trPr>
          <w:trHeight w:val="227"/>
          <w:jc w:val="center"/>
        </w:trPr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bookmarkEnd w:id="1"/>
          <w:p w14:paraId="60AC030E" w14:textId="77777777" w:rsidR="003676B3" w:rsidRPr="003676B3" w:rsidRDefault="003676B3" w:rsidP="003676B3">
            <w:pPr>
              <w:pStyle w:val="a9"/>
              <w:rPr>
                <w:b/>
                <w:bCs/>
                <w:sz w:val="18"/>
                <w:szCs w:val="21"/>
              </w:rPr>
            </w:pPr>
            <w:r w:rsidRPr="003676B3">
              <w:rPr>
                <w:b/>
                <w:bCs/>
                <w:sz w:val="18"/>
                <w:szCs w:val="21"/>
              </w:rPr>
              <w:t>Study Site</w:t>
            </w:r>
          </w:p>
        </w:tc>
        <w:tc>
          <w:tcPr>
            <w:tcW w:w="11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FE2AD2" w14:textId="77777777" w:rsidR="003676B3" w:rsidRPr="003676B3" w:rsidRDefault="003676B3" w:rsidP="003676B3">
            <w:pPr>
              <w:pStyle w:val="a9"/>
              <w:rPr>
                <w:b/>
                <w:bCs/>
                <w:sz w:val="18"/>
                <w:szCs w:val="21"/>
              </w:rPr>
            </w:pPr>
            <w:r w:rsidRPr="003676B3">
              <w:rPr>
                <w:b/>
                <w:bCs/>
                <w:sz w:val="18"/>
                <w:szCs w:val="21"/>
              </w:rPr>
              <w:t>Data Source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BD81FF" w14:textId="77777777" w:rsidR="003676B3" w:rsidRPr="003676B3" w:rsidRDefault="003676B3" w:rsidP="003676B3">
            <w:pPr>
              <w:pStyle w:val="a9"/>
              <w:rPr>
                <w:b/>
                <w:bCs/>
                <w:sz w:val="18"/>
                <w:szCs w:val="21"/>
              </w:rPr>
            </w:pPr>
            <w:r w:rsidRPr="003676B3">
              <w:rPr>
                <w:b/>
                <w:bCs/>
                <w:sz w:val="18"/>
                <w:szCs w:val="21"/>
              </w:rPr>
              <w:t>Start Time</w:t>
            </w:r>
          </w:p>
        </w:tc>
        <w:tc>
          <w:tcPr>
            <w:tcW w:w="22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30E6F5" w14:textId="77777777" w:rsidR="003676B3" w:rsidRPr="003676B3" w:rsidRDefault="003676B3" w:rsidP="003676B3">
            <w:pPr>
              <w:pStyle w:val="a9"/>
              <w:rPr>
                <w:b/>
                <w:bCs/>
                <w:sz w:val="18"/>
                <w:szCs w:val="21"/>
              </w:rPr>
            </w:pPr>
            <w:r w:rsidRPr="003676B3">
              <w:rPr>
                <w:b/>
                <w:bCs/>
                <w:sz w:val="18"/>
                <w:szCs w:val="21"/>
              </w:rPr>
              <w:t>Coverage</w:t>
            </w:r>
          </w:p>
        </w:tc>
      </w:tr>
      <w:tr w:rsidR="003676B3" w:rsidRPr="003676B3" w14:paraId="369B47DF" w14:textId="77777777" w:rsidTr="003676B3">
        <w:trPr>
          <w:trHeight w:val="227"/>
          <w:jc w:val="center"/>
        </w:trPr>
        <w:tc>
          <w:tcPr>
            <w:tcW w:w="693" w:type="pct"/>
            <w:hideMark/>
          </w:tcPr>
          <w:p w14:paraId="00AA172E" w14:textId="77777777" w:rsidR="003676B3" w:rsidRPr="003676B3" w:rsidRDefault="003676B3" w:rsidP="003676B3">
            <w:pPr>
              <w:pStyle w:val="a9"/>
              <w:jc w:val="left"/>
              <w:rPr>
                <w:b/>
                <w:bCs/>
                <w:sz w:val="18"/>
                <w:szCs w:val="21"/>
              </w:rPr>
            </w:pPr>
            <w:r w:rsidRPr="003676B3">
              <w:rPr>
                <w:b/>
                <w:bCs/>
                <w:sz w:val="18"/>
                <w:szCs w:val="21"/>
              </w:rPr>
              <w:t>Ningbo</w:t>
            </w:r>
          </w:p>
        </w:tc>
        <w:tc>
          <w:tcPr>
            <w:tcW w:w="1185" w:type="pct"/>
            <w:hideMark/>
          </w:tcPr>
          <w:p w14:paraId="1847ED58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Resident Records</w:t>
            </w:r>
          </w:p>
        </w:tc>
        <w:tc>
          <w:tcPr>
            <w:tcW w:w="852" w:type="pct"/>
            <w:hideMark/>
          </w:tcPr>
          <w:p w14:paraId="1A691433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2010</w:t>
            </w:r>
          </w:p>
        </w:tc>
        <w:tc>
          <w:tcPr>
            <w:tcW w:w="2269" w:type="pct"/>
            <w:hideMark/>
          </w:tcPr>
          <w:p w14:paraId="4C38B597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Permanent residents 87.0%; Permanent children 95%</w:t>
            </w:r>
          </w:p>
        </w:tc>
      </w:tr>
      <w:tr w:rsidR="003676B3" w:rsidRPr="003676B3" w14:paraId="0FC4674D" w14:textId="77777777" w:rsidTr="003676B3">
        <w:trPr>
          <w:trHeight w:val="227"/>
          <w:jc w:val="center"/>
        </w:trPr>
        <w:tc>
          <w:tcPr>
            <w:tcW w:w="693" w:type="pct"/>
          </w:tcPr>
          <w:p w14:paraId="7E210848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</w:p>
        </w:tc>
        <w:tc>
          <w:tcPr>
            <w:tcW w:w="1185" w:type="pct"/>
          </w:tcPr>
          <w:p w14:paraId="54479CEE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Maternal and Child Health</w:t>
            </w:r>
          </w:p>
        </w:tc>
        <w:tc>
          <w:tcPr>
            <w:tcW w:w="852" w:type="pct"/>
          </w:tcPr>
          <w:p w14:paraId="5A5C2A28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2015</w:t>
            </w:r>
          </w:p>
        </w:tc>
        <w:tc>
          <w:tcPr>
            <w:tcW w:w="2269" w:type="pct"/>
          </w:tcPr>
          <w:p w14:paraId="1CCA1640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Covers 28 tertiary hospitals, 14 secondary hospitals</w:t>
            </w:r>
          </w:p>
        </w:tc>
      </w:tr>
      <w:tr w:rsidR="003676B3" w:rsidRPr="003676B3" w14:paraId="5E15D1B4" w14:textId="77777777" w:rsidTr="003676B3">
        <w:trPr>
          <w:trHeight w:val="227"/>
          <w:jc w:val="center"/>
        </w:trPr>
        <w:tc>
          <w:tcPr>
            <w:tcW w:w="693" w:type="pct"/>
          </w:tcPr>
          <w:p w14:paraId="7CBBA479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</w:p>
        </w:tc>
        <w:tc>
          <w:tcPr>
            <w:tcW w:w="1185" w:type="pct"/>
            <w:hideMark/>
          </w:tcPr>
          <w:p w14:paraId="45A1BC4E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Immunization Planning</w:t>
            </w:r>
          </w:p>
        </w:tc>
        <w:tc>
          <w:tcPr>
            <w:tcW w:w="852" w:type="pct"/>
            <w:hideMark/>
          </w:tcPr>
          <w:p w14:paraId="6D70A2F8" w14:textId="0BBA7CE3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Children 2005; Adults 2017</w:t>
            </w:r>
          </w:p>
        </w:tc>
        <w:tc>
          <w:tcPr>
            <w:tcW w:w="2269" w:type="pct"/>
            <w:hideMark/>
          </w:tcPr>
          <w:p w14:paraId="1528ECEC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167 vaccination clinics, coverage rate 100%</w:t>
            </w:r>
          </w:p>
        </w:tc>
      </w:tr>
      <w:tr w:rsidR="003676B3" w:rsidRPr="003676B3" w14:paraId="22EA4663" w14:textId="77777777" w:rsidTr="003676B3">
        <w:trPr>
          <w:trHeight w:val="227"/>
          <w:jc w:val="center"/>
        </w:trPr>
        <w:tc>
          <w:tcPr>
            <w:tcW w:w="693" w:type="pct"/>
          </w:tcPr>
          <w:p w14:paraId="061ADA89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</w:p>
        </w:tc>
        <w:tc>
          <w:tcPr>
            <w:tcW w:w="1185" w:type="pct"/>
            <w:hideMark/>
          </w:tcPr>
          <w:p w14:paraId="4F3E5BB6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Electronic Medical Records</w:t>
            </w:r>
          </w:p>
        </w:tc>
        <w:tc>
          <w:tcPr>
            <w:tcW w:w="852" w:type="pct"/>
            <w:hideMark/>
          </w:tcPr>
          <w:p w14:paraId="265139D3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2015</w:t>
            </w:r>
          </w:p>
        </w:tc>
        <w:tc>
          <w:tcPr>
            <w:tcW w:w="2269" w:type="pct"/>
            <w:hideMark/>
          </w:tcPr>
          <w:p w14:paraId="15240BED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25 tertiary hospitals, coverage rate 100%; 74 secondary hospitals, coverage rate 100%; 161 other hospitals, coverage 96.89%</w:t>
            </w:r>
          </w:p>
        </w:tc>
      </w:tr>
      <w:tr w:rsidR="003676B3" w:rsidRPr="003676B3" w14:paraId="4777945A" w14:textId="77777777" w:rsidTr="003676B3">
        <w:trPr>
          <w:trHeight w:val="227"/>
          <w:jc w:val="center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</w:tcPr>
          <w:p w14:paraId="109AFBCA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BA3439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Mortality Surveillance</w:t>
            </w:r>
          </w:p>
        </w:tc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723F42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2010</w:t>
            </w:r>
          </w:p>
        </w:tc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F18492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All permanent residents</w:t>
            </w:r>
          </w:p>
        </w:tc>
      </w:tr>
      <w:tr w:rsidR="003676B3" w:rsidRPr="003676B3" w14:paraId="4C1B926D" w14:textId="77777777" w:rsidTr="003676B3">
        <w:trPr>
          <w:trHeight w:val="227"/>
          <w:jc w:val="center"/>
        </w:trPr>
        <w:tc>
          <w:tcPr>
            <w:tcW w:w="693" w:type="pct"/>
            <w:hideMark/>
          </w:tcPr>
          <w:p w14:paraId="51832D31" w14:textId="77777777" w:rsidR="003676B3" w:rsidRPr="003676B3" w:rsidRDefault="003676B3" w:rsidP="003676B3">
            <w:pPr>
              <w:pStyle w:val="a9"/>
              <w:jc w:val="left"/>
              <w:rPr>
                <w:b/>
                <w:bCs/>
                <w:sz w:val="18"/>
                <w:szCs w:val="21"/>
              </w:rPr>
            </w:pPr>
            <w:r w:rsidRPr="003676B3">
              <w:rPr>
                <w:b/>
                <w:bCs/>
                <w:sz w:val="18"/>
                <w:szCs w:val="21"/>
              </w:rPr>
              <w:t>Chongqing</w:t>
            </w:r>
          </w:p>
        </w:tc>
        <w:tc>
          <w:tcPr>
            <w:tcW w:w="1185" w:type="pct"/>
            <w:hideMark/>
          </w:tcPr>
          <w:p w14:paraId="30698B3E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Resident Records</w:t>
            </w:r>
          </w:p>
        </w:tc>
        <w:tc>
          <w:tcPr>
            <w:tcW w:w="852" w:type="pct"/>
          </w:tcPr>
          <w:p w14:paraId="5C0F8637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2010</w:t>
            </w:r>
          </w:p>
        </w:tc>
        <w:tc>
          <w:tcPr>
            <w:tcW w:w="2269" w:type="pct"/>
          </w:tcPr>
          <w:p w14:paraId="5A9CCAC3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Permanent residents 75.0%</w:t>
            </w:r>
          </w:p>
        </w:tc>
      </w:tr>
      <w:tr w:rsidR="003676B3" w:rsidRPr="003676B3" w14:paraId="3F5083F3" w14:textId="77777777" w:rsidTr="003676B3">
        <w:trPr>
          <w:trHeight w:val="227"/>
          <w:jc w:val="center"/>
        </w:trPr>
        <w:tc>
          <w:tcPr>
            <w:tcW w:w="693" w:type="pct"/>
          </w:tcPr>
          <w:p w14:paraId="58CD358A" w14:textId="77777777" w:rsidR="003676B3" w:rsidRPr="003676B3" w:rsidRDefault="003676B3" w:rsidP="003676B3">
            <w:pPr>
              <w:pStyle w:val="a9"/>
              <w:jc w:val="left"/>
              <w:rPr>
                <w:b/>
                <w:bCs/>
                <w:sz w:val="18"/>
                <w:szCs w:val="21"/>
              </w:rPr>
            </w:pPr>
          </w:p>
        </w:tc>
        <w:tc>
          <w:tcPr>
            <w:tcW w:w="1185" w:type="pct"/>
          </w:tcPr>
          <w:p w14:paraId="538BD615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Maternal and Child Health</w:t>
            </w:r>
          </w:p>
        </w:tc>
        <w:tc>
          <w:tcPr>
            <w:tcW w:w="852" w:type="pct"/>
          </w:tcPr>
          <w:p w14:paraId="36A0D37F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2000</w:t>
            </w:r>
          </w:p>
        </w:tc>
        <w:tc>
          <w:tcPr>
            <w:tcW w:w="2269" w:type="pct"/>
          </w:tcPr>
          <w:p w14:paraId="52DE903E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4 tertiary hospitals, coverage rate 100%; 29 secondary hospitals, coverage rate 100%; 2022 coverage of pregnant women 96.04%, newborns 98.65%</w:t>
            </w:r>
          </w:p>
        </w:tc>
      </w:tr>
      <w:tr w:rsidR="003676B3" w:rsidRPr="003676B3" w14:paraId="179857A5" w14:textId="77777777" w:rsidTr="003676B3">
        <w:trPr>
          <w:trHeight w:val="227"/>
          <w:jc w:val="center"/>
        </w:trPr>
        <w:tc>
          <w:tcPr>
            <w:tcW w:w="693" w:type="pct"/>
          </w:tcPr>
          <w:p w14:paraId="0EE2CA8F" w14:textId="77777777" w:rsidR="003676B3" w:rsidRPr="003676B3" w:rsidRDefault="003676B3" w:rsidP="003676B3">
            <w:pPr>
              <w:pStyle w:val="a9"/>
              <w:jc w:val="left"/>
              <w:rPr>
                <w:b/>
                <w:bCs/>
                <w:sz w:val="18"/>
                <w:szCs w:val="21"/>
              </w:rPr>
            </w:pPr>
          </w:p>
        </w:tc>
        <w:tc>
          <w:tcPr>
            <w:tcW w:w="1185" w:type="pct"/>
            <w:hideMark/>
          </w:tcPr>
          <w:p w14:paraId="2D819C27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Immunization Planning</w:t>
            </w:r>
          </w:p>
        </w:tc>
        <w:tc>
          <w:tcPr>
            <w:tcW w:w="852" w:type="pct"/>
          </w:tcPr>
          <w:p w14:paraId="60505397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N/A</w:t>
            </w:r>
          </w:p>
        </w:tc>
        <w:tc>
          <w:tcPr>
            <w:tcW w:w="2269" w:type="pct"/>
          </w:tcPr>
          <w:p w14:paraId="04A3B661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2251 vaccination clinics, coverage rate 100%</w:t>
            </w:r>
          </w:p>
        </w:tc>
      </w:tr>
      <w:tr w:rsidR="003676B3" w:rsidRPr="003676B3" w14:paraId="1F0A7D22" w14:textId="77777777" w:rsidTr="003676B3">
        <w:trPr>
          <w:trHeight w:val="227"/>
          <w:jc w:val="center"/>
        </w:trPr>
        <w:tc>
          <w:tcPr>
            <w:tcW w:w="693" w:type="pct"/>
          </w:tcPr>
          <w:p w14:paraId="4A671574" w14:textId="77777777" w:rsidR="003676B3" w:rsidRPr="003676B3" w:rsidRDefault="003676B3" w:rsidP="003676B3">
            <w:pPr>
              <w:pStyle w:val="a9"/>
              <w:jc w:val="left"/>
              <w:rPr>
                <w:b/>
                <w:bCs/>
                <w:sz w:val="18"/>
                <w:szCs w:val="21"/>
              </w:rPr>
            </w:pPr>
          </w:p>
        </w:tc>
        <w:tc>
          <w:tcPr>
            <w:tcW w:w="1185" w:type="pct"/>
            <w:hideMark/>
          </w:tcPr>
          <w:p w14:paraId="6FAEEC0A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Electronic Medical Records</w:t>
            </w:r>
          </w:p>
        </w:tc>
        <w:tc>
          <w:tcPr>
            <w:tcW w:w="852" w:type="pct"/>
          </w:tcPr>
          <w:p w14:paraId="24A220DD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2018</w:t>
            </w:r>
          </w:p>
        </w:tc>
        <w:tc>
          <w:tcPr>
            <w:tcW w:w="2269" w:type="pct"/>
          </w:tcPr>
          <w:p w14:paraId="7AD3810B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46 tertiary hospitals, coverage rate 70.8%; 155 secondary hospitals, coverage rate 58.1%</w:t>
            </w:r>
          </w:p>
        </w:tc>
      </w:tr>
      <w:tr w:rsidR="003676B3" w:rsidRPr="003676B3" w14:paraId="73911630" w14:textId="77777777" w:rsidTr="003676B3">
        <w:trPr>
          <w:trHeight w:val="227"/>
          <w:jc w:val="center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</w:tcPr>
          <w:p w14:paraId="706F37D2" w14:textId="77777777" w:rsidR="003676B3" w:rsidRPr="003676B3" w:rsidRDefault="003676B3" w:rsidP="003676B3">
            <w:pPr>
              <w:pStyle w:val="a9"/>
              <w:jc w:val="left"/>
              <w:rPr>
                <w:b/>
                <w:bCs/>
                <w:sz w:val="18"/>
                <w:szCs w:val="21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BD7583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Mortality Surveillance</w:t>
            </w:r>
          </w:p>
        </w:tc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</w:tcPr>
          <w:p w14:paraId="0052171C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2022</w:t>
            </w:r>
          </w:p>
        </w:tc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</w:tcPr>
          <w:p w14:paraId="684D2BAA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All permanent residents</w:t>
            </w:r>
          </w:p>
        </w:tc>
      </w:tr>
      <w:tr w:rsidR="003676B3" w:rsidRPr="003676B3" w14:paraId="5B5EE442" w14:textId="77777777" w:rsidTr="003676B3">
        <w:trPr>
          <w:trHeight w:val="227"/>
          <w:jc w:val="center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</w:tcPr>
          <w:p w14:paraId="200D1A36" w14:textId="77777777" w:rsidR="003676B3" w:rsidRPr="003676B3" w:rsidRDefault="003676B3" w:rsidP="003676B3">
            <w:pPr>
              <w:pStyle w:val="a9"/>
              <w:jc w:val="left"/>
              <w:rPr>
                <w:b/>
                <w:bCs/>
                <w:sz w:val="18"/>
                <w:szCs w:val="21"/>
              </w:rPr>
            </w:pPr>
            <w:r w:rsidRPr="003676B3">
              <w:rPr>
                <w:b/>
                <w:bCs/>
                <w:sz w:val="18"/>
                <w:szCs w:val="21"/>
              </w:rPr>
              <w:t>Jiangsu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</w:tcPr>
          <w:p w14:paraId="31B35D50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Resident Records</w:t>
            </w:r>
          </w:p>
        </w:tc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</w:tcPr>
          <w:p w14:paraId="490F9BC8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2009</w:t>
            </w:r>
          </w:p>
        </w:tc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</w:tcPr>
          <w:p w14:paraId="76D819B3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Permanent residents 80%</w:t>
            </w:r>
          </w:p>
        </w:tc>
      </w:tr>
      <w:tr w:rsidR="003676B3" w:rsidRPr="003676B3" w14:paraId="09F41C53" w14:textId="77777777" w:rsidTr="003676B3">
        <w:trPr>
          <w:trHeight w:val="227"/>
          <w:jc w:val="center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</w:tcPr>
          <w:p w14:paraId="6267981C" w14:textId="77777777" w:rsidR="003676B3" w:rsidRPr="003676B3" w:rsidRDefault="003676B3" w:rsidP="003676B3">
            <w:pPr>
              <w:pStyle w:val="a9"/>
              <w:jc w:val="left"/>
              <w:rPr>
                <w:b/>
                <w:bCs/>
                <w:sz w:val="18"/>
                <w:szCs w:val="21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</w:tcPr>
          <w:p w14:paraId="3B4345BC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Maternal and Child Health</w:t>
            </w:r>
          </w:p>
        </w:tc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</w:tcPr>
          <w:p w14:paraId="1ED715CA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2007</w:t>
            </w:r>
          </w:p>
        </w:tc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</w:tcPr>
          <w:p w14:paraId="3C6BADB7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Number of institutions: 2843, institution coverage 100%</w:t>
            </w:r>
          </w:p>
        </w:tc>
      </w:tr>
      <w:tr w:rsidR="003676B3" w:rsidRPr="003676B3" w14:paraId="63C50147" w14:textId="77777777" w:rsidTr="003676B3">
        <w:trPr>
          <w:trHeight w:val="227"/>
          <w:jc w:val="center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</w:tcPr>
          <w:p w14:paraId="74EF63A2" w14:textId="77777777" w:rsidR="003676B3" w:rsidRPr="003676B3" w:rsidRDefault="003676B3" w:rsidP="003676B3">
            <w:pPr>
              <w:pStyle w:val="a9"/>
              <w:jc w:val="left"/>
              <w:rPr>
                <w:b/>
                <w:bCs/>
                <w:sz w:val="18"/>
                <w:szCs w:val="21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</w:tcPr>
          <w:p w14:paraId="1ECE22A2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Immunization Planning</w:t>
            </w:r>
          </w:p>
        </w:tc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</w:tcPr>
          <w:p w14:paraId="335D17C1" w14:textId="0C55B88E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Children 2007; Adults 2007</w:t>
            </w:r>
          </w:p>
        </w:tc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</w:tcPr>
          <w:p w14:paraId="1565218E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 xml:space="preserve">Children coverage 100%, number of institutions: 2868; </w:t>
            </w:r>
            <w:proofErr w:type="gramStart"/>
            <w:r w:rsidRPr="003676B3">
              <w:rPr>
                <w:sz w:val="18"/>
                <w:szCs w:val="21"/>
              </w:rPr>
              <w:t>adults</w:t>
            </w:r>
            <w:proofErr w:type="gramEnd"/>
            <w:r w:rsidRPr="003676B3">
              <w:rPr>
                <w:sz w:val="18"/>
                <w:szCs w:val="21"/>
              </w:rPr>
              <w:t xml:space="preserve"> coverage 100%, number of institutions: 27797</w:t>
            </w:r>
          </w:p>
        </w:tc>
      </w:tr>
      <w:tr w:rsidR="003676B3" w:rsidRPr="003676B3" w14:paraId="54E66141" w14:textId="77777777" w:rsidTr="003676B3">
        <w:trPr>
          <w:trHeight w:val="227"/>
          <w:jc w:val="center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</w:tcPr>
          <w:p w14:paraId="17CEDF94" w14:textId="77777777" w:rsidR="003676B3" w:rsidRPr="003676B3" w:rsidRDefault="003676B3" w:rsidP="003676B3">
            <w:pPr>
              <w:pStyle w:val="a9"/>
              <w:jc w:val="left"/>
              <w:rPr>
                <w:b/>
                <w:bCs/>
                <w:sz w:val="18"/>
                <w:szCs w:val="21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</w:tcPr>
          <w:p w14:paraId="766401FC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Electronic Medical Records</w:t>
            </w:r>
          </w:p>
        </w:tc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</w:tcPr>
          <w:p w14:paraId="75AD1CDA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2015</w:t>
            </w:r>
          </w:p>
        </w:tc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</w:tcPr>
          <w:p w14:paraId="0D38BE3A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228 tertiary hospitals (excluding military hospital system, coverage rate 100%); over 100 direct secondary hospitals; covers over 20,000 medical institutions through district and county platforms (coverage rate 100%)</w:t>
            </w:r>
          </w:p>
        </w:tc>
      </w:tr>
      <w:tr w:rsidR="003676B3" w:rsidRPr="003676B3" w14:paraId="128B0038" w14:textId="77777777" w:rsidTr="003676B3">
        <w:trPr>
          <w:trHeight w:val="227"/>
          <w:jc w:val="center"/>
        </w:trPr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2DDE92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C0465A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Mortality Surveillance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57D731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2014.1.2</w:t>
            </w:r>
          </w:p>
        </w:tc>
        <w:tc>
          <w:tcPr>
            <w:tcW w:w="22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E74D3E" w14:textId="77777777" w:rsidR="003676B3" w:rsidRPr="003676B3" w:rsidRDefault="003676B3" w:rsidP="003676B3">
            <w:pPr>
              <w:pStyle w:val="a9"/>
              <w:jc w:val="left"/>
              <w:rPr>
                <w:sz w:val="18"/>
                <w:szCs w:val="21"/>
              </w:rPr>
            </w:pPr>
            <w:r w:rsidRPr="003676B3">
              <w:rPr>
                <w:sz w:val="18"/>
                <w:szCs w:val="21"/>
              </w:rPr>
              <w:t>All permanent residents</w:t>
            </w:r>
          </w:p>
        </w:tc>
      </w:tr>
      <w:bookmarkEnd w:id="0"/>
    </w:tbl>
    <w:p w14:paraId="16F6EAE5" w14:textId="77777777" w:rsidR="001C1C5E" w:rsidRDefault="001C1C5E" w:rsidP="003676B3">
      <w:pPr>
        <w:ind w:firstLineChars="0" w:firstLine="0"/>
      </w:pPr>
    </w:p>
    <w:sectPr w:rsidR="001C1C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5016A"/>
    <w:multiLevelType w:val="multilevel"/>
    <w:tmpl w:val="0409001D"/>
    <w:styleLink w:val="a"/>
    <w:lvl w:ilvl="0">
      <w:start w:val="1"/>
      <w:numFmt w:val="chineseCountingThousand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upperLetter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lowerLetter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upperRoman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lowerRoman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155A528E"/>
    <w:multiLevelType w:val="hybridMultilevel"/>
    <w:tmpl w:val="57C6B106"/>
    <w:lvl w:ilvl="0" w:tplc="B7001FB4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51F2048"/>
    <w:multiLevelType w:val="hybridMultilevel"/>
    <w:tmpl w:val="448C2B02"/>
    <w:lvl w:ilvl="0" w:tplc="564ABE02">
      <w:start w:val="1"/>
      <w:numFmt w:val="decimal"/>
      <w:pStyle w:val="2"/>
      <w:lvlText w:val="%1.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204"/>
    <w:rsid w:val="001C1C5E"/>
    <w:rsid w:val="001F275D"/>
    <w:rsid w:val="003676B3"/>
    <w:rsid w:val="006C2ED4"/>
    <w:rsid w:val="007E2822"/>
    <w:rsid w:val="008F57B1"/>
    <w:rsid w:val="00982DE3"/>
    <w:rsid w:val="009D6204"/>
    <w:rsid w:val="00E5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E2505"/>
  <w15:chartTrackingRefBased/>
  <w15:docId w15:val="{A9DF23DC-1539-46BF-B137-017BB7DC8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Segoe UI"/>
        <w:color w:val="374151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676B3"/>
    <w:pPr>
      <w:widowControl w:val="0"/>
      <w:spacing w:line="480" w:lineRule="auto"/>
      <w:ind w:firstLineChars="200" w:firstLine="200"/>
      <w:jc w:val="both"/>
    </w:pPr>
    <w:rPr>
      <w:rFonts w:cs="Times New Roman"/>
      <w:color w:val="auto"/>
      <w:kern w:val="2"/>
      <w:sz w:val="24"/>
      <w:szCs w:val="22"/>
    </w:rPr>
  </w:style>
  <w:style w:type="paragraph" w:styleId="1">
    <w:name w:val="heading 1"/>
    <w:next w:val="a0"/>
    <w:link w:val="10"/>
    <w:autoRedefine/>
    <w:uiPriority w:val="9"/>
    <w:qFormat/>
    <w:rsid w:val="006C2ED4"/>
    <w:pPr>
      <w:ind w:rightChars="100" w:right="240"/>
      <w:jc w:val="both"/>
      <w:outlineLvl w:val="0"/>
    </w:pPr>
    <w:rPr>
      <w:rFonts w:cs="Times New Roman"/>
      <w:b/>
      <w:color w:val="auto"/>
      <w:kern w:val="44"/>
      <w:sz w:val="24"/>
      <w:szCs w:val="44"/>
    </w:rPr>
  </w:style>
  <w:style w:type="paragraph" w:styleId="2">
    <w:name w:val="heading 2"/>
    <w:basedOn w:val="a0"/>
    <w:next w:val="a0"/>
    <w:link w:val="20"/>
    <w:autoRedefine/>
    <w:uiPriority w:val="9"/>
    <w:unhideWhenUsed/>
    <w:qFormat/>
    <w:rsid w:val="008F57B1"/>
    <w:pPr>
      <w:keepNext/>
      <w:keepLines/>
      <w:numPr>
        <w:numId w:val="11"/>
      </w:numPr>
      <w:ind w:leftChars="100" w:left="100" w:rightChars="100" w:right="240" w:firstLineChars="0" w:firstLine="0"/>
      <w:outlineLvl w:val="1"/>
    </w:pPr>
    <w:rPr>
      <w:rFonts w:asciiTheme="majorHAnsi" w:hAnsiTheme="majorHAnsi" w:cstheme="majorBidi"/>
      <w:b/>
      <w:bCs/>
      <w:szCs w:val="32"/>
    </w:rPr>
  </w:style>
  <w:style w:type="paragraph" w:styleId="3">
    <w:name w:val="heading 3"/>
    <w:basedOn w:val="a0"/>
    <w:next w:val="a0"/>
    <w:link w:val="30"/>
    <w:autoRedefine/>
    <w:uiPriority w:val="9"/>
    <w:unhideWhenUsed/>
    <w:qFormat/>
    <w:rsid w:val="00982DE3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a">
    <w:name w:val="常用"/>
    <w:uiPriority w:val="99"/>
    <w:rsid w:val="007E2822"/>
    <w:pPr>
      <w:numPr>
        <w:numId w:val="1"/>
      </w:numPr>
    </w:pPr>
  </w:style>
  <w:style w:type="character" w:customStyle="1" w:styleId="10">
    <w:name w:val="标题 1 字符"/>
    <w:basedOn w:val="a1"/>
    <w:link w:val="1"/>
    <w:uiPriority w:val="9"/>
    <w:rsid w:val="006C2ED4"/>
    <w:rPr>
      <w:rFonts w:cs="Times New Roman"/>
      <w:b/>
      <w:color w:val="auto"/>
      <w:kern w:val="44"/>
      <w:sz w:val="24"/>
      <w:szCs w:val="44"/>
    </w:rPr>
  </w:style>
  <w:style w:type="character" w:customStyle="1" w:styleId="20">
    <w:name w:val="标题 2 字符"/>
    <w:basedOn w:val="a1"/>
    <w:link w:val="2"/>
    <w:uiPriority w:val="9"/>
    <w:rsid w:val="008F57B1"/>
    <w:rPr>
      <w:rFonts w:asciiTheme="majorHAnsi" w:hAnsiTheme="majorHAnsi" w:cstheme="majorBidi"/>
      <w:b/>
      <w:bCs/>
      <w:color w:val="auto"/>
      <w:kern w:val="2"/>
      <w:sz w:val="24"/>
      <w:szCs w:val="32"/>
    </w:rPr>
  </w:style>
  <w:style w:type="paragraph" w:styleId="a4">
    <w:name w:val="Subtitle"/>
    <w:basedOn w:val="a0"/>
    <w:next w:val="a0"/>
    <w:link w:val="a5"/>
    <w:autoRedefine/>
    <w:uiPriority w:val="11"/>
    <w:qFormat/>
    <w:rsid w:val="001F275D"/>
    <w:pPr>
      <w:spacing w:before="240" w:after="60" w:line="312" w:lineRule="auto"/>
      <w:ind w:firstLine="420"/>
      <w:jc w:val="center"/>
      <w:outlineLvl w:val="1"/>
    </w:pPr>
    <w:rPr>
      <w:rFonts w:asciiTheme="minorHAnsi" w:hAnsiTheme="minorHAnsi" w:cstheme="minorBidi"/>
      <w:kern w:val="28"/>
      <w:szCs w:val="32"/>
    </w:rPr>
  </w:style>
  <w:style w:type="character" w:customStyle="1" w:styleId="a5">
    <w:name w:val="副标题 字符"/>
    <w:basedOn w:val="a1"/>
    <w:link w:val="a4"/>
    <w:uiPriority w:val="11"/>
    <w:rsid w:val="001F275D"/>
    <w:rPr>
      <w:rFonts w:asciiTheme="minorHAnsi" w:hAnsiTheme="minorHAnsi" w:cstheme="minorBidi"/>
      <w:color w:val="auto"/>
      <w:kern w:val="28"/>
      <w:sz w:val="24"/>
      <w:szCs w:val="32"/>
    </w:rPr>
  </w:style>
  <w:style w:type="paragraph" w:styleId="a6">
    <w:name w:val="Title"/>
    <w:basedOn w:val="a0"/>
    <w:next w:val="a0"/>
    <w:link w:val="a7"/>
    <w:autoRedefine/>
    <w:uiPriority w:val="10"/>
    <w:qFormat/>
    <w:rsid w:val="001F275D"/>
    <w:pPr>
      <w:spacing w:before="240" w:after="60"/>
      <w:ind w:firstLine="720"/>
      <w:jc w:val="center"/>
      <w:outlineLvl w:val="0"/>
    </w:pPr>
    <w:rPr>
      <w:rFonts w:asciiTheme="majorHAnsi" w:hAnsiTheme="majorHAnsi" w:cstheme="majorBidi"/>
      <w:b/>
      <w:bCs/>
      <w:sz w:val="28"/>
      <w:szCs w:val="32"/>
    </w:rPr>
  </w:style>
  <w:style w:type="character" w:customStyle="1" w:styleId="a7">
    <w:name w:val="标题 字符"/>
    <w:basedOn w:val="a1"/>
    <w:link w:val="a6"/>
    <w:uiPriority w:val="10"/>
    <w:rsid w:val="001F275D"/>
    <w:rPr>
      <w:rFonts w:asciiTheme="majorHAnsi" w:hAnsiTheme="majorHAnsi" w:cstheme="majorBidi"/>
      <w:b/>
      <w:bCs/>
      <w:color w:val="auto"/>
      <w:kern w:val="2"/>
      <w:sz w:val="28"/>
      <w:szCs w:val="32"/>
    </w:rPr>
  </w:style>
  <w:style w:type="character" w:customStyle="1" w:styleId="30">
    <w:name w:val="标题 3 字符"/>
    <w:basedOn w:val="a1"/>
    <w:link w:val="3"/>
    <w:uiPriority w:val="9"/>
    <w:rsid w:val="00982DE3"/>
    <w:rPr>
      <w:rFonts w:ascii="Arial" w:eastAsia="微软雅黑 Light" w:hAnsi="Arial" w:cs="Times New Roman"/>
      <w:b/>
      <w:bCs/>
      <w:color w:val="auto"/>
      <w:kern w:val="2"/>
      <w:sz w:val="24"/>
      <w:szCs w:val="32"/>
    </w:rPr>
  </w:style>
  <w:style w:type="paragraph" w:customStyle="1" w:styleId="21">
    <w:name w:val="样式2+1"/>
    <w:basedOn w:val="2"/>
    <w:next w:val="a0"/>
    <w:link w:val="210"/>
    <w:autoRedefine/>
    <w:qFormat/>
    <w:rsid w:val="001F275D"/>
  </w:style>
  <w:style w:type="character" w:customStyle="1" w:styleId="210">
    <w:name w:val="样式2+1 字符"/>
    <w:basedOn w:val="20"/>
    <w:link w:val="21"/>
    <w:rsid w:val="001F275D"/>
    <w:rPr>
      <w:rFonts w:asciiTheme="majorHAnsi" w:hAnsiTheme="majorHAnsi" w:cstheme="majorBidi"/>
      <w:b/>
      <w:bCs/>
      <w:color w:val="auto"/>
      <w:kern w:val="2"/>
      <w:sz w:val="24"/>
      <w:szCs w:val="32"/>
    </w:rPr>
  </w:style>
  <w:style w:type="paragraph" w:styleId="a8">
    <w:name w:val="List Paragraph"/>
    <w:basedOn w:val="a0"/>
    <w:uiPriority w:val="34"/>
    <w:qFormat/>
    <w:rsid w:val="003676B3"/>
    <w:pPr>
      <w:ind w:firstLine="420"/>
    </w:pPr>
  </w:style>
  <w:style w:type="paragraph" w:styleId="a9">
    <w:name w:val="No Spacing"/>
    <w:uiPriority w:val="99"/>
    <w:qFormat/>
    <w:rsid w:val="003676B3"/>
    <w:pPr>
      <w:widowControl w:val="0"/>
      <w:jc w:val="both"/>
    </w:pPr>
    <w:rPr>
      <w:rFonts w:cs="Times New Roman"/>
      <w:color w:val="auto"/>
      <w:kern w:val="2"/>
      <w:szCs w:val="24"/>
    </w:rPr>
  </w:style>
  <w:style w:type="table" w:styleId="aa">
    <w:name w:val="Table Grid"/>
    <w:basedOn w:val="a2"/>
    <w:uiPriority w:val="39"/>
    <w:rsid w:val="006C2E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697</Words>
  <Characters>4021</Characters>
  <Application>Microsoft Office Word</Application>
  <DocSecurity>0</DocSecurity>
  <Lines>114</Lines>
  <Paragraphs>21</Paragraphs>
  <ScaleCrop>false</ScaleCrop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玉霖</dc:creator>
  <cp:keywords/>
  <dc:description/>
  <cp:lastModifiedBy>王 玉霖</cp:lastModifiedBy>
  <cp:revision>3</cp:revision>
  <dcterms:created xsi:type="dcterms:W3CDTF">2024-10-08T19:07:00Z</dcterms:created>
  <dcterms:modified xsi:type="dcterms:W3CDTF">2024-10-08T19:21:00Z</dcterms:modified>
</cp:coreProperties>
</file>