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DD0CC5" w14:textId="5DA4A0AF" w:rsidR="008932DA" w:rsidRPr="00451C51" w:rsidRDefault="008932DA" w:rsidP="008932DA">
      <w:pPr>
        <w:pStyle w:val="Heading4"/>
        <w:shd w:val="clear" w:color="auto" w:fill="FFFFFF"/>
        <w:spacing w:before="150" w:beforeAutospacing="0" w:after="150" w:afterAutospacing="0" w:line="480" w:lineRule="auto"/>
        <w:jc w:val="both"/>
        <w:textAlignment w:val="baseline"/>
        <w:rPr>
          <w:sz w:val="32"/>
          <w:szCs w:val="32"/>
        </w:rPr>
      </w:pPr>
      <w:r w:rsidRPr="00451C51">
        <w:rPr>
          <w:sz w:val="32"/>
          <w:szCs w:val="32"/>
        </w:rPr>
        <w:t xml:space="preserve">Supplementary </w:t>
      </w:r>
      <w:r w:rsidR="008F5710" w:rsidRPr="00451C51">
        <w:rPr>
          <w:sz w:val="32"/>
          <w:szCs w:val="32"/>
        </w:rPr>
        <w:t>Text</w:t>
      </w:r>
    </w:p>
    <w:p w14:paraId="00A01A11" w14:textId="50E818C2" w:rsidR="008F5710" w:rsidRPr="00451C51" w:rsidRDefault="00CF6D00" w:rsidP="008932DA">
      <w:pPr>
        <w:pStyle w:val="Heading4"/>
        <w:shd w:val="clear" w:color="auto" w:fill="FFFFFF"/>
        <w:spacing w:before="150" w:beforeAutospacing="0" w:after="150" w:afterAutospacing="0" w:line="480" w:lineRule="auto"/>
        <w:jc w:val="both"/>
        <w:textAlignment w:val="baseline"/>
        <w:rPr>
          <w:sz w:val="28"/>
          <w:szCs w:val="28"/>
        </w:rPr>
      </w:pPr>
      <w:r w:rsidRPr="00451C51">
        <w:rPr>
          <w:sz w:val="28"/>
          <w:szCs w:val="28"/>
        </w:rPr>
        <w:t xml:space="preserve">Supplementary Section A. </w:t>
      </w:r>
      <w:r w:rsidR="008F5710" w:rsidRPr="00451C51">
        <w:rPr>
          <w:sz w:val="28"/>
          <w:szCs w:val="28"/>
        </w:rPr>
        <w:t>Methods</w:t>
      </w:r>
    </w:p>
    <w:p w14:paraId="3CAE377D" w14:textId="7377B1A2" w:rsidR="008932DA" w:rsidRPr="00451C51" w:rsidRDefault="008F5710" w:rsidP="008932DA">
      <w:pPr>
        <w:pStyle w:val="Heading4"/>
        <w:shd w:val="clear" w:color="auto" w:fill="FFFFFF"/>
        <w:spacing w:before="150" w:beforeAutospacing="0" w:after="150" w:afterAutospacing="0" w:line="480" w:lineRule="auto"/>
        <w:jc w:val="both"/>
        <w:textAlignment w:val="baseline"/>
        <w:rPr>
          <w:b w:val="0"/>
          <w:bCs w:val="0"/>
        </w:rPr>
      </w:pPr>
      <w:r w:rsidRPr="00451C51">
        <w:t>Extended m</w:t>
      </w:r>
      <w:r w:rsidR="00CF6D00" w:rsidRPr="00451C51">
        <w:t>ethods.</w:t>
      </w:r>
      <w:r w:rsidRPr="00451C51">
        <w:t xml:space="preserve"> </w:t>
      </w:r>
      <w:r w:rsidR="008932DA" w:rsidRPr="00451C51">
        <w:rPr>
          <w:b w:val="0"/>
          <w:bCs w:val="0"/>
        </w:rPr>
        <w:t xml:space="preserve">To introduce </w:t>
      </w:r>
      <w:r w:rsidR="00CF6D00" w:rsidRPr="00451C51">
        <w:rPr>
          <w:b w:val="0"/>
          <w:bCs w:val="0"/>
        </w:rPr>
        <w:t xml:space="preserve">the details of </w:t>
      </w:r>
      <w:r w:rsidR="008932DA" w:rsidRPr="00451C51">
        <w:rPr>
          <w:b w:val="0"/>
          <w:bCs w:val="0"/>
        </w:rPr>
        <w:t xml:space="preserve">ARCHIE, first we briefly describe </w:t>
      </w:r>
      <w:r w:rsidR="00CF6D00" w:rsidRPr="00451C51">
        <w:rPr>
          <w:b w:val="0"/>
          <w:bCs w:val="0"/>
        </w:rPr>
        <w:t xml:space="preserve">standard </w:t>
      </w:r>
      <w:r w:rsidR="008932DA" w:rsidRPr="00451C51">
        <w:rPr>
          <w:b w:val="0"/>
          <w:bCs w:val="0"/>
        </w:rPr>
        <w:t xml:space="preserve">canonical correlation (CC) analysis. For </w:t>
      </w:r>
      <w:r w:rsidR="008932DA" w:rsidRPr="00451C51">
        <w:rPr>
          <w:b w:val="0"/>
          <w:bCs w:val="0"/>
          <w:i/>
          <w:iCs/>
        </w:rPr>
        <w:t>n</w:t>
      </w:r>
      <w:r w:rsidR="008932DA" w:rsidRPr="00451C51">
        <w:rPr>
          <w:b w:val="0"/>
          <w:bCs w:val="0"/>
        </w:rPr>
        <w:t xml:space="preserve"> individuals, let </w:t>
      </w:r>
      <m:oMath>
        <m:sSup>
          <m:sSupPr>
            <m:ctrlPr>
              <w:rPr>
                <w:rFonts w:ascii="Cambria Math" w:hAnsi="Cambria Math"/>
                <w:b w:val="0"/>
                <w:bCs w:val="0"/>
                <w:i/>
              </w:rPr>
            </m:ctrlPr>
          </m:sSupPr>
          <m:e>
            <m:r>
              <m:rPr>
                <m:sty m:val="bi"/>
              </m:rPr>
              <w:rPr>
                <w:rFonts w:ascii="Cambria Math" w:hAnsi="Cambria Math"/>
              </w:rPr>
              <m:t>G</m:t>
            </m:r>
          </m:e>
          <m:sup>
            <m:r>
              <m:rPr>
                <m:sty m:val="bi"/>
              </m:rPr>
              <w:rPr>
                <w:rFonts w:ascii="Cambria Math" w:hAnsi="Cambria Math"/>
              </w:rPr>
              <m:t>n×p</m:t>
            </m:r>
          </m:sup>
        </m:sSup>
      </m:oMath>
      <w:r w:rsidR="008932DA" w:rsidRPr="00451C51">
        <w:rPr>
          <w:b w:val="0"/>
          <w:bCs w:val="0"/>
        </w:rPr>
        <w:t xml:space="preserve"> be the </w:t>
      </w:r>
      <w:r w:rsidR="00577F3A">
        <w:rPr>
          <w:b w:val="0"/>
          <w:bCs w:val="0"/>
        </w:rPr>
        <w:t xml:space="preserve">normalized </w:t>
      </w:r>
      <w:r w:rsidR="008932DA" w:rsidRPr="00451C51">
        <w:rPr>
          <w:b w:val="0"/>
          <w:bCs w:val="0"/>
        </w:rPr>
        <w:t xml:space="preserve">genotype matrix for </w:t>
      </w:r>
      <w:r w:rsidR="008932DA" w:rsidRPr="00451C51">
        <w:rPr>
          <w:b w:val="0"/>
          <w:bCs w:val="0"/>
          <w:i/>
          <w:iCs/>
        </w:rPr>
        <w:t>p</w:t>
      </w:r>
      <w:r w:rsidR="008932DA" w:rsidRPr="00451C51">
        <w:rPr>
          <w:b w:val="0"/>
          <w:bCs w:val="0"/>
        </w:rPr>
        <w:t xml:space="preserve"> variants and </w:t>
      </w:r>
      <m:oMath>
        <m:sSup>
          <m:sSupPr>
            <m:ctrlPr>
              <w:rPr>
                <w:rFonts w:ascii="Cambria Math" w:hAnsi="Cambria Math"/>
                <w:b w:val="0"/>
                <w:bCs w:val="0"/>
                <w:i/>
              </w:rPr>
            </m:ctrlPr>
          </m:sSupPr>
          <m:e>
            <m:r>
              <m:rPr>
                <m:sty m:val="bi"/>
              </m:rPr>
              <w:rPr>
                <w:rFonts w:ascii="Cambria Math" w:hAnsi="Cambria Math"/>
              </w:rPr>
              <m:t>E</m:t>
            </m:r>
          </m:e>
          <m:sup>
            <m:r>
              <m:rPr>
                <m:sty m:val="bi"/>
              </m:rPr>
              <w:rPr>
                <w:rFonts w:ascii="Cambria Math" w:hAnsi="Cambria Math"/>
              </w:rPr>
              <m:t>n×g</m:t>
            </m:r>
          </m:sup>
        </m:sSup>
      </m:oMath>
      <w:r w:rsidR="008932DA" w:rsidRPr="00451C51">
        <w:rPr>
          <w:b w:val="0"/>
          <w:bCs w:val="0"/>
        </w:rPr>
        <w:t xml:space="preserve"> be the </w:t>
      </w:r>
      <w:r w:rsidR="00577F3A">
        <w:rPr>
          <w:b w:val="0"/>
          <w:bCs w:val="0"/>
        </w:rPr>
        <w:t xml:space="preserve">normalized </w:t>
      </w:r>
      <w:r w:rsidR="008932DA" w:rsidRPr="00451C51">
        <w:rPr>
          <w:b w:val="0"/>
          <w:bCs w:val="0"/>
        </w:rPr>
        <w:t xml:space="preserve">gene-expression matrix for </w:t>
      </w:r>
      <w:r w:rsidR="008932DA" w:rsidRPr="00451C51">
        <w:rPr>
          <w:b w:val="0"/>
          <w:bCs w:val="0"/>
          <w:i/>
          <w:iCs/>
        </w:rPr>
        <w:t>g</w:t>
      </w:r>
      <w:r w:rsidR="008932DA" w:rsidRPr="00451C51">
        <w:rPr>
          <w:b w:val="0"/>
          <w:bCs w:val="0"/>
        </w:rPr>
        <w:t xml:space="preserve"> genes all of which are distant (</w:t>
      </w:r>
      <w:r w:rsidR="008932DA" w:rsidRPr="00451C51">
        <w:rPr>
          <w:b w:val="0"/>
          <w:bCs w:val="0"/>
          <w:i/>
        </w:rPr>
        <w:t>trans</w:t>
      </w:r>
      <w:r w:rsidR="008932DA" w:rsidRPr="00451C51">
        <w:rPr>
          <w:b w:val="0"/>
          <w:bCs w:val="0"/>
        </w:rPr>
        <w:t>) to the variants. The classical CC analysis seeks to find linear combinations of variants (</w:t>
      </w:r>
      <m:oMath>
        <m:sSup>
          <m:sSupPr>
            <m:ctrlPr>
              <w:rPr>
                <w:rFonts w:ascii="Cambria Math" w:hAnsi="Cambria Math"/>
                <w:b w:val="0"/>
                <w:bCs w:val="0"/>
                <w:i/>
              </w:rPr>
            </m:ctrlPr>
          </m:sSupPr>
          <m:e>
            <m:r>
              <m:rPr>
                <m:sty m:val="bi"/>
              </m:rPr>
              <w:rPr>
                <w:rFonts w:ascii="Cambria Math" w:hAnsi="Cambria Math"/>
              </w:rPr>
              <m:t>u</m:t>
            </m:r>
          </m:e>
          <m:sup>
            <m:r>
              <m:rPr>
                <m:sty m:val="bi"/>
              </m:rPr>
              <w:rPr>
                <w:rFonts w:ascii="Cambria Math" w:hAnsi="Cambria Math"/>
              </w:rPr>
              <m:t>p×1</m:t>
            </m:r>
          </m:sup>
        </m:sSup>
      </m:oMath>
      <w:r w:rsidR="008932DA" w:rsidRPr="00451C51">
        <w:rPr>
          <w:b w:val="0"/>
          <w:bCs w:val="0"/>
        </w:rPr>
        <w:t>) and genes (</w:t>
      </w:r>
      <m:oMath>
        <m:sSup>
          <m:sSupPr>
            <m:ctrlPr>
              <w:rPr>
                <w:rFonts w:ascii="Cambria Math" w:hAnsi="Cambria Math"/>
                <w:b w:val="0"/>
                <w:bCs w:val="0"/>
                <w:i/>
              </w:rPr>
            </m:ctrlPr>
          </m:sSupPr>
          <m:e>
            <m:r>
              <m:rPr>
                <m:sty m:val="bi"/>
              </m:rPr>
              <w:rPr>
                <w:rFonts w:ascii="Cambria Math" w:hAnsi="Cambria Math"/>
              </w:rPr>
              <m:t>v</m:t>
            </m:r>
          </m:e>
          <m:sup>
            <m:r>
              <m:rPr>
                <m:sty m:val="bi"/>
              </m:rPr>
              <w:rPr>
                <w:rFonts w:ascii="Cambria Math" w:hAnsi="Cambria Math"/>
              </w:rPr>
              <m:t>g×1</m:t>
            </m:r>
          </m:sup>
        </m:sSup>
      </m:oMath>
      <w:r w:rsidR="008932DA" w:rsidRPr="00451C51">
        <w:rPr>
          <w:b w:val="0"/>
          <w:bCs w:val="0"/>
        </w:rPr>
        <w:t xml:space="preserve">) such that the correlation between </w:t>
      </w:r>
      <m:oMath>
        <m:r>
          <m:rPr>
            <m:sty m:val="bi"/>
          </m:rPr>
          <w:rPr>
            <w:rFonts w:ascii="Cambria Math" w:hAnsi="Cambria Math"/>
          </w:rPr>
          <m:t>Gu</m:t>
        </m:r>
      </m:oMath>
      <w:r w:rsidR="008932DA" w:rsidRPr="00451C51">
        <w:rPr>
          <w:b w:val="0"/>
          <w:bCs w:val="0"/>
        </w:rPr>
        <w:t xml:space="preserve"> and </w:t>
      </w:r>
      <m:oMath>
        <m:r>
          <m:rPr>
            <m:sty m:val="bi"/>
          </m:rPr>
          <w:rPr>
            <w:rFonts w:ascii="Cambria Math" w:hAnsi="Cambria Math"/>
          </w:rPr>
          <m:t>Ev</m:t>
        </m:r>
      </m:oMath>
      <w:r w:rsidR="008932DA" w:rsidRPr="00451C51">
        <w:rPr>
          <w:b w:val="0"/>
          <w:bCs w:val="0"/>
        </w:rPr>
        <w:t xml:space="preserve"> is maximized i.e.,</w:t>
      </w:r>
    </w:p>
    <w:p w14:paraId="029390ED" w14:textId="77777777" w:rsidR="008932DA" w:rsidRPr="00451C51" w:rsidRDefault="001F7575" w:rsidP="008932DA">
      <w:pPr>
        <w:pStyle w:val="Heading4"/>
        <w:shd w:val="clear" w:color="auto" w:fill="FFFFFF"/>
        <w:spacing w:before="150" w:beforeAutospacing="0" w:after="150" w:afterAutospacing="0" w:line="480" w:lineRule="auto"/>
        <w:jc w:val="center"/>
        <w:textAlignment w:val="baseline"/>
        <w:rPr>
          <w:b w:val="0"/>
          <w:bCs w:val="0"/>
        </w:rPr>
      </w:pPr>
      <m:oMath>
        <m:d>
          <m:dPr>
            <m:ctrlPr>
              <w:rPr>
                <w:rFonts w:ascii="Cambria Math" w:hAnsi="Cambria Math"/>
                <w:b w:val="0"/>
                <w:bCs w:val="0"/>
                <w:i/>
              </w:rPr>
            </m:ctrlPr>
          </m:dPr>
          <m:e>
            <m:r>
              <m:rPr>
                <m:sty m:val="bi"/>
              </m:rPr>
              <w:rPr>
                <w:rFonts w:ascii="Cambria Math" w:hAnsi="Cambria Math"/>
              </w:rPr>
              <m:t>u,v</m:t>
            </m:r>
          </m:e>
        </m:d>
        <m:r>
          <m:rPr>
            <m:sty m:val="bi"/>
          </m:rPr>
          <w:rPr>
            <w:rFonts w:ascii="Cambria Math" w:hAnsi="Cambria Math"/>
          </w:rPr>
          <m:t xml:space="preserve">= </m:t>
        </m:r>
        <m:sSub>
          <m:sSubPr>
            <m:ctrlPr>
              <w:rPr>
                <w:rFonts w:ascii="Cambria Math" w:hAnsi="Cambria Math"/>
                <w:b w:val="0"/>
                <w:bCs w:val="0"/>
                <w:i/>
              </w:rPr>
            </m:ctrlPr>
          </m:sSubPr>
          <m:e>
            <m:r>
              <m:rPr>
                <m:sty m:val="bi"/>
              </m:rPr>
              <w:rPr>
                <w:rFonts w:ascii="Cambria Math" w:hAnsi="Cambria Math"/>
              </w:rPr>
              <m:t>argmax</m:t>
            </m:r>
          </m:e>
          <m:sub>
            <m:r>
              <m:rPr>
                <m:sty m:val="bi"/>
              </m:rPr>
              <w:rPr>
                <w:rFonts w:ascii="Cambria Math" w:hAnsi="Cambria Math"/>
              </w:rPr>
              <m:t xml:space="preserve"> </m:t>
            </m:r>
          </m:sub>
        </m:sSub>
        <m:sSup>
          <m:sSupPr>
            <m:ctrlPr>
              <w:rPr>
                <w:rFonts w:ascii="Cambria Math" w:hAnsi="Cambria Math"/>
                <w:b w:val="0"/>
                <w:bCs w:val="0"/>
                <w:i/>
              </w:rPr>
            </m:ctrlPr>
          </m:sSupPr>
          <m:e>
            <m:acc>
              <m:accPr>
                <m:chr m:val="̃"/>
                <m:ctrlPr>
                  <w:rPr>
                    <w:rFonts w:ascii="Cambria Math" w:hAnsi="Cambria Math"/>
                    <w:b w:val="0"/>
                    <w:bCs w:val="0"/>
                    <w:i/>
                  </w:rPr>
                </m:ctrlPr>
              </m:accPr>
              <m:e>
                <m:r>
                  <m:rPr>
                    <m:sty m:val="bi"/>
                  </m:rPr>
                  <w:rPr>
                    <w:rFonts w:ascii="Cambria Math" w:hAnsi="Cambria Math"/>
                  </w:rPr>
                  <m:t>v</m:t>
                </m:r>
              </m:e>
            </m:acc>
          </m:e>
          <m:sup>
            <m:r>
              <m:rPr>
                <m:sty m:val="bi"/>
              </m:rPr>
              <w:rPr>
                <w:rFonts w:ascii="Cambria Math" w:hAnsi="Cambria Math"/>
              </w:rPr>
              <m:t>T</m:t>
            </m:r>
          </m:sup>
        </m:sSup>
        <m:sSup>
          <m:sSupPr>
            <m:ctrlPr>
              <w:rPr>
                <w:rFonts w:ascii="Cambria Math" w:hAnsi="Cambria Math"/>
                <w:b w:val="0"/>
                <w:bCs w:val="0"/>
                <w:i/>
              </w:rPr>
            </m:ctrlPr>
          </m:sSupPr>
          <m:e>
            <m:r>
              <m:rPr>
                <m:sty m:val="bi"/>
              </m:rPr>
              <w:rPr>
                <w:rFonts w:ascii="Cambria Math" w:hAnsi="Cambria Math"/>
              </w:rPr>
              <m:t>E</m:t>
            </m:r>
          </m:e>
          <m:sup>
            <m:r>
              <m:rPr>
                <m:sty m:val="bi"/>
              </m:rPr>
              <w:rPr>
                <w:rFonts w:ascii="Cambria Math" w:hAnsi="Cambria Math"/>
              </w:rPr>
              <m:t>T</m:t>
            </m:r>
          </m:sup>
        </m:sSup>
        <m:r>
          <m:rPr>
            <m:sty m:val="bi"/>
          </m:rPr>
          <w:rPr>
            <w:rFonts w:ascii="Cambria Math" w:hAnsi="Cambria Math"/>
          </w:rPr>
          <m:t>G</m:t>
        </m:r>
        <m:acc>
          <m:accPr>
            <m:chr m:val="̃"/>
            <m:ctrlPr>
              <w:rPr>
                <w:rFonts w:ascii="Cambria Math" w:hAnsi="Cambria Math"/>
                <w:b w:val="0"/>
                <w:bCs w:val="0"/>
                <w:i/>
              </w:rPr>
            </m:ctrlPr>
          </m:accPr>
          <m:e>
            <m:r>
              <m:rPr>
                <m:sty m:val="bi"/>
              </m:rPr>
              <w:rPr>
                <w:rFonts w:ascii="Cambria Math" w:hAnsi="Cambria Math"/>
              </w:rPr>
              <m:t>u</m:t>
            </m:r>
          </m:e>
        </m:acc>
      </m:oMath>
      <w:r w:rsidR="008932DA" w:rsidRPr="00451C51">
        <w:rPr>
          <w:b w:val="0"/>
          <w:bCs w:val="0"/>
        </w:rPr>
        <w:t xml:space="preserve"> </w:t>
      </w:r>
    </w:p>
    <w:p w14:paraId="722B97C1" w14:textId="77777777" w:rsidR="008932DA" w:rsidRPr="00451C51" w:rsidRDefault="008932DA" w:rsidP="008932DA">
      <w:pPr>
        <w:pStyle w:val="Heading4"/>
        <w:shd w:val="clear" w:color="auto" w:fill="FFFFFF"/>
        <w:spacing w:before="150" w:beforeAutospacing="0" w:after="150" w:afterAutospacing="0" w:line="480" w:lineRule="auto"/>
        <w:jc w:val="center"/>
        <w:textAlignment w:val="baseline"/>
        <w:rPr>
          <w:b w:val="0"/>
          <w:bCs w:val="0"/>
        </w:rPr>
      </w:pPr>
      <w:r w:rsidRPr="00451C51">
        <w:rPr>
          <w:b w:val="0"/>
          <w:bCs w:val="0"/>
        </w:rPr>
        <w:t xml:space="preserve">with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u</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r w:rsidRPr="00451C51">
        <w:rPr>
          <w:b w:val="0"/>
          <w:bCs w:val="0"/>
        </w:rPr>
        <w:t xml:space="preserve"> and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v</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p>
    <w:p w14:paraId="0D69C825" w14:textId="51E69361"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sz w:val="16"/>
          <w:szCs w:val="16"/>
        </w:rPr>
      </w:pPr>
      <w:r w:rsidRPr="00451C51">
        <w:rPr>
          <w:b w:val="0"/>
          <w:bCs w:val="0"/>
        </w:rPr>
        <w:t xml:space="preserve">where </w:t>
      </w:r>
      <m:oMath>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h</m:t>
            </m:r>
          </m:sub>
        </m:sSub>
        <m:r>
          <m:rPr>
            <m:sty m:val="bi"/>
          </m:rPr>
          <w:rPr>
            <w:rFonts w:ascii="Cambria Math" w:hAnsi="Cambria Math"/>
          </w:rPr>
          <m:t xml:space="preserve"> </m:t>
        </m:r>
      </m:oMath>
      <w:r w:rsidRPr="00451C51">
        <w:rPr>
          <w:b w:val="0"/>
          <w:bCs w:val="0"/>
        </w:rPr>
        <w:t xml:space="preserve">denotes the </w:t>
      </w:r>
      <w:proofErr w:type="spellStart"/>
      <w:r w:rsidRPr="00451C51">
        <w:rPr>
          <w:b w:val="0"/>
          <w:bCs w:val="0"/>
          <w:i/>
          <w:iCs/>
        </w:rPr>
        <w:t>L</w:t>
      </w:r>
      <w:r w:rsidRPr="00451C51">
        <w:rPr>
          <w:b w:val="0"/>
          <w:bCs w:val="0"/>
          <w:i/>
          <w:iCs/>
          <w:vertAlign w:val="subscript"/>
        </w:rPr>
        <w:t>h</w:t>
      </w:r>
      <w:proofErr w:type="spellEnd"/>
      <w:r w:rsidRPr="00451C51">
        <w:rPr>
          <w:b w:val="0"/>
          <w:bCs w:val="0"/>
        </w:rPr>
        <w:t xml:space="preserve"> norm.</w:t>
      </w:r>
      <w:r w:rsidRPr="00451C51">
        <w:t xml:space="preserve"> </w:t>
      </w:r>
      <w:r w:rsidRPr="00451C51">
        <w:rPr>
          <w:b w:val="0"/>
          <w:bCs w:val="0"/>
        </w:rPr>
        <w:t xml:space="preserve">The subsequent pairs of CC components are obtained by similarly maximizing the correlation between </w:t>
      </w:r>
      <m:oMath>
        <m:r>
          <m:rPr>
            <m:sty m:val="bi"/>
          </m:rPr>
          <w:rPr>
            <w:rFonts w:ascii="Cambria Math" w:hAnsi="Cambria Math"/>
          </w:rPr>
          <m:t>Gu</m:t>
        </m:r>
      </m:oMath>
      <w:r w:rsidRPr="00451C51">
        <w:rPr>
          <w:b w:val="0"/>
          <w:bCs w:val="0"/>
        </w:rPr>
        <w:t xml:space="preserve"> and </w:t>
      </w:r>
      <m:oMath>
        <m:r>
          <m:rPr>
            <m:sty m:val="bi"/>
          </m:rPr>
          <w:rPr>
            <w:rFonts w:ascii="Cambria Math" w:hAnsi="Cambria Math"/>
          </w:rPr>
          <m:t>Ev</m:t>
        </m:r>
      </m:oMath>
      <w:r w:rsidRPr="00451C51">
        <w:rPr>
          <w:b w:val="0"/>
          <w:bCs w:val="0"/>
        </w:rPr>
        <w:t xml:space="preserve"> and under the constrain</w:t>
      </w:r>
      <w:r w:rsidR="00577F3A">
        <w:rPr>
          <w:b w:val="0"/>
          <w:bCs w:val="0"/>
        </w:rPr>
        <w:t>t</w:t>
      </w:r>
      <w:r w:rsidRPr="00451C51">
        <w:rPr>
          <w:b w:val="0"/>
          <w:bCs w:val="0"/>
        </w:rPr>
        <w:t xml:space="preserve"> of being uncorrelated or orthogonal to the previous components. In practice, this can be obtained from the summary statistics of standard trans-eQTL mapping. If </w:t>
      </w:r>
      <m:oMath>
        <m:d>
          <m:dPr>
            <m:ctrlPr>
              <w:rPr>
                <w:rFonts w:ascii="Cambria Math" w:hAnsi="Cambria Math"/>
                <w:b w:val="0"/>
                <w:bCs w:val="0"/>
                <w:i/>
              </w:rPr>
            </m:ctrlPr>
          </m:dPr>
          <m:e>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k</m:t>
                </m:r>
              </m:sub>
            </m:sSub>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k</m:t>
                </m:r>
              </m:sub>
            </m:sSub>
          </m:e>
        </m:d>
      </m:oMath>
      <w:r w:rsidRPr="00451C51">
        <w:rPr>
          <w:b w:val="0"/>
          <w:bCs w:val="0"/>
        </w:rPr>
        <w:t xml:space="preserve"> denote the </w:t>
      </w:r>
      <m:oMath>
        <m:sSup>
          <m:sSupPr>
            <m:ctrlPr>
              <w:rPr>
                <w:rFonts w:ascii="Cambria Math" w:hAnsi="Cambria Math"/>
                <w:b w:val="0"/>
                <w:bCs w:val="0"/>
                <w:i/>
              </w:rPr>
            </m:ctrlPr>
          </m:sSupPr>
          <m:e>
            <m:r>
              <m:rPr>
                <m:sty m:val="bi"/>
              </m:rPr>
              <w:rPr>
                <w:rFonts w:ascii="Cambria Math" w:hAnsi="Cambria Math"/>
              </w:rPr>
              <m:t>k</m:t>
            </m:r>
          </m:e>
          <m:sup>
            <m:r>
              <m:rPr>
                <m:sty m:val="bi"/>
              </m:rPr>
              <w:rPr>
                <w:rFonts w:ascii="Cambria Math" w:hAnsi="Cambria Math"/>
              </w:rPr>
              <m:t>th</m:t>
            </m:r>
          </m:sup>
        </m:sSup>
      </m:oMath>
      <w:r w:rsidRPr="00451C51">
        <w:rPr>
          <w:b w:val="0"/>
          <w:bCs w:val="0"/>
        </w:rPr>
        <w:t xml:space="preserve"> pair of CC components, then</w:t>
      </w:r>
    </w:p>
    <w:p w14:paraId="2E2FF5C1" w14:textId="77777777" w:rsidR="008932DA" w:rsidRPr="00451C51" w:rsidRDefault="001F7575" w:rsidP="008932DA">
      <w:pPr>
        <w:pStyle w:val="Heading4"/>
        <w:shd w:val="clear" w:color="auto" w:fill="FFFFFF"/>
        <w:spacing w:before="150" w:beforeAutospacing="0" w:after="150" w:afterAutospacing="0" w:line="480" w:lineRule="auto"/>
        <w:jc w:val="center"/>
        <w:textAlignment w:val="baseline"/>
        <w:rPr>
          <w:b w:val="0"/>
          <w:bCs w:val="0"/>
        </w:rPr>
      </w:pPr>
      <m:oMath>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k</m:t>
            </m:r>
          </m:sub>
        </m:sSub>
        <m:r>
          <m:rPr>
            <m:sty m:val="bi"/>
          </m:rPr>
          <w:rPr>
            <w:rFonts w:ascii="Cambria Math" w:hAnsi="Cambria Math"/>
          </w:rPr>
          <m:t>=</m:t>
        </m:r>
        <m:sSup>
          <m:sSupPr>
            <m:ctrlPr>
              <w:rPr>
                <w:rFonts w:ascii="Cambria Math" w:hAnsi="Cambria Math"/>
                <w:b w:val="0"/>
                <w:bCs w:val="0"/>
                <w:i/>
              </w:rPr>
            </m:ctrlPr>
          </m:sSupPr>
          <m:e>
            <m:r>
              <m:rPr>
                <m:sty m:val="bi"/>
              </m:rPr>
              <w:rPr>
                <w:rFonts w:ascii="Cambria Math" w:hAnsi="Cambria Math"/>
              </w:rPr>
              <m:t>k</m:t>
            </m:r>
          </m:e>
          <m:sup>
            <m:r>
              <m:rPr>
                <m:sty m:val="bi"/>
              </m:rPr>
              <w:rPr>
                <w:rFonts w:ascii="Cambria Math" w:hAnsi="Cambria Math"/>
              </w:rPr>
              <m:t>th</m:t>
            </m:r>
          </m:sup>
        </m:sSup>
      </m:oMath>
      <w:r w:rsidR="008932DA" w:rsidRPr="00451C51">
        <w:rPr>
          <w:b w:val="0"/>
          <w:bCs w:val="0"/>
        </w:rPr>
        <w:t xml:space="preserve"> eigen-vector of </w:t>
      </w:r>
      <m:oMath>
        <m:sSup>
          <m:sSupPr>
            <m:ctrlPr>
              <w:rPr>
                <w:rFonts w:ascii="Cambria Math" w:hAnsi="Cambria Math"/>
                <w:b w:val="0"/>
                <w:bCs w:val="0"/>
                <w:i/>
              </w:rPr>
            </m:ctrlPr>
          </m:sSupPr>
          <m:e>
            <m:r>
              <m:rPr>
                <m:sty m:val="bi"/>
              </m:rPr>
              <w:rPr>
                <w:rFonts w:ascii="Cambria Math" w:hAnsi="Cambria Math"/>
              </w:rPr>
              <m:t>W</m:t>
            </m:r>
          </m:e>
          <m:sup>
            <m:r>
              <m:rPr>
                <m:sty m:val="bi"/>
              </m:rPr>
              <w:rPr>
                <w:rFonts w:ascii="Cambria Math" w:hAnsi="Cambria Math"/>
              </w:rPr>
              <m:t>T</m:t>
            </m:r>
          </m:sup>
        </m:sSup>
        <m:r>
          <m:rPr>
            <m:sty m:val="bi"/>
          </m:rPr>
          <w:rPr>
            <w:rFonts w:ascii="Cambria Math" w:hAnsi="Cambria Math"/>
          </w:rPr>
          <m:t>W</m:t>
        </m:r>
      </m:oMath>
      <w:r w:rsidR="008932DA" w:rsidRPr="00451C51">
        <w:rPr>
          <w:b w:val="0"/>
          <w:bCs w:val="0"/>
        </w:rPr>
        <w:t xml:space="preserve"> </w:t>
      </w:r>
    </w:p>
    <w:p w14:paraId="00F3BD71" w14:textId="6C8535E1"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where </w:t>
      </w:r>
      <m:oMath>
        <m:r>
          <m:rPr>
            <m:sty m:val="bi"/>
          </m:rPr>
          <w:rPr>
            <w:rFonts w:ascii="Cambria Math" w:hAnsi="Cambria Math"/>
          </w:rPr>
          <m:t xml:space="preserve">W= </m:t>
        </m:r>
        <m:sSubSup>
          <m:sSubSupPr>
            <m:ctrlPr>
              <w:rPr>
                <w:rFonts w:ascii="Cambria Math" w:hAnsi="Cambria Math"/>
                <w:b w:val="0"/>
                <w:bCs w:val="0"/>
                <w:i/>
              </w:rPr>
            </m:ctrlPr>
          </m:sSubSupPr>
          <m:e>
            <m:r>
              <m:rPr>
                <m:sty m:val="b"/>
              </m:rPr>
              <w:rPr>
                <w:rFonts w:ascii="Cambria Math" w:hAnsi="Cambria Math"/>
              </w:rPr>
              <m:t>Σ</m:t>
            </m:r>
          </m:e>
          <m:sub>
            <m:r>
              <m:rPr>
                <m:sty m:val="bi"/>
              </m:rPr>
              <w:rPr>
                <w:rFonts w:ascii="Cambria Math" w:hAnsi="Cambria Math"/>
              </w:rPr>
              <m:t>EE</m:t>
            </m:r>
          </m:sub>
          <m:sup>
            <m:r>
              <m:rPr>
                <m:sty m:val="bi"/>
              </m:rPr>
              <w:rPr>
                <w:rFonts w:ascii="Cambria Math" w:hAnsi="Cambria Math"/>
              </w:rPr>
              <m:t>-1/2</m:t>
            </m:r>
          </m:sup>
        </m:sSubSup>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GE</m:t>
            </m:r>
          </m:sub>
        </m:sSub>
        <m:sSubSup>
          <m:sSubSupPr>
            <m:ctrlPr>
              <w:rPr>
                <w:rFonts w:ascii="Cambria Math" w:hAnsi="Cambria Math"/>
                <w:b w:val="0"/>
                <w:bCs w:val="0"/>
                <w:i/>
              </w:rPr>
            </m:ctrlPr>
          </m:sSubSupPr>
          <m:e>
            <m:r>
              <m:rPr>
                <m:sty m:val="b"/>
              </m:rPr>
              <w:rPr>
                <w:rFonts w:ascii="Cambria Math" w:hAnsi="Cambria Math"/>
              </w:rPr>
              <m:t>Σ</m:t>
            </m:r>
          </m:e>
          <m:sub>
            <m:r>
              <m:rPr>
                <m:sty m:val="bi"/>
              </m:rPr>
              <w:rPr>
                <w:rFonts w:ascii="Cambria Math" w:hAnsi="Cambria Math"/>
              </w:rPr>
              <m:t>GG</m:t>
            </m:r>
          </m:sub>
          <m:sup>
            <m:r>
              <m:rPr>
                <m:sty m:val="bi"/>
              </m:rPr>
              <w:rPr>
                <w:rFonts w:ascii="Cambria Math" w:hAnsi="Cambria Math"/>
              </w:rPr>
              <m:t>-1/2</m:t>
            </m:r>
          </m:sup>
        </m:sSubSup>
      </m:oMath>
      <w:r w:rsidRPr="00451C51">
        <w:rPr>
          <w:b w:val="0"/>
          <w:bCs w:val="0"/>
        </w:rPr>
        <w:t xml:space="preserve"> and </w:t>
      </w:r>
      <m:oMath>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k</m:t>
            </m:r>
          </m:sub>
        </m:sSub>
        <m:r>
          <m:rPr>
            <m:sty m:val="bi"/>
          </m:rPr>
          <w:rPr>
            <w:rFonts w:ascii="Cambria Math" w:hAnsi="Cambria Math"/>
          </w:rPr>
          <m:t>=Wu</m:t>
        </m:r>
      </m:oMath>
      <w:r w:rsidRPr="00451C51">
        <w:rPr>
          <w:b w:val="0"/>
          <w:bCs w:val="0"/>
        </w:rPr>
        <w:t xml:space="preserve"> ; </w:t>
      </w:r>
      <m:oMath>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GG</m:t>
            </m:r>
          </m:sub>
        </m:sSub>
      </m:oMath>
      <w:r w:rsidRPr="00451C51">
        <w:rPr>
          <w:b w:val="0"/>
          <w:bCs w:val="0"/>
        </w:rPr>
        <w:t xml:space="preserve"> and </w:t>
      </w:r>
      <m:oMath>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EE</m:t>
            </m:r>
          </m:sub>
        </m:sSub>
      </m:oMath>
      <w:r w:rsidRPr="00451C51">
        <w:rPr>
          <w:b w:val="0"/>
          <w:bCs w:val="0"/>
        </w:rPr>
        <w:t xml:space="preserve"> are the column-correlations of </w:t>
      </w:r>
      <m:oMath>
        <m:r>
          <m:rPr>
            <m:sty m:val="bi"/>
          </m:rPr>
          <w:rPr>
            <w:rFonts w:ascii="Cambria Math" w:hAnsi="Cambria Math"/>
          </w:rPr>
          <m:t>G</m:t>
        </m:r>
      </m:oMath>
      <w:r w:rsidRPr="00451C51">
        <w:rPr>
          <w:b w:val="0"/>
          <w:bCs w:val="0"/>
        </w:rPr>
        <w:t xml:space="preserve"> and </w:t>
      </w:r>
      <m:oMath>
        <m:r>
          <m:rPr>
            <m:sty m:val="bi"/>
          </m:rPr>
          <w:rPr>
            <w:rFonts w:ascii="Cambria Math" w:hAnsi="Cambria Math"/>
          </w:rPr>
          <m:t>E</m:t>
        </m:r>
      </m:oMath>
      <w:r w:rsidRPr="00451C51">
        <w:rPr>
          <w:b w:val="0"/>
          <w:bCs w:val="0"/>
        </w:rPr>
        <w:t xml:space="preserve"> respectively and </w:t>
      </w:r>
      <m:oMath>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GE</m:t>
            </m:r>
          </m:sub>
        </m:sSub>
      </m:oMath>
      <w:r w:rsidRPr="00451C51">
        <w:rPr>
          <w:b w:val="0"/>
          <w:bCs w:val="0"/>
        </w:rPr>
        <w:t xml:space="preserve"> is the cross-covariance matrix between the variants and the gene-expressions. In practice, we approximate </w:t>
      </w:r>
      <m:oMath>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GG</m:t>
            </m:r>
          </m:sub>
        </m:sSub>
      </m:oMath>
      <w:r w:rsidRPr="00451C51">
        <w:rPr>
          <w:b w:val="0"/>
          <w:bCs w:val="0"/>
        </w:rPr>
        <w:t xml:space="preserve"> and </w:t>
      </w:r>
      <m:oMath>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EE</m:t>
            </m:r>
          </m:sub>
        </m:sSub>
      </m:oMath>
      <w:r w:rsidRPr="00451C51">
        <w:rPr>
          <w:b w:val="0"/>
          <w:bCs w:val="0"/>
        </w:rPr>
        <w:t xml:space="preserve"> by the empirical LD-matrix and a penalized co-expression matrix (See next section) using external reference samples and </w:t>
      </w:r>
      <m:oMath>
        <m:sSub>
          <m:sSubPr>
            <m:ctrlPr>
              <w:rPr>
                <w:rFonts w:ascii="Cambria Math" w:eastAsiaTheme="minorHAnsi" w:hAnsi="Cambria Math"/>
                <w:b w:val="0"/>
                <w:bCs w:val="0"/>
                <w:i/>
              </w:rPr>
            </m:ctrlPr>
          </m:sSubPr>
          <m:e>
            <m:r>
              <m:rPr>
                <m:sty m:val="b"/>
              </m:rPr>
              <w:rPr>
                <w:rFonts w:ascii="Cambria Math" w:hAnsi="Cambria Math"/>
              </w:rPr>
              <m:t>Σ</m:t>
            </m:r>
          </m:e>
          <m:sub>
            <m:r>
              <m:rPr>
                <m:sty m:val="bi"/>
              </m:rPr>
              <w:rPr>
                <w:rFonts w:ascii="Cambria Math" w:hAnsi="Cambria Math"/>
              </w:rPr>
              <m:t>GE</m:t>
            </m:r>
          </m:sub>
        </m:sSub>
      </m:oMath>
      <w:r w:rsidRPr="00451C51">
        <w:rPr>
          <w:b w:val="0"/>
          <w:bCs w:val="0"/>
        </w:rPr>
        <w:t xml:space="preserve"> can be obtained from the summary </w:t>
      </w:r>
      <w:r w:rsidR="00577F3A">
        <w:rPr>
          <w:b w:val="0"/>
          <w:bCs w:val="0"/>
        </w:rPr>
        <w:t xml:space="preserve">statistics </w:t>
      </w:r>
      <w:r w:rsidRPr="00451C51">
        <w:rPr>
          <w:b w:val="0"/>
          <w:bCs w:val="0"/>
        </w:rPr>
        <w:t xml:space="preserve">of the regression for trans-eQTL mapping across all pairs of variants </w:t>
      </w:r>
      <w:r w:rsidRPr="00451C51">
        <w:rPr>
          <w:b w:val="0"/>
          <w:bCs w:val="0"/>
        </w:rPr>
        <w:lastRenderedPageBreak/>
        <w:t xml:space="preserve">and gene-expressions. Thus, although the objective function involves the individual data matrices </w:t>
      </w:r>
      <m:oMath>
        <m:r>
          <m:rPr>
            <m:sty m:val="bi"/>
          </m:rPr>
          <w:rPr>
            <w:rFonts w:ascii="Cambria Math" w:hAnsi="Cambria Math"/>
          </w:rPr>
          <m:t>G</m:t>
        </m:r>
      </m:oMath>
      <w:r w:rsidRPr="00451C51">
        <w:rPr>
          <w:b w:val="0"/>
          <w:bCs w:val="0"/>
        </w:rPr>
        <w:t xml:space="preserve"> and </w:t>
      </w:r>
      <m:oMath>
        <m:r>
          <m:rPr>
            <m:sty m:val="bi"/>
          </m:rPr>
          <w:rPr>
            <w:rFonts w:ascii="Cambria Math" w:hAnsi="Cambria Math"/>
          </w:rPr>
          <m:t>E</m:t>
        </m:r>
      </m:oMath>
      <w:r w:rsidRPr="00451C51">
        <w:rPr>
          <w:b w:val="0"/>
          <w:bCs w:val="0"/>
        </w:rPr>
        <w:t xml:space="preserve">, in practice the solution cab be obtained based on two sets of summary association statistics and external reference samples. </w:t>
      </w:r>
    </w:p>
    <w:p w14:paraId="21B740BD" w14:textId="77777777"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The CC components represent latent linear factors which explain the correlation between the variants and the gene-expressions by aggregating multiple, possibly weaker, associations. However, it is difficult to interpret the CC components directly since all variants and gene-expressions would have non-zero coefficients in the corresponding components for all pairs </w:t>
      </w:r>
      <m:oMath>
        <m:d>
          <m:dPr>
            <m:ctrlPr>
              <w:rPr>
                <w:rFonts w:ascii="Cambria Math" w:hAnsi="Cambria Math"/>
                <w:b w:val="0"/>
                <w:bCs w:val="0"/>
                <w:i/>
              </w:rPr>
            </m:ctrlPr>
          </m:dPr>
          <m:e>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k</m:t>
                </m:r>
              </m:sub>
            </m:sSub>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k</m:t>
                </m:r>
              </m:sub>
            </m:sSub>
          </m:e>
        </m:d>
      </m:oMath>
      <w:r w:rsidRPr="00451C51">
        <w:rPr>
          <w:b w:val="0"/>
          <w:bCs w:val="0"/>
        </w:rPr>
        <w:t>. For better interpretation, we proposed to derive CC components that will involve only limited number of SNPs and genes based on sparse canonical correlation analysis (sCCA). We introduce penalty terms to regularize the CC components thus effectively reducing the smaller components to 0 for a suitable penalty. In particular we use an L</w:t>
      </w:r>
      <w:r w:rsidRPr="00451C51">
        <w:rPr>
          <w:b w:val="0"/>
          <w:bCs w:val="0"/>
          <w:vertAlign w:val="subscript"/>
        </w:rPr>
        <w:t>1</w:t>
      </w:r>
      <w:r w:rsidRPr="00451C51">
        <w:rPr>
          <w:b w:val="0"/>
          <w:bCs w:val="0"/>
        </w:rPr>
        <w:t xml:space="preserve"> penalty on each of the CC components, similar to LASSO. The optimization problem we solve is given by </w:t>
      </w:r>
    </w:p>
    <w:p w14:paraId="0E3B5E58" w14:textId="77777777" w:rsidR="008932DA" w:rsidRPr="00451C51" w:rsidRDefault="001F7575" w:rsidP="008932DA">
      <w:pPr>
        <w:pStyle w:val="Heading4"/>
        <w:shd w:val="clear" w:color="auto" w:fill="FFFFFF"/>
        <w:spacing w:before="150" w:beforeAutospacing="0" w:after="150" w:afterAutospacing="0" w:line="480" w:lineRule="auto"/>
        <w:jc w:val="center"/>
        <w:textAlignment w:val="baseline"/>
        <w:rPr>
          <w:b w:val="0"/>
          <w:bCs w:val="0"/>
        </w:rPr>
      </w:pPr>
      <m:oMath>
        <m:d>
          <m:dPr>
            <m:ctrlPr>
              <w:rPr>
                <w:rFonts w:ascii="Cambria Math" w:hAnsi="Cambria Math"/>
                <w:b w:val="0"/>
                <w:bCs w:val="0"/>
                <w:i/>
              </w:rPr>
            </m:ctrlPr>
          </m:dPr>
          <m:e>
            <m:r>
              <m:rPr>
                <m:sty m:val="bi"/>
              </m:rPr>
              <w:rPr>
                <w:rFonts w:ascii="Cambria Math" w:hAnsi="Cambria Math"/>
              </w:rPr>
              <m:t>u,v</m:t>
            </m:r>
          </m:e>
        </m:d>
        <m:r>
          <m:rPr>
            <m:sty m:val="bi"/>
          </m:rPr>
          <w:rPr>
            <w:rFonts w:ascii="Cambria Math" w:hAnsi="Cambria Math"/>
          </w:rPr>
          <m:t xml:space="preserve">= </m:t>
        </m:r>
        <m:sSub>
          <m:sSubPr>
            <m:ctrlPr>
              <w:rPr>
                <w:rFonts w:ascii="Cambria Math" w:hAnsi="Cambria Math"/>
                <w:b w:val="0"/>
                <w:bCs w:val="0"/>
                <w:i/>
              </w:rPr>
            </m:ctrlPr>
          </m:sSubPr>
          <m:e>
            <m:r>
              <m:rPr>
                <m:sty m:val="bi"/>
              </m:rPr>
              <w:rPr>
                <w:rFonts w:ascii="Cambria Math" w:hAnsi="Cambria Math"/>
              </w:rPr>
              <m:t>argmax</m:t>
            </m:r>
          </m:e>
          <m:sub>
            <m:r>
              <m:rPr>
                <m:sty m:val="bi"/>
              </m:rPr>
              <w:rPr>
                <w:rFonts w:ascii="Cambria Math" w:hAnsi="Cambria Math"/>
              </w:rPr>
              <m:t xml:space="preserve"> </m:t>
            </m:r>
          </m:sub>
        </m:sSub>
        <m:sSup>
          <m:sSupPr>
            <m:ctrlPr>
              <w:rPr>
                <w:rFonts w:ascii="Cambria Math" w:hAnsi="Cambria Math"/>
                <w:b w:val="0"/>
                <w:bCs w:val="0"/>
                <w:i/>
              </w:rPr>
            </m:ctrlPr>
          </m:sSupPr>
          <m:e>
            <m:acc>
              <m:accPr>
                <m:chr m:val="̃"/>
                <m:ctrlPr>
                  <w:rPr>
                    <w:rFonts w:ascii="Cambria Math" w:hAnsi="Cambria Math"/>
                    <w:b w:val="0"/>
                    <w:bCs w:val="0"/>
                    <w:i/>
                  </w:rPr>
                </m:ctrlPr>
              </m:accPr>
              <m:e>
                <m:r>
                  <m:rPr>
                    <m:sty m:val="bi"/>
                  </m:rPr>
                  <w:rPr>
                    <w:rFonts w:ascii="Cambria Math" w:hAnsi="Cambria Math"/>
                  </w:rPr>
                  <m:t>v</m:t>
                </m:r>
              </m:e>
            </m:acc>
          </m:e>
          <m:sup>
            <m:r>
              <m:rPr>
                <m:sty m:val="bi"/>
              </m:rPr>
              <w:rPr>
                <w:rFonts w:ascii="Cambria Math" w:hAnsi="Cambria Math"/>
              </w:rPr>
              <m:t>T</m:t>
            </m:r>
          </m:sup>
        </m:sSup>
        <m:r>
          <m:rPr>
            <m:sty m:val="bi"/>
          </m:rPr>
          <w:rPr>
            <w:rFonts w:ascii="Cambria Math" w:hAnsi="Cambria Math"/>
          </w:rPr>
          <m:t>W</m:t>
        </m:r>
        <m:acc>
          <m:accPr>
            <m:chr m:val="̃"/>
            <m:ctrlPr>
              <w:rPr>
                <w:rFonts w:ascii="Cambria Math" w:hAnsi="Cambria Math"/>
                <w:b w:val="0"/>
                <w:bCs w:val="0"/>
                <w:i/>
              </w:rPr>
            </m:ctrlPr>
          </m:accPr>
          <m:e>
            <m:r>
              <m:rPr>
                <m:sty m:val="bi"/>
              </m:rPr>
              <w:rPr>
                <w:rFonts w:ascii="Cambria Math" w:hAnsi="Cambria Math"/>
              </w:rPr>
              <m:t>u</m:t>
            </m:r>
          </m:e>
        </m:acc>
      </m:oMath>
      <w:r w:rsidR="008932DA" w:rsidRPr="00451C51">
        <w:rPr>
          <w:b w:val="0"/>
          <w:bCs w:val="0"/>
        </w:rPr>
        <w:t xml:space="preserve"> </w:t>
      </w:r>
    </w:p>
    <w:p w14:paraId="169F001E" w14:textId="77777777" w:rsidR="008932DA" w:rsidRPr="00451C51" w:rsidRDefault="008932DA" w:rsidP="008932DA">
      <w:pPr>
        <w:pStyle w:val="Heading4"/>
        <w:shd w:val="clear" w:color="auto" w:fill="FFFFFF"/>
        <w:spacing w:before="150" w:beforeAutospacing="0" w:after="150" w:afterAutospacing="0" w:line="480" w:lineRule="auto"/>
        <w:jc w:val="center"/>
        <w:textAlignment w:val="baseline"/>
        <w:rPr>
          <w:b w:val="0"/>
          <w:bCs w:val="0"/>
        </w:rPr>
      </w:pPr>
      <w:r w:rsidRPr="00451C51">
        <w:rPr>
          <w:b w:val="0"/>
          <w:bCs w:val="0"/>
        </w:rPr>
        <w:t xml:space="preserve">with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u</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m:t>
            </m:r>
          </m:sub>
        </m:sSub>
      </m:oMath>
      <w:r w:rsidRPr="00451C51">
        <w:rPr>
          <w:b w:val="0"/>
          <w:bCs w:val="0"/>
        </w:rPr>
        <w:t xml:space="preserve">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v</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m:t>
            </m:r>
          </m:sub>
        </m:sSub>
        <m:r>
          <m:rPr>
            <m:sty m:val="b"/>
          </m:rPr>
          <w:rPr>
            <w:rFonts w:ascii="Cambria Math" w:hAnsi="Cambria Math"/>
          </w:rPr>
          <m:t xml:space="preserve"> </m:t>
        </m:r>
      </m:oMath>
      <w:r w:rsidRPr="00451C51">
        <w:rPr>
          <w:b w:val="0"/>
          <w:bCs w:val="0"/>
        </w:rPr>
        <w:t xml:space="preserve">and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u</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r w:rsidRPr="00451C51">
        <w:rPr>
          <w:b w:val="0"/>
          <w:bCs w:val="0"/>
        </w:rPr>
        <w:t xml:space="preserve">,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v</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p>
    <w:p w14:paraId="6CD44C2F" w14:textId="2149F36D"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We have used L</w:t>
      </w:r>
      <w:r w:rsidRPr="00451C51">
        <w:rPr>
          <w:b w:val="0"/>
          <w:bCs w:val="0"/>
          <w:vertAlign w:val="subscript"/>
        </w:rPr>
        <w:t>1</w:t>
      </w:r>
      <w:r w:rsidRPr="00451C51">
        <w:rPr>
          <w:b w:val="0"/>
          <w:bCs w:val="0"/>
        </w:rPr>
        <w:t xml:space="preserve"> penalty in this context as this is known to produce sparse solution and thus allows </w:t>
      </w:r>
      <w:r w:rsidR="00B4454D">
        <w:rPr>
          <w:b w:val="0"/>
          <w:bCs w:val="0"/>
        </w:rPr>
        <w:t>for</w:t>
      </w:r>
      <w:r w:rsidRPr="00451C51">
        <w:rPr>
          <w:b w:val="0"/>
          <w:bCs w:val="0"/>
        </w:rPr>
        <w:t xml:space="preserve"> variable selection.  The resulting pair of </w:t>
      </w:r>
      <w:proofErr w:type="spellStart"/>
      <w:r w:rsidRPr="00451C51">
        <w:rPr>
          <w:b w:val="0"/>
          <w:bCs w:val="0"/>
        </w:rPr>
        <w:t>sCC</w:t>
      </w:r>
      <w:proofErr w:type="spellEnd"/>
      <w:r w:rsidRPr="00451C51">
        <w:rPr>
          <w:b w:val="0"/>
          <w:bCs w:val="0"/>
        </w:rPr>
        <w:t xml:space="preserve"> components </w:t>
      </w:r>
      <m:oMath>
        <m:d>
          <m:dPr>
            <m:ctrlPr>
              <w:rPr>
                <w:rFonts w:ascii="Cambria Math" w:hAnsi="Cambria Math"/>
                <w:b w:val="0"/>
                <w:bCs w:val="0"/>
                <w:i/>
              </w:rPr>
            </m:ctrlPr>
          </m:dPr>
          <m:e>
            <m:r>
              <m:rPr>
                <m:sty m:val="bi"/>
              </m:rPr>
              <w:rPr>
                <w:rFonts w:ascii="Cambria Math" w:hAnsi="Cambria Math"/>
              </w:rPr>
              <m:t>u,v</m:t>
            </m:r>
          </m:e>
        </m:d>
      </m:oMath>
      <w:r w:rsidRPr="00451C51">
        <w:rPr>
          <w:b w:val="0"/>
          <w:bCs w:val="0"/>
        </w:rPr>
        <w:t xml:space="preserve"> denote the coefficient loadings of the corresponding variants and genes respectively. A non-zero element in </w:t>
      </w:r>
      <m:oMath>
        <m:r>
          <m:rPr>
            <m:sty m:val="bi"/>
          </m:rPr>
          <w:rPr>
            <w:rFonts w:ascii="Cambria Math" w:hAnsi="Cambria Math"/>
          </w:rPr>
          <m:t>u</m:t>
        </m:r>
      </m:oMath>
      <w:r w:rsidRPr="00451C51">
        <w:rPr>
          <w:b w:val="0"/>
          <w:bCs w:val="0"/>
        </w:rPr>
        <w:t xml:space="preserve"> (or </w:t>
      </w:r>
      <m:oMath>
        <m:r>
          <m:rPr>
            <m:sty m:val="bi"/>
          </m:rPr>
          <w:rPr>
            <w:rFonts w:ascii="Cambria Math" w:hAnsi="Cambria Math"/>
          </w:rPr>
          <m:t>v</m:t>
        </m:r>
      </m:oMath>
      <w:r w:rsidRPr="00451C51">
        <w:rPr>
          <w:b w:val="0"/>
          <w:bCs w:val="0"/>
        </w:rPr>
        <w:t>) implies that the respective variant (or gene) was selected.</w:t>
      </w:r>
    </w:p>
    <w:p w14:paraId="277BA1FF" w14:textId="520E37C6"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We solve the above optimization problem using an alternating maximization approach</w:t>
      </w:r>
      <w:r w:rsidRPr="00451C51">
        <w:rPr>
          <w:b w:val="0"/>
          <w:bCs w:val="0"/>
        </w:rPr>
        <w:fldChar w:fldCharType="begin" w:fldLock="1"/>
      </w:r>
      <w:r w:rsidR="006C02E4" w:rsidRPr="00451C51">
        <w:rPr>
          <w:b w:val="0"/>
          <w:bCs w:val="0"/>
        </w:rPr>
        <w:instrText>ADDIN CSL_CITATION {"citationItems":[{"id":"ITEM-1","itemData":{"DOI":"10.3389/fnins.2015.00366","ISSN":"1662453X","abstract":"An increasing number of neuroimaging studies are based on either combining more than one data modality (inter-modal) or combining more than one measurement from the same modality (intra-modal). To date, most intra-modal studies using multivariate statistics have focused on differences between datasets, for instance relying on classifiers to differentiate between effects in the data. However, to fully characterize these effects, multivariate methods able to measure similarities between datasets are needed. One classical technique for estimating the relationship between two datasets is canonical correlation analysis (CCA). However, in the context of high-dimensional data the application of CCA is extremely challenging. A recent extension of CCA, sparse CCA (SCCA), overcomes this limitation, by regularizing the model parameters while yielding a sparse solution. In this work, we modify SCCA with the aim of facilitating its application to high-dimensional neuroimaging data and finding meaningful multivariate image-to-image correspondences in intra-modal studies. In particular, we show how the optimal subset of variables can be estimated independently and we look at the information encoded in more than one set of SCCA transformations. We illustrate our framework using Arterial Spin Labeling data to investigate multivariate similarities between the effects of two antipsychotic drugs on cerebral blood flow.","author":[{"dropping-particle":"","family":"Rosa","given":"Maria J.","non-dropping-particle":"","parse-names":false,"suffix":""},{"dropping-particle":"","family":"Mehta","given":"Mitul A.","non-dropping-particle":"","parse-names":false,"suffix":""},{"dropping-particle":"","family":"Pich","given":"Emilio M.","non-dropping-particle":"","parse-names":false,"suffix":""},{"dropping-particle":"","family":"Risterucci","given":"Celine","non-dropping-particle":"","parse-names":false,"suffix":""},{"dropping-particle":"","family":"Zelaya","given":"Fernando","non-dropping-particle":"","parse-names":false,"suffix":""},{"dropping-particle":"","family":"Reinders","given":"Antje A.T.S.","non-dropping-particle":"","parse-names":false,"suffix":""},{"dropping-particle":"","family":"Williams","given":"Steve C.R.","non-dropping-particle":"","parse-names":false,"suffix":""},{"dropping-particle":"","family":"Dazzan","given":"Paola","non-dropping-particle":"","parse-names":false,"suffix":""},{"dropping-particle":"","family":"Doyle","given":"Orla M.","non-dropping-particle":"","parse-names":false,"suffix":""},{"dropping-particle":"","family":"Marquand","given":"Andre F.","non-dropping-particle":"","parse-names":false,"suffix":""}],"container-title":"Frontiers in Neuroscience","id":"ITEM-1","issued":{"date-parts":[["2015"]]},"title":"Estimating multivariate similarity between neuroimaging datasets with sparse canonical correlation analysis: An application to perfusion imaging","type":"article-journal"},"uris":["http://www.mendeley.com/documents/?uuid=18a9c42f-05f7-4849-aedf-ac37b53b3771"]}],"mendeley":{"formattedCitation":"&lt;sup&gt;1&lt;/sup&gt;","plainTextFormattedCitation":"1","previouslyFormattedCitation":"&lt;sup&gt;1&lt;/sup&gt;"},"properties":{"noteIndex":0},"schema":"https://github.com/citation-style-language/schema/raw/master/csl-citation.json"}</w:instrText>
      </w:r>
      <w:r w:rsidRPr="00451C51">
        <w:rPr>
          <w:b w:val="0"/>
          <w:bCs w:val="0"/>
        </w:rPr>
        <w:fldChar w:fldCharType="separate"/>
      </w:r>
      <w:r w:rsidR="006C02E4" w:rsidRPr="00451C51">
        <w:rPr>
          <w:b w:val="0"/>
          <w:bCs w:val="0"/>
          <w:noProof/>
          <w:vertAlign w:val="superscript"/>
        </w:rPr>
        <w:t>1</w:t>
      </w:r>
      <w:r w:rsidRPr="00451C51">
        <w:rPr>
          <w:b w:val="0"/>
          <w:bCs w:val="0"/>
        </w:rPr>
        <w:fldChar w:fldCharType="end"/>
      </w:r>
      <w:r w:rsidRPr="00451C51">
        <w:rPr>
          <w:b w:val="0"/>
          <w:bCs w:val="0"/>
        </w:rPr>
        <w:t xml:space="preserve">. We note that for a fixed </w:t>
      </w:r>
      <m:oMath>
        <m:r>
          <m:rPr>
            <m:sty m:val="bi"/>
          </m:rPr>
          <w:rPr>
            <w:rFonts w:ascii="Cambria Math" w:hAnsi="Cambria Math"/>
          </w:rPr>
          <m:t xml:space="preserve">u= </m:t>
        </m:r>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0</m:t>
            </m:r>
          </m:sub>
        </m:sSub>
      </m:oMath>
      <w:r w:rsidRPr="00451C51">
        <w:rPr>
          <w:b w:val="0"/>
          <w:bCs w:val="0"/>
        </w:rPr>
        <w:t>, the objective function is similar to a standard LASSO as:</w:t>
      </w:r>
    </w:p>
    <w:p w14:paraId="4D0279B2" w14:textId="09CCCCE9" w:rsidR="008932DA" w:rsidRPr="00451C51" w:rsidRDefault="008932DA" w:rsidP="008932DA">
      <w:pPr>
        <w:pStyle w:val="Heading4"/>
        <w:shd w:val="clear" w:color="auto" w:fill="FFFFFF"/>
        <w:spacing w:before="150" w:beforeAutospacing="0" w:after="150" w:afterAutospacing="0" w:line="480" w:lineRule="auto"/>
        <w:jc w:val="center"/>
        <w:textAlignment w:val="baseline"/>
        <w:rPr>
          <w:b w:val="0"/>
          <w:bCs w:val="0"/>
        </w:rPr>
      </w:pPr>
      <m:oMath>
        <m:r>
          <m:rPr>
            <m:sty m:val="bi"/>
          </m:rPr>
          <w:rPr>
            <w:rFonts w:ascii="Cambria Math" w:hAnsi="Cambria Math"/>
          </w:rPr>
          <m:t xml:space="preserve">v= </m:t>
        </m:r>
        <m:sSub>
          <m:sSubPr>
            <m:ctrlPr>
              <w:rPr>
                <w:rFonts w:ascii="Cambria Math" w:hAnsi="Cambria Math"/>
                <w:b w:val="0"/>
                <w:bCs w:val="0"/>
                <w:i/>
              </w:rPr>
            </m:ctrlPr>
          </m:sSubPr>
          <m:e>
            <m:r>
              <m:rPr>
                <m:sty m:val="bi"/>
              </m:rPr>
              <w:rPr>
                <w:rFonts w:ascii="Cambria Math" w:hAnsi="Cambria Math"/>
              </w:rPr>
              <m:t>argmax</m:t>
            </m:r>
          </m:e>
          <m:sub>
            <m:r>
              <m:rPr>
                <m:sty m:val="bi"/>
              </m:rPr>
              <w:rPr>
                <w:rFonts w:ascii="Cambria Math" w:hAnsi="Cambria Math"/>
              </w:rPr>
              <m:t xml:space="preserve"> </m:t>
            </m:r>
          </m:sub>
        </m:sSub>
        <m:sSup>
          <m:sSupPr>
            <m:ctrlPr>
              <w:rPr>
                <w:rFonts w:ascii="Cambria Math" w:hAnsi="Cambria Math"/>
                <w:b w:val="0"/>
                <w:bCs w:val="0"/>
                <w:i/>
              </w:rPr>
            </m:ctrlPr>
          </m:sSupPr>
          <m:e>
            <m:acc>
              <m:accPr>
                <m:chr m:val="̃"/>
                <m:ctrlPr>
                  <w:rPr>
                    <w:rFonts w:ascii="Cambria Math" w:hAnsi="Cambria Math"/>
                    <w:b w:val="0"/>
                    <w:bCs w:val="0"/>
                    <w:i/>
                  </w:rPr>
                </m:ctrlPr>
              </m:accPr>
              <m:e>
                <m:r>
                  <m:rPr>
                    <m:sty m:val="bi"/>
                  </m:rPr>
                  <w:rPr>
                    <w:rFonts w:ascii="Cambria Math" w:hAnsi="Cambria Math"/>
                  </w:rPr>
                  <m:t>v</m:t>
                </m:r>
              </m:e>
            </m:acc>
          </m:e>
          <m:sup>
            <m:r>
              <m:rPr>
                <m:sty m:val="bi"/>
              </m:rPr>
              <w:rPr>
                <w:rFonts w:ascii="Cambria Math" w:hAnsi="Cambria Math"/>
              </w:rPr>
              <m:t>T</m:t>
            </m:r>
          </m:sup>
        </m:sSup>
        <m:r>
          <m:rPr>
            <m:sty m:val="bi"/>
          </m:rPr>
          <w:rPr>
            <w:rFonts w:ascii="Cambria Math" w:hAnsi="Cambria Math"/>
          </w:rPr>
          <m:t>W</m:t>
        </m:r>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0</m:t>
            </m:r>
          </m:sub>
        </m:sSub>
      </m:oMath>
      <w:r w:rsidRPr="00451C51">
        <w:rPr>
          <w:b w:val="0"/>
          <w:bCs w:val="0"/>
        </w:rPr>
        <w:t xml:space="preserve"> with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v</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m:t>
            </m:r>
          </m:sub>
        </m:sSub>
      </m:oMath>
      <w:r w:rsidRPr="00451C51">
        <w:rPr>
          <w:b w:val="0"/>
          <w:bCs w:val="0"/>
        </w:rPr>
        <w:t xml:space="preserve"> and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v</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p>
    <w:p w14:paraId="73037522" w14:textId="77777777"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lastRenderedPageBreak/>
        <w:t xml:space="preserve">and similarly, for a fixed </w:t>
      </w:r>
      <m:oMath>
        <m:r>
          <m:rPr>
            <m:sty m:val="bi"/>
          </m:rPr>
          <w:rPr>
            <w:rFonts w:ascii="Cambria Math" w:hAnsi="Cambria Math"/>
          </w:rPr>
          <m:t xml:space="preserve">u= </m:t>
        </m:r>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0</m:t>
            </m:r>
          </m:sub>
        </m:sSub>
      </m:oMath>
    </w:p>
    <w:p w14:paraId="66B18087" w14:textId="10DDC86F" w:rsidR="008932DA" w:rsidRPr="00451C51" w:rsidRDefault="008932DA" w:rsidP="008932DA">
      <w:pPr>
        <w:pStyle w:val="Heading4"/>
        <w:shd w:val="clear" w:color="auto" w:fill="FFFFFF"/>
        <w:spacing w:before="150" w:beforeAutospacing="0" w:after="150" w:afterAutospacing="0" w:line="480" w:lineRule="auto"/>
        <w:jc w:val="center"/>
        <w:textAlignment w:val="baseline"/>
        <w:rPr>
          <w:b w:val="0"/>
          <w:bCs w:val="0"/>
        </w:rPr>
      </w:pPr>
      <m:oMath>
        <m:r>
          <m:rPr>
            <m:sty m:val="bi"/>
          </m:rPr>
          <w:rPr>
            <w:rFonts w:ascii="Cambria Math" w:hAnsi="Cambria Math"/>
          </w:rPr>
          <m:t xml:space="preserve">u= </m:t>
        </m:r>
        <m:sSub>
          <m:sSubPr>
            <m:ctrlPr>
              <w:rPr>
                <w:rFonts w:ascii="Cambria Math" w:hAnsi="Cambria Math"/>
                <w:b w:val="0"/>
                <w:bCs w:val="0"/>
                <w:i/>
              </w:rPr>
            </m:ctrlPr>
          </m:sSubPr>
          <m:e>
            <m:r>
              <m:rPr>
                <m:sty m:val="bi"/>
              </m:rPr>
              <w:rPr>
                <w:rFonts w:ascii="Cambria Math" w:hAnsi="Cambria Math"/>
              </w:rPr>
              <m:t>argmax</m:t>
            </m:r>
          </m:e>
          <m:sub>
            <m:r>
              <m:rPr>
                <m:sty m:val="bi"/>
              </m:rPr>
              <w:rPr>
                <w:rFonts w:ascii="Cambria Math" w:hAnsi="Cambria Math"/>
              </w:rPr>
              <m:t xml:space="preserve"> </m:t>
            </m:r>
          </m:sub>
        </m:sSub>
        <m:sSubSup>
          <m:sSubSupPr>
            <m:ctrlPr>
              <w:rPr>
                <w:rFonts w:ascii="Cambria Math" w:hAnsi="Cambria Math"/>
                <w:b w:val="0"/>
                <w:bCs w:val="0"/>
                <w:i/>
              </w:rPr>
            </m:ctrlPr>
          </m:sSubSupPr>
          <m:e>
            <m:r>
              <m:rPr>
                <m:sty m:val="bi"/>
              </m:rPr>
              <w:rPr>
                <w:rFonts w:ascii="Cambria Math" w:hAnsi="Cambria Math"/>
              </w:rPr>
              <m:t>v</m:t>
            </m:r>
          </m:e>
          <m:sub>
            <m:r>
              <m:rPr>
                <m:sty m:val="bi"/>
              </m:rPr>
              <w:rPr>
                <w:rFonts w:ascii="Cambria Math" w:hAnsi="Cambria Math"/>
              </w:rPr>
              <m:t>0</m:t>
            </m:r>
          </m:sub>
          <m:sup>
            <m:r>
              <m:rPr>
                <m:sty m:val="bi"/>
              </m:rPr>
              <w:rPr>
                <w:rFonts w:ascii="Cambria Math" w:hAnsi="Cambria Math"/>
              </w:rPr>
              <m:t>T</m:t>
            </m:r>
          </m:sup>
        </m:sSubSup>
        <m:r>
          <m:rPr>
            <m:sty m:val="bi"/>
          </m:rPr>
          <w:rPr>
            <w:rFonts w:ascii="Cambria Math" w:hAnsi="Cambria Math"/>
          </w:rPr>
          <m:t>W</m:t>
        </m:r>
        <m:acc>
          <m:accPr>
            <m:chr m:val="̃"/>
            <m:ctrlPr>
              <w:rPr>
                <w:rFonts w:ascii="Cambria Math" w:hAnsi="Cambria Math"/>
                <w:b w:val="0"/>
                <w:bCs w:val="0"/>
                <w:i/>
              </w:rPr>
            </m:ctrlPr>
          </m:accPr>
          <m:e>
            <m:r>
              <m:rPr>
                <m:sty m:val="bi"/>
              </m:rPr>
              <w:rPr>
                <w:rFonts w:ascii="Cambria Math" w:hAnsi="Cambria Math"/>
              </w:rPr>
              <m:t>u</m:t>
            </m:r>
          </m:e>
        </m:acc>
      </m:oMath>
      <w:r w:rsidRPr="00451C51">
        <w:rPr>
          <w:b w:val="0"/>
          <w:bCs w:val="0"/>
        </w:rPr>
        <w:t xml:space="preserve"> with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u</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m:t>
            </m:r>
          </m:sub>
        </m:sSub>
      </m:oMath>
      <w:r w:rsidRPr="00451C51">
        <w:rPr>
          <w:b w:val="0"/>
          <w:bCs w:val="0"/>
        </w:rPr>
        <w:t xml:space="preserve"> and </w:t>
      </w:r>
      <m:oMath>
        <m:r>
          <m:rPr>
            <m:sty m:val="bi"/>
          </m:rPr>
          <w:rPr>
            <w:rFonts w:ascii="Cambria Math" w:hAnsi="Cambria Math"/>
          </w:rPr>
          <m:t>||</m:t>
        </m:r>
        <m:acc>
          <m:accPr>
            <m:chr m:val="̃"/>
            <m:ctrlPr>
              <w:rPr>
                <w:rFonts w:ascii="Cambria Math" w:hAnsi="Cambria Math"/>
                <w:b w:val="0"/>
                <w:bCs w:val="0"/>
                <w:i/>
              </w:rPr>
            </m:ctrlPr>
          </m:accPr>
          <m:e>
            <m:r>
              <m:rPr>
                <m:sty m:val="bi"/>
              </m:rPr>
              <w:rPr>
                <w:rFonts w:ascii="Cambria Math" w:hAnsi="Cambria Math"/>
              </w:rPr>
              <m:t>u</m:t>
            </m:r>
          </m:e>
        </m:acc>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p>
    <w:p w14:paraId="429C9987" w14:textId="72005F10"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For given sparsity levels determined by </w:t>
      </w:r>
      <w:r w:rsidR="002D6597">
        <w:rPr>
          <w:b w:val="0"/>
          <w:bCs w:val="0"/>
        </w:rPr>
        <w:t>sparsity</w:t>
      </w:r>
      <w:r w:rsidRPr="00451C51">
        <w:rPr>
          <w:b w:val="0"/>
          <w:bCs w:val="0"/>
        </w:rPr>
        <w:t xml:space="preserve"> parameters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m:t>
            </m:r>
          </m:sub>
        </m:sSub>
      </m:oMath>
      <w:r w:rsidRPr="00451C51">
        <w:rPr>
          <w:b w:val="0"/>
          <w:bCs w:val="0"/>
        </w:rPr>
        <w:t xml:space="preserve"> and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m:t>
            </m:r>
          </m:sub>
        </m:sSub>
      </m:oMath>
      <w:r w:rsidRPr="00451C51">
        <w:rPr>
          <w:b w:val="0"/>
          <w:bCs w:val="0"/>
        </w:rPr>
        <w:t xml:space="preserve">, the above optimization problems can be solved by alternating between </w:t>
      </w:r>
      <m:oMath>
        <m:r>
          <m:rPr>
            <m:sty m:val="bi"/>
          </m:rPr>
          <w:rPr>
            <w:rFonts w:ascii="Cambria Math" w:hAnsi="Cambria Math"/>
          </w:rPr>
          <m:t>u</m:t>
        </m:r>
      </m:oMath>
      <w:r w:rsidRPr="00451C51">
        <w:rPr>
          <w:b w:val="0"/>
          <w:bCs w:val="0"/>
        </w:rPr>
        <w:t xml:space="preserve"> and </w:t>
      </w:r>
      <m:oMath>
        <m:r>
          <m:rPr>
            <m:sty m:val="bi"/>
          </m:rPr>
          <w:rPr>
            <w:rFonts w:ascii="Cambria Math" w:hAnsi="Cambria Math"/>
          </w:rPr>
          <m:t>v</m:t>
        </m:r>
      </m:oMath>
      <w:r w:rsidRPr="00451C51">
        <w:rPr>
          <w:b w:val="0"/>
          <w:bCs w:val="0"/>
        </w:rPr>
        <w:t xml:space="preserve"> and using the soft-thresholding technique via the following algorithm</w:t>
      </w:r>
    </w:p>
    <w:p w14:paraId="0CBAABC2" w14:textId="103BA3F3" w:rsidR="008932DA" w:rsidRPr="00451C51" w:rsidRDefault="008932DA" w:rsidP="008932DA">
      <w:pPr>
        <w:pStyle w:val="Heading4"/>
        <w:numPr>
          <w:ilvl w:val="0"/>
          <w:numId w:val="1"/>
        </w:numPr>
        <w:shd w:val="clear" w:color="auto" w:fill="FFFFFF"/>
        <w:spacing w:before="150" w:beforeAutospacing="0" w:after="150" w:afterAutospacing="0" w:line="480" w:lineRule="auto"/>
        <w:jc w:val="both"/>
        <w:textAlignment w:val="baseline"/>
        <w:rPr>
          <w:b w:val="0"/>
          <w:bCs w:val="0"/>
        </w:rPr>
      </w:pPr>
      <w:r w:rsidRPr="00451C51">
        <w:rPr>
          <w:b w:val="0"/>
          <w:bCs w:val="0"/>
        </w:rPr>
        <w:t xml:space="preserve">Initialize </w:t>
      </w:r>
      <m:oMath>
        <m:d>
          <m:dPr>
            <m:ctrlPr>
              <w:rPr>
                <w:rFonts w:ascii="Cambria Math" w:hAnsi="Cambria Math"/>
                <w:b w:val="0"/>
                <w:bCs w:val="0"/>
                <w:i/>
              </w:rPr>
            </m:ctrlPr>
          </m:dPr>
          <m:e>
            <m:r>
              <m:rPr>
                <m:sty m:val="bi"/>
              </m:rPr>
              <w:rPr>
                <w:rFonts w:ascii="Cambria Math" w:hAnsi="Cambria Math"/>
              </w:rPr>
              <m:t>u,v</m:t>
            </m:r>
          </m:e>
        </m:d>
      </m:oMath>
      <w:r w:rsidRPr="00451C51">
        <w:rPr>
          <w:b w:val="0"/>
          <w:bCs w:val="0"/>
        </w:rPr>
        <w:t xml:space="preserve"> = </w:t>
      </w:r>
      <m:oMath>
        <m:d>
          <m:dPr>
            <m:ctrlPr>
              <w:rPr>
                <w:rFonts w:ascii="Cambria Math" w:hAnsi="Cambria Math"/>
                <w:b w:val="0"/>
                <w:bCs w:val="0"/>
                <w:i/>
              </w:rPr>
            </m:ctrlPr>
          </m:dPr>
          <m:e>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0</m:t>
                </m:r>
              </m:sub>
            </m:sSub>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0</m:t>
                </m:r>
              </m:sub>
            </m:sSub>
          </m:e>
        </m:d>
      </m:oMath>
      <w:r w:rsidRPr="00451C51">
        <w:rPr>
          <w:b w:val="0"/>
          <w:bCs w:val="0"/>
        </w:rPr>
        <w:t xml:space="preserve"> with the first </w:t>
      </w:r>
      <w:r w:rsidR="008A2BA6">
        <w:rPr>
          <w:b w:val="0"/>
          <w:bCs w:val="0"/>
        </w:rPr>
        <w:t>principal</w:t>
      </w:r>
      <w:r w:rsidRPr="00451C51">
        <w:rPr>
          <w:b w:val="0"/>
          <w:bCs w:val="0"/>
        </w:rPr>
        <w:t>-components of</w:t>
      </w:r>
      <w:r w:rsidR="008A2BA6">
        <w:rPr>
          <w:b w:val="0"/>
          <w:bCs w:val="0"/>
        </w:rPr>
        <w:t xml:space="preserve"> </w:t>
      </w:r>
      <m:oMath>
        <m:sSup>
          <m:sSupPr>
            <m:ctrlPr>
              <w:rPr>
                <w:rFonts w:ascii="Cambria Math" w:hAnsi="Cambria Math"/>
                <w:b w:val="0"/>
                <w:bCs w:val="0"/>
                <w:i/>
              </w:rPr>
            </m:ctrlPr>
          </m:sSupPr>
          <m:e>
            <m:r>
              <m:rPr>
                <m:sty m:val="bi"/>
              </m:rPr>
              <w:rPr>
                <w:rFonts w:ascii="Cambria Math" w:hAnsi="Cambria Math"/>
              </w:rPr>
              <m:t>W</m:t>
            </m:r>
          </m:e>
          <m:sup>
            <m:r>
              <m:rPr>
                <m:sty m:val="bi"/>
              </m:rPr>
              <w:rPr>
                <w:rFonts w:ascii="Cambria Math" w:hAnsi="Cambria Math"/>
              </w:rPr>
              <m:t>T</m:t>
            </m:r>
          </m:sup>
        </m:sSup>
        <m:r>
          <m:rPr>
            <m:sty m:val="bi"/>
          </m:rPr>
          <w:rPr>
            <w:rFonts w:ascii="Cambria Math" w:hAnsi="Cambria Math"/>
          </w:rPr>
          <m:t>W</m:t>
        </m:r>
      </m:oMath>
      <w:r w:rsidR="008A2BA6">
        <w:t xml:space="preserve"> </w:t>
      </w:r>
      <w:r w:rsidR="008A2BA6" w:rsidRPr="008A2BA6">
        <w:rPr>
          <w:b w:val="0"/>
          <w:bCs w:val="0"/>
        </w:rPr>
        <w:t>and</w:t>
      </w:r>
      <w:r w:rsidRPr="00451C51">
        <w:rPr>
          <w:b w:val="0"/>
          <w:bCs w:val="0"/>
        </w:rPr>
        <w:t xml:space="preserve"> </w:t>
      </w:r>
      <m:oMath>
        <m:r>
          <m:rPr>
            <m:sty m:val="bi"/>
          </m:rPr>
          <w:rPr>
            <w:rFonts w:ascii="Cambria Math" w:hAnsi="Cambria Math"/>
          </w:rPr>
          <m:t>W</m:t>
        </m:r>
        <m:sSup>
          <m:sSupPr>
            <m:ctrlPr>
              <w:rPr>
                <w:rFonts w:ascii="Cambria Math" w:hAnsi="Cambria Math"/>
                <w:b w:val="0"/>
                <w:bCs w:val="0"/>
                <w:i/>
              </w:rPr>
            </m:ctrlPr>
          </m:sSupPr>
          <m:e>
            <m:r>
              <m:rPr>
                <m:sty m:val="bi"/>
              </m:rPr>
              <w:rPr>
                <w:rFonts w:ascii="Cambria Math" w:hAnsi="Cambria Math"/>
              </w:rPr>
              <m:t>W</m:t>
            </m:r>
          </m:e>
          <m:sup>
            <m:r>
              <m:rPr>
                <m:sty m:val="bi"/>
              </m:rPr>
              <w:rPr>
                <w:rFonts w:ascii="Cambria Math" w:hAnsi="Cambria Math"/>
              </w:rPr>
              <m:t>T</m:t>
            </m:r>
          </m:sup>
        </m:sSup>
      </m:oMath>
      <w:r w:rsidR="008A2BA6">
        <w:rPr>
          <w:b w:val="0"/>
          <w:bCs w:val="0"/>
        </w:rPr>
        <w:t xml:space="preserve"> respectively. </w:t>
      </w:r>
    </w:p>
    <w:p w14:paraId="705BF18A" w14:textId="77777777" w:rsidR="008932DA" w:rsidRPr="00451C51" w:rsidRDefault="008932DA" w:rsidP="008932DA">
      <w:pPr>
        <w:pStyle w:val="Heading4"/>
        <w:numPr>
          <w:ilvl w:val="0"/>
          <w:numId w:val="1"/>
        </w:numPr>
        <w:shd w:val="clear" w:color="auto" w:fill="FFFFFF"/>
        <w:spacing w:before="150" w:beforeAutospacing="0" w:after="150" w:afterAutospacing="0" w:line="480" w:lineRule="auto"/>
        <w:jc w:val="both"/>
        <w:textAlignment w:val="baseline"/>
        <w:rPr>
          <w:b w:val="0"/>
          <w:bCs w:val="0"/>
        </w:rPr>
      </w:pPr>
      <w:r w:rsidRPr="00451C51">
        <w:rPr>
          <w:b w:val="0"/>
          <w:bCs w:val="0"/>
        </w:rPr>
        <w:t>Iterate until convergence:</w:t>
      </w:r>
    </w:p>
    <w:p w14:paraId="124E2097" w14:textId="179C9EE3" w:rsidR="008932DA" w:rsidRPr="00451C51" w:rsidRDefault="001F7575" w:rsidP="008932DA">
      <w:pPr>
        <w:pStyle w:val="Heading4"/>
        <w:numPr>
          <w:ilvl w:val="1"/>
          <w:numId w:val="1"/>
        </w:numPr>
        <w:shd w:val="clear" w:color="auto" w:fill="FFFFFF"/>
        <w:spacing w:before="150" w:beforeAutospacing="0" w:after="150" w:afterAutospacing="0" w:line="480" w:lineRule="auto"/>
        <w:jc w:val="both"/>
        <w:textAlignment w:val="baseline"/>
        <w:rPr>
          <w:b w:val="0"/>
          <w:bCs w:val="0"/>
        </w:rPr>
      </w:pPr>
      <m:oMath>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t</m:t>
            </m:r>
          </m:sub>
        </m:sSub>
        <m:r>
          <m:rPr>
            <m:sty m:val="bi"/>
          </m:rPr>
          <w:rPr>
            <w:rFonts w:ascii="Cambria Math" w:hAnsi="Cambria Math"/>
          </w:rPr>
          <m:t xml:space="preserve"> ←</m:t>
        </m:r>
        <m:sSub>
          <m:sSubPr>
            <m:ctrlPr>
              <w:rPr>
                <w:rFonts w:ascii="Cambria Math" w:hAnsi="Cambria Math"/>
                <w:b w:val="0"/>
                <w:bCs w:val="0"/>
                <w:i/>
              </w:rPr>
            </m:ctrlPr>
          </m:sSubPr>
          <m:e>
            <m:r>
              <m:rPr>
                <m:sty m:val="bi"/>
              </m:rPr>
              <w:rPr>
                <w:rFonts w:ascii="Cambria Math" w:hAnsi="Cambria Math"/>
              </w:rPr>
              <m:t>argmax</m:t>
            </m:r>
          </m:e>
          <m:sub>
            <m:r>
              <m:rPr>
                <m:sty m:val="bi"/>
              </m:rPr>
              <w:rPr>
                <w:rFonts w:ascii="Cambria Math" w:hAnsi="Cambria Math"/>
              </w:rPr>
              <m:t xml:space="preserve"> </m:t>
            </m:r>
          </m:sub>
        </m:sSub>
        <m:sSup>
          <m:sSupPr>
            <m:ctrlPr>
              <w:rPr>
                <w:rFonts w:ascii="Cambria Math" w:hAnsi="Cambria Math"/>
                <w:b w:val="0"/>
                <w:bCs w:val="0"/>
                <w:i/>
              </w:rPr>
            </m:ctrlPr>
          </m:sSupPr>
          <m:e>
            <m:r>
              <m:rPr>
                <m:sty m:val="bi"/>
              </m:rPr>
              <w:rPr>
                <w:rFonts w:ascii="Cambria Math" w:hAnsi="Cambria Math"/>
              </w:rPr>
              <m:t>v</m:t>
            </m:r>
          </m:e>
          <m:sup>
            <m:r>
              <m:rPr>
                <m:sty m:val="bi"/>
              </m:rPr>
              <w:rPr>
                <w:rFonts w:ascii="Cambria Math" w:hAnsi="Cambria Math"/>
              </w:rPr>
              <m:t>T</m:t>
            </m:r>
          </m:sup>
        </m:sSup>
        <m:r>
          <m:rPr>
            <m:sty m:val="bi"/>
          </m:rPr>
          <w:rPr>
            <w:rFonts w:ascii="Cambria Math" w:hAnsi="Cambria Math"/>
          </w:rPr>
          <m:t>W</m:t>
        </m:r>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t-1</m:t>
            </m:r>
          </m:sub>
        </m:sSub>
      </m:oMath>
      <w:r w:rsidR="008932DA" w:rsidRPr="00451C51">
        <w:rPr>
          <w:b w:val="0"/>
          <w:bCs w:val="0"/>
        </w:rPr>
        <w:t xml:space="preserve"> with </w:t>
      </w:r>
      <m:oMath>
        <m:r>
          <m:rPr>
            <m:sty m:val="bi"/>
          </m:rPr>
          <w:rPr>
            <w:rFonts w:ascii="Cambria Math" w:hAnsi="Cambria Math"/>
          </w:rPr>
          <m:t>||v</m:t>
        </m:r>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m:t>
            </m:r>
          </m:sub>
        </m:sSub>
      </m:oMath>
      <w:r w:rsidR="008932DA" w:rsidRPr="00451C51">
        <w:rPr>
          <w:b w:val="0"/>
          <w:bCs w:val="0"/>
        </w:rPr>
        <w:t xml:space="preserve"> and normalize </w:t>
      </w:r>
      <m:oMath>
        <m:r>
          <m:rPr>
            <m:sty m:val="bi"/>
          </m:rPr>
          <w:rPr>
            <w:rFonts w:ascii="Cambria Math" w:hAnsi="Cambria Math"/>
          </w:rPr>
          <m:t>v</m:t>
        </m:r>
      </m:oMath>
      <w:r w:rsidR="008932DA" w:rsidRPr="00451C51">
        <w:rPr>
          <w:b w:val="0"/>
          <w:bCs w:val="0"/>
        </w:rPr>
        <w:t xml:space="preserve"> such that </w:t>
      </w:r>
      <m:oMath>
        <m:r>
          <m:rPr>
            <m:sty m:val="bi"/>
          </m:rPr>
          <w:rPr>
            <w:rFonts w:ascii="Cambria Math" w:hAnsi="Cambria Math"/>
          </w:rPr>
          <m:t>||v</m:t>
        </m:r>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p>
    <w:p w14:paraId="5A44F23B" w14:textId="6E881A91" w:rsidR="008932DA" w:rsidRPr="00451C51" w:rsidRDefault="001F7575" w:rsidP="008932DA">
      <w:pPr>
        <w:pStyle w:val="Heading4"/>
        <w:numPr>
          <w:ilvl w:val="1"/>
          <w:numId w:val="1"/>
        </w:numPr>
        <w:shd w:val="clear" w:color="auto" w:fill="FFFFFF"/>
        <w:spacing w:before="150" w:beforeAutospacing="0" w:after="150" w:afterAutospacing="0" w:line="480" w:lineRule="auto"/>
        <w:jc w:val="both"/>
        <w:textAlignment w:val="baseline"/>
        <w:rPr>
          <w:b w:val="0"/>
          <w:bCs w:val="0"/>
        </w:rPr>
      </w:pPr>
      <m:oMath>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t</m:t>
            </m:r>
          </m:sub>
        </m:sSub>
        <m:r>
          <m:rPr>
            <m:sty m:val="bi"/>
          </m:rPr>
          <w:rPr>
            <w:rFonts w:ascii="Cambria Math" w:hAnsi="Cambria Math"/>
          </w:rPr>
          <m:t xml:space="preserve"> ←</m:t>
        </m:r>
        <m:sSub>
          <m:sSubPr>
            <m:ctrlPr>
              <w:rPr>
                <w:rFonts w:ascii="Cambria Math" w:hAnsi="Cambria Math"/>
                <w:b w:val="0"/>
                <w:bCs w:val="0"/>
                <w:i/>
              </w:rPr>
            </m:ctrlPr>
          </m:sSubPr>
          <m:e>
            <m:r>
              <m:rPr>
                <m:sty m:val="bi"/>
              </m:rPr>
              <w:rPr>
                <w:rFonts w:ascii="Cambria Math" w:hAnsi="Cambria Math"/>
              </w:rPr>
              <m:t>argmax</m:t>
            </m:r>
          </m:e>
          <m:sub>
            <m:r>
              <m:rPr>
                <m:sty m:val="bi"/>
              </m:rPr>
              <w:rPr>
                <w:rFonts w:ascii="Cambria Math" w:hAnsi="Cambria Math"/>
              </w:rPr>
              <m:t xml:space="preserve"> </m:t>
            </m:r>
          </m:sub>
        </m:sSub>
        <m:sSubSup>
          <m:sSubSupPr>
            <m:ctrlPr>
              <w:rPr>
                <w:rFonts w:ascii="Cambria Math" w:hAnsi="Cambria Math"/>
                <w:b w:val="0"/>
                <w:bCs w:val="0"/>
                <w:i/>
              </w:rPr>
            </m:ctrlPr>
          </m:sSubSupPr>
          <m:e>
            <m:r>
              <m:rPr>
                <m:sty m:val="bi"/>
              </m:rPr>
              <w:rPr>
                <w:rFonts w:ascii="Cambria Math" w:hAnsi="Cambria Math"/>
              </w:rPr>
              <m:t>v</m:t>
            </m:r>
          </m:e>
          <m:sub>
            <m:r>
              <m:rPr>
                <m:sty m:val="bi"/>
              </m:rPr>
              <w:rPr>
                <w:rFonts w:ascii="Cambria Math" w:hAnsi="Cambria Math"/>
              </w:rPr>
              <m:t>t-1</m:t>
            </m:r>
          </m:sub>
          <m:sup>
            <m:r>
              <m:rPr>
                <m:sty m:val="bi"/>
              </m:rPr>
              <w:rPr>
                <w:rFonts w:ascii="Cambria Math" w:hAnsi="Cambria Math"/>
              </w:rPr>
              <m:t>T</m:t>
            </m:r>
          </m:sup>
        </m:sSubSup>
        <m:r>
          <m:rPr>
            <m:sty m:val="bi"/>
          </m:rPr>
          <w:rPr>
            <w:rFonts w:ascii="Cambria Math" w:hAnsi="Cambria Math"/>
          </w:rPr>
          <m:t>Wu</m:t>
        </m:r>
      </m:oMath>
      <w:r w:rsidR="008932DA" w:rsidRPr="00451C51">
        <w:rPr>
          <w:b w:val="0"/>
          <w:bCs w:val="0"/>
        </w:rPr>
        <w:t xml:space="preserve"> with </w:t>
      </w:r>
      <m:oMath>
        <m:r>
          <m:rPr>
            <m:sty m:val="bi"/>
          </m:rPr>
          <w:rPr>
            <w:rFonts w:ascii="Cambria Math" w:hAnsi="Cambria Math"/>
          </w:rPr>
          <m:t>||v</m:t>
        </m:r>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1</m:t>
            </m:r>
          </m:sub>
        </m:sSub>
        <m:r>
          <m:rPr>
            <m:sty m:val="bi"/>
          </m:rPr>
          <w:rPr>
            <w:rFonts w:ascii="Cambria Math" w:hAnsi="Cambria Math"/>
          </w:rPr>
          <m:t xml:space="preserve">  ≤ </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m:t>
            </m:r>
          </m:sub>
        </m:sSub>
      </m:oMath>
      <w:r w:rsidR="008932DA" w:rsidRPr="00451C51">
        <w:rPr>
          <w:b w:val="0"/>
          <w:bCs w:val="0"/>
        </w:rPr>
        <w:t xml:space="preserve"> and normalize </w:t>
      </w:r>
      <m:oMath>
        <m:r>
          <m:rPr>
            <m:sty m:val="bi"/>
          </m:rPr>
          <w:rPr>
            <w:rFonts w:ascii="Cambria Math" w:hAnsi="Cambria Math"/>
          </w:rPr>
          <m:t>u</m:t>
        </m:r>
      </m:oMath>
      <w:r w:rsidR="008932DA" w:rsidRPr="00451C51">
        <w:rPr>
          <w:b w:val="0"/>
          <w:bCs w:val="0"/>
        </w:rPr>
        <w:t xml:space="preserve"> such that </w:t>
      </w:r>
      <m:oMath>
        <m:r>
          <m:rPr>
            <m:sty m:val="bi"/>
          </m:rPr>
          <w:rPr>
            <w:rFonts w:ascii="Cambria Math" w:hAnsi="Cambria Math"/>
          </w:rPr>
          <m:t>||u</m:t>
        </m:r>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2</m:t>
            </m:r>
          </m:sub>
        </m:sSub>
        <m:r>
          <m:rPr>
            <m:sty m:val="bi"/>
          </m:rPr>
          <w:rPr>
            <w:rFonts w:ascii="Cambria Math" w:hAnsi="Cambria Math"/>
          </w:rPr>
          <m:t xml:space="preserve">  = 1</m:t>
        </m:r>
      </m:oMath>
    </w:p>
    <w:p w14:paraId="220DB62D" w14:textId="08DDDCAD" w:rsidR="008932DA" w:rsidRPr="00451C51" w:rsidRDefault="008932DA" w:rsidP="008932DA">
      <w:pPr>
        <w:pStyle w:val="Heading4"/>
        <w:numPr>
          <w:ilvl w:val="0"/>
          <w:numId w:val="1"/>
        </w:numPr>
        <w:shd w:val="clear" w:color="auto" w:fill="FFFFFF"/>
        <w:spacing w:before="150" w:beforeAutospacing="0" w:after="150" w:afterAutospacing="0" w:line="480" w:lineRule="auto"/>
        <w:jc w:val="both"/>
        <w:textAlignment w:val="baseline"/>
        <w:rPr>
          <w:b w:val="0"/>
          <w:bCs w:val="0"/>
        </w:rPr>
      </w:pPr>
      <w:r w:rsidRPr="00451C51">
        <w:rPr>
          <w:b w:val="0"/>
          <w:bCs w:val="0"/>
        </w:rPr>
        <w:t xml:space="preserve">cc-value is defined as   </w:t>
      </w:r>
      <m:oMath>
        <m:sSup>
          <m:sSupPr>
            <m:ctrlPr>
              <w:rPr>
                <w:rFonts w:ascii="Cambria Math" w:hAnsi="Cambria Math"/>
                <w:b w:val="0"/>
                <w:bCs w:val="0"/>
                <w:i/>
              </w:rPr>
            </m:ctrlPr>
          </m:sSupPr>
          <m:e>
            <m:r>
              <m:rPr>
                <m:sty m:val="bi"/>
              </m:rPr>
              <w:rPr>
                <w:rFonts w:ascii="Cambria Math" w:hAnsi="Cambria Math"/>
              </w:rPr>
              <m:t>q</m:t>
            </m:r>
          </m:e>
          <m:sup>
            <m:r>
              <m:rPr>
                <m:sty m:val="bi"/>
              </m:rPr>
              <w:rPr>
                <w:rFonts w:ascii="Cambria Math" w:hAnsi="Cambria Math"/>
              </w:rPr>
              <m:t>2</m:t>
            </m:r>
          </m:sup>
        </m:sSup>
        <m:r>
          <m:rPr>
            <m:sty m:val="bi"/>
          </m:rPr>
          <w:rPr>
            <w:rFonts w:ascii="Cambria Math" w:hAnsi="Cambria Math"/>
          </w:rPr>
          <m:t xml:space="preserve">= </m:t>
        </m:r>
        <m:f>
          <m:fPr>
            <m:ctrlPr>
              <w:rPr>
                <w:rFonts w:ascii="Cambria Math" w:hAnsi="Cambria Math"/>
                <w:b w:val="0"/>
                <w:bCs w:val="0"/>
                <w:i/>
              </w:rPr>
            </m:ctrlPr>
          </m:fPr>
          <m:num>
            <m:sSup>
              <m:sSupPr>
                <m:ctrlPr>
                  <w:rPr>
                    <w:rFonts w:ascii="Cambria Math" w:hAnsi="Cambria Math"/>
                    <w:b w:val="0"/>
                    <w:bCs w:val="0"/>
                    <w:i/>
                  </w:rPr>
                </m:ctrlPr>
              </m:sSupPr>
              <m:e>
                <m:r>
                  <m:rPr>
                    <m:sty m:val="bi"/>
                  </m:rPr>
                  <w:rPr>
                    <w:rFonts w:ascii="Cambria Math" w:hAnsi="Cambria Math"/>
                  </w:rPr>
                  <m:t>(</m:t>
                </m:r>
                <m:sSup>
                  <m:sSupPr>
                    <m:ctrlPr>
                      <w:rPr>
                        <w:rFonts w:ascii="Cambria Math" w:hAnsi="Cambria Math"/>
                        <w:b w:val="0"/>
                        <w:bCs w:val="0"/>
                        <w:i/>
                      </w:rPr>
                    </m:ctrlPr>
                  </m:sSupPr>
                  <m:e>
                    <m:r>
                      <m:rPr>
                        <m:sty m:val="bi"/>
                      </m:rPr>
                      <w:rPr>
                        <w:rFonts w:ascii="Cambria Math" w:hAnsi="Cambria Math"/>
                      </w:rPr>
                      <m:t>v</m:t>
                    </m:r>
                  </m:e>
                  <m:sup>
                    <m:r>
                      <m:rPr>
                        <m:sty m:val="bi"/>
                      </m:rPr>
                      <w:rPr>
                        <w:rFonts w:ascii="Cambria Math" w:hAnsi="Cambria Math"/>
                      </w:rPr>
                      <m:t>T</m:t>
                    </m:r>
                  </m:sup>
                </m:sSup>
                <m:r>
                  <m:rPr>
                    <m:sty m:val="bi"/>
                  </m:rPr>
                  <w:rPr>
                    <w:rFonts w:ascii="Cambria Math" w:hAnsi="Cambria Math"/>
                  </w:rPr>
                  <m:t>Wu)</m:t>
                </m:r>
              </m:e>
              <m:sup>
                <m:r>
                  <m:rPr>
                    <m:sty m:val="bi"/>
                  </m:rPr>
                  <w:rPr>
                    <w:rFonts w:ascii="Cambria Math" w:hAnsi="Cambria Math"/>
                  </w:rPr>
                  <m:t>2</m:t>
                </m:r>
              </m:sup>
            </m:sSup>
          </m:num>
          <m:den>
            <m:rad>
              <m:radPr>
                <m:degHide m:val="1"/>
                <m:ctrlPr>
                  <w:rPr>
                    <w:rFonts w:ascii="Cambria Math" w:hAnsi="Cambria Math"/>
                    <w:b w:val="0"/>
                    <w:bCs w:val="0"/>
                    <w:i/>
                  </w:rPr>
                </m:ctrlPr>
              </m:radPr>
              <m:deg/>
              <m:e>
                <m:sSup>
                  <m:sSupPr>
                    <m:ctrlPr>
                      <w:rPr>
                        <w:rFonts w:ascii="Cambria Math" w:hAnsi="Cambria Math"/>
                        <w:b w:val="0"/>
                        <w:bCs w:val="0"/>
                        <w:i/>
                      </w:rPr>
                    </m:ctrlPr>
                  </m:sSupPr>
                  <m:e>
                    <m:r>
                      <m:rPr>
                        <m:sty m:val="bi"/>
                      </m:rPr>
                      <w:rPr>
                        <w:rFonts w:ascii="Cambria Math" w:hAnsi="Cambria Math"/>
                      </w:rPr>
                      <m:t>(u</m:t>
                    </m:r>
                  </m:e>
                  <m:sup>
                    <m:r>
                      <m:rPr>
                        <m:sty m:val="bi"/>
                      </m:rPr>
                      <w:rPr>
                        <w:rFonts w:ascii="Cambria Math" w:hAnsi="Cambria Math"/>
                      </w:rPr>
                      <m:t>T</m:t>
                    </m:r>
                  </m:sup>
                </m:sSup>
                <m:sSup>
                  <m:sSupPr>
                    <m:ctrlPr>
                      <w:rPr>
                        <w:rFonts w:ascii="Cambria Math" w:hAnsi="Cambria Math"/>
                        <w:b w:val="0"/>
                        <w:bCs w:val="0"/>
                        <w:i/>
                      </w:rPr>
                    </m:ctrlPr>
                  </m:sSupPr>
                  <m:e>
                    <m:r>
                      <m:rPr>
                        <m:sty m:val="bi"/>
                      </m:rPr>
                      <w:rPr>
                        <w:rFonts w:ascii="Cambria Math" w:hAnsi="Cambria Math"/>
                      </w:rPr>
                      <m:t>W</m:t>
                    </m:r>
                  </m:e>
                  <m:sup>
                    <m:r>
                      <m:rPr>
                        <m:sty m:val="bi"/>
                      </m:rPr>
                      <w:rPr>
                        <w:rFonts w:ascii="Cambria Math" w:hAnsi="Cambria Math"/>
                      </w:rPr>
                      <m:t>T</m:t>
                    </m:r>
                  </m:sup>
                </m:sSup>
                <m:r>
                  <m:rPr>
                    <m:sty m:val="bi"/>
                  </m:rPr>
                  <w:rPr>
                    <w:rFonts w:ascii="Cambria Math" w:hAnsi="Cambria Math"/>
                  </w:rPr>
                  <m:t>Wu)(</m:t>
                </m:r>
                <m:sSup>
                  <m:sSupPr>
                    <m:ctrlPr>
                      <w:rPr>
                        <w:rFonts w:ascii="Cambria Math" w:hAnsi="Cambria Math"/>
                        <w:b w:val="0"/>
                        <w:bCs w:val="0"/>
                        <w:i/>
                      </w:rPr>
                    </m:ctrlPr>
                  </m:sSupPr>
                  <m:e>
                    <m:r>
                      <m:rPr>
                        <m:sty m:val="bi"/>
                      </m:rPr>
                      <w:rPr>
                        <w:rFonts w:ascii="Cambria Math" w:hAnsi="Cambria Math"/>
                      </w:rPr>
                      <m:t>v</m:t>
                    </m:r>
                  </m:e>
                  <m:sup>
                    <m:r>
                      <m:rPr>
                        <m:sty m:val="bi"/>
                      </m:rPr>
                      <w:rPr>
                        <w:rFonts w:ascii="Cambria Math" w:hAnsi="Cambria Math"/>
                      </w:rPr>
                      <m:t>T</m:t>
                    </m:r>
                  </m:sup>
                </m:sSup>
                <m:r>
                  <m:rPr>
                    <m:sty m:val="bi"/>
                  </m:rPr>
                  <w:rPr>
                    <w:rFonts w:ascii="Cambria Math" w:hAnsi="Cambria Math"/>
                  </w:rPr>
                  <m:t>W</m:t>
                </m:r>
                <m:sSup>
                  <m:sSupPr>
                    <m:ctrlPr>
                      <w:rPr>
                        <w:rFonts w:ascii="Cambria Math" w:hAnsi="Cambria Math"/>
                        <w:b w:val="0"/>
                        <w:bCs w:val="0"/>
                        <w:i/>
                      </w:rPr>
                    </m:ctrlPr>
                  </m:sSupPr>
                  <m:e>
                    <m:r>
                      <m:rPr>
                        <m:sty m:val="bi"/>
                      </m:rPr>
                      <w:rPr>
                        <w:rFonts w:ascii="Cambria Math" w:hAnsi="Cambria Math"/>
                      </w:rPr>
                      <m:t>W</m:t>
                    </m:r>
                  </m:e>
                  <m:sup>
                    <m:r>
                      <m:rPr>
                        <m:sty m:val="bi"/>
                      </m:rPr>
                      <w:rPr>
                        <w:rFonts w:ascii="Cambria Math" w:hAnsi="Cambria Math"/>
                      </w:rPr>
                      <m:t>T</m:t>
                    </m:r>
                  </m:sup>
                </m:sSup>
                <m:r>
                  <m:rPr>
                    <m:sty m:val="bi"/>
                  </m:rPr>
                  <w:rPr>
                    <w:rFonts w:ascii="Cambria Math" w:hAnsi="Cambria Math"/>
                  </w:rPr>
                  <m:t>v)</m:t>
                </m:r>
              </m:e>
            </m:rad>
          </m:den>
        </m:f>
      </m:oMath>
    </w:p>
    <w:p w14:paraId="03128FAD" w14:textId="3B75E021"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Steps </w:t>
      </w:r>
      <w:r w:rsidR="00A7778F">
        <w:rPr>
          <w:b w:val="0"/>
          <w:bCs w:val="0"/>
        </w:rPr>
        <w:t>2</w:t>
      </w:r>
      <w:r w:rsidRPr="00451C51">
        <w:rPr>
          <w:b w:val="0"/>
          <w:bCs w:val="0"/>
        </w:rPr>
        <w:t xml:space="preserve">a and </w:t>
      </w:r>
      <w:r w:rsidR="00A7778F">
        <w:rPr>
          <w:b w:val="0"/>
          <w:bCs w:val="0"/>
        </w:rPr>
        <w:t>2</w:t>
      </w:r>
      <w:r w:rsidRPr="00451C51">
        <w:rPr>
          <w:b w:val="0"/>
          <w:bCs w:val="0"/>
        </w:rPr>
        <w:t xml:space="preserve">b can be solved using a soft thresholding operator </w:t>
      </w:r>
      <m:oMath>
        <m:r>
          <m:rPr>
            <m:sty m:val="bi"/>
          </m:rPr>
          <w:rPr>
            <w:rFonts w:ascii="Cambria Math" w:hAnsi="Cambria Math"/>
          </w:rPr>
          <m:t>S</m:t>
        </m:r>
        <m:d>
          <m:dPr>
            <m:ctrlPr>
              <w:rPr>
                <w:rFonts w:ascii="Cambria Math" w:hAnsi="Cambria Math"/>
                <w:b w:val="0"/>
                <w:bCs w:val="0"/>
                <w:i/>
              </w:rPr>
            </m:ctrlPr>
          </m:dPr>
          <m:e>
            <m:r>
              <m:rPr>
                <m:sty m:val="bi"/>
              </m:rPr>
              <w:rPr>
                <w:rFonts w:ascii="Cambria Math" w:hAnsi="Cambria Math"/>
              </w:rPr>
              <m:t>a,b</m:t>
            </m:r>
          </m:e>
        </m:d>
        <m:r>
          <m:rPr>
            <m:sty m:val="bi"/>
          </m:rPr>
          <w:rPr>
            <w:rFonts w:ascii="Cambria Math" w:hAnsi="Cambria Math"/>
          </w:rPr>
          <m:t>=sign(a)(</m:t>
        </m:r>
        <m:d>
          <m:dPr>
            <m:begChr m:val="|"/>
            <m:endChr m:val="|"/>
            <m:ctrlPr>
              <w:rPr>
                <w:rFonts w:ascii="Cambria Math" w:hAnsi="Cambria Math"/>
                <w:b w:val="0"/>
                <w:bCs w:val="0"/>
                <w:i/>
              </w:rPr>
            </m:ctrlPr>
          </m:dPr>
          <m:e>
            <m:r>
              <m:rPr>
                <m:sty m:val="bi"/>
              </m:rPr>
              <w:rPr>
                <w:rFonts w:ascii="Cambria Math" w:hAnsi="Cambria Math"/>
              </w:rPr>
              <m:t>a</m:t>
            </m:r>
          </m:e>
        </m:d>
        <m:r>
          <m:rPr>
            <m:sty m:val="bi"/>
          </m:rPr>
          <w:rPr>
            <w:rFonts w:ascii="Cambria Math" w:hAnsi="Cambria Math"/>
          </w:rPr>
          <m:t>-b)</m:t>
        </m:r>
      </m:oMath>
      <w:r w:rsidRPr="00451C51">
        <w:rPr>
          <w:b w:val="0"/>
          <w:bCs w:val="0"/>
        </w:rPr>
        <w:t xml:space="preserve"> as described in Witten and Tibshirani</w:t>
      </w:r>
      <w:r w:rsidRPr="00451C51">
        <w:rPr>
          <w:b w:val="0"/>
          <w:bCs w:val="0"/>
        </w:rPr>
        <w:fldChar w:fldCharType="begin" w:fldLock="1"/>
      </w:r>
      <w:r w:rsidR="006C02E4" w:rsidRPr="00451C51">
        <w:rPr>
          <w:b w:val="0"/>
          <w:bCs w:val="0"/>
        </w:rPr>
        <w:instrText>ADDIN CSL_CITATION {"citationItems":[{"id":"ITEM-1","itemData":{"DOI":"10.1093/biostatistics/kxp008","ISSN":"14654644","abstract":"We present a penalized matrix decomposition (PMD), a new framework for computing a rank-K approximation for a matrix. We approximate the matrix X as, where dk, uk, and vk minimize the squared Frobenius norm of X, subject to penalties on uk and vk. This results in a regularized version of the singular value decomposition. Of particular interest is the use of L1-penalties on uk and vk, which yields a decomposition of X using sparse vectors. We show that when the PMD is applied using an L1-penalty on vk but not on uk, a method for sparse principal components results. In fact, this yields an efficient algorithm for the \"SCoTLASS\" proposal (Jolliffe and others 2003) for obtaining sparse principal components. This method is demonstrated on a publicly available gene expression data set. We also establish connections between the SCoTLASS method for sparse principal component analysis and the method of Zou and others (2006). In addition, we show that when the PMD is applied to a cross-products matrix, it results in a method for penalized canonical correlation analysis (CCA). We apply this penalized CCA method to simulated data and to a genomic data set consisting of gene expression and DNA copy number measurements on the same set of samples.","author":[{"dropping-particle":"","family":"Witten","given":"Daniela M.","non-dropping-particle":"","parse-names":false,"suffix":""},{"dropping-particle":"","family":"Tibshirani","given":"Robert","non-dropping-particle":"","parse-names":false,"suffix":""},{"dropping-particle":"","family":"Hastie","given":"Trevor","non-dropping-particle":"","parse-names":false,"suffix":""}],"container-title":"Biostatistics","id":"ITEM-1","issued":{"date-parts":[["2009"]]},"title":"A penalized matrix decomposition, with applications to sparse principal components and canonical correlation analysis","type":"article-journal"},"uris":["http://www.mendeley.com/documents/?uuid=5ed9df97-da3a-40c1-820c-b0f22f48e895"]}],"mendeley":{"formattedCitation":"&lt;sup&gt;2&lt;/sup&gt;","plainTextFormattedCitation":"2","previouslyFormattedCitation":"&lt;sup&gt;2&lt;/sup&gt;"},"properties":{"noteIndex":0},"schema":"https://github.com/citation-style-language/schema/raw/master/csl-citation.json"}</w:instrText>
      </w:r>
      <w:r w:rsidRPr="00451C51">
        <w:rPr>
          <w:b w:val="0"/>
          <w:bCs w:val="0"/>
        </w:rPr>
        <w:fldChar w:fldCharType="separate"/>
      </w:r>
      <w:r w:rsidR="006C02E4" w:rsidRPr="00451C51">
        <w:rPr>
          <w:b w:val="0"/>
          <w:bCs w:val="0"/>
          <w:noProof/>
          <w:vertAlign w:val="superscript"/>
        </w:rPr>
        <w:t>2</w:t>
      </w:r>
      <w:r w:rsidRPr="00451C51">
        <w:rPr>
          <w:b w:val="0"/>
          <w:bCs w:val="0"/>
        </w:rPr>
        <w:fldChar w:fldCharType="end"/>
      </w:r>
      <w:r w:rsidRPr="00451C51">
        <w:rPr>
          <w:b w:val="0"/>
          <w:bCs w:val="0"/>
        </w:rPr>
        <w:t>. Given the first pair of sparse CC components, we use the previous algorithm with a matrix deflated cross-covariance matrix to obtain the subsequent pairs of CC components</w:t>
      </w:r>
    </w:p>
    <w:p w14:paraId="7A1EA394" w14:textId="7F4CC514" w:rsidR="008932DA" w:rsidRPr="00451C51" w:rsidRDefault="001F7575" w:rsidP="008932DA">
      <w:pPr>
        <w:pStyle w:val="Heading4"/>
        <w:shd w:val="clear" w:color="auto" w:fill="FFFFFF"/>
        <w:spacing w:before="150" w:beforeAutospacing="0" w:after="150" w:afterAutospacing="0" w:line="480" w:lineRule="auto"/>
        <w:jc w:val="center"/>
        <w:textAlignment w:val="baseline"/>
        <w:rPr>
          <w:b w:val="0"/>
          <w:bCs w:val="0"/>
        </w:rPr>
      </w:pPr>
      <m:oMathPara>
        <m:oMath>
          <m:sSub>
            <m:sSubPr>
              <m:ctrlPr>
                <w:rPr>
                  <w:rFonts w:ascii="Cambria Math" w:hAnsi="Cambria Math"/>
                  <w:b w:val="0"/>
                  <w:bCs w:val="0"/>
                  <w:i/>
                </w:rPr>
              </m:ctrlPr>
            </m:sSubPr>
            <m:e>
              <m:r>
                <m:rPr>
                  <m:sty m:val="bi"/>
                </m:rPr>
                <w:rPr>
                  <w:rFonts w:ascii="Cambria Math" w:hAnsi="Cambria Math"/>
                </w:rPr>
                <m:t>W</m:t>
              </m:r>
            </m:e>
            <m:sub>
              <m:r>
                <m:rPr>
                  <m:sty m:val="bi"/>
                </m:rPr>
                <w:rPr>
                  <w:rFonts w:ascii="Cambria Math" w:hAnsi="Cambria Math"/>
                </w:rPr>
                <m:t>deflated</m:t>
              </m:r>
            </m:sub>
          </m:sSub>
          <m:r>
            <m:rPr>
              <m:sty m:val="bi"/>
            </m:rPr>
            <w:rPr>
              <w:rFonts w:ascii="Cambria Math" w:hAnsi="Cambria Math"/>
            </w:rPr>
            <m:t>= W-|q|v</m:t>
          </m:r>
          <m:sSup>
            <m:sSupPr>
              <m:ctrlPr>
                <w:rPr>
                  <w:rFonts w:ascii="Cambria Math" w:hAnsi="Cambria Math"/>
                  <w:b w:val="0"/>
                  <w:bCs w:val="0"/>
                  <w:i/>
                </w:rPr>
              </m:ctrlPr>
            </m:sSupPr>
            <m:e>
              <m:r>
                <m:rPr>
                  <m:sty m:val="bi"/>
                </m:rPr>
                <w:rPr>
                  <w:rFonts w:ascii="Cambria Math" w:hAnsi="Cambria Math"/>
                </w:rPr>
                <m:t>u</m:t>
              </m:r>
            </m:e>
            <m:sup>
              <m:r>
                <m:rPr>
                  <m:sty m:val="bi"/>
                </m:rPr>
                <w:rPr>
                  <w:rFonts w:ascii="Cambria Math" w:hAnsi="Cambria Math"/>
                </w:rPr>
                <m:t>T</m:t>
              </m:r>
            </m:sup>
          </m:sSup>
        </m:oMath>
      </m:oMathPara>
    </w:p>
    <w:p w14:paraId="04766CC4" w14:textId="1FBBAF9B" w:rsidR="008932DA" w:rsidRPr="00451C51" w:rsidRDefault="008932DA" w:rsidP="008932DA">
      <w:pPr>
        <w:pStyle w:val="Heading4"/>
        <w:shd w:val="clear" w:color="auto" w:fill="FFFFFF"/>
        <w:spacing w:before="150" w:beforeAutospacing="0" w:after="150" w:afterAutospacing="0" w:line="480" w:lineRule="auto"/>
        <w:jc w:val="both"/>
        <w:textAlignment w:val="baseline"/>
      </w:pPr>
      <w:r w:rsidRPr="00451C51">
        <w:t xml:space="preserve">Choice of </w:t>
      </w:r>
      <w:r w:rsidR="002D6597">
        <w:t>sparsity</w:t>
      </w:r>
      <w:r w:rsidRPr="00451C51">
        <w:t xml:space="preserve"> parameters</w:t>
      </w:r>
    </w:p>
    <w:p w14:paraId="4E375951" w14:textId="462513DE"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Most applications of variable selection use cross-validation techniques to determine the choice the tuning parameters</w:t>
      </w:r>
      <m:oMath>
        <m:r>
          <m:rPr>
            <m:sty m:val="bi"/>
          </m:rPr>
          <w:rPr>
            <w:rFonts w:ascii="Cambria Math" w:hAnsi="Cambria Math"/>
          </w:rPr>
          <m:t xml:space="preserve"> </m:t>
        </m:r>
      </m:oMath>
      <w:r w:rsidRPr="00451C51">
        <w:rPr>
          <w:b w:val="0"/>
          <w:bCs w:val="0"/>
        </w:rPr>
        <w:t>that will maximiz</w:t>
      </w:r>
      <w:r w:rsidR="00C55E4C" w:rsidRPr="00451C51">
        <w:rPr>
          <w:b w:val="0"/>
          <w:bCs w:val="0"/>
        </w:rPr>
        <w:t>e</w:t>
      </w:r>
      <w:r w:rsidRPr="00451C51">
        <w:rPr>
          <w:b w:val="0"/>
          <w:bCs w:val="0"/>
        </w:rPr>
        <w:t xml:space="preserve"> the prediction accuracy in an independent test sample. However, in our analysis, prediction is not the aim and interpretation of </w:t>
      </w:r>
      <w:proofErr w:type="spellStart"/>
      <w:r w:rsidR="004F01D5">
        <w:rPr>
          <w:b w:val="0"/>
          <w:bCs w:val="0"/>
        </w:rPr>
        <w:t>s</w:t>
      </w:r>
      <w:r w:rsidRPr="00451C51">
        <w:rPr>
          <w:b w:val="0"/>
          <w:bCs w:val="0"/>
        </w:rPr>
        <w:t>CC</w:t>
      </w:r>
      <w:proofErr w:type="spellEnd"/>
      <w:r w:rsidRPr="00451C51">
        <w:rPr>
          <w:b w:val="0"/>
          <w:bCs w:val="0"/>
        </w:rPr>
        <w:t xml:space="preserve"> components is of </w:t>
      </w:r>
      <w:r w:rsidRPr="00451C51">
        <w:rPr>
          <w:b w:val="0"/>
          <w:bCs w:val="0"/>
        </w:rPr>
        <w:lastRenderedPageBreak/>
        <w:t xml:space="preserve">greater interest. Further, because of individual level data are typically not available, a cross-validation approach is not feasible. Below we propose choosing </w:t>
      </w:r>
      <w:r w:rsidR="004F01D5">
        <w:rPr>
          <w:b w:val="0"/>
          <w:bCs w:val="0"/>
        </w:rPr>
        <w:t>sparsity</w:t>
      </w:r>
      <w:r w:rsidRPr="00451C51">
        <w:rPr>
          <w:b w:val="0"/>
          <w:bCs w:val="0"/>
        </w:rPr>
        <w:t xml:space="preserve"> parameters based on an intersection-minimization approach to improve the interpretation of the sparse CC components. </w:t>
      </w:r>
    </w:p>
    <w:p w14:paraId="3C6A6885" w14:textId="4A107ACA"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Although traditional CC analysis produces orthogonal components, in sCCA orthogonality cannot be guaranteed by the estimation algorithm we used. Here, we aim to minimize the intersection of the variants (gene</w:t>
      </w:r>
      <w:r w:rsidR="008F5710" w:rsidRPr="00451C51">
        <w:rPr>
          <w:b w:val="0"/>
          <w:bCs w:val="0"/>
        </w:rPr>
        <w:t>s</w:t>
      </w:r>
      <w:r w:rsidRPr="00451C51">
        <w:rPr>
          <w:b w:val="0"/>
          <w:bCs w:val="0"/>
        </w:rPr>
        <w:t xml:space="preserve">) selected in successive variant- (gene-) components to ensure that we capture approximately orthogonal patterns of </w:t>
      </w:r>
      <w:r w:rsidRPr="00451C51">
        <w:rPr>
          <w:b w:val="0"/>
          <w:bCs w:val="0"/>
          <w:i/>
        </w:rPr>
        <w:t>trans</w:t>
      </w:r>
      <w:r w:rsidRPr="00451C51">
        <w:rPr>
          <w:b w:val="0"/>
          <w:bCs w:val="0"/>
        </w:rPr>
        <w:t>-association. In particular, we use the following algorithm to estimate the tuning parameters:</w:t>
      </w:r>
    </w:p>
    <w:p w14:paraId="593885F7" w14:textId="4F9C37C8"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Let,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uk</m:t>
            </m:r>
          </m:sub>
        </m:sSub>
        <m:r>
          <m:rPr>
            <m:sty m:val="bi"/>
          </m:rPr>
          <w:rPr>
            <w:rFonts w:ascii="Cambria Math" w:hAnsi="Cambria Math"/>
          </w:rPr>
          <m:t xml:space="preserve"> </m:t>
        </m:r>
      </m:oMath>
      <w:r w:rsidRPr="00451C51">
        <w:rPr>
          <w:b w:val="0"/>
          <w:bCs w:val="0"/>
        </w:rPr>
        <w:t xml:space="preserve">and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vk</m:t>
            </m:r>
          </m:sub>
        </m:sSub>
      </m:oMath>
      <w:r w:rsidRPr="00451C51">
        <w:rPr>
          <w:b w:val="0"/>
          <w:bCs w:val="0"/>
        </w:rPr>
        <w:t xml:space="preserve"> , </w:t>
      </w:r>
      <m:oMath>
        <m:r>
          <m:rPr>
            <m:sty m:val="bi"/>
          </m:rPr>
          <w:rPr>
            <w:rFonts w:ascii="Cambria Math" w:hAnsi="Cambria Math"/>
          </w:rPr>
          <m:t>k=1,2, 3,..,</m:t>
        </m:r>
        <m:r>
          <m:rPr>
            <m:sty m:val="b"/>
          </m:rPr>
          <w:rPr>
            <w:rFonts w:ascii="Cambria Math" w:hAnsi="Cambria Math"/>
          </w:rPr>
          <m:t>mi</m:t>
        </m:r>
        <m:func>
          <m:funcPr>
            <m:ctrlPr>
              <w:rPr>
                <w:rFonts w:ascii="Cambria Math" w:hAnsi="Cambria Math"/>
              </w:rPr>
            </m:ctrlPr>
          </m:funcPr>
          <m:fName>
            <m:r>
              <m:rPr>
                <m:sty m:val="b"/>
              </m:rPr>
              <w:rPr>
                <w:rFonts w:ascii="Cambria Math" w:hAnsi="Cambria Math"/>
              </w:rPr>
              <m:t>n</m:t>
            </m:r>
          </m:fName>
          <m:e>
            <m:d>
              <m:dPr>
                <m:ctrlPr>
                  <w:rPr>
                    <w:rFonts w:ascii="Cambria Math" w:hAnsi="Cambria Math"/>
                    <w:i/>
                  </w:rPr>
                </m:ctrlPr>
              </m:dPr>
              <m:e>
                <m:r>
                  <m:rPr>
                    <m:sty m:val="bi"/>
                  </m:rPr>
                  <w:rPr>
                    <w:rFonts w:ascii="Cambria Math" w:hAnsi="Cambria Math"/>
                  </w:rPr>
                  <m:t>p,q</m:t>
                </m:r>
              </m:e>
            </m:d>
          </m:e>
        </m:func>
        <m:r>
          <m:rPr>
            <m:sty m:val="bi"/>
          </m:rPr>
          <w:rPr>
            <w:rFonts w:ascii="Cambria Math" w:hAnsi="Cambria Math"/>
          </w:rPr>
          <m:t xml:space="preserve">-1, </m:t>
        </m:r>
      </m:oMath>
      <w:r w:rsidRPr="00451C51">
        <w:rPr>
          <w:b w:val="0"/>
          <w:bCs w:val="0"/>
        </w:rPr>
        <w:t>are a set of grid points for the tuning parameters associated with variants and gene expression compo</w:t>
      </w:r>
      <w:r w:rsidR="008F5710" w:rsidRPr="00451C51">
        <w:rPr>
          <w:b w:val="0"/>
          <w:bCs w:val="0"/>
        </w:rPr>
        <w:t>n</w:t>
      </w:r>
      <w:r w:rsidRPr="00451C51">
        <w:rPr>
          <w:b w:val="0"/>
          <w:bCs w:val="0"/>
        </w:rPr>
        <w:t>ents, respectively.</w:t>
      </w:r>
    </w:p>
    <w:p w14:paraId="687831CA" w14:textId="77777777" w:rsidR="008932DA" w:rsidRPr="00451C51" w:rsidRDefault="008932DA" w:rsidP="008932DA">
      <w:pPr>
        <w:pStyle w:val="Heading4"/>
        <w:numPr>
          <w:ilvl w:val="0"/>
          <w:numId w:val="2"/>
        </w:numPr>
        <w:shd w:val="clear" w:color="auto" w:fill="FFFFFF"/>
        <w:spacing w:before="150" w:beforeAutospacing="0" w:after="150" w:afterAutospacing="0" w:line="480" w:lineRule="auto"/>
        <w:jc w:val="both"/>
        <w:textAlignment w:val="baseline"/>
        <w:rPr>
          <w:b w:val="0"/>
          <w:bCs w:val="0"/>
        </w:rPr>
      </w:pPr>
      <w:r w:rsidRPr="00451C51">
        <w:rPr>
          <w:b w:val="0"/>
          <w:bCs w:val="0"/>
        </w:rPr>
        <w:t xml:space="preserve">For </w:t>
      </w:r>
      <m:oMath>
        <m:r>
          <m:rPr>
            <m:sty m:val="bi"/>
          </m:rPr>
          <w:rPr>
            <w:rFonts w:ascii="Cambria Math" w:hAnsi="Cambria Math"/>
          </w:rPr>
          <m:t xml:space="preserve">k=2, 3,.., </m:t>
        </m:r>
        <m:r>
          <m:rPr>
            <m:sty m:val="b"/>
          </m:rPr>
          <w:rPr>
            <w:rFonts w:ascii="Cambria Math" w:hAnsi="Cambria Math"/>
          </w:rPr>
          <m:t>min⁡</m:t>
        </m:r>
        <m:r>
          <m:rPr>
            <m:sty m:val="bi"/>
          </m:rPr>
          <w:rPr>
            <w:rFonts w:ascii="Cambria Math" w:hAnsi="Cambria Math"/>
          </w:rPr>
          <m:t>(p,q)</m:t>
        </m:r>
      </m:oMath>
    </w:p>
    <w:p w14:paraId="661B0326" w14:textId="2081833C" w:rsidR="008932DA" w:rsidRPr="00451C51" w:rsidRDefault="008932DA" w:rsidP="008932DA">
      <w:pPr>
        <w:pStyle w:val="Heading4"/>
        <w:numPr>
          <w:ilvl w:val="1"/>
          <w:numId w:val="2"/>
        </w:numPr>
        <w:shd w:val="clear" w:color="auto" w:fill="FFFFFF"/>
        <w:spacing w:before="150" w:beforeAutospacing="0" w:after="150" w:afterAutospacing="0" w:line="480" w:lineRule="auto"/>
        <w:jc w:val="both"/>
        <w:textAlignment w:val="baseline"/>
        <w:rPr>
          <w:b w:val="0"/>
          <w:bCs w:val="0"/>
        </w:rPr>
      </w:pPr>
      <w:r w:rsidRPr="00451C51">
        <w:rPr>
          <w:b w:val="0"/>
          <w:bCs w:val="0"/>
        </w:rPr>
        <w:t xml:space="preserve">Determine the largest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uk</m:t>
            </m:r>
          </m:sub>
        </m:sSub>
        <m:r>
          <m:rPr>
            <m:sty m:val="bi"/>
          </m:rPr>
          <w:rPr>
            <w:rFonts w:ascii="Cambria Math" w:hAnsi="Cambria Math"/>
          </w:rPr>
          <m:t xml:space="preserve"> ∈[0,1]</m:t>
        </m:r>
      </m:oMath>
      <w:r w:rsidRPr="00451C51">
        <w:rPr>
          <w:b w:val="0"/>
          <w:bCs w:val="0"/>
        </w:rPr>
        <w:t xml:space="preserve"> </w:t>
      </w:r>
      <w:r w:rsidR="008F5710" w:rsidRPr="00451C51">
        <w:rPr>
          <w:b w:val="0"/>
          <w:bCs w:val="0"/>
        </w:rPr>
        <w:t xml:space="preserve">through a grid search </w:t>
      </w:r>
      <w:r w:rsidRPr="00451C51">
        <w:rPr>
          <w:b w:val="0"/>
          <w:bCs w:val="0"/>
        </w:rPr>
        <w:t xml:space="preserve">such that </w:t>
      </w:r>
      <m:oMath>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k</m:t>
            </m:r>
          </m:sub>
        </m:sSub>
        <m:nary>
          <m:naryPr>
            <m:chr m:val="⨀"/>
            <m:subHide m:val="1"/>
            <m:supHide m:val="1"/>
            <m:ctrlPr>
              <w:rPr>
                <w:rFonts w:ascii="Cambria Math" w:hAnsi="Cambria Math"/>
                <w:b w:val="0"/>
                <w:bCs w:val="0"/>
                <w:i/>
              </w:rPr>
            </m:ctrlPr>
          </m:naryPr>
          <m:sub/>
          <m:sup/>
          <m:e>
            <m:sSub>
              <m:sSubPr>
                <m:ctrlPr>
                  <w:rPr>
                    <w:rFonts w:ascii="Cambria Math" w:hAnsi="Cambria Math"/>
                    <w:b w:val="0"/>
                    <w:bCs w:val="0"/>
                    <w:i/>
                  </w:rPr>
                </m:ctrlPr>
              </m:sSubPr>
              <m:e>
                <m:r>
                  <m:rPr>
                    <m:sty m:val="bi"/>
                  </m:rPr>
                  <w:rPr>
                    <w:rFonts w:ascii="Cambria Math" w:hAnsi="Cambria Math"/>
                  </w:rPr>
                  <m:t>u</m:t>
                </m:r>
              </m:e>
              <m:sub>
                <m:r>
                  <m:rPr>
                    <m:sty m:val="bi"/>
                  </m:rPr>
                  <w:rPr>
                    <w:rFonts w:ascii="Cambria Math" w:hAnsi="Cambria Math"/>
                  </w:rPr>
                  <m:t>k+1</m:t>
                </m:r>
              </m:sub>
            </m:sSub>
          </m:e>
        </m:nary>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0</m:t>
            </m:r>
          </m:sub>
        </m:sSub>
      </m:oMath>
      <w:r w:rsidRPr="00451C51">
        <w:rPr>
          <w:b w:val="0"/>
          <w:bCs w:val="0"/>
        </w:rPr>
        <w:t xml:space="preserve"> is minimized. </w:t>
      </w:r>
    </w:p>
    <w:p w14:paraId="3554B0CE" w14:textId="20EF41C5" w:rsidR="008932DA" w:rsidRPr="00451C51" w:rsidRDefault="008932DA" w:rsidP="008932DA">
      <w:pPr>
        <w:pStyle w:val="Heading4"/>
        <w:numPr>
          <w:ilvl w:val="1"/>
          <w:numId w:val="2"/>
        </w:numPr>
        <w:shd w:val="clear" w:color="auto" w:fill="FFFFFF"/>
        <w:spacing w:before="150" w:beforeAutospacing="0" w:after="150" w:afterAutospacing="0" w:line="480" w:lineRule="auto"/>
        <w:jc w:val="both"/>
        <w:textAlignment w:val="baseline"/>
        <w:rPr>
          <w:b w:val="0"/>
          <w:bCs w:val="0"/>
        </w:rPr>
      </w:pPr>
      <w:r w:rsidRPr="00451C51">
        <w:rPr>
          <w:b w:val="0"/>
          <w:bCs w:val="0"/>
        </w:rPr>
        <w:t xml:space="preserve">Determine the largest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vk</m:t>
            </m:r>
          </m:sub>
        </m:sSub>
        <m:r>
          <m:rPr>
            <m:sty m:val="bi"/>
          </m:rPr>
          <w:rPr>
            <w:rFonts w:ascii="Cambria Math" w:hAnsi="Cambria Math"/>
          </w:rPr>
          <m:t>∈[0,1]</m:t>
        </m:r>
      </m:oMath>
      <w:r w:rsidRPr="00451C51">
        <w:rPr>
          <w:b w:val="0"/>
          <w:bCs w:val="0"/>
        </w:rPr>
        <w:t xml:space="preserve"> </w:t>
      </w:r>
      <w:r w:rsidR="008F5710" w:rsidRPr="00451C51">
        <w:rPr>
          <w:b w:val="0"/>
          <w:bCs w:val="0"/>
        </w:rPr>
        <w:t xml:space="preserve">through a grid search </w:t>
      </w:r>
      <w:r w:rsidRPr="00451C51">
        <w:rPr>
          <w:b w:val="0"/>
          <w:bCs w:val="0"/>
        </w:rPr>
        <w:t xml:space="preserve">such that </w:t>
      </w:r>
      <m:oMath>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k</m:t>
            </m:r>
          </m:sub>
        </m:sSub>
        <m:nary>
          <m:naryPr>
            <m:chr m:val="⨀"/>
            <m:subHide m:val="1"/>
            <m:supHide m:val="1"/>
            <m:ctrlPr>
              <w:rPr>
                <w:rFonts w:ascii="Cambria Math" w:hAnsi="Cambria Math"/>
                <w:b w:val="0"/>
                <w:bCs w:val="0"/>
                <w:i/>
              </w:rPr>
            </m:ctrlPr>
          </m:naryPr>
          <m:sub/>
          <m:sup/>
          <m:e>
            <m:sSub>
              <m:sSubPr>
                <m:ctrlPr>
                  <w:rPr>
                    <w:rFonts w:ascii="Cambria Math" w:hAnsi="Cambria Math"/>
                    <w:b w:val="0"/>
                    <w:bCs w:val="0"/>
                    <w:i/>
                  </w:rPr>
                </m:ctrlPr>
              </m:sSubPr>
              <m:e>
                <m:r>
                  <m:rPr>
                    <m:sty m:val="bi"/>
                  </m:rPr>
                  <w:rPr>
                    <w:rFonts w:ascii="Cambria Math" w:hAnsi="Cambria Math"/>
                  </w:rPr>
                  <m:t>v</m:t>
                </m:r>
              </m:e>
              <m:sub>
                <m:r>
                  <m:rPr>
                    <m:sty m:val="bi"/>
                  </m:rPr>
                  <w:rPr>
                    <w:rFonts w:ascii="Cambria Math" w:hAnsi="Cambria Math"/>
                  </w:rPr>
                  <m:t>k+1</m:t>
                </m:r>
              </m:sub>
            </m:sSub>
          </m:e>
        </m:nary>
        <m:sSub>
          <m:sSubPr>
            <m:ctrlPr>
              <w:rPr>
                <w:rFonts w:ascii="Cambria Math" w:hAnsi="Cambria Math"/>
                <w:b w:val="0"/>
                <w:bCs w:val="0"/>
                <w:i/>
              </w:rPr>
            </m:ctrlPr>
          </m:sSubPr>
          <m:e>
            <m:r>
              <m:rPr>
                <m:sty m:val="bi"/>
              </m:rPr>
              <w:rPr>
                <w:rFonts w:ascii="Cambria Math" w:hAnsi="Cambria Math"/>
              </w:rPr>
              <m:t>||</m:t>
            </m:r>
          </m:e>
          <m:sub>
            <m:r>
              <m:rPr>
                <m:sty m:val="bi"/>
              </m:rPr>
              <w:rPr>
                <w:rFonts w:ascii="Cambria Math" w:hAnsi="Cambria Math"/>
              </w:rPr>
              <m:t>0</m:t>
            </m:r>
          </m:sub>
        </m:sSub>
      </m:oMath>
      <w:r w:rsidRPr="00451C51">
        <w:rPr>
          <w:b w:val="0"/>
          <w:bCs w:val="0"/>
        </w:rPr>
        <w:t xml:space="preserve"> is minimized. </w:t>
      </w:r>
    </w:p>
    <w:p w14:paraId="0D0FAD2D" w14:textId="77777777" w:rsidR="008932DA" w:rsidRPr="00451C51" w:rsidRDefault="001F7575" w:rsidP="008932DA">
      <w:pPr>
        <w:pStyle w:val="Heading4"/>
        <w:numPr>
          <w:ilvl w:val="0"/>
          <w:numId w:val="2"/>
        </w:numPr>
        <w:shd w:val="clear" w:color="auto" w:fill="FFFFFF"/>
        <w:spacing w:before="150" w:beforeAutospacing="0" w:after="150" w:afterAutospacing="0" w:line="480" w:lineRule="auto"/>
        <w:jc w:val="both"/>
        <w:textAlignment w:val="baseline"/>
        <w:rPr>
          <w:b w:val="0"/>
          <w:bCs w:val="0"/>
        </w:rPr>
      </w:pP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m:t>
            </m:r>
          </m:sub>
        </m:sSub>
        <m:r>
          <m:rPr>
            <m:sty m:val="bi"/>
          </m:rPr>
          <w:rPr>
            <w:rFonts w:ascii="Cambria Math" w:hAnsi="Cambria Math"/>
          </w:rPr>
          <m:t>=</m:t>
        </m:r>
        <m:r>
          <m:rPr>
            <m:sty m:val="b"/>
          </m:rPr>
          <w:rPr>
            <w:rFonts w:ascii="Cambria Math" w:hAnsi="Cambria Math"/>
          </w:rPr>
          <m:t>max</m:t>
        </m:r>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uk</m:t>
            </m:r>
          </m:sub>
        </m:sSub>
        <m:r>
          <m:rPr>
            <m:sty m:val="bi"/>
          </m:rPr>
          <w:rPr>
            <w:rFonts w:ascii="Cambria Math" w:hAnsi="Cambria Math"/>
          </w:rPr>
          <m:t>)</m:t>
        </m:r>
      </m:oMath>
      <w:r w:rsidR="008932DA" w:rsidRPr="00451C51">
        <w:rPr>
          <w:b w:val="0"/>
          <w:bCs w:val="0"/>
        </w:rPr>
        <w:t xml:space="preserve"> and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m:t>
            </m:r>
          </m:sub>
        </m:sSub>
        <m:r>
          <m:rPr>
            <m:sty m:val="bi"/>
          </m:rPr>
          <w:rPr>
            <w:rFonts w:ascii="Cambria Math" w:hAnsi="Cambria Math"/>
          </w:rPr>
          <m:t>=</m:t>
        </m:r>
        <m:func>
          <m:funcPr>
            <m:ctrlPr>
              <w:rPr>
                <w:rFonts w:ascii="Cambria Math" w:hAnsi="Cambria Math"/>
                <w:b w:val="0"/>
                <w:bCs w:val="0"/>
                <w:i/>
              </w:rPr>
            </m:ctrlPr>
          </m:funcPr>
          <m:fName>
            <m:r>
              <m:rPr>
                <m:sty m:val="b"/>
              </m:rPr>
              <w:rPr>
                <w:rFonts w:ascii="Cambria Math" w:hAnsi="Cambria Math"/>
              </w:rPr>
              <m:t>max</m:t>
            </m:r>
          </m:fName>
          <m:e>
            <m:r>
              <m:rPr>
                <m:sty m:val="bi"/>
              </m:rPr>
              <w:rPr>
                <w:rFonts w:ascii="Cambria Math" w:hAnsi="Cambria Math"/>
              </w:rPr>
              <m:t>(</m:t>
            </m:r>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vk</m:t>
                </m:r>
              </m:sub>
            </m:sSub>
            <m:r>
              <m:rPr>
                <m:sty m:val="bi"/>
              </m:rPr>
              <w:rPr>
                <w:rFonts w:ascii="Cambria Math" w:hAnsi="Cambria Math"/>
              </w:rPr>
              <m:t>)</m:t>
            </m:r>
          </m:e>
        </m:func>
      </m:oMath>
    </w:p>
    <w:p w14:paraId="2D733EC3" w14:textId="581D785A" w:rsidR="008932DA" w:rsidRPr="00451C51" w:rsidRDefault="008932DA"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where </w:t>
      </w:r>
      <m:oMath>
        <m:r>
          <m:rPr>
            <m:sty m:val="bi"/>
          </m:rPr>
          <w:rPr>
            <w:rFonts w:ascii="Cambria Math" w:hAnsi="Cambria Math"/>
          </w:rPr>
          <m:t>⨀</m:t>
        </m:r>
      </m:oMath>
      <w:r w:rsidRPr="00451C51">
        <w:rPr>
          <w:b w:val="0"/>
          <w:bCs w:val="0"/>
        </w:rPr>
        <w:t xml:space="preserve"> denotes element wise vector multiplication. In steps 1a and b,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uk</m:t>
            </m:r>
          </m:sub>
        </m:sSub>
        <m:r>
          <m:rPr>
            <m:sty m:val="bi"/>
          </m:rPr>
          <w:rPr>
            <w:rFonts w:ascii="Cambria Math" w:hAnsi="Cambria Math"/>
          </w:rPr>
          <m:t xml:space="preserve"> </m:t>
        </m:r>
      </m:oMath>
      <w:r w:rsidRPr="00451C51">
        <w:rPr>
          <w:b w:val="0"/>
          <w:bCs w:val="0"/>
        </w:rPr>
        <w:t xml:space="preserve">and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vk</m:t>
            </m:r>
          </m:sub>
        </m:sSub>
      </m:oMath>
      <w:r w:rsidRPr="00451C51">
        <w:rPr>
          <w:b w:val="0"/>
          <w:bCs w:val="0"/>
        </w:rPr>
        <w:t xml:space="preserve"> are determined using a two-way grid-search. We do not know of any theoretical results that might guarantee that the sets of variants (genes) can always be chosen to be mutually exclusive. However, in our analysis with the eQTLGen data, we obtained non-intersecting sets of selected genes and variants across the ARCHIE components</w:t>
      </w:r>
      <w:r w:rsidR="004F01D5">
        <w:rPr>
          <w:b w:val="0"/>
          <w:bCs w:val="0"/>
        </w:rPr>
        <w:t xml:space="preserve"> making them orthogonal</w:t>
      </w:r>
      <w:r w:rsidRPr="00451C51">
        <w:rPr>
          <w:b w:val="0"/>
          <w:bCs w:val="0"/>
        </w:rPr>
        <w:t xml:space="preserve">. Of note, in our sCCA framework, we </w:t>
      </w:r>
      <w:r w:rsidRPr="00451C51">
        <w:rPr>
          <w:b w:val="0"/>
          <w:bCs w:val="0"/>
        </w:rPr>
        <w:lastRenderedPageBreak/>
        <w:t xml:space="preserve">have the additional flexibility of using different tuning parameters for different sparse CC components given by the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uk</m:t>
            </m:r>
          </m:sub>
        </m:sSub>
        <m:r>
          <m:rPr>
            <m:sty m:val="bi"/>
          </m:rPr>
          <w:rPr>
            <w:rFonts w:ascii="Cambria Math" w:hAnsi="Cambria Math"/>
          </w:rPr>
          <m:t xml:space="preserve"> </m:t>
        </m:r>
      </m:oMath>
      <w:r w:rsidRPr="00451C51">
        <w:rPr>
          <w:b w:val="0"/>
          <w:bCs w:val="0"/>
        </w:rPr>
        <w:t xml:space="preserve">and </w:t>
      </w:r>
      <m:oMath>
        <m:sSub>
          <m:sSubPr>
            <m:ctrlPr>
              <w:rPr>
                <w:rFonts w:ascii="Cambria Math" w:hAnsi="Cambria Math"/>
                <w:b w:val="0"/>
                <w:bCs w:val="0"/>
                <w:i/>
              </w:rPr>
            </m:ctrlPr>
          </m:sSubPr>
          <m:e>
            <m:r>
              <m:rPr>
                <m:sty m:val="bi"/>
              </m:rPr>
              <w:rPr>
                <w:rFonts w:ascii="Cambria Math" w:hAnsi="Cambria Math"/>
              </w:rPr>
              <m:t>c</m:t>
            </m:r>
          </m:e>
          <m:sub>
            <m:r>
              <m:rPr>
                <m:sty m:val="bi"/>
              </m:rPr>
              <w:rPr>
                <w:rFonts w:ascii="Cambria Math" w:hAnsi="Cambria Math"/>
              </w:rPr>
              <m:t>vk</m:t>
            </m:r>
          </m:sub>
        </m:sSub>
      </m:oMath>
      <w:r w:rsidRPr="00451C51">
        <w:rPr>
          <w:b w:val="0"/>
          <w:bCs w:val="0"/>
        </w:rPr>
        <w:t xml:space="preserve"> respectively.  </w:t>
      </w:r>
    </w:p>
    <w:p w14:paraId="240F0E3E" w14:textId="77777777" w:rsidR="008F5710" w:rsidRPr="00451C51" w:rsidRDefault="008F5710" w:rsidP="008F5710">
      <w:pPr>
        <w:pStyle w:val="Heading4"/>
        <w:shd w:val="clear" w:color="auto" w:fill="FFFFFF"/>
        <w:spacing w:before="150" w:beforeAutospacing="0" w:after="150" w:afterAutospacing="0" w:line="480" w:lineRule="auto"/>
        <w:jc w:val="both"/>
        <w:textAlignment w:val="baseline"/>
      </w:pPr>
      <w:r w:rsidRPr="00451C51">
        <w:t>Construction of the covariance matrices</w:t>
      </w:r>
    </w:p>
    <w:p w14:paraId="70A21C9D" w14:textId="17C6DB7C" w:rsidR="008F5710" w:rsidRPr="00451C51" w:rsidRDefault="008F5710" w:rsidP="008F5710">
      <w:pPr>
        <w:spacing w:line="480" w:lineRule="auto"/>
        <w:jc w:val="both"/>
        <w:rPr>
          <w:rFonts w:ascii="Times New Roman" w:hAnsi="Times New Roman" w:cs="Times New Roman"/>
        </w:rPr>
      </w:pPr>
      <w:r w:rsidRPr="00451C51">
        <w:rPr>
          <w:rFonts w:ascii="Times New Roman" w:hAnsi="Times New Roman" w:cs="Times New Roman"/>
        </w:rPr>
        <w:t xml:space="preserve">Estimating </w:t>
      </w:r>
      <m:oMath>
        <m:sSub>
          <m:sSubPr>
            <m:ctrlPr>
              <w:rPr>
                <w:rFonts w:ascii="Cambria Math" w:hAnsi="Cambria Math" w:cs="Times New Roman"/>
                <w:b/>
                <w:bCs/>
                <w:i/>
              </w:rPr>
            </m:ctrlPr>
          </m:sSubPr>
          <m:e>
            <m:r>
              <m:rPr>
                <m:sty m:val="p"/>
              </m:rPr>
              <w:rPr>
                <w:rFonts w:ascii="Cambria Math" w:hAnsi="Cambria Math" w:cs="Times New Roman"/>
              </w:rPr>
              <m:t>Σ</m:t>
            </m:r>
          </m:e>
          <m:sub>
            <m:r>
              <w:rPr>
                <w:rFonts w:ascii="Cambria Math" w:hAnsi="Cambria Math" w:cs="Times New Roman"/>
              </w:rPr>
              <m:t>EE</m:t>
            </m:r>
          </m:sub>
        </m:sSub>
      </m:oMath>
      <w:r w:rsidRPr="00451C51">
        <w:rPr>
          <w:rFonts w:ascii="Times New Roman" w:hAnsi="Times New Roman" w:cs="Times New Roman"/>
        </w:rPr>
        <w:t xml:space="preserve">: To apply ARCHIE, we need to estimate </w:t>
      </w:r>
      <m:oMath>
        <m:sSub>
          <m:sSubPr>
            <m:ctrlPr>
              <w:rPr>
                <w:rFonts w:ascii="Cambria Math" w:hAnsi="Cambria Math" w:cs="Times New Roman"/>
                <w:b/>
                <w:bCs/>
                <w:i/>
              </w:rPr>
            </m:ctrlPr>
          </m:sSubPr>
          <m:e>
            <m:r>
              <m:rPr>
                <m:sty m:val="p"/>
              </m:rPr>
              <w:rPr>
                <w:rFonts w:ascii="Cambria Math" w:hAnsi="Cambria Math" w:cs="Times New Roman"/>
              </w:rPr>
              <m:t>Σ</m:t>
            </m:r>
          </m:e>
          <m:sub>
            <m:r>
              <w:rPr>
                <w:rFonts w:ascii="Cambria Math" w:hAnsi="Cambria Math" w:cs="Times New Roman"/>
              </w:rPr>
              <m:t>EE</m:t>
            </m:r>
          </m:sub>
        </m:sSub>
      </m:oMath>
      <w:r w:rsidRPr="00451C51">
        <w:rPr>
          <w:rFonts w:ascii="Times New Roman" w:eastAsiaTheme="minorEastAsia" w:hAnsi="Times New Roman" w:cs="Times New Roman"/>
          <w:b/>
          <w:bCs/>
        </w:rPr>
        <w:t xml:space="preserve"> </w:t>
      </w:r>
      <w:r w:rsidRPr="00451C51">
        <w:rPr>
          <w:rFonts w:ascii="Times New Roman" w:eastAsiaTheme="minorEastAsia" w:hAnsi="Times New Roman" w:cs="Times New Roman"/>
        </w:rPr>
        <w:t xml:space="preserve">which denotes the covariance between the gene-expressions for the </w:t>
      </w:r>
      <w:r w:rsidRPr="00451C51">
        <w:rPr>
          <w:rFonts w:ascii="Times New Roman" w:eastAsiaTheme="minorEastAsia" w:hAnsi="Times New Roman" w:cs="Times New Roman"/>
          <w:i/>
          <w:iCs/>
        </w:rPr>
        <w:t>g</w:t>
      </w:r>
      <w:r w:rsidRPr="00451C51">
        <w:rPr>
          <w:rFonts w:ascii="Times New Roman" w:eastAsiaTheme="minorEastAsia" w:hAnsi="Times New Roman" w:cs="Times New Roman"/>
        </w:rPr>
        <w:t xml:space="preserve"> genes in our analysis. For this, we used individual level gene-expressions in whole blood for the GTEx (v8) participants. </w:t>
      </w:r>
      <w:r w:rsidRPr="00451C51">
        <w:rPr>
          <w:rFonts w:ascii="Times New Roman" w:hAnsi="Times New Roman" w:cs="Times New Roman"/>
        </w:rPr>
        <w:t xml:space="preserve">We first regressed the normalized gene-expressions of each of the </w:t>
      </w:r>
      <w:r w:rsidRPr="00451C51">
        <w:rPr>
          <w:rFonts w:ascii="Times New Roman" w:hAnsi="Times New Roman" w:cs="Times New Roman"/>
          <w:i/>
          <w:iCs/>
        </w:rPr>
        <w:t>g</w:t>
      </w:r>
      <w:r w:rsidRPr="00451C51">
        <w:rPr>
          <w:rFonts w:ascii="Times New Roman" w:hAnsi="Times New Roman" w:cs="Times New Roman"/>
        </w:rPr>
        <w:t xml:space="preserve"> genes on standard covariates like age, sex, genetic PCs and top 30 PEER factors and quantile normalized the residuals. However, since typically the number of genes (</w:t>
      </w:r>
      <w:r w:rsidRPr="00451C51">
        <w:rPr>
          <w:rFonts w:ascii="Times New Roman" w:hAnsi="Times New Roman" w:cs="Times New Roman"/>
          <w:i/>
          <w:iCs/>
        </w:rPr>
        <w:t>g</w:t>
      </w:r>
      <w:r w:rsidRPr="00451C51">
        <w:rPr>
          <w:rFonts w:ascii="Times New Roman" w:hAnsi="Times New Roman" w:cs="Times New Roman"/>
        </w:rPr>
        <w:t xml:space="preserve">) is much larger than the number of individuals, the standard covariance (or correlation) matrix estimate is rank deficient and hence not invertible. Hence, we estimated a </w:t>
      </w:r>
      <m:oMath>
        <m:sSub>
          <m:sSubPr>
            <m:ctrlPr>
              <w:rPr>
                <w:rFonts w:ascii="Cambria Math" w:hAnsi="Cambria Math" w:cs="Times New Roman"/>
                <w:b/>
                <w:bCs/>
                <w:i/>
              </w:rPr>
            </m:ctrlPr>
          </m:sSubPr>
          <m:e>
            <m:r>
              <m:rPr>
                <m:sty m:val="p"/>
              </m:rPr>
              <w:rPr>
                <w:rFonts w:ascii="Cambria Math" w:hAnsi="Cambria Math" w:cs="Times New Roman"/>
              </w:rPr>
              <m:t>Σ</m:t>
            </m:r>
          </m:e>
          <m:sub>
            <m:r>
              <w:rPr>
                <w:rFonts w:ascii="Cambria Math" w:hAnsi="Cambria Math" w:cs="Times New Roman"/>
              </w:rPr>
              <m:t>EE</m:t>
            </m:r>
          </m:sub>
        </m:sSub>
      </m:oMath>
      <w:r w:rsidRPr="00451C51">
        <w:rPr>
          <w:rFonts w:ascii="Times New Roman" w:eastAsiaTheme="minorEastAsia" w:hAnsi="Times New Roman" w:cs="Times New Roman"/>
          <w:b/>
          <w:bCs/>
        </w:rPr>
        <w:t xml:space="preserve"> </w:t>
      </w:r>
      <w:r w:rsidRPr="00451C51">
        <w:rPr>
          <w:rFonts w:ascii="Times New Roman" w:eastAsiaTheme="minorEastAsia" w:hAnsi="Times New Roman" w:cs="Times New Roman"/>
        </w:rPr>
        <w:t>using a penalized covariance matrix</w:t>
      </w:r>
      <w:r w:rsidRPr="00451C51">
        <w:rPr>
          <w:rFonts w:ascii="Times New Roman" w:eastAsiaTheme="minorEastAsia" w:hAnsi="Times New Roman" w:cs="Times New Roman"/>
        </w:rPr>
        <w:fldChar w:fldCharType="begin" w:fldLock="1"/>
      </w:r>
      <w:r w:rsidR="006C02E4" w:rsidRPr="00451C51">
        <w:rPr>
          <w:rFonts w:ascii="Times New Roman" w:eastAsiaTheme="minorEastAsia" w:hAnsi="Times New Roman" w:cs="Times New Roman"/>
        </w:rPr>
        <w:instrText>ADDIN CSL_CITATION {"citationItems":[{"id":"ITEM-1","itemData":{"DOI":"10.2202/1544-6115.1175","ISSN":"15446115","PMID":"16646851","abstract":"Inferring large-scale covariance matrices from sparse genomic data is an ubiquitous problem in bioinformatics. Clearly, the widely used standard covariance and correlation estimators are ill-suited for this purpose. As statistically efficient and computationally fast alternative we propose a novel shrinkage covariance estimator that exploits the Ledoit-Wolf (2003) lemma for analytic calculation of the optimal shrinkage intensity. Subsequently, we apply this improved covariance estimator (which has guaranteed minimum mean squared error, is well-conditioned, and is always positive definite even for small sample sizes) to the problem of inferring large-scale gene association networks. We show that it performs very favorably compared to competing approaches both in simulations as well as in application to real expression data. Copyright © 2005 by the authors. All rights reserved.","author":[{"dropping-particle":"","family":"Schäfer","given":"Juliane","non-dropping-particle":"","parse-names":false,"suffix":""},{"dropping-particle":"","family":"Strimmer","given":"Korbinian","non-dropping-particle":"","parse-names":false,"suffix":""}],"container-title":"Statistical Applications in Genetics and Molecular Biology","id":"ITEM-1","issued":{"date-parts":[["2005"]]},"title":"A shrinkage approach to large-scale covariance matrix estimation and implications for functional genomics","type":"article-journal"},"uris":["http://www.mendeley.com/documents/?uuid=8c56fc5f-63f6-407f-9f81-f22439b8a480"]}],"mendeley":{"formattedCitation":"&lt;sup&gt;3&lt;/sup&gt;","plainTextFormattedCitation":"3","previouslyFormattedCitation":"&lt;sup&gt;3&lt;/sup&gt;"},"properties":{"noteIndex":0},"schema":"https://github.com/citation-style-language/schema/raw/master/csl-citation.json"}</w:instrText>
      </w:r>
      <w:r w:rsidRPr="00451C51">
        <w:rPr>
          <w:rFonts w:ascii="Times New Roman" w:eastAsiaTheme="minorEastAsia" w:hAnsi="Times New Roman" w:cs="Times New Roman"/>
        </w:rPr>
        <w:fldChar w:fldCharType="separate"/>
      </w:r>
      <w:r w:rsidR="006C02E4" w:rsidRPr="00451C51">
        <w:rPr>
          <w:rFonts w:ascii="Times New Roman" w:eastAsiaTheme="minorEastAsia" w:hAnsi="Times New Roman" w:cs="Times New Roman"/>
          <w:noProof/>
          <w:vertAlign w:val="superscript"/>
        </w:rPr>
        <w:t>3</w:t>
      </w:r>
      <w:r w:rsidRPr="00451C51">
        <w:rPr>
          <w:rFonts w:ascii="Times New Roman" w:eastAsiaTheme="minorEastAsia" w:hAnsi="Times New Roman" w:cs="Times New Roman"/>
        </w:rPr>
        <w:fldChar w:fldCharType="end"/>
      </w:r>
      <w:r w:rsidRPr="00451C51">
        <w:rPr>
          <w:rFonts w:ascii="Times New Roman" w:eastAsiaTheme="minorEastAsia" w:hAnsi="Times New Roman" w:cs="Times New Roman"/>
        </w:rPr>
        <w:t xml:space="preserve"> of the quantile-normalized residuals. Such shrinkage-based co-expression estimates have been previously used in estimate high-dimensional matrices in functional genomics applications </w:t>
      </w:r>
      <w:r w:rsidRPr="00451C51">
        <w:rPr>
          <w:rFonts w:ascii="Times New Roman" w:hAnsi="Times New Roman" w:cs="Times New Roman"/>
        </w:rPr>
        <w:t xml:space="preserve">and exploits the </w:t>
      </w:r>
      <w:proofErr w:type="spellStart"/>
      <w:r w:rsidRPr="00451C51">
        <w:rPr>
          <w:rFonts w:ascii="Times New Roman" w:hAnsi="Times New Roman" w:cs="Times New Roman"/>
        </w:rPr>
        <w:t>Ledoit</w:t>
      </w:r>
      <w:proofErr w:type="spellEnd"/>
      <w:r w:rsidRPr="00451C51">
        <w:rPr>
          <w:rFonts w:ascii="Times New Roman" w:hAnsi="Times New Roman" w:cs="Times New Roman"/>
        </w:rPr>
        <w:t>-Wolf lemma</w:t>
      </w:r>
      <w:r w:rsidRPr="00451C51">
        <w:rPr>
          <w:rFonts w:ascii="Times New Roman" w:hAnsi="Times New Roman" w:cs="Times New Roman"/>
        </w:rPr>
        <w:fldChar w:fldCharType="begin" w:fldLock="1"/>
      </w:r>
      <w:r w:rsidR="006C02E4" w:rsidRPr="00451C51">
        <w:rPr>
          <w:rFonts w:ascii="Times New Roman" w:hAnsi="Times New Roman" w:cs="Times New Roman"/>
        </w:rPr>
        <w:instrText>ADDIN CSL_CITATION {"citationItems":[{"id":"ITEM-1","itemData":{"DOI":"10.1016/S0927-5398(03)00007-0","ISSN":"09275398","abstract":"This paper proposes to estimate the covariance matrix of stock returns by an optimally weighted average of two existing estimators: the sample covariance matrix and single-index covariance matrix. This method is generally known as shrinkage, and it is standard in decision theory and in empirical Bayesian statistics. Our shrinkage estimator can be seen as a way to account for extra-market covariance without having to specify an arbitrary multifactor structure. For NYSE and AMEX stock returns from 1972 to 1995, it can be used to select portfolios with significantly lower out-of-sample variance than a set of existing estimators, including multifactor models. © 2003 Elsevier B.V. All rights reserved.","author":[{"dropping-particle":"","family":"Ledoit","given":"Olivier","non-dropping-particle":"","parse-names":false,"suffix":""},{"dropping-particle":"","family":"Wolf","given":"Michael","non-dropping-particle":"","parse-names":false,"suffix":""}],"container-title":"Journal of Empirical Finance","id":"ITEM-1","issued":{"date-parts":[["2003"]]},"title":"Improved estimation of the covariance matrix of stock returns with an application to portfolio selection","type":"article-journal"},"uris":["http://www.mendeley.com/documents/?uuid=ff54567b-8e75-4697-bc36-859e73a4ce6c"]},{"id":"ITEM-2","itemData":{"DOI":"10.1016/S0047-259X(03)00096-4","ISSN":"0047259X","abstract":"Many applied problems require a covariance matrix estimator that is not only invertible, but also well-conditioned (that is, inverting it does not amplify estimation error). For large-dimensional covariance matrices, the usual estimator - the sample covariance matrix - is typically not well-conditioned and may not even be invertible. This paper introduces an estimator that is both well-conditioned and more accurate than the sample covariance matrix asymptotically. This estimator is distribution-free and has a simple explicit formula that is easy to compute and interpret. It is the asymptotically optimal convex linear combination of the sample covariance matrix with the identity matrix. Optimality is meant with respect to a quadratic loss function, asymptotically as the number of observations and the number of variables go to infinity together. Extensive Monte Carlo confirm that the asymptotic results tend to hold well in finite sample. © 2003 Elsevier Inc. All rights reserved.","author":[{"dropping-particle":"","family":"Ledoit","given":"Olivier","non-dropping-particle":"","parse-names":false,"suffix":""},{"dropping-particle":"","family":"Wolf","given":"Michael","non-dropping-particle":"","parse-names":false,"suffix":""}],"container-title":"Journal of Multivariate Analysis","id":"ITEM-2","issued":{"date-parts":[["2004"]]},"title":"A well-conditioned estimator for large-dimensional covariance matrices","type":"article-journal"},"uris":["http://www.mendeley.com/documents/?uuid=593d80f7-164c-41fa-950e-3b0cd2a96474"]}],"mendeley":{"formattedCitation":"&lt;sup&gt;4,5&lt;/sup&gt;","plainTextFormattedCitation":"4,5","previouslyFormattedCitation":"&lt;sup&gt;4,5&lt;/sup&gt;"},"properties":{"noteIndex":0},"schema":"https://github.com/citation-style-language/schema/raw/master/csl-citation.json"}</w:instrText>
      </w:r>
      <w:r w:rsidRPr="00451C51">
        <w:rPr>
          <w:rFonts w:ascii="Times New Roman" w:hAnsi="Times New Roman" w:cs="Times New Roman"/>
        </w:rPr>
        <w:fldChar w:fldCharType="separate"/>
      </w:r>
      <w:r w:rsidR="006C02E4" w:rsidRPr="00451C51">
        <w:rPr>
          <w:rFonts w:ascii="Times New Roman" w:hAnsi="Times New Roman" w:cs="Times New Roman"/>
          <w:noProof/>
          <w:vertAlign w:val="superscript"/>
        </w:rPr>
        <w:t>4,5</w:t>
      </w:r>
      <w:r w:rsidRPr="00451C51">
        <w:rPr>
          <w:rFonts w:ascii="Times New Roman" w:hAnsi="Times New Roman" w:cs="Times New Roman"/>
        </w:rPr>
        <w:fldChar w:fldCharType="end"/>
      </w:r>
      <w:r w:rsidRPr="00451C51">
        <w:rPr>
          <w:rFonts w:ascii="Times New Roman" w:hAnsi="Times New Roman" w:cs="Times New Roman"/>
        </w:rPr>
        <w:t xml:space="preserve"> for analytic calculation of the optimal shrinkage intensity.</w:t>
      </w:r>
    </w:p>
    <w:p w14:paraId="66F97E8E" w14:textId="20B47038" w:rsidR="008F5710" w:rsidRPr="00451C51" w:rsidRDefault="008F5710" w:rsidP="008F5710">
      <w:pPr>
        <w:spacing w:line="480" w:lineRule="auto"/>
        <w:jc w:val="both"/>
        <w:rPr>
          <w:rFonts w:ascii="Times New Roman" w:eastAsiaTheme="minorEastAsia" w:hAnsi="Times New Roman" w:cs="Times New Roman"/>
        </w:rPr>
      </w:pPr>
      <w:r w:rsidRPr="00451C51">
        <w:rPr>
          <w:rFonts w:ascii="Times New Roman" w:hAnsi="Times New Roman" w:cs="Times New Roman"/>
        </w:rPr>
        <w:t xml:space="preserve">Estimating </w:t>
      </w:r>
      <m:oMath>
        <m:sSub>
          <m:sSubPr>
            <m:ctrlPr>
              <w:rPr>
                <w:rFonts w:ascii="Cambria Math" w:hAnsi="Cambria Math" w:cs="Times New Roman"/>
                <w:b/>
                <w:bCs/>
                <w:i/>
              </w:rPr>
            </m:ctrlPr>
          </m:sSubPr>
          <m:e>
            <m:r>
              <m:rPr>
                <m:sty m:val="p"/>
              </m:rPr>
              <w:rPr>
                <w:rFonts w:ascii="Cambria Math" w:hAnsi="Cambria Math" w:cs="Times New Roman"/>
              </w:rPr>
              <m:t>Σ</m:t>
            </m:r>
          </m:e>
          <m:sub>
            <m:r>
              <w:rPr>
                <w:rFonts w:ascii="Cambria Math" w:hAnsi="Cambria Math" w:cs="Times New Roman"/>
              </w:rPr>
              <m:t>GG</m:t>
            </m:r>
          </m:sub>
        </m:sSub>
      </m:oMath>
      <w:r w:rsidRPr="00451C51">
        <w:rPr>
          <w:rFonts w:ascii="Times New Roman" w:hAnsi="Times New Roman" w:cs="Times New Roman"/>
        </w:rPr>
        <w:t xml:space="preserve">: We estimated </w:t>
      </w:r>
      <m:oMath>
        <m:sSub>
          <m:sSubPr>
            <m:ctrlPr>
              <w:rPr>
                <w:rFonts w:ascii="Cambria Math" w:hAnsi="Cambria Math" w:cs="Times New Roman"/>
                <w:b/>
                <w:bCs/>
                <w:i/>
              </w:rPr>
            </m:ctrlPr>
          </m:sSubPr>
          <m:e>
            <m:r>
              <m:rPr>
                <m:sty m:val="p"/>
              </m:rPr>
              <w:rPr>
                <w:rFonts w:ascii="Cambria Math" w:hAnsi="Cambria Math" w:cs="Times New Roman"/>
              </w:rPr>
              <m:t>Σ</m:t>
            </m:r>
          </m:e>
          <m:sub>
            <m:r>
              <w:rPr>
                <w:rFonts w:ascii="Cambria Math" w:hAnsi="Cambria Math" w:cs="Times New Roman"/>
              </w:rPr>
              <m:t>GG</m:t>
            </m:r>
          </m:sub>
        </m:sSub>
      </m:oMath>
      <w:r w:rsidRPr="00451C51">
        <w:rPr>
          <w:rFonts w:ascii="Times New Roman" w:eastAsiaTheme="minorEastAsia" w:hAnsi="Times New Roman" w:cs="Times New Roman"/>
          <w:b/>
          <w:bCs/>
        </w:rPr>
        <w:t xml:space="preserve"> </w:t>
      </w:r>
      <w:r w:rsidRPr="00451C51">
        <w:rPr>
          <w:rFonts w:ascii="Times New Roman" w:eastAsiaTheme="minorEastAsia" w:hAnsi="Times New Roman" w:cs="Times New Roman"/>
        </w:rPr>
        <w:t>using sample linkage-disequilibrium (</w:t>
      </w:r>
      <w:r w:rsidRPr="00451C51">
        <w:rPr>
          <w:rFonts w:ascii="Times New Roman" w:eastAsiaTheme="minorEastAsia" w:hAnsi="Times New Roman" w:cs="Times New Roman"/>
          <w:i/>
          <w:iCs/>
        </w:rPr>
        <w:t>r</w:t>
      </w:r>
      <w:r w:rsidRPr="00451C51">
        <w:rPr>
          <w:rFonts w:ascii="Times New Roman" w:eastAsiaTheme="minorEastAsia" w:hAnsi="Times New Roman" w:cs="Times New Roman"/>
        </w:rPr>
        <w:t>) matrix constructed using the individual-level genotype data from 5,000 randomly chosen individuals of European descent in UK Biobank data</w:t>
      </w:r>
      <w:r w:rsidRPr="00451C51">
        <w:rPr>
          <w:rFonts w:ascii="Times New Roman" w:eastAsiaTheme="minorEastAsia" w:hAnsi="Times New Roman" w:cs="Times New Roman"/>
        </w:rPr>
        <w:fldChar w:fldCharType="begin" w:fldLock="1"/>
      </w:r>
      <w:r w:rsidR="006C02E4" w:rsidRPr="00451C51">
        <w:rPr>
          <w:rFonts w:ascii="Times New Roman" w:eastAsiaTheme="minorEastAsia" w:hAnsi="Times New Roman" w:cs="Times New Roman"/>
        </w:rPr>
        <w:instrText>ADDIN CSL_CITATION {"citationItems":[{"id":"ITEM-1","itemData":{"author":[{"dropping-particle":"","family":"Bycroft","given":"Clare","non-dropping-particle":"","parse-names":false,"suffix":""},{"dropping-particle":"","family":"Freeman","given":"Colin","non-dropping-particle":"","parse-names":false,"suffix":""},{"dropping-particle":"","family":"Petkova","given":"Desislava","non-dropping-particle":"","parse-names":false,"suffix":""},{"dropping-particle":"","family":"Band","given":"Gavin","non-dropping-particle":"","parse-names":false,"suffix":""},{"dropping-particle":"","family":"Elliott","given":"Lloyd T","non-dropping-particle":"","parse-names":false,"suffix":""},{"dropping-particle":"","family":"Sharp","given":"Kevin","non-dropping-particle":"","parse-names":false,"suffix":""},{"dropping-particle":"","family":"Motyer","given":"Allan","non-dropping-particle":"","parse-names":false,"suffix":""},{"dropping-particle":"","family":"Vukcevic","given":"Damjan","non-dropping-particle":"","parse-names":false,"suffix":""},{"dropping-particle":"","family":"Delaneau","given":"Olivier","non-dropping-particle":"","parse-names":false,"suffix":""},{"dropping-particle":"","family":"O’Connell","given":"Jared","non-dropping-particle":"","parse-names":false,"suffix":""},{"dropping-particle":"","family":"Cortes","given":"Adrian","non-dropping-particle":"","parse-names":false,"suffix":""},{"dropping-particle":"","family":"Welsh","given":"Samantha","non-dropping-particle":"","parse-names":false,"suffix":""},{"dropping-particle":"","family":"Young","given":"Alan","non-dropping-particle":"","parse-names":false,"suffix":""},{"dropping-particle":"","family":"Effingham","given":"Mark","non-dropping-particle":"","parse-names":false,"suffix":""},{"dropping-particle":"","family":"McVean","given":"Gil","non-dropping-particle":"","parse-names":false,"suffix":""},{"dropping-particle":"","family":"Leslie","given":"Stephen","non-dropping-particle":"","parse-names":false,"suffix":""},{"dropping-particle":"","family":"Allen","given":"Naomi","non-dropping-particle":"","parse-names":false,"suffix":""},{"dropping-particle":"","family":"Donnelly","given":"Peter","non-dropping-particle":"","parse-names":false,"suffix":""},{"dropping-particle":"","family":"Marchini","given":"Jonathan","non-dropping-particle":"","parse-names":false,"suffix":""}],"container-title":"Nature","id":"ITEM-1","issued":{"date-parts":[["2018"]]},"page":"203-209","title":"The UK Biobank resource with deep phenotyping and genomic data","type":"article-journal","volume":"562"},"uris":["http://www.mendeley.com/documents/?uuid=dbc9cb68-65c3-44bd-abdf-3645eef45697"]}],"mendeley":{"formattedCitation":"&lt;sup&gt;6&lt;/sup&gt;","plainTextFormattedCitation":"6","previouslyFormattedCitation":"&lt;sup&gt;6&lt;/sup&gt;"},"properties":{"noteIndex":0},"schema":"https://github.com/citation-style-language/schema/raw/master/csl-citation.json"}</w:instrText>
      </w:r>
      <w:r w:rsidRPr="00451C51">
        <w:rPr>
          <w:rFonts w:ascii="Times New Roman" w:eastAsiaTheme="minorEastAsia" w:hAnsi="Times New Roman" w:cs="Times New Roman"/>
        </w:rPr>
        <w:fldChar w:fldCharType="separate"/>
      </w:r>
      <w:r w:rsidR="006C02E4" w:rsidRPr="00451C51">
        <w:rPr>
          <w:rFonts w:ascii="Times New Roman" w:eastAsiaTheme="minorEastAsia" w:hAnsi="Times New Roman" w:cs="Times New Roman"/>
          <w:noProof/>
          <w:vertAlign w:val="superscript"/>
        </w:rPr>
        <w:t>6</w:t>
      </w:r>
      <w:r w:rsidRPr="00451C51">
        <w:rPr>
          <w:rFonts w:ascii="Times New Roman" w:eastAsiaTheme="minorEastAsia" w:hAnsi="Times New Roman" w:cs="Times New Roman"/>
        </w:rPr>
        <w:fldChar w:fldCharType="end"/>
      </w:r>
      <w:r w:rsidRPr="00451C51">
        <w:rPr>
          <w:rFonts w:ascii="Times New Roman" w:eastAsiaTheme="minorEastAsia" w:hAnsi="Times New Roman" w:cs="Times New Roman"/>
        </w:rPr>
        <w:t xml:space="preserve">. </w:t>
      </w:r>
    </w:p>
    <w:p w14:paraId="71D39FF8" w14:textId="401B4763" w:rsidR="00CF6D00" w:rsidRPr="00451C51" w:rsidRDefault="00CF6D00" w:rsidP="008932DA">
      <w:pPr>
        <w:pStyle w:val="Heading4"/>
        <w:shd w:val="clear" w:color="auto" w:fill="FFFFFF"/>
        <w:spacing w:before="150" w:beforeAutospacing="0" w:after="150" w:afterAutospacing="0" w:line="480" w:lineRule="auto"/>
        <w:jc w:val="both"/>
        <w:textAlignment w:val="baseline"/>
        <w:rPr>
          <w:sz w:val="28"/>
          <w:szCs w:val="28"/>
        </w:rPr>
      </w:pPr>
      <w:r w:rsidRPr="00451C51">
        <w:rPr>
          <w:sz w:val="28"/>
          <w:szCs w:val="28"/>
        </w:rPr>
        <w:t xml:space="preserve">Supplementary Section B. </w:t>
      </w:r>
      <w:r w:rsidR="007964BD" w:rsidRPr="00451C51">
        <w:rPr>
          <w:sz w:val="28"/>
          <w:szCs w:val="28"/>
        </w:rPr>
        <w:t>Numerical experiments</w:t>
      </w:r>
      <w:r w:rsidRPr="00451C51">
        <w:rPr>
          <w:sz w:val="28"/>
          <w:szCs w:val="28"/>
        </w:rPr>
        <w:t>.</w:t>
      </w:r>
    </w:p>
    <w:p w14:paraId="18062CCA" w14:textId="3FF10199" w:rsidR="00C65684" w:rsidRDefault="009975C6"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We performed a small-scale resampling experiment to </w:t>
      </w:r>
      <w:r w:rsidR="00CF4CD6" w:rsidRPr="00451C51">
        <w:rPr>
          <w:b w:val="0"/>
          <w:bCs w:val="0"/>
        </w:rPr>
        <w:t xml:space="preserve">evaluate the performance of ARCHIE in capturing </w:t>
      </w:r>
      <w:r w:rsidR="00C65684">
        <w:rPr>
          <w:b w:val="0"/>
          <w:bCs w:val="0"/>
        </w:rPr>
        <w:t xml:space="preserve">downstream </w:t>
      </w:r>
      <w:r w:rsidR="00CF4CD6" w:rsidRPr="00451C51">
        <w:rPr>
          <w:b w:val="0"/>
          <w:bCs w:val="0"/>
        </w:rPr>
        <w:t xml:space="preserve">trait-specific effects. </w:t>
      </w:r>
    </w:p>
    <w:p w14:paraId="1BD7179C" w14:textId="258B09E0" w:rsidR="00C65684" w:rsidRPr="0095711E" w:rsidRDefault="00C65684" w:rsidP="008932DA">
      <w:pPr>
        <w:pStyle w:val="Heading4"/>
        <w:shd w:val="clear" w:color="auto" w:fill="FFFFFF"/>
        <w:spacing w:before="150" w:beforeAutospacing="0" w:after="150" w:afterAutospacing="0" w:line="480" w:lineRule="auto"/>
        <w:jc w:val="both"/>
        <w:textAlignment w:val="baseline"/>
      </w:pPr>
      <w:r w:rsidRPr="0095711E">
        <w:t>A. Identification of downstream genes.</w:t>
      </w:r>
    </w:p>
    <w:p w14:paraId="06B031BA" w14:textId="7E69F1B8" w:rsidR="00C65684" w:rsidRDefault="00E175DD" w:rsidP="008932DA">
      <w:pPr>
        <w:pStyle w:val="Heading4"/>
        <w:shd w:val="clear" w:color="auto" w:fill="FFFFFF"/>
        <w:spacing w:before="150" w:beforeAutospacing="0" w:after="150" w:afterAutospacing="0" w:line="480" w:lineRule="auto"/>
        <w:jc w:val="both"/>
        <w:textAlignment w:val="baseline"/>
        <w:rPr>
          <w:b w:val="0"/>
          <w:bCs w:val="0"/>
        </w:rPr>
      </w:pPr>
      <w:r>
        <w:rPr>
          <w:b w:val="0"/>
          <w:bCs w:val="0"/>
        </w:rPr>
        <w:lastRenderedPageBreak/>
        <w:t>To demonstrate that ARCHIE can identify downstream trans-associations, we simulate individual level gene-expression data for N individual</w:t>
      </w:r>
      <w:r w:rsidR="00D67FC2">
        <w:rPr>
          <w:b w:val="0"/>
          <w:bCs w:val="0"/>
        </w:rPr>
        <w:t>s</w:t>
      </w:r>
      <w:r>
        <w:rPr>
          <w:b w:val="0"/>
          <w:bCs w:val="0"/>
        </w:rPr>
        <w:t xml:space="preserve"> (N=1,000 or 30,000). </w:t>
      </w:r>
      <w:r w:rsidR="00C65684">
        <w:rPr>
          <w:b w:val="0"/>
          <w:bCs w:val="0"/>
        </w:rPr>
        <w:t>First, we randomly sampled 50 SNPs from the UK Biobank data with MAF varying between 20-35%, at least 50 Kb apart, such that the LD between any pair of SNPs is less than 0.1</w:t>
      </w:r>
      <w:r w:rsidR="00BB0233">
        <w:rPr>
          <w:b w:val="0"/>
          <w:bCs w:val="0"/>
        </w:rPr>
        <w:t>.</w:t>
      </w:r>
      <w:r w:rsidR="00C65684">
        <w:rPr>
          <w:b w:val="0"/>
          <w:bCs w:val="0"/>
        </w:rPr>
        <w:t xml:space="preserve"> Then we simulated gene-expression data using the causal model shown in Supplementary Figure</w:t>
      </w:r>
      <w:r w:rsidR="00C96AB0">
        <w:rPr>
          <w:b w:val="0"/>
          <w:bCs w:val="0"/>
        </w:rPr>
        <w:t xml:space="preserve"> 1</w:t>
      </w:r>
      <w:r w:rsidR="00C65684">
        <w:rPr>
          <w:b w:val="0"/>
          <w:bCs w:val="0"/>
        </w:rPr>
        <w:t>. In particular, SNPs 1-5 had direct regulatory effect (proxy “cis” SNPs) on the expression levels of Gene 1, SNPs 6-10 on that of Gene 2 etc. In particular, the gene expressions were simulated from the following gaussian error model:</w:t>
      </w:r>
    </w:p>
    <w:p w14:paraId="639A1897" w14:textId="13C8C49B" w:rsidR="00C65684" w:rsidRDefault="001F7575" w:rsidP="008932DA">
      <w:pPr>
        <w:pStyle w:val="Heading4"/>
        <w:shd w:val="clear" w:color="auto" w:fill="FFFFFF"/>
        <w:spacing w:before="150" w:beforeAutospacing="0" w:after="150" w:afterAutospacing="0" w:line="480" w:lineRule="auto"/>
        <w:jc w:val="both"/>
        <w:textAlignment w:val="baseline"/>
        <w:rPr>
          <w:b w:val="0"/>
          <w:bCs w:val="0"/>
        </w:rPr>
      </w:pPr>
      <m:oMathPara>
        <m:oMath>
          <m:sSub>
            <m:sSubPr>
              <m:ctrlPr>
                <w:rPr>
                  <w:rFonts w:ascii="Cambria Math" w:hAnsi="Cambria Math"/>
                  <w:b w:val="0"/>
                  <w:bCs w:val="0"/>
                  <w:i/>
                </w:rPr>
              </m:ctrlPr>
            </m:sSubPr>
            <m:e>
              <m:r>
                <m:rPr>
                  <m:sty m:val="bi"/>
                </m:rPr>
                <w:rPr>
                  <w:rFonts w:ascii="Cambria Math" w:hAnsi="Cambria Math"/>
                </w:rPr>
                <m:t>E</m:t>
              </m:r>
            </m:e>
            <m:sub>
              <m:r>
                <m:rPr>
                  <m:sty m:val="bi"/>
                </m:rPr>
                <w:rPr>
                  <w:rFonts w:ascii="Cambria Math" w:hAnsi="Cambria Math"/>
                </w:rPr>
                <m:t>j</m:t>
              </m:r>
            </m:sub>
          </m:sSub>
          <m:r>
            <m:rPr>
              <m:sty m:val="bi"/>
            </m:rPr>
            <w:rPr>
              <w:rFonts w:ascii="Cambria Math" w:hAnsi="Cambria Math"/>
            </w:rPr>
            <m:t xml:space="preserve"> ~ N(</m:t>
          </m:r>
          <m:nary>
            <m:naryPr>
              <m:chr m:val="∑"/>
              <m:limLoc m:val="undOvr"/>
              <m:ctrlPr>
                <w:rPr>
                  <w:rFonts w:ascii="Cambria Math" w:hAnsi="Cambria Math"/>
                  <w:b w:val="0"/>
                  <w:bCs w:val="0"/>
                  <w:i/>
                </w:rPr>
              </m:ctrlPr>
            </m:naryPr>
            <m:sub>
              <m:r>
                <m:rPr>
                  <m:sty m:val="bi"/>
                </m:rPr>
                <w:rPr>
                  <w:rFonts w:ascii="Cambria Math" w:hAnsi="Cambria Math"/>
                </w:rPr>
                <m:t>i=1</m:t>
              </m:r>
            </m:sub>
            <m:sup>
              <m:r>
                <m:rPr>
                  <m:sty m:val="bi"/>
                </m:rPr>
                <w:rPr>
                  <w:rFonts w:ascii="Cambria Math" w:hAnsi="Cambria Math"/>
                </w:rPr>
                <m:t>k</m:t>
              </m:r>
            </m:sup>
            <m:e>
              <m:sSub>
                <m:sSubPr>
                  <m:ctrlPr>
                    <w:rPr>
                      <w:rFonts w:ascii="Cambria Math" w:hAnsi="Cambria Math"/>
                      <w:b w:val="0"/>
                      <w:bCs w:val="0"/>
                      <w:i/>
                    </w:rPr>
                  </m:ctrlPr>
                </m:sSubPr>
                <m:e>
                  <m:r>
                    <m:rPr>
                      <m:sty m:val="bi"/>
                    </m:rPr>
                    <w:rPr>
                      <w:rFonts w:ascii="Cambria Math" w:hAnsi="Cambria Math"/>
                    </w:rPr>
                    <m:t>β</m:t>
                  </m:r>
                </m:e>
                <m:sub>
                  <m:r>
                    <m:rPr>
                      <m:sty m:val="bi"/>
                    </m:rPr>
                    <w:rPr>
                      <w:rFonts w:ascii="Cambria Math" w:hAnsi="Cambria Math"/>
                    </w:rPr>
                    <m:t>i</m:t>
                  </m:r>
                </m:sub>
              </m:sSub>
              <m:sSub>
                <m:sSubPr>
                  <m:ctrlPr>
                    <w:rPr>
                      <w:rFonts w:ascii="Cambria Math" w:hAnsi="Cambria Math"/>
                      <w:b w:val="0"/>
                      <w:bCs w:val="0"/>
                      <w:i/>
                    </w:rPr>
                  </m:ctrlPr>
                </m:sSubPr>
                <m:e>
                  <m:r>
                    <m:rPr>
                      <m:sty m:val="bi"/>
                    </m:rPr>
                    <w:rPr>
                      <w:rFonts w:ascii="Cambria Math" w:hAnsi="Cambria Math"/>
                    </w:rPr>
                    <m:t>G</m:t>
                  </m:r>
                </m:e>
                <m:sub>
                  <m:r>
                    <m:rPr>
                      <m:sty m:val="bi"/>
                    </m:rPr>
                    <w:rPr>
                      <w:rFonts w:ascii="Cambria Math" w:hAnsi="Cambria Math"/>
                    </w:rPr>
                    <m:t>ij</m:t>
                  </m:r>
                </m:sub>
              </m:sSub>
            </m:e>
          </m:nary>
          <m:r>
            <m:rPr>
              <m:sty m:val="bi"/>
            </m:rPr>
            <w:rPr>
              <w:rFonts w:ascii="Cambria Math" w:hAnsi="Cambria Math"/>
            </w:rPr>
            <m:t>,1)</m:t>
          </m:r>
        </m:oMath>
      </m:oMathPara>
    </w:p>
    <w:p w14:paraId="1305EC13" w14:textId="6D102A14" w:rsidR="004E23FA" w:rsidRDefault="004E23FA" w:rsidP="008932DA">
      <w:pPr>
        <w:pStyle w:val="Heading4"/>
        <w:shd w:val="clear" w:color="auto" w:fill="FFFFFF"/>
        <w:spacing w:before="150" w:beforeAutospacing="0" w:after="150" w:afterAutospacing="0" w:line="480" w:lineRule="auto"/>
        <w:jc w:val="both"/>
        <w:textAlignment w:val="baseline"/>
        <w:rPr>
          <w:b w:val="0"/>
          <w:bCs w:val="0"/>
        </w:rPr>
      </w:pPr>
      <w:r>
        <w:rPr>
          <w:b w:val="0"/>
          <w:bCs w:val="0"/>
        </w:rPr>
        <w:t xml:space="preserve">Where </w:t>
      </w:r>
      <m:oMath>
        <m:sSub>
          <m:sSubPr>
            <m:ctrlPr>
              <w:rPr>
                <w:rFonts w:ascii="Cambria Math" w:hAnsi="Cambria Math"/>
                <w:b w:val="0"/>
                <w:bCs w:val="0"/>
                <w:i/>
              </w:rPr>
            </m:ctrlPr>
          </m:sSubPr>
          <m:e>
            <m:r>
              <m:rPr>
                <m:sty m:val="bi"/>
              </m:rPr>
              <w:rPr>
                <w:rFonts w:ascii="Cambria Math" w:hAnsi="Cambria Math"/>
              </w:rPr>
              <m:t>E</m:t>
            </m:r>
          </m:e>
          <m:sub>
            <m:r>
              <m:rPr>
                <m:sty m:val="bi"/>
              </m:rPr>
              <w:rPr>
                <w:rFonts w:ascii="Cambria Math" w:hAnsi="Cambria Math"/>
              </w:rPr>
              <m:t>j</m:t>
            </m:r>
          </m:sub>
        </m:sSub>
      </m:oMath>
      <w:r>
        <w:rPr>
          <w:b w:val="0"/>
          <w:bCs w:val="0"/>
        </w:rPr>
        <w:t>is the expression level of a gene (Gene 1-4)</w:t>
      </w:r>
      <w:r w:rsidR="00FD40C8">
        <w:rPr>
          <w:b w:val="0"/>
          <w:bCs w:val="0"/>
        </w:rPr>
        <w:t xml:space="preserve"> in the </w:t>
      </w:r>
      <w:proofErr w:type="spellStart"/>
      <w:r w:rsidR="00FD40C8">
        <w:rPr>
          <w:b w:val="0"/>
          <w:bCs w:val="0"/>
        </w:rPr>
        <w:t>j</w:t>
      </w:r>
      <w:r w:rsidR="00FD40C8" w:rsidRPr="00C96AB0">
        <w:rPr>
          <w:b w:val="0"/>
          <w:bCs w:val="0"/>
          <w:vertAlign w:val="superscript"/>
        </w:rPr>
        <w:t>th</w:t>
      </w:r>
      <w:proofErr w:type="spellEnd"/>
      <w:r w:rsidR="00FD40C8">
        <w:rPr>
          <w:b w:val="0"/>
          <w:bCs w:val="0"/>
        </w:rPr>
        <w:t xml:space="preserve"> individual</w:t>
      </w:r>
      <w:r>
        <w:rPr>
          <w:b w:val="0"/>
          <w:bCs w:val="0"/>
        </w:rPr>
        <w:t xml:space="preserve">, </w:t>
      </w:r>
      <m:oMath>
        <m:sSub>
          <m:sSubPr>
            <m:ctrlPr>
              <w:rPr>
                <w:rFonts w:ascii="Cambria Math" w:hAnsi="Cambria Math"/>
                <w:b w:val="0"/>
                <w:bCs w:val="0"/>
                <w:i/>
              </w:rPr>
            </m:ctrlPr>
          </m:sSubPr>
          <m:e>
            <m:r>
              <m:rPr>
                <m:sty m:val="bi"/>
              </m:rPr>
              <w:rPr>
                <w:rFonts w:ascii="Cambria Math" w:hAnsi="Cambria Math"/>
              </w:rPr>
              <m:t>G</m:t>
            </m:r>
          </m:e>
          <m:sub>
            <m:r>
              <m:rPr>
                <m:sty m:val="bi"/>
              </m:rPr>
              <w:rPr>
                <w:rFonts w:ascii="Cambria Math" w:hAnsi="Cambria Math"/>
              </w:rPr>
              <m:t>ij</m:t>
            </m:r>
          </m:sub>
        </m:sSub>
      </m:oMath>
      <w:r>
        <w:rPr>
          <w:b w:val="0"/>
          <w:bCs w:val="0"/>
        </w:rPr>
        <w:t xml:space="preserve"> is the standardized genotype at the </w:t>
      </w:r>
      <w:proofErr w:type="spellStart"/>
      <w:r>
        <w:rPr>
          <w:b w:val="0"/>
          <w:bCs w:val="0"/>
        </w:rPr>
        <w:t>i</w:t>
      </w:r>
      <w:r w:rsidRPr="00C96AB0">
        <w:rPr>
          <w:b w:val="0"/>
          <w:bCs w:val="0"/>
          <w:vertAlign w:val="superscript"/>
        </w:rPr>
        <w:t>th</w:t>
      </w:r>
      <w:proofErr w:type="spellEnd"/>
      <w:r>
        <w:rPr>
          <w:b w:val="0"/>
          <w:bCs w:val="0"/>
        </w:rPr>
        <w:t xml:space="preserve"> SNP of the </w:t>
      </w:r>
      <w:proofErr w:type="spellStart"/>
      <w:r>
        <w:rPr>
          <w:b w:val="0"/>
          <w:bCs w:val="0"/>
        </w:rPr>
        <w:t>j</w:t>
      </w:r>
      <w:r w:rsidRPr="00BB0233">
        <w:rPr>
          <w:b w:val="0"/>
          <w:bCs w:val="0"/>
          <w:vertAlign w:val="superscript"/>
        </w:rPr>
        <w:t>th</w:t>
      </w:r>
      <w:proofErr w:type="spellEnd"/>
      <w:r>
        <w:rPr>
          <w:b w:val="0"/>
          <w:bCs w:val="0"/>
        </w:rPr>
        <w:t xml:space="preserve"> individual and </w:t>
      </w:r>
      <m:oMath>
        <m:sSub>
          <m:sSubPr>
            <m:ctrlPr>
              <w:rPr>
                <w:rFonts w:ascii="Cambria Math" w:hAnsi="Cambria Math"/>
                <w:b w:val="0"/>
                <w:bCs w:val="0"/>
                <w:i/>
              </w:rPr>
            </m:ctrlPr>
          </m:sSubPr>
          <m:e>
            <m:r>
              <m:rPr>
                <m:sty m:val="bi"/>
              </m:rPr>
              <w:rPr>
                <w:rFonts w:ascii="Cambria Math" w:hAnsi="Cambria Math"/>
              </w:rPr>
              <m:t>β</m:t>
            </m:r>
          </m:e>
          <m:sub>
            <m:r>
              <m:rPr>
                <m:sty m:val="bi"/>
              </m:rPr>
              <w:rPr>
                <w:rFonts w:ascii="Cambria Math" w:hAnsi="Cambria Math"/>
              </w:rPr>
              <m:t>i</m:t>
            </m:r>
          </m:sub>
        </m:sSub>
      </m:oMath>
      <w:r>
        <w:rPr>
          <w:b w:val="0"/>
          <w:bCs w:val="0"/>
        </w:rPr>
        <w:t xml:space="preserve">  is the corresponding direct effect of the </w:t>
      </w:r>
      <w:proofErr w:type="spellStart"/>
      <w:r>
        <w:rPr>
          <w:b w:val="0"/>
          <w:bCs w:val="0"/>
        </w:rPr>
        <w:t>i</w:t>
      </w:r>
      <w:r w:rsidRPr="00C96AB0">
        <w:rPr>
          <w:b w:val="0"/>
          <w:bCs w:val="0"/>
          <w:vertAlign w:val="superscript"/>
        </w:rPr>
        <w:t>th</w:t>
      </w:r>
      <w:proofErr w:type="spellEnd"/>
      <w:r>
        <w:rPr>
          <w:b w:val="0"/>
          <w:bCs w:val="0"/>
        </w:rPr>
        <w:t xml:space="preserve"> SNP. We set </w:t>
      </w:r>
      <m:oMath>
        <m:sSub>
          <m:sSubPr>
            <m:ctrlPr>
              <w:rPr>
                <w:rFonts w:ascii="Cambria Math" w:hAnsi="Cambria Math"/>
                <w:b w:val="0"/>
                <w:bCs w:val="0"/>
                <w:i/>
              </w:rPr>
            </m:ctrlPr>
          </m:sSubPr>
          <m:e>
            <m:r>
              <m:rPr>
                <m:sty m:val="bi"/>
              </m:rPr>
              <w:rPr>
                <w:rFonts w:ascii="Cambria Math" w:hAnsi="Cambria Math"/>
              </w:rPr>
              <m:t>β</m:t>
            </m:r>
          </m:e>
          <m:sub>
            <m:r>
              <m:rPr>
                <m:sty m:val="bi"/>
              </m:rPr>
              <w:rPr>
                <w:rFonts w:ascii="Cambria Math" w:hAnsi="Cambria Math"/>
              </w:rPr>
              <m:t>i</m:t>
            </m:r>
          </m:sub>
        </m:sSub>
        <m:r>
          <m:rPr>
            <m:sty m:val="bi"/>
          </m:rPr>
          <w:rPr>
            <w:rFonts w:ascii="Cambria Math" w:hAnsi="Cambria Math"/>
          </w:rPr>
          <m:t>~ N(0.7,0.1)</m:t>
        </m:r>
      </m:oMath>
      <w:r>
        <w:rPr>
          <w:b w:val="0"/>
          <w:bCs w:val="0"/>
        </w:rPr>
        <w:t xml:space="preserve"> through for each SNP. </w:t>
      </w:r>
    </w:p>
    <w:p w14:paraId="62069F94" w14:textId="6DA62EA9" w:rsidR="00C65684" w:rsidRDefault="00C65684" w:rsidP="008932DA">
      <w:pPr>
        <w:pStyle w:val="Heading4"/>
        <w:shd w:val="clear" w:color="auto" w:fill="FFFFFF"/>
        <w:spacing w:before="150" w:beforeAutospacing="0" w:after="150" w:afterAutospacing="0" w:line="480" w:lineRule="auto"/>
        <w:jc w:val="both"/>
        <w:textAlignment w:val="baseline"/>
        <w:rPr>
          <w:b w:val="0"/>
          <w:bCs w:val="0"/>
        </w:rPr>
      </w:pPr>
      <w:r>
        <w:rPr>
          <w:b w:val="0"/>
          <w:bCs w:val="0"/>
        </w:rPr>
        <w:t xml:space="preserve">Subsequently, we simulated the expression levels of the downstream genes: Gene 5-9 using the </w:t>
      </w:r>
      <w:r w:rsidR="004E23FA">
        <w:rPr>
          <w:b w:val="0"/>
          <w:bCs w:val="0"/>
        </w:rPr>
        <w:t>expressions levels of Gene 1-4 in a gaussian error model as follows:</w:t>
      </w:r>
    </w:p>
    <w:p w14:paraId="1B590C5F" w14:textId="03CFB1CB" w:rsidR="00FD40C8" w:rsidRDefault="001F7575" w:rsidP="008932DA">
      <w:pPr>
        <w:pStyle w:val="Heading4"/>
        <w:shd w:val="clear" w:color="auto" w:fill="FFFFFF"/>
        <w:spacing w:before="150" w:beforeAutospacing="0" w:after="150" w:afterAutospacing="0" w:line="480" w:lineRule="auto"/>
        <w:jc w:val="both"/>
        <w:textAlignment w:val="baseline"/>
        <w:rPr>
          <w:b w:val="0"/>
          <w:bCs w:val="0"/>
        </w:rPr>
      </w:pPr>
      <m:oMathPara>
        <m:oMath>
          <m:sSub>
            <m:sSubPr>
              <m:ctrlPr>
                <w:rPr>
                  <w:rFonts w:ascii="Cambria Math" w:hAnsi="Cambria Math"/>
                  <w:b w:val="0"/>
                  <w:bCs w:val="0"/>
                  <w:i/>
                </w:rPr>
              </m:ctrlPr>
            </m:sSubPr>
            <m:e>
              <m:r>
                <m:rPr>
                  <m:sty m:val="bi"/>
                </m:rPr>
                <w:rPr>
                  <w:rFonts w:ascii="Cambria Math" w:hAnsi="Cambria Math"/>
                </w:rPr>
                <m:t>Y</m:t>
              </m:r>
            </m:e>
            <m:sub>
              <m:r>
                <m:rPr>
                  <m:sty m:val="bi"/>
                </m:rPr>
                <w:rPr>
                  <w:rFonts w:ascii="Cambria Math" w:hAnsi="Cambria Math"/>
                </w:rPr>
                <m:t>j</m:t>
              </m:r>
            </m:sub>
          </m:sSub>
          <m:r>
            <m:rPr>
              <m:sty m:val="bi"/>
            </m:rPr>
            <w:rPr>
              <w:rFonts w:ascii="Cambria Math" w:hAnsi="Cambria Math"/>
            </w:rPr>
            <m:t xml:space="preserve"> ~ N(</m:t>
          </m:r>
          <m:nary>
            <m:naryPr>
              <m:chr m:val="∑"/>
              <m:limLoc m:val="undOvr"/>
              <m:ctrlPr>
                <w:rPr>
                  <w:rFonts w:ascii="Cambria Math" w:hAnsi="Cambria Math"/>
                  <w:b w:val="0"/>
                  <w:bCs w:val="0"/>
                  <w:i/>
                </w:rPr>
              </m:ctrlPr>
            </m:naryPr>
            <m:sub>
              <m:r>
                <m:rPr>
                  <m:sty m:val="bi"/>
                </m:rPr>
                <w:rPr>
                  <w:rFonts w:ascii="Cambria Math" w:hAnsi="Cambria Math"/>
                </w:rPr>
                <m:t>i=1</m:t>
              </m:r>
            </m:sub>
            <m:sup>
              <m:r>
                <m:rPr>
                  <m:sty m:val="bi"/>
                </m:rPr>
                <w:rPr>
                  <w:rFonts w:ascii="Cambria Math" w:hAnsi="Cambria Math"/>
                </w:rPr>
                <m:t>k</m:t>
              </m:r>
            </m:sup>
            <m:e>
              <m:sSub>
                <m:sSubPr>
                  <m:ctrlPr>
                    <w:rPr>
                      <w:rFonts w:ascii="Cambria Math" w:hAnsi="Cambria Math"/>
                      <w:b w:val="0"/>
                      <w:bCs w:val="0"/>
                      <w:i/>
                    </w:rPr>
                  </m:ctrlPr>
                </m:sSubPr>
                <m:e>
                  <m:r>
                    <m:rPr>
                      <m:sty m:val="bi"/>
                    </m:rPr>
                    <w:rPr>
                      <w:rFonts w:ascii="Cambria Math" w:hAnsi="Cambria Math"/>
                    </w:rPr>
                    <m:t>γ</m:t>
                  </m:r>
                </m:e>
                <m:sub>
                  <m:r>
                    <m:rPr>
                      <m:sty m:val="bi"/>
                    </m:rPr>
                    <w:rPr>
                      <w:rFonts w:ascii="Cambria Math" w:hAnsi="Cambria Math"/>
                    </w:rPr>
                    <m:t>i</m:t>
                  </m:r>
                </m:sub>
              </m:sSub>
              <m:sSub>
                <m:sSubPr>
                  <m:ctrlPr>
                    <w:rPr>
                      <w:rFonts w:ascii="Cambria Math" w:hAnsi="Cambria Math"/>
                      <w:b w:val="0"/>
                      <w:bCs w:val="0"/>
                      <w:i/>
                    </w:rPr>
                  </m:ctrlPr>
                </m:sSubPr>
                <m:e>
                  <m:r>
                    <m:rPr>
                      <m:sty m:val="bi"/>
                    </m:rPr>
                    <w:rPr>
                      <w:rFonts w:ascii="Cambria Math" w:hAnsi="Cambria Math"/>
                    </w:rPr>
                    <m:t>X</m:t>
                  </m:r>
                </m:e>
                <m:sub>
                  <m:r>
                    <m:rPr>
                      <m:sty m:val="bi"/>
                    </m:rPr>
                    <w:rPr>
                      <w:rFonts w:ascii="Cambria Math" w:hAnsi="Cambria Math"/>
                    </w:rPr>
                    <m:t>in;ij</m:t>
                  </m:r>
                </m:sub>
              </m:sSub>
            </m:e>
          </m:nary>
          <m:r>
            <m:rPr>
              <m:sty m:val="bi"/>
            </m:rPr>
            <w:rPr>
              <w:rFonts w:ascii="Cambria Math" w:hAnsi="Cambria Math"/>
            </w:rPr>
            <m:t>,1)</m:t>
          </m:r>
        </m:oMath>
      </m:oMathPara>
    </w:p>
    <w:p w14:paraId="3285BDB7" w14:textId="21B284F7" w:rsidR="004E23FA" w:rsidRDefault="00FD40C8" w:rsidP="008932DA">
      <w:pPr>
        <w:pStyle w:val="Heading4"/>
        <w:shd w:val="clear" w:color="auto" w:fill="FFFFFF"/>
        <w:spacing w:before="150" w:beforeAutospacing="0" w:after="150" w:afterAutospacing="0" w:line="480" w:lineRule="auto"/>
        <w:jc w:val="both"/>
        <w:textAlignment w:val="baseline"/>
        <w:rPr>
          <w:b w:val="0"/>
          <w:bCs w:val="0"/>
        </w:rPr>
      </w:pPr>
      <w:r>
        <w:rPr>
          <w:b w:val="0"/>
          <w:bCs w:val="0"/>
        </w:rPr>
        <w:t xml:space="preserve">Where </w:t>
      </w:r>
      <m:oMath>
        <m:sSub>
          <m:sSubPr>
            <m:ctrlPr>
              <w:rPr>
                <w:rFonts w:ascii="Cambria Math" w:hAnsi="Cambria Math"/>
                <w:b w:val="0"/>
                <w:bCs w:val="0"/>
                <w:i/>
              </w:rPr>
            </m:ctrlPr>
          </m:sSubPr>
          <m:e>
            <m:r>
              <m:rPr>
                <m:sty m:val="bi"/>
              </m:rPr>
              <w:rPr>
                <w:rFonts w:ascii="Cambria Math" w:hAnsi="Cambria Math"/>
              </w:rPr>
              <m:t>Y</m:t>
            </m:r>
          </m:e>
          <m:sub>
            <m:r>
              <m:rPr>
                <m:sty m:val="bi"/>
              </m:rPr>
              <w:rPr>
                <w:rFonts w:ascii="Cambria Math" w:hAnsi="Cambria Math"/>
              </w:rPr>
              <m:t>j</m:t>
            </m:r>
          </m:sub>
        </m:sSub>
      </m:oMath>
      <w:r>
        <w:rPr>
          <w:b w:val="0"/>
          <w:bCs w:val="0"/>
        </w:rPr>
        <w:t xml:space="preserve"> is the expression of a downstream gene (Gene 5-9) for the </w:t>
      </w:r>
      <w:proofErr w:type="spellStart"/>
      <w:r>
        <w:rPr>
          <w:b w:val="0"/>
          <w:bCs w:val="0"/>
        </w:rPr>
        <w:t>j</w:t>
      </w:r>
      <w:r w:rsidRPr="00C96AB0">
        <w:rPr>
          <w:b w:val="0"/>
          <w:bCs w:val="0"/>
          <w:vertAlign w:val="superscript"/>
        </w:rPr>
        <w:t>th</w:t>
      </w:r>
      <w:proofErr w:type="spellEnd"/>
      <w:r>
        <w:rPr>
          <w:b w:val="0"/>
          <w:bCs w:val="0"/>
        </w:rPr>
        <w:t xml:space="preserve"> individual, </w:t>
      </w:r>
      <m:oMath>
        <m:sSub>
          <m:sSubPr>
            <m:ctrlPr>
              <w:rPr>
                <w:rFonts w:ascii="Cambria Math" w:hAnsi="Cambria Math"/>
                <w:b w:val="0"/>
                <w:bCs w:val="0"/>
                <w:i/>
              </w:rPr>
            </m:ctrlPr>
          </m:sSubPr>
          <m:e>
            <m:r>
              <m:rPr>
                <m:sty m:val="bi"/>
              </m:rPr>
              <w:rPr>
                <w:rFonts w:ascii="Cambria Math" w:hAnsi="Cambria Math"/>
              </w:rPr>
              <m:t>X</m:t>
            </m:r>
          </m:e>
          <m:sub>
            <m:r>
              <m:rPr>
                <m:sty m:val="bi"/>
              </m:rPr>
              <w:rPr>
                <w:rFonts w:ascii="Cambria Math" w:hAnsi="Cambria Math"/>
              </w:rPr>
              <m:t>in;ij</m:t>
            </m:r>
          </m:sub>
        </m:sSub>
      </m:oMath>
      <w:r>
        <w:rPr>
          <w:b w:val="0"/>
          <w:bCs w:val="0"/>
        </w:rPr>
        <w:t xml:space="preserve">is the </w:t>
      </w:r>
      <w:r w:rsidR="007A4D36">
        <w:rPr>
          <w:b w:val="0"/>
          <w:bCs w:val="0"/>
        </w:rPr>
        <w:t xml:space="preserve">gene expression in </w:t>
      </w:r>
      <w:proofErr w:type="spellStart"/>
      <w:r w:rsidR="007A4D36">
        <w:rPr>
          <w:b w:val="0"/>
          <w:bCs w:val="0"/>
        </w:rPr>
        <w:t>j</w:t>
      </w:r>
      <w:r w:rsidR="007A4D36" w:rsidRPr="00C96AB0">
        <w:rPr>
          <w:b w:val="0"/>
          <w:bCs w:val="0"/>
          <w:vertAlign w:val="superscript"/>
        </w:rPr>
        <w:t>th</w:t>
      </w:r>
      <w:proofErr w:type="spellEnd"/>
      <w:r w:rsidR="007A4D36">
        <w:rPr>
          <w:b w:val="0"/>
          <w:bCs w:val="0"/>
        </w:rPr>
        <w:t xml:space="preserve"> individual of the </w:t>
      </w:r>
      <w:proofErr w:type="spellStart"/>
      <w:r w:rsidR="007A4D36">
        <w:rPr>
          <w:b w:val="0"/>
          <w:bCs w:val="0"/>
        </w:rPr>
        <w:t>i</w:t>
      </w:r>
      <w:r w:rsidR="007A4D36" w:rsidRPr="00C96AB0">
        <w:rPr>
          <w:b w:val="0"/>
          <w:bCs w:val="0"/>
          <w:vertAlign w:val="superscript"/>
        </w:rPr>
        <w:t>th</w:t>
      </w:r>
      <w:proofErr w:type="spellEnd"/>
      <w:r w:rsidR="007A4D36">
        <w:rPr>
          <w:b w:val="0"/>
          <w:bCs w:val="0"/>
        </w:rPr>
        <w:t xml:space="preserve"> gene which has direct causal effect on the downstream</w:t>
      </w:r>
      <w:r w:rsidR="00C96AB0">
        <w:rPr>
          <w:b w:val="0"/>
          <w:bCs w:val="0"/>
        </w:rPr>
        <w:t xml:space="preserve"> </w:t>
      </w:r>
      <w:r w:rsidR="007A4D36">
        <w:rPr>
          <w:b w:val="0"/>
          <w:bCs w:val="0"/>
        </w:rPr>
        <w:t xml:space="preserve">gene expression and </w:t>
      </w:r>
      <m:oMath>
        <m:sSub>
          <m:sSubPr>
            <m:ctrlPr>
              <w:rPr>
                <w:rFonts w:ascii="Cambria Math" w:hAnsi="Cambria Math"/>
                <w:b w:val="0"/>
                <w:bCs w:val="0"/>
                <w:i/>
              </w:rPr>
            </m:ctrlPr>
          </m:sSubPr>
          <m:e>
            <m:r>
              <m:rPr>
                <m:sty m:val="bi"/>
              </m:rPr>
              <w:rPr>
                <w:rFonts w:ascii="Cambria Math" w:hAnsi="Cambria Math"/>
              </w:rPr>
              <m:t>γ</m:t>
            </m:r>
          </m:e>
          <m:sub>
            <m:r>
              <m:rPr>
                <m:sty m:val="bi"/>
              </m:rPr>
              <w:rPr>
                <w:rFonts w:ascii="Cambria Math" w:hAnsi="Cambria Math"/>
              </w:rPr>
              <m:t>i</m:t>
            </m:r>
          </m:sub>
        </m:sSub>
      </m:oMath>
      <w:r w:rsidR="007A4D36">
        <w:rPr>
          <w:b w:val="0"/>
          <w:bCs w:val="0"/>
        </w:rPr>
        <w:t xml:space="preserve"> is the corresponding direct effect. For example, the expression level of Gene 5 is regulated by that Gene 1; the expression level of Gene 7 is regulated by Gene 1 and Gene 2</w:t>
      </w:r>
      <w:r w:rsidR="003E4FCC">
        <w:rPr>
          <w:b w:val="0"/>
          <w:bCs w:val="0"/>
        </w:rPr>
        <w:t xml:space="preserve"> etc</w:t>
      </w:r>
      <w:r w:rsidR="007A4D36">
        <w:rPr>
          <w:b w:val="0"/>
          <w:bCs w:val="0"/>
        </w:rPr>
        <w:t>.</w:t>
      </w:r>
      <w:r w:rsidR="003E4FCC">
        <w:rPr>
          <w:b w:val="0"/>
          <w:bCs w:val="0"/>
        </w:rPr>
        <w:t xml:space="preserve"> </w:t>
      </w:r>
      <w:r w:rsidR="003E4FCC">
        <w:rPr>
          <w:b w:val="0"/>
          <w:bCs w:val="0"/>
        </w:rPr>
        <w:lastRenderedPageBreak/>
        <w:t xml:space="preserve">For direct effects on Gene 5 and Gene 6, </w:t>
      </w:r>
      <m:oMath>
        <m:sSub>
          <m:sSubPr>
            <m:ctrlPr>
              <w:rPr>
                <w:rFonts w:ascii="Cambria Math" w:hAnsi="Cambria Math"/>
                <w:b w:val="0"/>
                <w:bCs w:val="0"/>
                <w:i/>
              </w:rPr>
            </m:ctrlPr>
          </m:sSubPr>
          <m:e>
            <m:r>
              <m:rPr>
                <m:sty m:val="bi"/>
              </m:rPr>
              <w:rPr>
                <w:rFonts w:ascii="Cambria Math" w:hAnsi="Cambria Math"/>
              </w:rPr>
              <m:t>γ</m:t>
            </m:r>
          </m:e>
          <m:sub>
            <m:r>
              <m:rPr>
                <m:sty m:val="bi"/>
              </m:rPr>
              <w:rPr>
                <w:rFonts w:ascii="Cambria Math" w:hAnsi="Cambria Math"/>
              </w:rPr>
              <m:t>i</m:t>
            </m:r>
          </m:sub>
        </m:sSub>
        <m:r>
          <m:rPr>
            <m:sty m:val="bi"/>
          </m:rPr>
          <w:rPr>
            <w:rFonts w:ascii="Cambria Math" w:hAnsi="Cambria Math"/>
          </w:rPr>
          <m:t xml:space="preserve"> ~ N(0.5,0.1)</m:t>
        </m:r>
      </m:oMath>
      <w:r w:rsidR="003E4FCC">
        <w:rPr>
          <w:b w:val="0"/>
          <w:bCs w:val="0"/>
        </w:rPr>
        <w:t xml:space="preserve"> reflecting stronger regulatory effects and for direct effects on Gene 7-9 </w:t>
      </w:r>
      <m:oMath>
        <m:sSub>
          <m:sSubPr>
            <m:ctrlPr>
              <w:rPr>
                <w:rFonts w:ascii="Cambria Math" w:hAnsi="Cambria Math"/>
                <w:b w:val="0"/>
                <w:bCs w:val="0"/>
                <w:i/>
              </w:rPr>
            </m:ctrlPr>
          </m:sSubPr>
          <m:e>
            <m:r>
              <m:rPr>
                <m:sty m:val="bi"/>
              </m:rPr>
              <w:rPr>
                <w:rFonts w:ascii="Cambria Math" w:hAnsi="Cambria Math"/>
              </w:rPr>
              <m:t>γ</m:t>
            </m:r>
          </m:e>
          <m:sub>
            <m:r>
              <m:rPr>
                <m:sty m:val="bi"/>
              </m:rPr>
              <w:rPr>
                <w:rFonts w:ascii="Cambria Math" w:hAnsi="Cambria Math"/>
              </w:rPr>
              <m:t>i</m:t>
            </m:r>
          </m:sub>
        </m:sSub>
        <m:r>
          <m:rPr>
            <m:sty m:val="bi"/>
          </m:rPr>
          <w:rPr>
            <w:rFonts w:ascii="Cambria Math" w:hAnsi="Cambria Math"/>
          </w:rPr>
          <m:t xml:space="preserve"> ~ N(0.4,0.1)</m:t>
        </m:r>
      </m:oMath>
      <w:r w:rsidR="003E4FCC">
        <w:rPr>
          <w:b w:val="0"/>
          <w:bCs w:val="0"/>
        </w:rPr>
        <w:t xml:space="preserve"> to reflect weaker regulatory effects.</w:t>
      </w:r>
      <w:r w:rsidR="007A4D36">
        <w:rPr>
          <w:b w:val="0"/>
          <w:bCs w:val="0"/>
        </w:rPr>
        <w:t xml:space="preserve">  </w:t>
      </w:r>
    </w:p>
    <w:p w14:paraId="0D3148AD" w14:textId="08B6214F" w:rsidR="003E4FCC" w:rsidRDefault="003E4FCC" w:rsidP="008932DA">
      <w:pPr>
        <w:pStyle w:val="Heading4"/>
        <w:shd w:val="clear" w:color="auto" w:fill="FFFFFF"/>
        <w:spacing w:before="150" w:beforeAutospacing="0" w:after="150" w:afterAutospacing="0" w:line="480" w:lineRule="auto"/>
        <w:jc w:val="both"/>
        <w:textAlignment w:val="baseline"/>
        <w:rPr>
          <w:b w:val="0"/>
          <w:bCs w:val="0"/>
        </w:rPr>
      </w:pPr>
      <w:r>
        <w:rPr>
          <w:b w:val="0"/>
          <w:bCs w:val="0"/>
        </w:rPr>
        <w:t>The aim of ARCHIE is to comprehensively identify Genes 7-9 which has associations (direct or indirect) with multiple SNPs</w:t>
      </w:r>
      <w:r w:rsidR="00C96AB0">
        <w:rPr>
          <w:b w:val="0"/>
          <w:bCs w:val="0"/>
        </w:rPr>
        <w:t>,</w:t>
      </w:r>
      <w:r>
        <w:rPr>
          <w:b w:val="0"/>
          <w:bCs w:val="0"/>
        </w:rPr>
        <w:t xml:space="preserve"> but the effect of the SNPs might be substantially attenuated due to the intermediate gene network. In our application with eQTLGen data, ideally the SNPs 1-40 are associated with a particular trait or disease (curated from external GWAS). Thus Gene 7-9 would reflect genes which cumulates independent effects of multiple SNPs associated with the trait. In contrast, Gene</w:t>
      </w:r>
      <w:r w:rsidR="00C67231">
        <w:rPr>
          <w:b w:val="0"/>
          <w:bCs w:val="0"/>
        </w:rPr>
        <w:t>s</w:t>
      </w:r>
      <w:r>
        <w:rPr>
          <w:b w:val="0"/>
          <w:bCs w:val="0"/>
        </w:rPr>
        <w:t xml:space="preserve"> 5 and 6 reflect genes that are regulated by a smaller number of SNPs and the corresponding associations arise due to pleiotropy. </w:t>
      </w:r>
      <w:r w:rsidR="00E175DD">
        <w:rPr>
          <w:b w:val="0"/>
          <w:bCs w:val="0"/>
        </w:rPr>
        <w:t>Using this simulated data, we applied ARCHIE and compared the results to that obtained from standard trans-eQTL mapping</w:t>
      </w:r>
      <w:r w:rsidR="005A338E">
        <w:rPr>
          <w:b w:val="0"/>
          <w:bCs w:val="0"/>
        </w:rPr>
        <w:t xml:space="preserve"> (significance cut-off </w:t>
      </w:r>
      <w:r w:rsidR="005A338E" w:rsidRPr="005A338E">
        <w:rPr>
          <w:b w:val="0"/>
          <w:bCs w:val="0"/>
        </w:rPr>
        <w:t xml:space="preserve">1 </w:t>
      </w:r>
      <w:r w:rsidR="005A338E" w:rsidRPr="005A338E">
        <w:rPr>
          <w:b w:val="0"/>
          <w:bCs w:val="0"/>
        </w:rPr>
        <w:sym w:font="Symbol" w:char="F0B4"/>
      </w:r>
      <w:r w:rsidR="005A338E" w:rsidRPr="005A338E">
        <w:rPr>
          <w:b w:val="0"/>
          <w:bCs w:val="0"/>
        </w:rPr>
        <w:t xml:space="preserve"> 10</w:t>
      </w:r>
      <w:r w:rsidR="005A338E" w:rsidRPr="005A338E">
        <w:rPr>
          <w:b w:val="0"/>
          <w:bCs w:val="0"/>
          <w:vertAlign w:val="superscript"/>
        </w:rPr>
        <w:t>-06</w:t>
      </w:r>
      <w:r w:rsidR="005A338E">
        <w:rPr>
          <w:b w:val="0"/>
          <w:bCs w:val="0"/>
        </w:rPr>
        <w:t>)</w:t>
      </w:r>
      <w:r w:rsidR="00E175DD">
        <w:rPr>
          <w:b w:val="0"/>
          <w:bCs w:val="0"/>
        </w:rPr>
        <w:t xml:space="preserve"> for two different sample size (1,000 and 30,000). </w:t>
      </w:r>
    </w:p>
    <w:p w14:paraId="16522187" w14:textId="3E58034F" w:rsidR="00C67231" w:rsidRDefault="00C67231" w:rsidP="008932DA">
      <w:pPr>
        <w:pStyle w:val="Heading4"/>
        <w:shd w:val="clear" w:color="auto" w:fill="FFFFFF"/>
        <w:spacing w:before="150" w:beforeAutospacing="0" w:after="150" w:afterAutospacing="0" w:line="480" w:lineRule="auto"/>
        <w:jc w:val="both"/>
        <w:textAlignment w:val="baseline"/>
        <w:rPr>
          <w:b w:val="0"/>
          <w:bCs w:val="0"/>
        </w:rPr>
      </w:pPr>
      <w:r>
        <w:rPr>
          <w:b w:val="0"/>
          <w:bCs w:val="0"/>
        </w:rPr>
        <w:t xml:space="preserve">From the results (Supplementary Table </w:t>
      </w:r>
      <w:r w:rsidR="00C96AB0">
        <w:rPr>
          <w:b w:val="0"/>
          <w:bCs w:val="0"/>
        </w:rPr>
        <w:t>1</w:t>
      </w:r>
      <w:r>
        <w:rPr>
          <w:b w:val="0"/>
          <w:bCs w:val="0"/>
        </w:rPr>
        <w:t xml:space="preserve">) we see that ARCHIE selects Genes 7-9 (or at least two of them) with high probability since these genes have upstream associations to several and Genes 5-6 with lower probability. In comparison, standard trans-eQTL mapping detects Genes 5 and 6 with higher probability and has much reduced power to identify Genes 7-9 due to weaker effect size. </w:t>
      </w:r>
      <w:r w:rsidR="00E175DD">
        <w:rPr>
          <w:b w:val="0"/>
          <w:bCs w:val="0"/>
        </w:rPr>
        <w:t xml:space="preserve">This demonstrates that ARCHIE identifies broad trans regulatory effects despite the effects being weaker and not detectable through trans-eQTL mapping. The standard approach on the other hand, can identify associations which might arise due to pleiotropy and might not be consequential to the overall genetic regulatory networks underlying a trait. </w:t>
      </w:r>
    </w:p>
    <w:p w14:paraId="04A635D2" w14:textId="77777777" w:rsidR="00E175DD" w:rsidRDefault="00E175DD" w:rsidP="008932DA">
      <w:pPr>
        <w:pStyle w:val="Heading4"/>
        <w:shd w:val="clear" w:color="auto" w:fill="FFFFFF"/>
        <w:spacing w:before="150" w:beforeAutospacing="0" w:after="150" w:afterAutospacing="0" w:line="480" w:lineRule="auto"/>
        <w:jc w:val="both"/>
        <w:textAlignment w:val="baseline"/>
        <w:rPr>
          <w:rFonts w:eastAsiaTheme="minorEastAsia"/>
        </w:rPr>
      </w:pPr>
      <w:r w:rsidRPr="0095711E">
        <w:t>B.</w:t>
      </w:r>
      <w:r>
        <w:rPr>
          <w:b w:val="0"/>
          <w:bCs w:val="0"/>
        </w:rPr>
        <w:t xml:space="preserve"> </w:t>
      </w:r>
      <w:r>
        <w:rPr>
          <w:rFonts w:eastAsiaTheme="minorEastAsia"/>
        </w:rPr>
        <w:t>Assessing trait-specificity.</w:t>
      </w:r>
    </w:p>
    <w:p w14:paraId="3DC0B4D2" w14:textId="662A6352" w:rsidR="007964BD" w:rsidRPr="00451C51" w:rsidRDefault="00E175DD" w:rsidP="008932DA">
      <w:pPr>
        <w:pStyle w:val="Heading4"/>
        <w:shd w:val="clear" w:color="auto" w:fill="FFFFFF"/>
        <w:spacing w:before="150" w:beforeAutospacing="0" w:after="150" w:afterAutospacing="0" w:line="480" w:lineRule="auto"/>
        <w:jc w:val="both"/>
        <w:textAlignment w:val="baseline"/>
        <w:rPr>
          <w:b w:val="0"/>
          <w:bCs w:val="0"/>
        </w:rPr>
      </w:pPr>
      <w:r>
        <w:rPr>
          <w:rFonts w:eastAsiaTheme="minorEastAsia"/>
          <w:b w:val="0"/>
          <w:bCs w:val="0"/>
        </w:rPr>
        <w:t xml:space="preserve">Next, we demonstrate through resampling experiments that ARCHIE can potentially identify trait specific trans associations. </w:t>
      </w:r>
      <w:r w:rsidR="00CF4CD6" w:rsidRPr="00451C51">
        <w:rPr>
          <w:b w:val="0"/>
          <w:bCs w:val="0"/>
        </w:rPr>
        <w:t>Using data from eQTLGen consortium, we construct a matrix</w:t>
      </w:r>
      <w:r w:rsidR="00B27166" w:rsidRPr="00451C51">
        <w:rPr>
          <w:b w:val="0"/>
          <w:bCs w:val="0"/>
        </w:rPr>
        <w:t xml:space="preserve"> (A</w:t>
      </w:r>
      <w:r w:rsidR="00B27166" w:rsidRPr="00451C51">
        <w:rPr>
          <w:b w:val="0"/>
          <w:bCs w:val="0"/>
          <w:vertAlign w:val="superscript"/>
        </w:rPr>
        <w:t>p</w:t>
      </w:r>
      <w:r w:rsidR="00B27166" w:rsidRPr="00451C51">
        <w:rPr>
          <w:b w:val="0"/>
          <w:bCs w:val="0"/>
          <w:vertAlign w:val="superscript"/>
        </w:rPr>
        <w:sym w:font="Symbol" w:char="F0B4"/>
      </w:r>
      <w:r w:rsidR="00B27166" w:rsidRPr="00451C51">
        <w:rPr>
          <w:b w:val="0"/>
          <w:bCs w:val="0"/>
          <w:vertAlign w:val="superscript"/>
        </w:rPr>
        <w:t>g</w:t>
      </w:r>
      <w:r w:rsidR="00B27166" w:rsidRPr="00451C51">
        <w:rPr>
          <w:b w:val="0"/>
          <w:bCs w:val="0"/>
        </w:rPr>
        <w:t>)</w:t>
      </w:r>
      <w:r w:rsidR="00CF4CD6" w:rsidRPr="00451C51">
        <w:rPr>
          <w:b w:val="0"/>
          <w:bCs w:val="0"/>
        </w:rPr>
        <w:t xml:space="preserve"> of </w:t>
      </w:r>
      <w:r w:rsidR="00CF4CD6" w:rsidRPr="00451C51">
        <w:rPr>
          <w:b w:val="0"/>
          <w:bCs w:val="0"/>
        </w:rPr>
        <w:lastRenderedPageBreak/>
        <w:t xml:space="preserve">trans-eQTL summary statistics (Z-values) across for </w:t>
      </w:r>
      <w:r w:rsidR="00B27166" w:rsidRPr="00451C51">
        <w:rPr>
          <w:b w:val="0"/>
          <w:bCs w:val="0"/>
          <w:i/>
          <w:iCs/>
        </w:rPr>
        <w:t>p</w:t>
      </w:r>
      <w:r w:rsidR="00B27166" w:rsidRPr="00451C51">
        <w:rPr>
          <w:b w:val="0"/>
          <w:bCs w:val="0"/>
        </w:rPr>
        <w:t xml:space="preserve"> variants and </w:t>
      </w:r>
      <w:r w:rsidR="00B27166" w:rsidRPr="00451C51">
        <w:rPr>
          <w:b w:val="0"/>
          <w:bCs w:val="0"/>
          <w:i/>
          <w:iCs/>
        </w:rPr>
        <w:t>g</w:t>
      </w:r>
      <w:r w:rsidR="00B27166" w:rsidRPr="00451C51">
        <w:rPr>
          <w:b w:val="0"/>
          <w:bCs w:val="0"/>
        </w:rPr>
        <w:t xml:space="preserve"> genes. Out of the </w:t>
      </w:r>
      <w:r w:rsidR="00B27166" w:rsidRPr="00451C51">
        <w:rPr>
          <w:b w:val="0"/>
          <w:bCs w:val="0"/>
          <w:i/>
          <w:iCs/>
        </w:rPr>
        <w:t>p</w:t>
      </w:r>
      <w:r w:rsidR="00B27166" w:rsidRPr="00451C51">
        <w:rPr>
          <w:b w:val="0"/>
          <w:bCs w:val="0"/>
        </w:rPr>
        <w:t xml:space="preserve"> variants, we set </w:t>
      </w:r>
      <w:r w:rsidR="00B27166" w:rsidRPr="00451C51">
        <w:rPr>
          <w:b w:val="0"/>
          <w:bCs w:val="0"/>
          <w:i/>
          <w:iCs/>
        </w:rPr>
        <w:sym w:font="Symbol" w:char="F064"/>
      </w:r>
      <w:r w:rsidR="00B27166" w:rsidRPr="00451C51">
        <w:rPr>
          <w:b w:val="0"/>
          <w:bCs w:val="0"/>
        </w:rPr>
        <w:t xml:space="preserve"> proportion of them to be related to a particular trait. Thus, for high values of </w:t>
      </w:r>
      <w:r w:rsidR="00B27166" w:rsidRPr="00451C51">
        <w:rPr>
          <w:b w:val="0"/>
          <w:bCs w:val="0"/>
          <w:i/>
          <w:iCs/>
        </w:rPr>
        <w:sym w:font="Symbol" w:char="F064"/>
      </w:r>
      <w:r w:rsidR="00B27166" w:rsidRPr="00451C51">
        <w:rPr>
          <w:b w:val="0"/>
          <w:bCs w:val="0"/>
        </w:rPr>
        <w:t xml:space="preserve"> we expect that the matrix </w:t>
      </w:r>
      <w:r w:rsidR="004F01D5" w:rsidRPr="004F01D5">
        <w:t>A</w:t>
      </w:r>
      <w:r w:rsidR="004F01D5">
        <w:rPr>
          <w:b w:val="0"/>
          <w:bCs w:val="0"/>
        </w:rPr>
        <w:t xml:space="preserve"> </w:t>
      </w:r>
      <w:r w:rsidR="00B27166" w:rsidRPr="00451C51">
        <w:rPr>
          <w:b w:val="0"/>
          <w:bCs w:val="0"/>
        </w:rPr>
        <w:t xml:space="preserve">would reflect trans-association patterns pertaining to the trait and hence should be captured by the ARCHIE components. For low values of </w:t>
      </w:r>
      <w:r w:rsidR="00B27166" w:rsidRPr="00451C51">
        <w:rPr>
          <w:b w:val="0"/>
          <w:bCs w:val="0"/>
          <w:i/>
          <w:iCs/>
        </w:rPr>
        <w:sym w:font="Symbol" w:char="F064"/>
      </w:r>
      <w:r w:rsidR="00B27166" w:rsidRPr="00451C51">
        <w:rPr>
          <w:b w:val="0"/>
          <w:bCs w:val="0"/>
        </w:rPr>
        <w:t xml:space="preserve">, the matrix </w:t>
      </w:r>
      <w:r w:rsidR="00B27166" w:rsidRPr="004F01D5">
        <w:t>A</w:t>
      </w:r>
      <w:r w:rsidR="00B27166" w:rsidRPr="00451C51">
        <w:rPr>
          <w:b w:val="0"/>
          <w:bCs w:val="0"/>
        </w:rPr>
        <w:t xml:space="preserve"> would reflect a competitive null situation, with the trans-association not pertaining to any particular trait. Using this matrix, </w:t>
      </w:r>
      <w:r w:rsidR="00B27166" w:rsidRPr="004F01D5">
        <w:t>A</w:t>
      </w:r>
      <w:r w:rsidR="00B27166" w:rsidRPr="00451C51">
        <w:rPr>
          <w:b w:val="0"/>
          <w:bCs w:val="0"/>
        </w:rPr>
        <w:t xml:space="preserve">, along with the corresponding estimates of LD and co-expression as described above, we estimate the ARCHIE components and evaluate their significance. In particular, the quantity of interest is the empirical probability of at least one ARCHIE component to significant. To estimate that, we perform the above experiment multiple times for fixed values of p, g and </w:t>
      </w:r>
      <w:r w:rsidR="00B27166" w:rsidRPr="00451C51">
        <w:rPr>
          <w:b w:val="0"/>
          <w:bCs w:val="0"/>
        </w:rPr>
        <w:sym w:font="Symbol" w:char="F064"/>
      </w:r>
      <w:r w:rsidR="00B27166" w:rsidRPr="00451C51">
        <w:rPr>
          <w:b w:val="0"/>
          <w:bCs w:val="0"/>
        </w:rPr>
        <w:t xml:space="preserve"> and </w:t>
      </w:r>
      <w:r w:rsidR="0075737D" w:rsidRPr="00451C51">
        <w:rPr>
          <w:b w:val="0"/>
          <w:bCs w:val="0"/>
        </w:rPr>
        <w:t>calculate</w:t>
      </w:r>
      <w:r w:rsidR="00B27166" w:rsidRPr="00451C51">
        <w:rPr>
          <w:b w:val="0"/>
          <w:bCs w:val="0"/>
        </w:rPr>
        <w:t xml:space="preserve"> the proportion of times at least one ARCHIE component is significant.</w:t>
      </w:r>
      <w:r w:rsidR="00D67FC2">
        <w:rPr>
          <w:b w:val="0"/>
          <w:bCs w:val="0"/>
        </w:rPr>
        <w:t xml:space="preserve"> We would expect ARCHIE to have higher probability of identifying significant components with increasing value of. </w:t>
      </w:r>
    </w:p>
    <w:p w14:paraId="412FF19D" w14:textId="61F3D3D4" w:rsidR="00CF6D00" w:rsidRPr="00451C51" w:rsidRDefault="007964BD" w:rsidP="008932DA">
      <w:pPr>
        <w:pStyle w:val="Heading4"/>
        <w:shd w:val="clear" w:color="auto" w:fill="FFFFFF"/>
        <w:spacing w:before="150" w:beforeAutospacing="0" w:after="150" w:afterAutospacing="0" w:line="480" w:lineRule="auto"/>
        <w:jc w:val="both"/>
        <w:textAlignment w:val="baseline"/>
        <w:rPr>
          <w:b w:val="0"/>
          <w:bCs w:val="0"/>
        </w:rPr>
      </w:pPr>
      <w:r w:rsidRPr="00451C51">
        <w:rPr>
          <w:b w:val="0"/>
          <w:bCs w:val="0"/>
        </w:rPr>
        <w:t xml:space="preserve">In our numerical experiments, we set p = </w:t>
      </w:r>
      <w:r w:rsidR="00C96AB0">
        <w:rPr>
          <w:b w:val="0"/>
          <w:bCs w:val="0"/>
        </w:rPr>
        <w:t>1</w:t>
      </w:r>
      <w:r w:rsidRPr="00451C51">
        <w:rPr>
          <w:b w:val="0"/>
          <w:bCs w:val="0"/>
        </w:rPr>
        <w:t>00,</w:t>
      </w:r>
      <w:r w:rsidR="00B27166" w:rsidRPr="00451C51">
        <w:rPr>
          <w:b w:val="0"/>
          <w:bCs w:val="0"/>
        </w:rPr>
        <w:t xml:space="preserve"> </w:t>
      </w:r>
      <w:r w:rsidRPr="00451C51">
        <w:rPr>
          <w:b w:val="0"/>
          <w:bCs w:val="0"/>
        </w:rPr>
        <w:t xml:space="preserve">g = </w:t>
      </w:r>
      <w:r w:rsidR="008739C8">
        <w:rPr>
          <w:b w:val="0"/>
          <w:bCs w:val="0"/>
        </w:rPr>
        <w:t>5</w:t>
      </w:r>
      <w:r w:rsidRPr="00451C51">
        <w:rPr>
          <w:b w:val="0"/>
          <w:bCs w:val="0"/>
        </w:rPr>
        <w:t xml:space="preserve">,000 throughout all the settings. We studied the empirical probability of at least one ARCHIE component to </w:t>
      </w:r>
      <w:r w:rsidR="00C96AB0">
        <w:rPr>
          <w:b w:val="0"/>
          <w:bCs w:val="0"/>
        </w:rPr>
        <w:t xml:space="preserve">be </w:t>
      </w:r>
      <w:r w:rsidRPr="00451C51">
        <w:rPr>
          <w:b w:val="0"/>
          <w:bCs w:val="0"/>
        </w:rPr>
        <w:t xml:space="preserve">significant with varying values of </w:t>
      </w:r>
      <w:r w:rsidRPr="00451C51">
        <w:rPr>
          <w:b w:val="0"/>
          <w:bCs w:val="0"/>
        </w:rPr>
        <w:sym w:font="Symbol" w:char="F064"/>
      </w:r>
      <w:r w:rsidRPr="00451C51">
        <w:rPr>
          <w:b w:val="0"/>
          <w:bCs w:val="0"/>
        </w:rPr>
        <w:t xml:space="preserve">. </w:t>
      </w:r>
      <w:r w:rsidR="00C96AB0">
        <w:rPr>
          <w:b w:val="0"/>
          <w:bCs w:val="0"/>
        </w:rPr>
        <w:t xml:space="preserve">Given a particular trait, </w:t>
      </w:r>
      <w:proofErr w:type="gramStart"/>
      <w:r w:rsidR="00C96AB0">
        <w:rPr>
          <w:b w:val="0"/>
          <w:bCs w:val="0"/>
        </w:rPr>
        <w:t>e.g.</w:t>
      </w:r>
      <w:proofErr w:type="gramEnd"/>
      <w:r w:rsidR="00C96AB0">
        <w:rPr>
          <w:b w:val="0"/>
          <w:bCs w:val="0"/>
        </w:rPr>
        <w:t xml:space="preserve"> Type-1 Diabetes, f</w:t>
      </w:r>
      <w:r w:rsidRPr="00451C51">
        <w:rPr>
          <w:b w:val="0"/>
          <w:bCs w:val="0"/>
        </w:rPr>
        <w:t xml:space="preserve">or each value of </w:t>
      </w:r>
      <w:r w:rsidRPr="00451C51">
        <w:rPr>
          <w:b w:val="0"/>
          <w:bCs w:val="0"/>
        </w:rPr>
        <w:sym w:font="Symbol" w:char="F064"/>
      </w:r>
      <w:r w:rsidRPr="00451C51">
        <w:rPr>
          <w:b w:val="0"/>
          <w:bCs w:val="0"/>
        </w:rPr>
        <w:t xml:space="preserve">, we set </w:t>
      </w:r>
      <w:r w:rsidRPr="00451C51">
        <w:rPr>
          <w:b w:val="0"/>
          <w:bCs w:val="0"/>
        </w:rPr>
        <w:sym w:font="Symbol" w:char="F064"/>
      </w:r>
      <w:r w:rsidRPr="00451C51">
        <w:rPr>
          <w:b w:val="0"/>
          <w:bCs w:val="0"/>
        </w:rPr>
        <w:t xml:space="preserve"> proportion of the </w:t>
      </w:r>
      <w:r w:rsidR="00C96AB0">
        <w:rPr>
          <w:b w:val="0"/>
          <w:bCs w:val="0"/>
        </w:rPr>
        <w:t>1</w:t>
      </w:r>
      <w:r w:rsidRPr="00451C51">
        <w:rPr>
          <w:b w:val="0"/>
          <w:bCs w:val="0"/>
        </w:rPr>
        <w:t>00 (=p) variants to be related to Type-1 Diabetes</w:t>
      </w:r>
      <w:r w:rsidR="004F01D5">
        <w:rPr>
          <w:b w:val="0"/>
          <w:bCs w:val="0"/>
        </w:rPr>
        <w:t>.</w:t>
      </w:r>
      <w:r w:rsidRPr="00451C51">
        <w:rPr>
          <w:b w:val="0"/>
          <w:bCs w:val="0"/>
        </w:rPr>
        <w:t xml:space="preserve"> We further repeated the experiment with Height</w:t>
      </w:r>
      <w:r w:rsidR="001A2048" w:rsidRPr="00451C51">
        <w:rPr>
          <w:b w:val="0"/>
          <w:bCs w:val="0"/>
        </w:rPr>
        <w:t>,</w:t>
      </w:r>
      <w:r w:rsidRPr="00451C51">
        <w:rPr>
          <w:b w:val="0"/>
          <w:bCs w:val="0"/>
        </w:rPr>
        <w:t xml:space="preserve"> Rheumatoid Arthritis</w:t>
      </w:r>
      <w:r w:rsidR="001A2048" w:rsidRPr="00451C51">
        <w:rPr>
          <w:b w:val="0"/>
          <w:bCs w:val="0"/>
        </w:rPr>
        <w:t xml:space="preserve"> and LDL Cholesterol (Supplementary Figure </w:t>
      </w:r>
      <w:r w:rsidR="00C96AB0">
        <w:rPr>
          <w:b w:val="0"/>
          <w:bCs w:val="0"/>
        </w:rPr>
        <w:t>6</w:t>
      </w:r>
      <w:r w:rsidR="001A2048" w:rsidRPr="00451C51">
        <w:rPr>
          <w:b w:val="0"/>
          <w:bCs w:val="0"/>
        </w:rPr>
        <w:t>)</w:t>
      </w:r>
      <w:r w:rsidRPr="00451C51">
        <w:rPr>
          <w:b w:val="0"/>
          <w:bCs w:val="0"/>
        </w:rPr>
        <w:t xml:space="preserve">. </w:t>
      </w:r>
      <w:r w:rsidR="00B106F1" w:rsidRPr="00451C51">
        <w:rPr>
          <w:b w:val="0"/>
          <w:bCs w:val="0"/>
        </w:rPr>
        <w:t xml:space="preserve">For </w:t>
      </w:r>
      <w:r w:rsidR="00B106F1" w:rsidRPr="00451C51">
        <w:rPr>
          <w:b w:val="0"/>
          <w:bCs w:val="0"/>
        </w:rPr>
        <w:sym w:font="Symbol" w:char="F064"/>
      </w:r>
      <w:r w:rsidR="00B106F1" w:rsidRPr="00451C51">
        <w:rPr>
          <w:b w:val="0"/>
          <w:bCs w:val="0"/>
        </w:rPr>
        <w:t>=0, the estimated probability of at least one ARCHIE component to be significant is lesser than 0.0</w:t>
      </w:r>
      <w:r w:rsidR="00FC537B">
        <w:rPr>
          <w:b w:val="0"/>
          <w:bCs w:val="0"/>
        </w:rPr>
        <w:t>0</w:t>
      </w:r>
      <w:r w:rsidR="00B106F1" w:rsidRPr="00451C51">
        <w:rPr>
          <w:b w:val="0"/>
          <w:bCs w:val="0"/>
        </w:rPr>
        <w:t>1. This indicates that the testing procedure against the competitive null hypothesis we adopted via the resampling algorithm outlined, can maintain type-I error. Further a</w:t>
      </w:r>
      <w:r w:rsidRPr="00451C51">
        <w:rPr>
          <w:b w:val="0"/>
          <w:bCs w:val="0"/>
        </w:rPr>
        <w:t xml:space="preserve">cross the </w:t>
      </w:r>
      <w:r w:rsidR="00C96AB0">
        <w:rPr>
          <w:b w:val="0"/>
          <w:bCs w:val="0"/>
        </w:rPr>
        <w:t>4</w:t>
      </w:r>
      <w:r w:rsidRPr="00451C51">
        <w:rPr>
          <w:b w:val="0"/>
          <w:bCs w:val="0"/>
        </w:rPr>
        <w:t xml:space="preserve"> different traits, we note that with increasing </w:t>
      </w:r>
      <w:r w:rsidRPr="00451C51">
        <w:rPr>
          <w:b w:val="0"/>
          <w:bCs w:val="0"/>
        </w:rPr>
        <w:sym w:font="Symbol" w:char="F064"/>
      </w:r>
      <w:r w:rsidRPr="00451C51">
        <w:rPr>
          <w:b w:val="0"/>
          <w:bCs w:val="0"/>
        </w:rPr>
        <w:t xml:space="preserve">, the estimated probability of at least one ARCHIE component to be significant increases and is greater than 80% when </w:t>
      </w:r>
      <w:r w:rsidR="00B106F1" w:rsidRPr="00451C51">
        <w:rPr>
          <w:b w:val="0"/>
          <w:bCs w:val="0"/>
        </w:rPr>
        <w:sym w:font="Symbol" w:char="F064"/>
      </w:r>
      <w:r w:rsidR="00B106F1" w:rsidRPr="00451C51">
        <w:rPr>
          <w:b w:val="0"/>
          <w:bCs w:val="0"/>
        </w:rPr>
        <w:t xml:space="preserve"> &gt; 0.</w:t>
      </w:r>
      <w:r w:rsidR="00C96AB0">
        <w:rPr>
          <w:b w:val="0"/>
          <w:bCs w:val="0"/>
        </w:rPr>
        <w:t>7</w:t>
      </w:r>
      <w:r w:rsidR="00B106F1" w:rsidRPr="00451C51">
        <w:rPr>
          <w:b w:val="0"/>
          <w:bCs w:val="0"/>
        </w:rPr>
        <w:t xml:space="preserve">5 for all the </w:t>
      </w:r>
      <w:r w:rsidR="00C96AB0">
        <w:rPr>
          <w:b w:val="0"/>
          <w:bCs w:val="0"/>
        </w:rPr>
        <w:t>four</w:t>
      </w:r>
      <w:r w:rsidR="00B106F1" w:rsidRPr="00451C51">
        <w:rPr>
          <w:b w:val="0"/>
          <w:bCs w:val="0"/>
        </w:rPr>
        <w:t xml:space="preserve"> traits. This indicates that with increasing trait-specificity in the matrix of summary statistics, ARCHIE has an increased </w:t>
      </w:r>
      <w:r w:rsidR="00B106F1" w:rsidRPr="00451C51">
        <w:rPr>
          <w:b w:val="0"/>
          <w:bCs w:val="0"/>
        </w:rPr>
        <w:lastRenderedPageBreak/>
        <w:t xml:space="preserve">probability of identifying a significant component </w:t>
      </w:r>
      <w:r w:rsidR="008739C8">
        <w:rPr>
          <w:b w:val="0"/>
          <w:bCs w:val="0"/>
        </w:rPr>
        <w:t>by aggregating</w:t>
      </w:r>
      <w:r w:rsidR="00B106F1" w:rsidRPr="00451C51">
        <w:rPr>
          <w:b w:val="0"/>
          <w:bCs w:val="0"/>
        </w:rPr>
        <w:t xml:space="preserve"> the </w:t>
      </w:r>
      <w:r w:rsidR="008739C8">
        <w:rPr>
          <w:b w:val="0"/>
          <w:bCs w:val="0"/>
        </w:rPr>
        <w:t>corresponding weaker</w:t>
      </w:r>
      <w:r w:rsidR="00B106F1" w:rsidRPr="00451C51">
        <w:rPr>
          <w:b w:val="0"/>
          <w:bCs w:val="0"/>
        </w:rPr>
        <w:t xml:space="preserve"> trans-associations.   </w:t>
      </w:r>
    </w:p>
    <w:p w14:paraId="2A45B0D0" w14:textId="65A95354" w:rsidR="00BF6FC1" w:rsidRPr="00451C51" w:rsidRDefault="00BF6FC1" w:rsidP="00BF6FC1">
      <w:pPr>
        <w:pStyle w:val="Heading4"/>
        <w:shd w:val="clear" w:color="auto" w:fill="FFFFFF"/>
        <w:spacing w:before="150" w:beforeAutospacing="0" w:after="150" w:afterAutospacing="0" w:line="480" w:lineRule="auto"/>
        <w:jc w:val="both"/>
        <w:textAlignment w:val="baseline"/>
        <w:rPr>
          <w:sz w:val="28"/>
          <w:szCs w:val="28"/>
        </w:rPr>
      </w:pPr>
      <w:r w:rsidRPr="00451C51">
        <w:rPr>
          <w:sz w:val="28"/>
          <w:szCs w:val="28"/>
        </w:rPr>
        <w:t xml:space="preserve">Supplementary Section </w:t>
      </w:r>
      <w:r w:rsidR="008F5710" w:rsidRPr="00451C51">
        <w:rPr>
          <w:sz w:val="28"/>
          <w:szCs w:val="28"/>
        </w:rPr>
        <w:t>C</w:t>
      </w:r>
      <w:r w:rsidRPr="00451C51">
        <w:rPr>
          <w:sz w:val="28"/>
          <w:szCs w:val="28"/>
        </w:rPr>
        <w:t>. Follow-up analysis.</w:t>
      </w:r>
    </w:p>
    <w:p w14:paraId="39A5EF1C" w14:textId="18F218AD" w:rsidR="00DC6FB3" w:rsidRPr="00451C51" w:rsidRDefault="00DC6FB3" w:rsidP="00DC6FB3">
      <w:pPr>
        <w:spacing w:line="480" w:lineRule="auto"/>
        <w:jc w:val="both"/>
        <w:rPr>
          <w:rFonts w:ascii="Times New Roman" w:hAnsi="Times New Roman" w:cs="Times New Roman"/>
        </w:rPr>
      </w:pPr>
      <w:r w:rsidRPr="00451C51">
        <w:rPr>
          <w:rFonts w:ascii="Times New Roman" w:hAnsi="Times New Roman" w:cs="Times New Roman"/>
          <w:b/>
          <w:bCs/>
        </w:rPr>
        <w:t>Enrichment analysis</w:t>
      </w:r>
      <w:r w:rsidRPr="00451C51">
        <w:rPr>
          <w:rFonts w:ascii="Times New Roman" w:hAnsi="Times New Roman" w:cs="Times New Roman"/>
        </w:rPr>
        <w:t>. To see if the selected genes in the gene-component of ARCHIE were enriched in pre-defined pathways, we used gene-set (pathway) enrichment analysis. In particular we applied hypergeometric (Fisher’s exact) test to see if the selected genes are overrepresented in the pathways compared to what is expected at random. Further, to adjust for multiple testing, we use a false discovery rate (FDR) adjusted p-value for evaluating significance of the pathways. Gene-sets were obtained from numerous known and reported databases including Molecular signatures database</w:t>
      </w:r>
      <w:r w:rsidRPr="00451C51">
        <w:rPr>
          <w:rFonts w:ascii="Times New Roman" w:hAnsi="Times New Roman" w:cs="Times New Roman"/>
        </w:rPr>
        <w:fldChar w:fldCharType="begin" w:fldLock="1"/>
      </w:r>
      <w:r w:rsidR="006C02E4" w:rsidRPr="00451C51">
        <w:rPr>
          <w:rFonts w:ascii="Times New Roman" w:hAnsi="Times New Roman" w:cs="Times New Roman"/>
        </w:rPr>
        <w:instrText>ADDIN CSL_CITATION {"citationItems":[{"id":"ITEM-1","itemData":{"DOI":"10.1016/j.cels.2015.12.004","author":[{"dropping-particle":"","family":"Liberzon","given":"A","non-dropping-particle":"","parse-names":false,"suffix":""},{"dropping-particle":"","family":"Birger","given":"C","non-dropping-particle":"","parse-names":false,"suffix":""},{"dropping-particle":"","family":"Thorvaldsdottir","given":"H","non-dropping-particle":"","parse-names":false,"suffix":""},{"dropping-particle":"","family":"Ghandi","given":"M","non-dropping-particle":"","parse-names":false,"suffix":""},{"dropping-particle":"","family":"Mesirov","given":"J P","non-dropping-particle":"","parse-names":false,"suffix":""},{"dropping-particle":"","family":"Tamayo","given":"P","non-dropping-particle":"","parse-names":false,"suffix":""}],"container-title":"Cell Syst","id":"ITEM-1","issued":{"date-parts":[["2015"]]},"page":"417-425","title":"The Molecular Signatures Database (MSigDB) hallmark gene set collection.","type":"article-journal","volume":"1(6)"},"uris":["http://www.mendeley.com/documents/?uuid=cc8010fe-f242-4777-9c3d-a296623536fa"]},{"id":"ITEM-2","itemData":{"DOI":"10.1093/bioinformatics/btr260","ISSN":"13674803","abstract":"Motivation: Well-annotated gene sets representing the universe of the biological processes are critical for meaningful and insightful interpretation of large-scale genomic data. The Molecular Signatures Database (MSigDB) is one of the most widely used repositories of such sets.Results: We report the availability of a new version of the database, MSigDB 3.0, with over 6700 gene sets, a complete revision of the collection of canonical pathways and experimental signatures from publications, enhanced annotations and upgrades to the web site. © The Author 2011. Published by Oxford University Press. All rights reserved.","author":[{"dropping-particle":"","family":"Liberzon","given":"Arthur","non-dropping-particle":"","parse-names":false,"suffix":""},{"dropping-particle":"","family":"Subramanian","given":"Aravind","non-dropping-particle":"","parse-names":false,"suffix":""},{"dropping-particle":"","family":"Pinchback","given":"Reid","non-dropping-particle":"","parse-names":false,"suffix":""},{"dropping-particle":"","family":"Thorvaldsdóttir","given":"Helga","non-dropping-particle":"","parse-names":false,"suffix":""},{"dropping-particle":"","family":"Tamayo","given":"Pablo","non-dropping-particle":"","parse-names":false,"suffix":""},{"dropping-particle":"","family":"Mesirov","given":"Jill P.","non-dropping-particle":"","parse-names":false,"suffix":""}],"container-title":"Bioinformatics","id":"ITEM-2","issued":{"date-parts":[["2011"]]},"title":"Molecular signatures database (MSigDB) 3.0","type":"article-journal"},"uris":["http://www.mendeley.com/documents/?uuid=e40b295b-2f4c-4375-a415-a445be4995c0"]}],"mendeley":{"formattedCitation":"&lt;sup&gt;7,8&lt;/sup&gt;","plainTextFormattedCitation":"7,8","previouslyFormattedCitation":"&lt;sup&gt;7,8&lt;/sup&gt;"},"properties":{"noteIndex":0},"schema":"https://github.com/citation-style-language/schema/raw/master/csl-citation.json"}</w:instrText>
      </w:r>
      <w:r w:rsidRPr="00451C51">
        <w:rPr>
          <w:rFonts w:ascii="Times New Roman" w:hAnsi="Times New Roman" w:cs="Times New Roman"/>
        </w:rPr>
        <w:fldChar w:fldCharType="separate"/>
      </w:r>
      <w:r w:rsidR="006C02E4" w:rsidRPr="00451C51">
        <w:rPr>
          <w:rFonts w:ascii="Times New Roman" w:hAnsi="Times New Roman" w:cs="Times New Roman"/>
          <w:noProof/>
          <w:vertAlign w:val="superscript"/>
        </w:rPr>
        <w:t>7,8</w:t>
      </w:r>
      <w:r w:rsidRPr="00451C51">
        <w:rPr>
          <w:rFonts w:ascii="Times New Roman" w:hAnsi="Times New Roman" w:cs="Times New Roman"/>
        </w:rPr>
        <w:fldChar w:fldCharType="end"/>
      </w:r>
      <w:r w:rsidRPr="00451C51">
        <w:rPr>
          <w:rFonts w:ascii="Times New Roman" w:hAnsi="Times New Roman" w:cs="Times New Roman"/>
        </w:rPr>
        <w:t xml:space="preserve"> (</w:t>
      </w:r>
      <w:proofErr w:type="spellStart"/>
      <w:r w:rsidRPr="00451C51">
        <w:rPr>
          <w:rFonts w:ascii="Times New Roman" w:hAnsi="Times New Roman" w:cs="Times New Roman"/>
        </w:rPr>
        <w:t>MSigDB</w:t>
      </w:r>
      <w:proofErr w:type="spellEnd"/>
      <w:r w:rsidRPr="00451C51">
        <w:rPr>
          <w:rFonts w:ascii="Times New Roman" w:hAnsi="Times New Roman" w:cs="Times New Roman"/>
        </w:rPr>
        <w:t xml:space="preserve"> containing several known databases like KEGG, REACTOME, GO and Wiki</w:t>
      </w:r>
      <w:r w:rsidR="003C4D2C">
        <w:rPr>
          <w:rFonts w:ascii="Times New Roman" w:hAnsi="Times New Roman" w:cs="Times New Roman"/>
        </w:rPr>
        <w:t xml:space="preserve"> </w:t>
      </w:r>
      <w:r w:rsidRPr="00451C51">
        <w:rPr>
          <w:rFonts w:ascii="Times New Roman" w:hAnsi="Times New Roman" w:cs="Times New Roman"/>
        </w:rPr>
        <w:t>Pathways), TRRUST</w:t>
      </w:r>
      <w:r w:rsidRPr="00451C51">
        <w:rPr>
          <w:rFonts w:ascii="Times New Roman" w:hAnsi="Times New Roman" w:cs="Times New Roman"/>
        </w:rPr>
        <w:fldChar w:fldCharType="begin" w:fldLock="1"/>
      </w:r>
      <w:r w:rsidR="006C02E4" w:rsidRPr="00451C51">
        <w:rPr>
          <w:rFonts w:ascii="Times New Roman" w:hAnsi="Times New Roman" w:cs="Times New Roman"/>
        </w:rPr>
        <w:instrText>ADDIN CSL_CITATION {"citationItems":[{"id":"ITEM-1","itemData":{"DOI":"10.1093/nar/gkx1013","ISSN":"13624962","abstract":"Transcription factors (TFs) are major trans-acting factors in transcriptional regulation. Therefore, elucidating TF-target interactions is a key step toward understanding the regulatory circuitry underlying complex traits such as human diseases. We previously published a reference TF-target interaction database for humans-TRRUST (Transcriptional Regulatory Relationships Unraveled by Sentence-based Text mining)-which was constructed using sentence-based text mining, followed by manual curation. Here, we present TRRUST v2 (www.grnpedia.org/trrust) with a significant improvement from the previous version, including a significantly increased size of the database consisting of 8444 regulatory interactions for 800 TFs in humans. More importantly, TRRUST v2 also contains a database for TF-target interactions in mice, including 6552 TF-target interactions for 828 mouse TFs. TRRUST v2 is also substantially more comprehensive and less biased than other TF-target interaction databases. We also improved the web interface, which now enables prioritization of key TFs for a physiological condition depicted by a set of user-input transcriptional responsive genes. With the significant expansion in the database size and inclusion of the new web tool for TF prioritization, we believe that TRRUST v2 will be a versatile database for the study of the transcriptional regulation involved in human diseases.","author":[{"dropping-particle":"","family":"Han","given":"Heonjong","non-dropping-particle":"","parse-names":false,"suffix":""},{"dropping-particle":"","family":"Cho","given":"Jae Won","non-dropping-particle":"","parse-names":false,"suffix":""},{"dropping-particle":"","family":"Lee","given":"Sangyoung","non-dropping-particle":"","parse-names":false,"suffix":""},{"dropping-particle":"","family":"Yun","given":"Ayoung","non-dropping-particle":"","parse-names":false,"suffix":""},{"dropping-particle":"","family":"Kim","given":"Hyojin","non-dropping-particle":"","parse-names":false,"suffix":""},{"dropping-particle":"","family":"Bae","given":"Dasom","non-dropping-particle":"","parse-names":false,"suffix":""},{"dropping-particle":"","family":"Yang","given":"Sunmo","non-dropping-particle":"","parse-names":false,"suffix":""},{"dropping-particle":"","family":"Kim","given":"Chan Yeong","non-dropping-particle":"","parse-names":false,"suffix":""},{"dropping-particle":"","family":"Lee","given":"Muyoung","non-dropping-particle":"","parse-names":false,"suffix":""},{"dropping-particle":"","family":"Kim","given":"Eunbeen","non-dropping-particle":"","parse-names":false,"suffix":""},{"dropping-particle":"","family":"Lee","given":"Sungho","non-dropping-particle":"","parse-names":false,"suffix":""},{"dropping-particle":"","family":"Kang","given":"Byunghee","non-dropping-particle":"","parse-names":false,"suffix":""},{"dropping-particle":"","family":"Jeong","given":"Dabin","non-dropping-particle":"","parse-names":false,"suffix":""},{"dropping-particle":"","family":"Kim","given":"Yaeji","non-dropping-particle":"","parse-names":false,"suffix":""},{"dropping-particle":"","family":"Jeon","given":"Hyeon Nae","non-dropping-particle":"","parse-names":false,"suffix":""},{"dropping-particle":"","family":"Jung","given":"Haein","non-dropping-particle":"","parse-names":false,"suffix":""},{"dropping-particle":"","family":"Nam","given":"Sunhwee","non-dropping-particle":"","parse-names":false,"suffix":""},{"dropping-particle":"","family":"Chung","given":"Michael","non-dropping-particle":"","parse-names":false,"suffix":""},{"dropping-particle":"","family":"Kim","given":"Jong Hoon","non-dropping-particle":"","parse-names":false,"suffix":""},{"dropping-particle":"","family":"Lee","given":"Insuk","non-dropping-particle":"","parse-names":false,"suffix":""}],"container-title":"Nucleic Acids Research","id":"ITEM-1","issued":{"date-parts":[["2018"]]},"title":"TRRUST v2: An expanded reference database of human and mouse transcriptional regulatory interactions","type":"article-journal"},"uris":["http://www.mendeley.com/documents/?uuid=05c158d0-9c9c-4d13-bf06-21a06f2c8d56"]}],"mendeley":{"formattedCitation":"&lt;sup&gt;9&lt;/sup&gt;","plainTextFormattedCitation":"9","previouslyFormattedCitation":"&lt;sup&gt;9&lt;/sup&gt;"},"properties":{"noteIndex":0},"schema":"https://github.com/citation-style-language/schema/raw/master/csl-citation.json"}</w:instrText>
      </w:r>
      <w:r w:rsidRPr="00451C51">
        <w:rPr>
          <w:rFonts w:ascii="Times New Roman" w:hAnsi="Times New Roman" w:cs="Times New Roman"/>
        </w:rPr>
        <w:fldChar w:fldCharType="separate"/>
      </w:r>
      <w:r w:rsidR="006C02E4" w:rsidRPr="00451C51">
        <w:rPr>
          <w:rFonts w:ascii="Times New Roman" w:hAnsi="Times New Roman" w:cs="Times New Roman"/>
          <w:noProof/>
          <w:vertAlign w:val="superscript"/>
        </w:rPr>
        <w:t>9</w:t>
      </w:r>
      <w:r w:rsidRPr="00451C51">
        <w:rPr>
          <w:rFonts w:ascii="Times New Roman" w:hAnsi="Times New Roman" w:cs="Times New Roman"/>
        </w:rPr>
        <w:fldChar w:fldCharType="end"/>
      </w:r>
      <w:r w:rsidRPr="00451C51">
        <w:rPr>
          <w:rFonts w:ascii="Times New Roman" w:hAnsi="Times New Roman" w:cs="Times New Roman"/>
        </w:rPr>
        <w:t>, ITFP</w:t>
      </w:r>
      <w:r w:rsidRPr="00451C51">
        <w:rPr>
          <w:rFonts w:ascii="Times New Roman" w:hAnsi="Times New Roman" w:cs="Times New Roman"/>
        </w:rPr>
        <w:fldChar w:fldCharType="begin" w:fldLock="1"/>
      </w:r>
      <w:r w:rsidR="006C02E4" w:rsidRPr="00451C51">
        <w:rPr>
          <w:rFonts w:ascii="Times New Roman" w:hAnsi="Times New Roman" w:cs="Times New Roman"/>
        </w:rPr>
        <w:instrText>ADDIN CSL_CITATION {"citationItems":[{"id":"ITEM-1","itemData":{"DOI":"10.1093/bioinformatics/btn439","ISSN":"13674803","abstract":"Summary: Investigation of transcription factors (TFs) and their downstream regulated genes (targets) is a significant issue in post-genome era, which can provide a brand new vision for some vital biological process. However, information of TFs and their targets in mammalian is far from sufficient. Here, we developed an integrated TF platform (ITFP), which included abundant TFs and their targets of mammalian. In current release, ITFP includes 4105 putative TFs and 69 496 potential TF-target pairs for human, 3134 putative TFs and 37 040 potential TF-target pairs for mouse, and 1114 putative TFs and 18 055 potential TF-target pairs for rat. In short, ITFP will serve as an important resource for the research community of transcription and provide strong support for regulatory network study. © The Author 2008. Published by Oxford University Press. All rights reserved.","author":[{"dropping-particle":"","family":"Zheng","given":"Guangyong","non-dropping-particle":"","parse-names":false,"suffix":""},{"dropping-particle":"","family":"Tu","given":"Kang","non-dropping-particle":"","parse-names":false,"suffix":""},{"dropping-particle":"","family":"Yang","given":"Qing","non-dropping-particle":"","parse-names":false,"suffix":""},{"dropping-particle":"","family":"Xiong","given":"Yun","non-dropping-particle":"","parse-names":false,"suffix":""},{"dropping-particle":"","family":"Wei","given":"Chaochun","non-dropping-particle":"","parse-names":false,"suffix":""},{"dropping-particle":"","family":"Xie","given":"Lu","non-dropping-particle":"","parse-names":false,"suffix":""},{"dropping-particle":"","family":"Zhu","given":"Yangyong","non-dropping-particle":"","parse-names":false,"suffix":""},{"dropping-particle":"","family":"Li","given":"Yixue","non-dropping-particle":"","parse-names":false,"suffix":""}],"container-title":"Bioinformatics","id":"ITEM-1","issued":{"date-parts":[["2008"]]},"title":"ITFP: An integrated platform of mammalian transcription factors","type":"article-journal"},"uris":["http://www.mendeley.com/documents/?uuid=5a8f516b-4571-4b4c-8231-dd4c321ad466"]}],"mendeley":{"formattedCitation":"&lt;sup&gt;10&lt;/sup&gt;","plainTextFormattedCitation":"10","previouslyFormattedCitation":"&lt;sup&gt;10&lt;/sup&gt;"},"properties":{"noteIndex":0},"schema":"https://github.com/citation-style-language/schema/raw/master/csl-citation.json"}</w:instrText>
      </w:r>
      <w:r w:rsidRPr="00451C51">
        <w:rPr>
          <w:rFonts w:ascii="Times New Roman" w:hAnsi="Times New Roman" w:cs="Times New Roman"/>
        </w:rPr>
        <w:fldChar w:fldCharType="separate"/>
      </w:r>
      <w:r w:rsidR="006C02E4" w:rsidRPr="00451C51">
        <w:rPr>
          <w:rFonts w:ascii="Times New Roman" w:hAnsi="Times New Roman" w:cs="Times New Roman"/>
          <w:noProof/>
          <w:vertAlign w:val="superscript"/>
        </w:rPr>
        <w:t>10</w:t>
      </w:r>
      <w:r w:rsidRPr="00451C51">
        <w:rPr>
          <w:rFonts w:ascii="Times New Roman" w:hAnsi="Times New Roman" w:cs="Times New Roman"/>
        </w:rPr>
        <w:fldChar w:fldCharType="end"/>
      </w:r>
      <w:r w:rsidRPr="00451C51">
        <w:rPr>
          <w:rFonts w:ascii="Times New Roman" w:hAnsi="Times New Roman" w:cs="Times New Roman"/>
        </w:rPr>
        <w:t xml:space="preserve"> and RegNetwork</w:t>
      </w:r>
      <w:r w:rsidRPr="00451C51">
        <w:rPr>
          <w:rFonts w:ascii="Times New Roman" w:hAnsi="Times New Roman" w:cs="Times New Roman"/>
        </w:rPr>
        <w:fldChar w:fldCharType="begin" w:fldLock="1"/>
      </w:r>
      <w:r w:rsidR="006C02E4" w:rsidRPr="00451C51">
        <w:rPr>
          <w:rFonts w:ascii="Times New Roman" w:hAnsi="Times New Roman" w:cs="Times New Roman"/>
        </w:rPr>
        <w:instrText>ADDIN CSL_CITATION {"citationItems":[{"id":"ITEM-1","itemData":{"DOI":"10.1093/database/bav095","ISSN":"17580463","PMID":"26424082","abstract":"Transcriptional and post-transcriptional regulation of gene expression is of fundamental importance to numerous biological processes. Nowadays, an increasing amount of gene regulatory relationships have been documented in various databases and literature. However, to more efficiently exploit such knowledge for biomedical research and applications, it is necessary to construct a genome-wide regulatory network database to integrate the information on gene regulatory relationships that are widely scattered in many different places. Therefore, in this work, we build a knowledge-based database, named 'RegNetwork', of gene regulatory networks for human and mouse by collecting and integrating the documented regulatory interactions among transcription factors (TFs), microRNAs (miRNAs) and target genes from 25 selected databases. Moreover, we also inferred and incorporated potential regulatory relationships based on transcription factor binding site (TFBS) motifs into RegNetwork. As a result, RegNetwork contains a comprehensive set of experimentally observed or predicted transcriptional and post-transcriptional regulatory relationships, and the database framework is flexibly designed for potential extensions to include gene regulatory networks for other organisms in the future. Based on RegNetwork, we characterized the statistical and topological properties of genome-wide regulatory networks for human and mouse, we also extracted and interpreted simple yet important network motifs that involve the interplays between TF-miRNA and their targets. In summary, RegNetwork provides an integrated resource on the prior information for gene regulatory relationships, and it enables us to further investigate context-specific transcriptional and post-transcriptional regulatory interactions based on domain-specific experimental data.","author":[{"dropping-particle":"","family":"Liu","given":"Zhi Ping","non-dropping-particle":"","parse-names":false,"suffix":""},{"dropping-particle":"","family":"Wu","given":"Canglin","non-dropping-particle":"","parse-names":false,"suffix":""},{"dropping-particle":"","family":"Miao","given":"Hongyu","non-dropping-particle":"","parse-names":false,"suffix":""},{"dropping-particle":"","family":"Wu","given":"Hulin","non-dropping-particle":"","parse-names":false,"suffix":""}],"container-title":"Database","id":"ITEM-1","issued":{"date-parts":[["2015"]]},"title":"RegNetwork: An integrated database of transcriptional and post-transcriptional regulatory networks in human and mouse","type":"article-journal"},"uris":["http://www.mendeley.com/documents/?uuid=de1c59f9-d728-4c18-8b1e-5c45b10adc4b"]}],"mendeley":{"formattedCitation":"&lt;sup&gt;11&lt;/sup&gt;","plainTextFormattedCitation":"11","previouslyFormattedCitation":"&lt;sup&gt;11&lt;/sup&gt;"},"properties":{"noteIndex":0},"schema":"https://github.com/citation-style-language/schema/raw/master/csl-citation.json"}</w:instrText>
      </w:r>
      <w:r w:rsidRPr="00451C51">
        <w:rPr>
          <w:rFonts w:ascii="Times New Roman" w:hAnsi="Times New Roman" w:cs="Times New Roman"/>
        </w:rPr>
        <w:fldChar w:fldCharType="separate"/>
      </w:r>
      <w:r w:rsidR="006C02E4" w:rsidRPr="00451C51">
        <w:rPr>
          <w:rFonts w:ascii="Times New Roman" w:hAnsi="Times New Roman" w:cs="Times New Roman"/>
          <w:noProof/>
          <w:vertAlign w:val="superscript"/>
        </w:rPr>
        <w:t>11</w:t>
      </w:r>
      <w:r w:rsidRPr="00451C51">
        <w:rPr>
          <w:rFonts w:ascii="Times New Roman" w:hAnsi="Times New Roman" w:cs="Times New Roman"/>
        </w:rPr>
        <w:fldChar w:fldCharType="end"/>
      </w:r>
      <w:r w:rsidRPr="00451C51">
        <w:rPr>
          <w:rFonts w:ascii="Times New Roman" w:hAnsi="Times New Roman" w:cs="Times New Roman"/>
        </w:rPr>
        <w:t>. We used several commonly used online tools like FUMA and Shiny</w:t>
      </w:r>
      <w:r w:rsidR="003C4D2C">
        <w:rPr>
          <w:rFonts w:ascii="Times New Roman" w:hAnsi="Times New Roman" w:cs="Times New Roman"/>
        </w:rPr>
        <w:t xml:space="preserve"> </w:t>
      </w:r>
      <w:r w:rsidRPr="00451C51">
        <w:rPr>
          <w:rFonts w:ascii="Times New Roman" w:hAnsi="Times New Roman" w:cs="Times New Roman"/>
        </w:rPr>
        <w:t>GO (See URL) for the analysis. Further, we obtained pre-computed lists of genes that are differentially expressed in a particular tissue for GTEx (v8) participants. Using a similar enrichment test, we investigated whether the gene-set selected by ARCHIE is enriched among these differentially expressed genes in each of the 54 tissues. Similar to gene-set (pathway) enrichment, we used also tested for interaction enrichment among the protein corresponding to the selected genes via hypergeometric test using the data from STRING (v11.0)</w:t>
      </w:r>
      <w:r w:rsidRPr="00451C51">
        <w:rPr>
          <w:rFonts w:ascii="Times New Roman" w:hAnsi="Times New Roman" w:cs="Times New Roman"/>
        </w:rPr>
        <w:fldChar w:fldCharType="begin" w:fldLock="1"/>
      </w:r>
      <w:r w:rsidR="006C02E4" w:rsidRPr="00451C51">
        <w:rPr>
          <w:rFonts w:ascii="Times New Roman" w:hAnsi="Times New Roman" w:cs="Times New Roman"/>
        </w:rPr>
        <w:instrText>ADDIN CSL_CITATION {"citationItems":[{"id":"ITEM-1","itemData":{"DOI":"10.1093/nar/gky1131","ISSN":"13624962","PMID":"30476243","abstract":"Proteins and their functional interactions form the backbone of the cellular machinery. Their connectivity network needs to be considered for the full understanding of biological phenomena, but the available information on protein-protein associations is incomplete and exhibits varying levels of annotation granularity and reliability. The STRING database aims to collect, score and integrate all publicly available sources of protein-protein interaction information, and to complement these with computational predictions. Its goal is to achieve a comprehensive and objective global network, including direct (physical) as well as indirect (functional) interactions. The latest version of STRING (11.0) more than doubles the number of organisms it covers, to 5090. The most important new feature is an option to upload entire, genome-wide datasets as input, allowing users to visualize subsets as interaction networks and to perform gene-set enrichment analysis on the entire input. For the enrichment analysis, STRING implements well-known classification systems such as Gene Ontology and KEGG, but also offers additional, new classification systems based on high-throughput text-mining as well as on a hierarchical clustering of the association network itself. The STRING resource is available online at https://string-db.org/.","author":[{"dropping-particle":"","family":"Szklarczyk","given":"Damian","non-dropping-particle":"","parse-names":false,"suffix":""},{"dropping-particle":"","family":"Gable","given":"Annika L.","non-dropping-particle":"","parse-names":false,"suffix":""},{"dropping-particle":"","family":"Lyon","given":"David","non-dropping-particle":"","parse-names":false,"suffix":""},{"dropping-particle":"","family":"Junge","given":"Alexander","non-dropping-particle":"","parse-names":false,"suffix":""},{"dropping-particle":"","family":"Wyder","given":"Stefan","non-dropping-particle":"","parse-names":false,"suffix":""},{"dropping-particle":"","family":"Huerta-Cepas","given":"Jaime","non-dropping-particle":"","parse-names":false,"suffix":""},{"dropping-particle":"","family":"Simonovic","given":"Milan","non-dropping-particle":"","parse-names":false,"suffix":""},{"dropping-particle":"","family":"Doncheva","given":"Nadezhda T.","non-dropping-particle":"","parse-names":false,"suffix":""},{"dropping-particle":"","family":"Morris","given":"John H.","non-dropping-particle":"","parse-names":false,"suffix":""},{"dropping-particle":"","family":"Bork","given":"Peer","non-dropping-particle":"","parse-names":false,"suffix":""},{"dropping-particle":"","family":"Jensen","given":"Lars J.","non-dropping-particle":"","parse-names":false,"suffix":""},{"dropping-particle":"","family":"Mering","given":"Christian","non-dropping-particle":"Von","parse-names":false,"suffix":""}],"container-title":"Nucleic Acids Research","id":"ITEM-1","issued":{"date-parts":[["2019"]]},"title":"STRING v11: Protein-protein association networks with increased coverage, supporting functional discovery in genome-wide experimental datasets","type":"article-journal"},"uris":["http://www.mendeley.com/documents/?uuid=3906ced4-72c2-42d0-b256-392fa4cb2612"]}],"mendeley":{"formattedCitation":"&lt;sup&gt;12&lt;/sup&gt;","plainTextFormattedCitation":"12","previouslyFormattedCitation":"&lt;sup&gt;12&lt;/sup&gt;"},"properties":{"noteIndex":0},"schema":"https://github.com/citation-style-language/schema/raw/master/csl-citation.json"}</w:instrText>
      </w:r>
      <w:r w:rsidRPr="00451C51">
        <w:rPr>
          <w:rFonts w:ascii="Times New Roman" w:hAnsi="Times New Roman" w:cs="Times New Roman"/>
        </w:rPr>
        <w:fldChar w:fldCharType="separate"/>
      </w:r>
      <w:r w:rsidR="006C02E4" w:rsidRPr="00451C51">
        <w:rPr>
          <w:rFonts w:ascii="Times New Roman" w:hAnsi="Times New Roman" w:cs="Times New Roman"/>
          <w:noProof/>
          <w:vertAlign w:val="superscript"/>
        </w:rPr>
        <w:t>12</w:t>
      </w:r>
      <w:r w:rsidRPr="00451C51">
        <w:rPr>
          <w:rFonts w:ascii="Times New Roman" w:hAnsi="Times New Roman" w:cs="Times New Roman"/>
        </w:rPr>
        <w:fldChar w:fldCharType="end"/>
      </w:r>
      <w:r w:rsidRPr="00451C51">
        <w:rPr>
          <w:rFonts w:ascii="Times New Roman" w:hAnsi="Times New Roman" w:cs="Times New Roman"/>
        </w:rPr>
        <w:t>.</w:t>
      </w:r>
    </w:p>
    <w:p w14:paraId="0392D00A" w14:textId="11F58D74" w:rsidR="00BF6FC1" w:rsidRDefault="004101E6" w:rsidP="00BF6FC1">
      <w:pPr>
        <w:pStyle w:val="Heading4"/>
        <w:shd w:val="clear" w:color="auto" w:fill="FFFFFF"/>
        <w:spacing w:before="150" w:beforeAutospacing="0" w:after="150" w:afterAutospacing="0" w:line="480" w:lineRule="auto"/>
        <w:jc w:val="both"/>
        <w:textAlignment w:val="baseline"/>
        <w:rPr>
          <w:b w:val="0"/>
          <w:bCs w:val="0"/>
        </w:rPr>
      </w:pPr>
      <w:r w:rsidRPr="00451C51">
        <w:t>Differentially expressed genes</w:t>
      </w:r>
      <w:r w:rsidRPr="00451C51">
        <w:rPr>
          <w:b w:val="0"/>
          <w:bCs w:val="0"/>
        </w:rPr>
        <w:t>.</w:t>
      </w:r>
      <w:r w:rsidR="00D079E6" w:rsidRPr="00451C51">
        <w:t xml:space="preserve"> </w:t>
      </w:r>
      <w:r w:rsidR="00D079E6" w:rsidRPr="00451C51">
        <w:rPr>
          <w:b w:val="0"/>
          <w:bCs w:val="0"/>
        </w:rPr>
        <w:t xml:space="preserve">For each tissue, we curated lists of differentially expressed genes across the genome. </w:t>
      </w:r>
      <w:r w:rsidR="007056FB" w:rsidRPr="00451C51">
        <w:rPr>
          <w:b w:val="0"/>
          <w:bCs w:val="0"/>
        </w:rPr>
        <w:t>To do this we used individual level gene expression data from GTEx v8 whole blood. We first adjusted each gene-expression using standard covariates like age, sex</w:t>
      </w:r>
      <w:r w:rsidR="001232FC" w:rsidRPr="00451C51">
        <w:rPr>
          <w:b w:val="0"/>
          <w:bCs w:val="0"/>
        </w:rPr>
        <w:t>, genetic PCs</w:t>
      </w:r>
      <w:r w:rsidR="007056FB" w:rsidRPr="00451C51">
        <w:rPr>
          <w:b w:val="0"/>
          <w:bCs w:val="0"/>
        </w:rPr>
        <w:t xml:space="preserve"> and top 30 PEER factors and quantile normalized the residuals. Following this we performed a </w:t>
      </w:r>
      <w:r w:rsidR="007056FB" w:rsidRPr="00451C51">
        <w:rPr>
          <w:b w:val="0"/>
          <w:bCs w:val="0"/>
        </w:rPr>
        <w:lastRenderedPageBreak/>
        <w:t xml:space="preserve">two-sided t-test for the expression of a gene in a particular tissue against the rest. </w:t>
      </w:r>
      <w:r w:rsidR="00D079E6" w:rsidRPr="00451C51">
        <w:rPr>
          <w:b w:val="0"/>
          <w:bCs w:val="0"/>
        </w:rPr>
        <w:t>We defined a gene to be differentially expressed in a tissue, if the corresponding tissue-specific gene-expression was significantly different from that in the rest of the tissues</w:t>
      </w:r>
      <w:r w:rsidR="007056FB" w:rsidRPr="00451C51">
        <w:rPr>
          <w:b w:val="0"/>
          <w:bCs w:val="0"/>
        </w:rPr>
        <w:t>, i.e. p-value of the two-sided t-test was &lt; 0.05</w:t>
      </w:r>
      <w:r w:rsidR="00D079E6" w:rsidRPr="00451C51">
        <w:rPr>
          <w:b w:val="0"/>
          <w:bCs w:val="0"/>
        </w:rPr>
        <w:t>.</w:t>
      </w:r>
      <w:r w:rsidR="007056FB" w:rsidRPr="00451C51">
        <w:rPr>
          <w:b w:val="0"/>
          <w:bCs w:val="0"/>
        </w:rPr>
        <w:t xml:space="preserve"> The selected target genes were tested for enrichment against these lists of differentially expressed genes for each tissue using a hypergeometric test. </w:t>
      </w:r>
      <w:r w:rsidR="00211EDF" w:rsidRPr="00451C51">
        <w:rPr>
          <w:b w:val="0"/>
          <w:bCs w:val="0"/>
        </w:rPr>
        <w:t>All of the genes used in each analysis was used</w:t>
      </w:r>
      <w:r w:rsidRPr="00451C51">
        <w:rPr>
          <w:b w:val="0"/>
          <w:bCs w:val="0"/>
        </w:rPr>
        <w:t xml:space="preserve"> </w:t>
      </w:r>
      <w:r w:rsidR="00211EDF" w:rsidRPr="00451C51">
        <w:rPr>
          <w:b w:val="0"/>
          <w:bCs w:val="0"/>
        </w:rPr>
        <w:t>as the corresponding background set.</w:t>
      </w:r>
      <w:r w:rsidR="006155AD" w:rsidRPr="00451C51">
        <w:rPr>
          <w:b w:val="0"/>
          <w:bCs w:val="0"/>
        </w:rPr>
        <w:t xml:space="preserve"> </w:t>
      </w:r>
    </w:p>
    <w:p w14:paraId="42AA087F" w14:textId="77777777" w:rsidR="009F3800" w:rsidRDefault="009F3800" w:rsidP="00BF6FC1">
      <w:pPr>
        <w:pStyle w:val="Heading4"/>
        <w:shd w:val="clear" w:color="auto" w:fill="FFFFFF"/>
        <w:spacing w:before="150" w:beforeAutospacing="0" w:after="150" w:afterAutospacing="0" w:line="480" w:lineRule="auto"/>
        <w:jc w:val="both"/>
        <w:textAlignment w:val="baseline"/>
        <w:rPr>
          <w:b w:val="0"/>
          <w:bCs w:val="0"/>
        </w:rPr>
        <w:sectPr w:rsidR="009F3800" w:rsidSect="009F3800">
          <w:pgSz w:w="12240" w:h="15840"/>
          <w:pgMar w:top="1440" w:right="1440" w:bottom="1440" w:left="1440" w:header="720" w:footer="720" w:gutter="0"/>
          <w:cols w:space="720"/>
          <w:docGrid w:linePitch="360"/>
        </w:sectPr>
      </w:pPr>
    </w:p>
    <w:p w14:paraId="58CD0C3F" w14:textId="77777777" w:rsidR="00AF4CE0" w:rsidRDefault="00AF4CE0" w:rsidP="00AF4CE0">
      <w:pPr>
        <w:jc w:val="center"/>
        <w:rPr>
          <w:rFonts w:ascii="Times New Roman" w:hAnsi="Times New Roman" w:cs="Times New Roman"/>
          <w:b/>
          <w:bCs/>
          <w:sz w:val="36"/>
          <w:szCs w:val="36"/>
        </w:rPr>
      </w:pPr>
    </w:p>
    <w:p w14:paraId="52B8A0FB" w14:textId="77777777" w:rsidR="00AF4CE0" w:rsidRDefault="00AF4CE0" w:rsidP="00AF4CE0">
      <w:pPr>
        <w:jc w:val="center"/>
        <w:rPr>
          <w:rFonts w:ascii="Times New Roman" w:hAnsi="Times New Roman" w:cs="Times New Roman"/>
          <w:b/>
          <w:bCs/>
          <w:sz w:val="36"/>
          <w:szCs w:val="36"/>
        </w:rPr>
      </w:pPr>
    </w:p>
    <w:p w14:paraId="1A481CAF" w14:textId="77777777" w:rsidR="00AF4CE0" w:rsidRDefault="00AF4CE0" w:rsidP="00AF4CE0">
      <w:pPr>
        <w:jc w:val="center"/>
        <w:rPr>
          <w:rFonts w:ascii="Times New Roman" w:hAnsi="Times New Roman" w:cs="Times New Roman"/>
          <w:b/>
          <w:bCs/>
          <w:sz w:val="36"/>
          <w:szCs w:val="36"/>
        </w:rPr>
      </w:pPr>
    </w:p>
    <w:p w14:paraId="038B0F50" w14:textId="77777777" w:rsidR="00AF4CE0" w:rsidRDefault="00AF4CE0" w:rsidP="00AF4CE0">
      <w:pPr>
        <w:jc w:val="center"/>
        <w:rPr>
          <w:rFonts w:ascii="Times New Roman" w:hAnsi="Times New Roman" w:cs="Times New Roman"/>
          <w:b/>
          <w:bCs/>
          <w:sz w:val="36"/>
          <w:szCs w:val="36"/>
        </w:rPr>
      </w:pPr>
    </w:p>
    <w:p w14:paraId="3E3C50AC" w14:textId="77777777" w:rsidR="00AF4CE0" w:rsidRDefault="00AF4CE0" w:rsidP="00AF4CE0">
      <w:pPr>
        <w:jc w:val="center"/>
        <w:rPr>
          <w:rFonts w:ascii="Times New Roman" w:hAnsi="Times New Roman" w:cs="Times New Roman"/>
          <w:b/>
          <w:bCs/>
          <w:sz w:val="36"/>
          <w:szCs w:val="36"/>
        </w:rPr>
      </w:pPr>
    </w:p>
    <w:p w14:paraId="1EB8273C" w14:textId="08D7148E" w:rsidR="00AF4CE0" w:rsidRPr="00AF4CE0" w:rsidRDefault="00AF4CE0" w:rsidP="00AF4CE0">
      <w:pPr>
        <w:jc w:val="center"/>
        <w:rPr>
          <w:rFonts w:ascii="Times New Roman" w:hAnsi="Times New Roman" w:cs="Times New Roman"/>
          <w:b/>
          <w:bCs/>
          <w:sz w:val="36"/>
          <w:szCs w:val="36"/>
        </w:rPr>
      </w:pPr>
      <w:r w:rsidRPr="00AF4CE0">
        <w:rPr>
          <w:rFonts w:ascii="Times New Roman" w:hAnsi="Times New Roman" w:cs="Times New Roman"/>
          <w:b/>
          <w:bCs/>
          <w:sz w:val="36"/>
          <w:szCs w:val="36"/>
        </w:rPr>
        <w:t>Supplementary Figures</w:t>
      </w:r>
    </w:p>
    <w:p w14:paraId="5AC7CB40" w14:textId="5BCCC6B2" w:rsidR="00AF4CE0" w:rsidRDefault="00AF4CE0">
      <w:pPr>
        <w:rPr>
          <w:rFonts w:ascii="Times New Roman" w:hAnsi="Times New Roman" w:cs="Times New Roman"/>
        </w:rPr>
      </w:pPr>
      <w:r>
        <w:rPr>
          <w:rFonts w:ascii="Times New Roman" w:hAnsi="Times New Roman" w:cs="Times New Roman"/>
        </w:rPr>
        <w:br w:type="page"/>
      </w:r>
    </w:p>
    <w:p w14:paraId="75752FDF" w14:textId="7C3AD08E" w:rsidR="00E8616D" w:rsidRDefault="00BB0233" w:rsidP="00AF4CE0">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80768" behindDoc="0" locked="0" layoutInCell="1" allowOverlap="1" wp14:anchorId="775FD8E9" wp14:editId="7ED21D5F">
                <wp:simplePos x="0" y="0"/>
                <wp:positionH relativeFrom="column">
                  <wp:posOffset>4575756</wp:posOffset>
                </wp:positionH>
                <wp:positionV relativeFrom="paragraph">
                  <wp:posOffset>-261620</wp:posOffset>
                </wp:positionV>
                <wp:extent cx="632298" cy="515566"/>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32298" cy="515566"/>
                        </a:xfrm>
                        <a:prstGeom prst="rect">
                          <a:avLst/>
                        </a:prstGeom>
                        <a:noFill/>
                        <a:ln w="6350">
                          <a:noFill/>
                        </a:ln>
                      </wps:spPr>
                      <wps:txbx>
                        <w:txbxContent>
                          <w:p w14:paraId="079D423C" w14:textId="3B00DC5A" w:rsidR="00BB0233" w:rsidRPr="00BB0233" w:rsidRDefault="00BB0233" w:rsidP="00BB0233">
                            <w:pPr>
                              <w:rPr>
                                <w:rFonts w:ascii="Times New Roman" w:hAnsi="Times New Roman" w:cs="Times New Roman"/>
                                <w:b/>
                                <w:bCs/>
                                <w:sz w:val="32"/>
                                <w:szCs w:val="32"/>
                              </w:rPr>
                            </w:pPr>
                            <w:r>
                              <w:rPr>
                                <w:rFonts w:ascii="Times New Roman" w:hAnsi="Times New Roman" w:cs="Times New Roman"/>
                                <w:b/>
                                <w:bCs/>
                                <w:sz w:val="32"/>
                                <w:szCs w:val="32"/>
                              </w:rPr>
                              <w:t>B</w:t>
                            </w:r>
                            <w:r w:rsidRPr="00BB0233">
                              <w:rPr>
                                <w:rFonts w:ascii="Times New Roman" w:hAnsi="Times New Roman" w:cs="Times New Roman"/>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75FD8E9" id="_x0000_t202" coordsize="21600,21600" o:spt="202" path="m,l,21600r21600,l21600,xe">
                <v:stroke joinstyle="miter"/>
                <v:path gradientshapeok="t" o:connecttype="rect"/>
              </v:shapetype>
              <v:shape id="Text Box 19" o:spid="_x0000_s1026" type="#_x0000_t202" style="position:absolute;margin-left:360.3pt;margin-top:-20.6pt;width:49.8pt;height:40.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" filled="f" stroked="f" strokeweight=".5pt">
                <v:textbox>
                  <w:txbxContent>
                    <w:p w14:paraId="079D423C" w14:textId="3B00DC5A" w:rsidR="00BB0233" w:rsidRPr="00BB0233" w:rsidRDefault="00BB0233" w:rsidP="00BB0233">
                      <w:pPr>
                        <w:rPr>
                          <w:rFonts w:ascii="Times New Roman" w:hAnsi="Times New Roman" w:cs="Times New Roman"/>
                          <w:b/>
                          <w:bCs/>
                          <w:sz w:val="32"/>
                          <w:szCs w:val="32"/>
                        </w:rPr>
                      </w:pPr>
                      <w:r>
                        <w:rPr>
                          <w:rFonts w:ascii="Times New Roman" w:hAnsi="Times New Roman" w:cs="Times New Roman"/>
                          <w:b/>
                          <w:bCs/>
                          <w:sz w:val="32"/>
                          <w:szCs w:val="32"/>
                        </w:rPr>
                        <w:t>B</w:t>
                      </w:r>
                      <w:r w:rsidRPr="00BB0233">
                        <w:rPr>
                          <w:rFonts w:ascii="Times New Roman" w:hAnsi="Times New Roman" w:cs="Times New Roman"/>
                          <w:b/>
                          <w:bCs/>
                          <w:sz w:val="32"/>
                          <w:szCs w:val="32"/>
                        </w:rPr>
                        <w:t>.</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53B7EB81" wp14:editId="5DBDB3BB">
                <wp:simplePos x="0" y="0"/>
                <wp:positionH relativeFrom="column">
                  <wp:posOffset>-564204</wp:posOffset>
                </wp:positionH>
                <wp:positionV relativeFrom="paragraph">
                  <wp:posOffset>-282102</wp:posOffset>
                </wp:positionV>
                <wp:extent cx="632298" cy="515566"/>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32298" cy="515566"/>
                        </a:xfrm>
                        <a:prstGeom prst="rect">
                          <a:avLst/>
                        </a:prstGeom>
                        <a:noFill/>
                        <a:ln w="6350">
                          <a:noFill/>
                        </a:ln>
                      </wps:spPr>
                      <wps:txbx>
                        <w:txbxContent>
                          <w:p w14:paraId="3FA6598A" w14:textId="666E3EB7" w:rsidR="00BB0233" w:rsidRPr="00BB0233" w:rsidRDefault="00BB0233">
                            <w:pPr>
                              <w:rPr>
                                <w:rFonts w:ascii="Times New Roman" w:hAnsi="Times New Roman" w:cs="Times New Roman"/>
                                <w:b/>
                                <w:bCs/>
                                <w:sz w:val="32"/>
                                <w:szCs w:val="32"/>
                              </w:rPr>
                            </w:pPr>
                            <w:r w:rsidRPr="00BB0233">
                              <w:rPr>
                                <w:rFonts w:ascii="Times New Roman" w:hAnsi="Times New Roman" w:cs="Times New Roman"/>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B7EB81" id="Text Box 13" o:spid="_x0000_s1027" type="#_x0000_t202" style="position:absolute;margin-left:-44.45pt;margin-top:-22.2pt;width:49.8pt;height:40.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" filled="f" stroked="f" strokeweight=".5pt">
                <v:textbox>
                  <w:txbxContent>
                    <w:p w14:paraId="3FA6598A" w14:textId="666E3EB7" w:rsidR="00BB0233" w:rsidRPr="00BB0233" w:rsidRDefault="00BB0233">
                      <w:pPr>
                        <w:rPr>
                          <w:rFonts w:ascii="Times New Roman" w:hAnsi="Times New Roman" w:cs="Times New Roman"/>
                          <w:b/>
                          <w:bCs/>
                          <w:sz w:val="32"/>
                          <w:szCs w:val="32"/>
                        </w:rPr>
                      </w:pPr>
                      <w:r w:rsidRPr="00BB0233">
                        <w:rPr>
                          <w:rFonts w:ascii="Times New Roman" w:hAnsi="Times New Roman" w:cs="Times New Roman"/>
                          <w:b/>
                          <w:bCs/>
                          <w:sz w:val="32"/>
                          <w:szCs w:val="32"/>
                        </w:rPr>
                        <w:t>A.</w:t>
                      </w:r>
                    </w:p>
                  </w:txbxContent>
                </v:textbox>
              </v:shape>
            </w:pict>
          </mc:Fallback>
        </mc:AlternateContent>
      </w:r>
      <w:r w:rsidR="00AF4CE0">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456BCF81" wp14:editId="1F9A539F">
                <wp:simplePos x="0" y="0"/>
                <wp:positionH relativeFrom="column">
                  <wp:posOffset>4641448</wp:posOffset>
                </wp:positionH>
                <wp:positionV relativeFrom="paragraph">
                  <wp:posOffset>185195</wp:posOffset>
                </wp:positionV>
                <wp:extent cx="3912243" cy="2801073"/>
                <wp:effectExtent l="0" t="0" r="0" b="5715"/>
                <wp:wrapNone/>
                <wp:docPr id="18" name="Text Box 18"/>
                <wp:cNvGraphicFramePr/>
                <a:graphic xmlns:a="http://schemas.openxmlformats.org/drawingml/2006/main">
                  <a:graphicData uri="http://schemas.microsoft.com/office/word/2010/wordprocessingShape">
                    <wps:wsp>
                      <wps:cNvSpPr txBox="1"/>
                      <wps:spPr>
                        <a:xfrm>
                          <a:off x="0" y="0"/>
                          <a:ext cx="3912243" cy="2801073"/>
                        </a:xfrm>
                        <a:prstGeom prst="rect">
                          <a:avLst/>
                        </a:prstGeom>
                        <a:solidFill>
                          <a:schemeClr val="lt1"/>
                        </a:solidFill>
                        <a:ln w="6350">
                          <a:noFill/>
                        </a:ln>
                      </wps:spPr>
                      <wps:txbx>
                        <w:txbxContent>
                          <w:p w14:paraId="2C0B08FB" w14:textId="0DF03F5E" w:rsidR="00AF4CE0" w:rsidRDefault="00AF4CE0">
                            <w:r w:rsidRPr="002806F8">
                              <w:rPr>
                                <w:noProof/>
                              </w:rPr>
                              <w:drawing>
                                <wp:inline distT="0" distB="0" distL="0" distR="0" wp14:anchorId="54BBA0DC" wp14:editId="603E9B68">
                                  <wp:extent cx="3718090" cy="1944547"/>
                                  <wp:effectExtent l="0" t="0" r="3175"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889313" cy="20340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56BCF81" id="_x0000_t202" coordsize="21600,21600" o:spt="202" path="m,l,21600r21600,l21600,xe">
                <v:stroke joinstyle="miter"/>
                <v:path gradientshapeok="t" o:connecttype="rect"/>
              </v:shapetype>
              <v:shape id="Text Box 18" o:spid="_x0000_s1026" type="#_x0000_t202" style="position:absolute;margin-left:365.45pt;margin-top:14.6pt;width:308.05pt;height:220.5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" fillcolor="white [3201]" stroked="f" strokeweight=".5pt">
                <v:textbox>
                  <w:txbxContent>
                    <w:p w14:paraId="2C0B08FB" w14:textId="0DF03F5E" w:rsidR="00AF4CE0" w:rsidRDefault="00AF4CE0">
                      <w:r w:rsidRPr="002806F8">
                        <w:rPr>
                          <w:noProof/>
                        </w:rPr>
                        <w:drawing>
                          <wp:inline distT="0" distB="0" distL="0" distR="0" wp14:anchorId="54BBA0DC" wp14:editId="603E9B68">
                            <wp:extent cx="3718090" cy="1944547"/>
                            <wp:effectExtent l="0" t="0" r="3175"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89313" cy="2034096"/>
                                    </a:xfrm>
                                    <a:prstGeom prst="rect">
                                      <a:avLst/>
                                    </a:prstGeom>
                                  </pic:spPr>
                                </pic:pic>
                              </a:graphicData>
                            </a:graphic>
                          </wp:inline>
                        </w:drawing>
                      </w:r>
                    </w:p>
                  </w:txbxContent>
                </v:textbox>
              </v:shape>
            </w:pict>
          </mc:Fallback>
        </mc:AlternateContent>
      </w:r>
      <w:r w:rsidR="00AF4CE0" w:rsidRPr="00AF4CE0">
        <w:rPr>
          <w:rFonts w:ascii="Times New Roman" w:hAnsi="Times New Roman" w:cs="Times New Roman"/>
          <w:noProof/>
        </w:rPr>
        <w:drawing>
          <wp:inline distT="0" distB="0" distL="0" distR="0" wp14:anchorId="182E1593" wp14:editId="34CE7AB0">
            <wp:extent cx="4439437" cy="4201610"/>
            <wp:effectExtent l="0" t="0" r="5715" b="254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8"/>
                    <a:stretch>
                      <a:fillRect/>
                    </a:stretch>
                  </pic:blipFill>
                  <pic:spPr>
                    <a:xfrm>
                      <a:off x="0" y="0"/>
                      <a:ext cx="4460231" cy="4221290"/>
                    </a:xfrm>
                    <a:prstGeom prst="rect">
                      <a:avLst/>
                    </a:prstGeom>
                  </pic:spPr>
                </pic:pic>
              </a:graphicData>
            </a:graphic>
          </wp:inline>
        </w:drawing>
      </w:r>
    </w:p>
    <w:p w14:paraId="14D0928B" w14:textId="77777777" w:rsidR="00AF4CE0" w:rsidRDefault="00AF4CE0" w:rsidP="00AF4CE0">
      <w:pPr>
        <w:rPr>
          <w:rFonts w:ascii="Times New Roman" w:hAnsi="Times New Roman" w:cs="Times New Roman"/>
        </w:rPr>
      </w:pPr>
    </w:p>
    <w:p w14:paraId="1D9609A6" w14:textId="3D73E02E" w:rsidR="00E8616D" w:rsidRDefault="00865B5E" w:rsidP="00AF4CE0">
      <w:pPr>
        <w:jc w:val="both"/>
        <w:rPr>
          <w:rFonts w:ascii="Times New Roman" w:hAnsi="Times New Roman" w:cs="Times New Roman"/>
        </w:rPr>
      </w:pPr>
      <w:r w:rsidRPr="00865B5E">
        <w:rPr>
          <w:rFonts w:ascii="Times New Roman" w:hAnsi="Times New Roman" w:cs="Times New Roman"/>
          <w:b/>
          <w:bCs/>
        </w:rPr>
        <w:t>Supplementary Figure 1</w:t>
      </w:r>
      <w:r>
        <w:rPr>
          <w:rFonts w:ascii="Times New Roman" w:hAnsi="Times New Roman" w:cs="Times New Roman"/>
        </w:rPr>
        <w:t xml:space="preserve">: </w:t>
      </w:r>
      <w:r w:rsidR="001F7575">
        <w:rPr>
          <w:rFonts w:ascii="Times New Roman" w:hAnsi="Times New Roman" w:cs="Times New Roman"/>
        </w:rPr>
        <w:t xml:space="preserve">(A) Workflow of analysis for the trans summary statistics from standard trans-eQTL mapping reported by eQTLGen consortium. (B) Number of significant components identified by ARCHIE for variants associated 29 traits reported in eQTLGen consortium data. </w:t>
      </w:r>
      <w:r w:rsidR="00E8616D">
        <w:rPr>
          <w:rFonts w:ascii="Times New Roman" w:hAnsi="Times New Roman" w:cs="Times New Roman"/>
        </w:rPr>
        <w:br w:type="page"/>
      </w:r>
    </w:p>
    <w:p w14:paraId="4A30C584" w14:textId="77777777" w:rsidR="00881C31" w:rsidRDefault="00881C31" w:rsidP="00881C31">
      <w:pPr>
        <w:rPr>
          <w:rFonts w:ascii="Times New Roman" w:hAnsi="Times New Roman" w:cs="Times New Roman"/>
        </w:rPr>
      </w:pPr>
      <w:r w:rsidRPr="004E2CA0">
        <w:rPr>
          <w:rFonts w:ascii="Times New Roman" w:hAnsi="Times New Roman" w:cs="Times New Roman"/>
          <w:noProof/>
        </w:rPr>
        <w:lastRenderedPageBreak/>
        <w:drawing>
          <wp:inline distT="0" distB="0" distL="0" distR="0" wp14:anchorId="37DC25BA" wp14:editId="13A01A74">
            <wp:extent cx="8229600" cy="4284980"/>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9"/>
                    <a:stretch>
                      <a:fillRect/>
                    </a:stretch>
                  </pic:blipFill>
                  <pic:spPr>
                    <a:xfrm>
                      <a:off x="0" y="0"/>
                      <a:ext cx="8229600" cy="4284980"/>
                    </a:xfrm>
                    <a:prstGeom prst="rect">
                      <a:avLst/>
                    </a:prstGeom>
                  </pic:spPr>
                </pic:pic>
              </a:graphicData>
            </a:graphic>
          </wp:inline>
        </w:drawing>
      </w:r>
    </w:p>
    <w:p w14:paraId="4C162A40" w14:textId="77777777" w:rsidR="00881C31" w:rsidRDefault="00881C31" w:rsidP="00881C31">
      <w:pPr>
        <w:rPr>
          <w:rFonts w:ascii="Times New Roman" w:hAnsi="Times New Roman" w:cs="Times New Roman"/>
        </w:rPr>
      </w:pPr>
    </w:p>
    <w:p w14:paraId="095FB62A" w14:textId="77777777" w:rsidR="00881C31" w:rsidRDefault="00881C31" w:rsidP="00881C31">
      <w:pPr>
        <w:rPr>
          <w:rFonts w:ascii="Times New Roman" w:hAnsi="Times New Roman" w:cs="Times New Roman"/>
        </w:rPr>
      </w:pPr>
      <w:r>
        <w:rPr>
          <w:b/>
          <w:bCs/>
          <w:noProof/>
          <w:u w:val="single"/>
        </w:rPr>
        <mc:AlternateContent>
          <mc:Choice Requires="wps">
            <w:drawing>
              <wp:anchor distT="0" distB="0" distL="114300" distR="114300" simplePos="0" relativeHeight="251677696" behindDoc="0" locked="0" layoutInCell="1" allowOverlap="1" wp14:anchorId="00238B5E" wp14:editId="6EA6439A">
                <wp:simplePos x="0" y="0"/>
                <wp:positionH relativeFrom="column">
                  <wp:posOffset>-374298</wp:posOffset>
                </wp:positionH>
                <wp:positionV relativeFrom="paragraph">
                  <wp:posOffset>154400</wp:posOffset>
                </wp:positionV>
                <wp:extent cx="9243060" cy="832485"/>
                <wp:effectExtent l="0" t="0" r="2540" b="5715"/>
                <wp:wrapNone/>
                <wp:docPr id="2" name="Text Box 2"/>
                <wp:cNvGraphicFramePr/>
                <a:graphic xmlns:a="http://schemas.openxmlformats.org/drawingml/2006/main">
                  <a:graphicData uri="http://schemas.microsoft.com/office/word/2010/wordprocessingShape">
                    <wps:wsp>
                      <wps:cNvSpPr txBox="1"/>
                      <wps:spPr>
                        <a:xfrm>
                          <a:off x="0" y="0"/>
                          <a:ext cx="9243060" cy="832485"/>
                        </a:xfrm>
                        <a:prstGeom prst="rect">
                          <a:avLst/>
                        </a:prstGeom>
                        <a:solidFill>
                          <a:schemeClr val="lt1"/>
                        </a:solidFill>
                        <a:ln w="6350">
                          <a:noFill/>
                        </a:ln>
                      </wps:spPr>
                      <wps:txbx>
                        <w:txbxContent>
                          <w:p w14:paraId="28679D74" w14:textId="6CF40A48" w:rsidR="00881C31" w:rsidRPr="006D6863" w:rsidRDefault="00881C31" w:rsidP="00881C31">
                            <w:pPr>
                              <w:jc w:val="both"/>
                              <w:rPr>
                                <w:rFonts w:ascii="Times New Roman" w:hAnsi="Times New Roman" w:cs="Times New Roman"/>
                              </w:rPr>
                            </w:pPr>
                            <w:r w:rsidRPr="00C96AB0">
                              <w:rPr>
                                <w:rFonts w:ascii="Times New Roman" w:hAnsi="Times New Roman" w:cs="Times New Roman"/>
                                <w:b/>
                                <w:bCs/>
                              </w:rPr>
                              <w:t xml:space="preserve">Supplementary Figure </w:t>
                            </w:r>
                            <w:r>
                              <w:rPr>
                                <w:rFonts w:ascii="Times New Roman" w:hAnsi="Times New Roman" w:cs="Times New Roman"/>
                                <w:b/>
                                <w:bCs/>
                              </w:rPr>
                              <w:t>2</w:t>
                            </w:r>
                            <w:r w:rsidRPr="00C96AB0">
                              <w:rPr>
                                <w:rFonts w:ascii="Times New Roman" w:hAnsi="Times New Roman" w:cs="Times New Roman"/>
                                <w:b/>
                                <w:bCs/>
                              </w:rPr>
                              <w:t>.</w:t>
                            </w:r>
                            <w:r>
                              <w:rPr>
                                <w:rFonts w:ascii="Times New Roman" w:hAnsi="Times New Roman" w:cs="Times New Roman"/>
                              </w:rPr>
                              <w:t xml:space="preserve"> Probability of at least one ARCHIE component to be significant for 4 different traits in yellow bars and the corresponding number of significant trans-eQTLs (</w:t>
                            </w:r>
                            <w:r w:rsidRPr="00C96AB0">
                              <w:rPr>
                                <w:rFonts w:ascii="Times New Roman" w:hAnsi="Times New Roman" w:cs="Times New Roman"/>
                              </w:rPr>
                              <w:t xml:space="preserve">p-value &lt; 1 </w:t>
                            </w:r>
                            <w:r w:rsidRPr="00C96AB0">
                              <w:rPr>
                                <w:rFonts w:ascii="Times New Roman" w:hAnsi="Times New Roman" w:cs="Times New Roman"/>
                              </w:rPr>
                              <w:sym w:font="Symbol" w:char="F0B4"/>
                            </w:r>
                            <w:r w:rsidRPr="00C96AB0">
                              <w:rPr>
                                <w:rFonts w:ascii="Times New Roman" w:hAnsi="Times New Roman" w:cs="Times New Roman"/>
                              </w:rPr>
                              <w:t xml:space="preserve"> 10</w:t>
                            </w:r>
                            <w:r w:rsidRPr="00C96AB0">
                              <w:rPr>
                                <w:rFonts w:ascii="Times New Roman" w:hAnsi="Times New Roman" w:cs="Times New Roman"/>
                                <w:vertAlign w:val="superscript"/>
                              </w:rPr>
                              <w:t>-06</w:t>
                            </w:r>
                            <w:r>
                              <w:rPr>
                                <w:rFonts w:ascii="Times New Roman" w:hAnsi="Times New Roman" w:cs="Times New Roman"/>
                              </w:rPr>
                              <w:t xml:space="preserve">) included in the A matrix in black across different values of </w:t>
                            </w:r>
                            <w:r w:rsidRPr="00C96AB0">
                              <w:rPr>
                                <w:i/>
                                <w:iCs/>
                              </w:rPr>
                              <w:sym w:font="Symbol" w:char="F064"/>
                            </w:r>
                            <w:r>
                              <w:rPr>
                                <w:i/>
                                <w:iCs/>
                              </w:rPr>
                              <w:t xml:space="preserve"> </w:t>
                            </w:r>
                            <w:r>
                              <w:rPr>
                                <w:rFonts w:ascii="Times New Roman" w:hAnsi="Times New Roman" w:cs="Times New Roman"/>
                              </w:rPr>
                              <w:t xml:space="preserve">(See Supplementary Methods for details on the resampling experiment). The significance level was set to at 0.001  </w:t>
                            </w:r>
                          </w:p>
                          <w:p w14:paraId="2A1030E7" w14:textId="77777777" w:rsidR="00881C31" w:rsidRPr="006D6863" w:rsidRDefault="00881C31" w:rsidP="00881C3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238B5E" id="Text Box 2" o:spid="_x0000_s1027" type="#_x0000_t202" style="position:absolute;margin-left:-29.45pt;margin-top:12.15pt;width:727.8pt;height:65.5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" fillcolor="white [3201]" stroked="f" strokeweight=".5pt">
                <v:textbox>
                  <w:txbxContent>
                    <w:p w14:paraId="28679D74" w14:textId="6CF40A48" w:rsidR="00881C31" w:rsidRPr="006D6863" w:rsidRDefault="00881C31" w:rsidP="00881C31">
                      <w:pPr>
                        <w:jc w:val="both"/>
                        <w:rPr>
                          <w:rFonts w:ascii="Times New Roman" w:hAnsi="Times New Roman" w:cs="Times New Roman"/>
                        </w:rPr>
                      </w:pPr>
                      <w:r w:rsidRPr="00C96AB0">
                        <w:rPr>
                          <w:rFonts w:ascii="Times New Roman" w:hAnsi="Times New Roman" w:cs="Times New Roman"/>
                          <w:b/>
                          <w:bCs/>
                        </w:rPr>
                        <w:t xml:space="preserve">Supplementary Figure </w:t>
                      </w:r>
                      <w:r>
                        <w:rPr>
                          <w:rFonts w:ascii="Times New Roman" w:hAnsi="Times New Roman" w:cs="Times New Roman"/>
                          <w:b/>
                          <w:bCs/>
                        </w:rPr>
                        <w:t>2</w:t>
                      </w:r>
                      <w:r w:rsidRPr="00C96AB0">
                        <w:rPr>
                          <w:rFonts w:ascii="Times New Roman" w:hAnsi="Times New Roman" w:cs="Times New Roman"/>
                          <w:b/>
                          <w:bCs/>
                        </w:rPr>
                        <w:t>.</w:t>
                      </w:r>
                      <w:r>
                        <w:rPr>
                          <w:rFonts w:ascii="Times New Roman" w:hAnsi="Times New Roman" w:cs="Times New Roman"/>
                        </w:rPr>
                        <w:t xml:space="preserve"> Probability of at least one ARCHIE component to be significant for 4 different traits in yellow bars and the corresponding number of significant trans-eQTLs (</w:t>
                      </w:r>
                      <w:r w:rsidRPr="00C96AB0">
                        <w:rPr>
                          <w:rFonts w:ascii="Times New Roman" w:hAnsi="Times New Roman" w:cs="Times New Roman"/>
                        </w:rPr>
                        <w:t xml:space="preserve">p-value &lt; 1 </w:t>
                      </w:r>
                      <w:r w:rsidRPr="00C96AB0">
                        <w:rPr>
                          <w:rFonts w:ascii="Times New Roman" w:hAnsi="Times New Roman" w:cs="Times New Roman"/>
                        </w:rPr>
                        <w:sym w:font="Symbol" w:char="F0B4"/>
                      </w:r>
                      <w:r w:rsidRPr="00C96AB0">
                        <w:rPr>
                          <w:rFonts w:ascii="Times New Roman" w:hAnsi="Times New Roman" w:cs="Times New Roman"/>
                        </w:rPr>
                        <w:t xml:space="preserve"> 10</w:t>
                      </w:r>
                      <w:r w:rsidRPr="00C96AB0">
                        <w:rPr>
                          <w:rFonts w:ascii="Times New Roman" w:hAnsi="Times New Roman" w:cs="Times New Roman"/>
                          <w:vertAlign w:val="superscript"/>
                        </w:rPr>
                        <w:t>-06</w:t>
                      </w:r>
                      <w:r>
                        <w:rPr>
                          <w:rFonts w:ascii="Times New Roman" w:hAnsi="Times New Roman" w:cs="Times New Roman"/>
                        </w:rPr>
                        <w:t xml:space="preserve">) included in the A matrix in black across different values of </w:t>
                      </w:r>
                      <w:r w:rsidRPr="00C96AB0">
                        <w:rPr>
                          <w:i/>
                          <w:iCs/>
                        </w:rPr>
                        <w:sym w:font="Symbol" w:char="F064"/>
                      </w:r>
                      <w:r>
                        <w:rPr>
                          <w:i/>
                          <w:iCs/>
                        </w:rPr>
                        <w:t xml:space="preserve"> </w:t>
                      </w:r>
                      <w:r>
                        <w:rPr>
                          <w:rFonts w:ascii="Times New Roman" w:hAnsi="Times New Roman" w:cs="Times New Roman"/>
                        </w:rPr>
                        <w:t xml:space="preserve">(See Supplementary Methods for details on the resampling experiment). The significance level was set to at 0.001  </w:t>
                      </w:r>
                    </w:p>
                    <w:p w14:paraId="2A1030E7" w14:textId="77777777" w:rsidR="00881C31" w:rsidRPr="006D6863" w:rsidRDefault="00881C31" w:rsidP="00881C31">
                      <w:pPr>
                        <w:jc w:val="both"/>
                      </w:pPr>
                    </w:p>
                  </w:txbxContent>
                </v:textbox>
              </v:shape>
            </w:pict>
          </mc:Fallback>
        </mc:AlternateContent>
      </w:r>
    </w:p>
    <w:p w14:paraId="6A88C012" w14:textId="77777777" w:rsidR="00E8616D" w:rsidRPr="007A58BD" w:rsidRDefault="00E8616D" w:rsidP="00E8616D">
      <w:pPr>
        <w:rPr>
          <w:rFonts w:ascii="Times New Roman" w:hAnsi="Times New Roman" w:cs="Times New Roman"/>
        </w:rPr>
      </w:pPr>
    </w:p>
    <w:p w14:paraId="2BBA693C" w14:textId="77777777" w:rsidR="00E8616D" w:rsidRPr="007A58BD" w:rsidRDefault="00E8616D" w:rsidP="00E8616D">
      <w:pPr>
        <w:rPr>
          <w:rFonts w:ascii="Times New Roman" w:hAnsi="Times New Roman" w:cs="Times New Roman"/>
        </w:rPr>
      </w:pPr>
      <w:r w:rsidRPr="007A58BD">
        <w:rPr>
          <w:rFonts w:ascii="Times New Roman" w:hAnsi="Times New Roman" w:cs="Times New Roman"/>
          <w:noProof/>
        </w:rPr>
        <w:lastRenderedPageBreak/>
        <w:drawing>
          <wp:inline distT="0" distB="0" distL="0" distR="0" wp14:anchorId="7E738203" wp14:editId="304FB323">
            <wp:extent cx="8278663" cy="3105338"/>
            <wp:effectExtent l="0" t="0" r="1905" b="6350"/>
            <wp:docPr id="8" name="Picture 7" descr="A screenshot of a cell phone&#10;&#10;Description automatically generated">
              <a:extLst xmlns:a="http://schemas.openxmlformats.org/drawingml/2006/main">
                <a:ext uri="{FF2B5EF4-FFF2-40B4-BE49-F238E27FC236}">
                  <a16:creationId xmlns:a16="http://schemas.microsoft.com/office/drawing/2014/main" id="{19A2FF71-4168-5146-8DFA-8BEAD72150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9A2FF71-4168-5146-8DFA-8BEAD7215029}"/>
                        </a:ext>
                      </a:extLst>
                    </pic:cNvPr>
                    <pic:cNvPicPr>
                      <a:picLocks noChangeAspect="1"/>
                    </pic:cNvPicPr>
                  </pic:nvPicPr>
                  <pic:blipFill>
                    <a:blip r:embed="rId10"/>
                    <a:stretch>
                      <a:fillRect/>
                    </a:stretch>
                  </pic:blipFill>
                  <pic:spPr>
                    <a:xfrm>
                      <a:off x="0" y="0"/>
                      <a:ext cx="8300325" cy="3113463"/>
                    </a:xfrm>
                    <a:prstGeom prst="rect">
                      <a:avLst/>
                    </a:prstGeom>
                  </pic:spPr>
                </pic:pic>
              </a:graphicData>
            </a:graphic>
          </wp:inline>
        </w:drawing>
      </w:r>
    </w:p>
    <w:p w14:paraId="2963F9F1" w14:textId="77777777" w:rsidR="00E8616D" w:rsidRPr="007A58BD" w:rsidRDefault="00E8616D" w:rsidP="00E8616D">
      <w:pPr>
        <w:rPr>
          <w:rFonts w:ascii="Times New Roman" w:hAnsi="Times New Roman" w:cs="Times New Roman"/>
        </w:rPr>
      </w:pPr>
      <w:r>
        <w:rPr>
          <w:b/>
          <w:bCs/>
          <w:noProof/>
          <w:u w:val="single"/>
        </w:rPr>
        <mc:AlternateContent>
          <mc:Choice Requires="wps">
            <w:drawing>
              <wp:anchor distT="0" distB="0" distL="114300" distR="114300" simplePos="0" relativeHeight="251671552" behindDoc="0" locked="0" layoutInCell="1" allowOverlap="1" wp14:anchorId="7C981DE7" wp14:editId="72C01F1A">
                <wp:simplePos x="0" y="0"/>
                <wp:positionH relativeFrom="column">
                  <wp:posOffset>-452120</wp:posOffset>
                </wp:positionH>
                <wp:positionV relativeFrom="paragraph">
                  <wp:posOffset>112030</wp:posOffset>
                </wp:positionV>
                <wp:extent cx="9243060" cy="832485"/>
                <wp:effectExtent l="0" t="0" r="2540" b="5715"/>
                <wp:wrapNone/>
                <wp:docPr id="133" name="Text Box 133"/>
                <wp:cNvGraphicFramePr/>
                <a:graphic xmlns:a="http://schemas.openxmlformats.org/drawingml/2006/main">
                  <a:graphicData uri="http://schemas.microsoft.com/office/word/2010/wordprocessingShape">
                    <wps:wsp>
                      <wps:cNvSpPr txBox="1"/>
                      <wps:spPr>
                        <a:xfrm>
                          <a:off x="0" y="0"/>
                          <a:ext cx="9243060" cy="832485"/>
                        </a:xfrm>
                        <a:prstGeom prst="rect">
                          <a:avLst/>
                        </a:prstGeom>
                        <a:solidFill>
                          <a:schemeClr val="lt1"/>
                        </a:solidFill>
                        <a:ln w="6350">
                          <a:noFill/>
                        </a:ln>
                      </wps:spPr>
                      <wps:txbx>
                        <w:txbxContent>
                          <w:p w14:paraId="1FFFA0C6" w14:textId="284E5072" w:rsidR="00E8616D" w:rsidRPr="006D6863" w:rsidRDefault="00E8616D" w:rsidP="00E8616D">
                            <w:pPr>
                              <w:jc w:val="both"/>
                              <w:rPr>
                                <w:rFonts w:ascii="Times New Roman" w:hAnsi="Times New Roman" w:cs="Times New Roman"/>
                              </w:rPr>
                            </w:pPr>
                            <w:r w:rsidRPr="00C96AB0">
                              <w:rPr>
                                <w:rFonts w:ascii="Times New Roman" w:hAnsi="Times New Roman" w:cs="Times New Roman"/>
                                <w:b/>
                                <w:bCs/>
                              </w:rPr>
                              <w:t xml:space="preserve">Supplementary Figure </w:t>
                            </w:r>
                            <w:r w:rsidR="00881C31">
                              <w:rPr>
                                <w:rFonts w:ascii="Times New Roman" w:hAnsi="Times New Roman" w:cs="Times New Roman"/>
                                <w:b/>
                                <w:bCs/>
                              </w:rPr>
                              <w:t>3</w:t>
                            </w:r>
                            <w:r w:rsidRPr="00C96AB0">
                              <w:rPr>
                                <w:rFonts w:ascii="Times New Roman" w:hAnsi="Times New Roman" w:cs="Times New Roman"/>
                                <w:b/>
                                <w:bCs/>
                              </w:rPr>
                              <w:t>.</w:t>
                            </w:r>
                            <w:r>
                              <w:rPr>
                                <w:rFonts w:ascii="Times New Roman" w:hAnsi="Times New Roman" w:cs="Times New Roman"/>
                                <w:b/>
                                <w:bCs/>
                                <w:u w:val="single"/>
                              </w:rPr>
                              <w:t xml:space="preserve"> </w:t>
                            </w:r>
                            <w:r>
                              <w:rPr>
                                <w:rFonts w:ascii="Times New Roman" w:hAnsi="Times New Roman" w:cs="Times New Roman"/>
                              </w:rPr>
                              <w:t xml:space="preserve">Enrichment analysis with the 75 selected target genes for SCZ for enrichment among pre-determined list of differentially expressed genes (DEG; positive and negative) in each tissue of GTEx v8 and their corresponding enrichment p-value. The red bars denote the p-values for the tissues which are significant at FDR-adjusted p-value threshold of 0.001. </w:t>
                            </w:r>
                          </w:p>
                          <w:p w14:paraId="2CC78B19" w14:textId="77777777" w:rsidR="00E8616D" w:rsidRPr="006D6863" w:rsidRDefault="00E8616D" w:rsidP="00E8616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981DE7" id="Text Box 133" o:spid="_x0000_s1028" type="#_x0000_t202" style="position:absolute;margin-left:-35.6pt;margin-top:8.8pt;width:727.8pt;height:65.5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" fillcolor="white [3201]" stroked="f" strokeweight=".5pt">
                <v:textbox>
                  <w:txbxContent>
                    <w:p w14:paraId="1FFFA0C6" w14:textId="284E5072" w:rsidR="00E8616D" w:rsidRPr="006D6863" w:rsidRDefault="00E8616D" w:rsidP="00E8616D">
                      <w:pPr>
                        <w:jc w:val="both"/>
                        <w:rPr>
                          <w:rFonts w:ascii="Times New Roman" w:hAnsi="Times New Roman" w:cs="Times New Roman"/>
                        </w:rPr>
                      </w:pPr>
                      <w:r w:rsidRPr="00C96AB0">
                        <w:rPr>
                          <w:rFonts w:ascii="Times New Roman" w:hAnsi="Times New Roman" w:cs="Times New Roman"/>
                          <w:b/>
                          <w:bCs/>
                        </w:rPr>
                        <w:t xml:space="preserve">Supplementary Figure </w:t>
                      </w:r>
                      <w:r w:rsidR="00881C31">
                        <w:rPr>
                          <w:rFonts w:ascii="Times New Roman" w:hAnsi="Times New Roman" w:cs="Times New Roman"/>
                          <w:b/>
                          <w:bCs/>
                        </w:rPr>
                        <w:t>3</w:t>
                      </w:r>
                      <w:r w:rsidRPr="00C96AB0">
                        <w:rPr>
                          <w:rFonts w:ascii="Times New Roman" w:hAnsi="Times New Roman" w:cs="Times New Roman"/>
                          <w:b/>
                          <w:bCs/>
                        </w:rPr>
                        <w:t>.</w:t>
                      </w:r>
                      <w:r>
                        <w:rPr>
                          <w:rFonts w:ascii="Times New Roman" w:hAnsi="Times New Roman" w:cs="Times New Roman"/>
                          <w:b/>
                          <w:bCs/>
                          <w:u w:val="single"/>
                        </w:rPr>
                        <w:t xml:space="preserve"> </w:t>
                      </w:r>
                      <w:r>
                        <w:rPr>
                          <w:rFonts w:ascii="Times New Roman" w:hAnsi="Times New Roman" w:cs="Times New Roman"/>
                        </w:rPr>
                        <w:t xml:space="preserve">Enrichment analysis with the 75 selected target genes for SCZ for enrichment among pre-determined list of differentially expressed genes (DEG; positive and negative) in each tissue of GTEx v8 and their corresponding enrichment p-value. The red bars denote the p-values for the tissues which are significant at FDR-adjusted p-value threshold of 0.001. </w:t>
                      </w:r>
                    </w:p>
                    <w:p w14:paraId="2CC78B19" w14:textId="77777777" w:rsidR="00E8616D" w:rsidRPr="006D6863" w:rsidRDefault="00E8616D" w:rsidP="00E8616D">
                      <w:pPr>
                        <w:jc w:val="both"/>
                      </w:pPr>
                    </w:p>
                  </w:txbxContent>
                </v:textbox>
              </v:shape>
            </w:pict>
          </mc:Fallback>
        </mc:AlternateContent>
      </w:r>
    </w:p>
    <w:p w14:paraId="7B784F8A" w14:textId="77777777" w:rsidR="00E8616D" w:rsidRDefault="00E8616D" w:rsidP="00E8616D">
      <w:pPr>
        <w:rPr>
          <w:rFonts w:ascii="Times New Roman" w:hAnsi="Times New Roman" w:cs="Times New Roman"/>
        </w:rPr>
      </w:pPr>
    </w:p>
    <w:p w14:paraId="51905BCA" w14:textId="77777777" w:rsidR="00E8616D" w:rsidRDefault="00E8616D" w:rsidP="00E8616D">
      <w:pPr>
        <w:rPr>
          <w:rFonts w:ascii="Times New Roman" w:hAnsi="Times New Roman" w:cs="Times New Roman"/>
        </w:rPr>
      </w:pPr>
      <w:r>
        <w:rPr>
          <w:rFonts w:ascii="Times New Roman" w:hAnsi="Times New Roman" w:cs="Times New Roman"/>
        </w:rPr>
        <w:br w:type="page"/>
      </w:r>
    </w:p>
    <w:p w14:paraId="2A1E3B90" w14:textId="77777777" w:rsidR="00E8616D" w:rsidRDefault="00E8616D" w:rsidP="00E8616D">
      <w:pPr>
        <w:rPr>
          <w:rFonts w:ascii="Times New Roman" w:hAnsi="Times New Roman" w:cs="Times New Roman"/>
        </w:rPr>
      </w:pPr>
    </w:p>
    <w:p w14:paraId="64DFBB5B" w14:textId="77777777" w:rsidR="00E8616D" w:rsidRDefault="00E8616D" w:rsidP="00E8616D">
      <w:pPr>
        <w:rPr>
          <w:rFonts w:ascii="Times New Roman" w:hAnsi="Times New Roman" w:cs="Times New Roman"/>
        </w:rPr>
      </w:pPr>
    </w:p>
    <w:p w14:paraId="76238D2A" w14:textId="77777777" w:rsidR="00E8616D" w:rsidRDefault="00E8616D" w:rsidP="00E8616D">
      <w:pPr>
        <w:jc w:val="center"/>
        <w:rPr>
          <w:rFonts w:ascii="Times New Roman" w:hAnsi="Times New Roman" w:cs="Times New Roman"/>
        </w:rPr>
      </w:pPr>
      <w:r w:rsidRPr="007A58BD">
        <w:rPr>
          <w:rFonts w:ascii="Times New Roman" w:hAnsi="Times New Roman" w:cs="Times New Roman"/>
          <w:noProof/>
        </w:rPr>
        <w:drawing>
          <wp:inline distT="0" distB="0" distL="0" distR="0" wp14:anchorId="4F760FC5" wp14:editId="7F47E4FC">
            <wp:extent cx="5024673" cy="3861770"/>
            <wp:effectExtent l="0" t="0" r="5080" b="0"/>
            <wp:docPr id="7" name="Content Placeholder 6" descr="A screenshot of a cell phone&#10;&#10;Description automatically generated">
              <a:extLst xmlns:a="http://schemas.openxmlformats.org/drawingml/2006/main">
                <a:ext uri="{FF2B5EF4-FFF2-40B4-BE49-F238E27FC236}">
                  <a16:creationId xmlns:a16="http://schemas.microsoft.com/office/drawing/2014/main" id="{5E0FD538-B5DF-6241-901E-D16D9F9C1C5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5E0FD538-B5DF-6241-901E-D16D9F9C1C51}"/>
                        </a:ext>
                      </a:extLst>
                    </pic:cNvPr>
                    <pic:cNvPicPr>
                      <a:picLocks noGrp="1" noChangeAspect="1"/>
                    </pic:cNvPicPr>
                  </pic:nvPicPr>
                  <pic:blipFill>
                    <a:blip r:embed="rId11"/>
                    <a:stretch>
                      <a:fillRect/>
                    </a:stretch>
                  </pic:blipFill>
                  <pic:spPr>
                    <a:xfrm>
                      <a:off x="0" y="0"/>
                      <a:ext cx="5060431" cy="3889252"/>
                    </a:xfrm>
                    <a:prstGeom prst="rect">
                      <a:avLst/>
                    </a:prstGeom>
                  </pic:spPr>
                </pic:pic>
              </a:graphicData>
            </a:graphic>
          </wp:inline>
        </w:drawing>
      </w:r>
    </w:p>
    <w:p w14:paraId="4CEB6ECE" w14:textId="77777777" w:rsidR="00E8616D" w:rsidRDefault="00E8616D" w:rsidP="00E8616D">
      <w:pPr>
        <w:rPr>
          <w:rFonts w:ascii="Times New Roman" w:hAnsi="Times New Roman" w:cs="Times New Roman"/>
        </w:rPr>
      </w:pPr>
      <w:r>
        <w:rPr>
          <w:b/>
          <w:bCs/>
          <w:noProof/>
          <w:u w:val="single"/>
        </w:rPr>
        <mc:AlternateContent>
          <mc:Choice Requires="wps">
            <w:drawing>
              <wp:anchor distT="0" distB="0" distL="114300" distR="114300" simplePos="0" relativeHeight="251659264" behindDoc="0" locked="0" layoutInCell="1" allowOverlap="1" wp14:anchorId="04289162" wp14:editId="235E1D91">
                <wp:simplePos x="0" y="0"/>
                <wp:positionH relativeFrom="column">
                  <wp:posOffset>-452120</wp:posOffset>
                </wp:positionH>
                <wp:positionV relativeFrom="paragraph">
                  <wp:posOffset>216566</wp:posOffset>
                </wp:positionV>
                <wp:extent cx="9243569" cy="832919"/>
                <wp:effectExtent l="0" t="0" r="2540" b="5715"/>
                <wp:wrapNone/>
                <wp:docPr id="132" name="Text Box 132"/>
                <wp:cNvGraphicFramePr/>
                <a:graphic xmlns:a="http://schemas.openxmlformats.org/drawingml/2006/main">
                  <a:graphicData uri="http://schemas.microsoft.com/office/word/2010/wordprocessingShape">
                    <wps:wsp>
                      <wps:cNvSpPr txBox="1"/>
                      <wps:spPr>
                        <a:xfrm>
                          <a:off x="0" y="0"/>
                          <a:ext cx="9243569" cy="832919"/>
                        </a:xfrm>
                        <a:prstGeom prst="rect">
                          <a:avLst/>
                        </a:prstGeom>
                        <a:solidFill>
                          <a:schemeClr val="lt1"/>
                        </a:solidFill>
                        <a:ln w="6350">
                          <a:noFill/>
                        </a:ln>
                      </wps:spPr>
                      <wps:txbx>
                        <w:txbxContent>
                          <w:p w14:paraId="1107E47A" w14:textId="0A98EDD6" w:rsidR="00E8616D" w:rsidRPr="006D6863" w:rsidRDefault="00E8616D" w:rsidP="00E8616D">
                            <w:pPr>
                              <w:jc w:val="both"/>
                              <w:rPr>
                                <w:rFonts w:ascii="Times New Roman" w:hAnsi="Times New Roman" w:cs="Times New Roman"/>
                              </w:rPr>
                            </w:pPr>
                            <w:r w:rsidRPr="00C96AB0">
                              <w:rPr>
                                <w:rFonts w:ascii="Times New Roman" w:hAnsi="Times New Roman" w:cs="Times New Roman"/>
                                <w:b/>
                                <w:bCs/>
                              </w:rPr>
                              <w:t xml:space="preserve">Supplementary Figure </w:t>
                            </w:r>
                            <w:r w:rsidR="00881C31">
                              <w:rPr>
                                <w:rFonts w:ascii="Times New Roman" w:hAnsi="Times New Roman" w:cs="Times New Roman"/>
                                <w:b/>
                                <w:bCs/>
                              </w:rPr>
                              <w:t>4</w:t>
                            </w:r>
                            <w:r w:rsidRPr="00C96AB0">
                              <w:rPr>
                                <w:rFonts w:ascii="Times New Roman" w:hAnsi="Times New Roman" w:cs="Times New Roman"/>
                                <w:b/>
                                <w:bCs/>
                              </w:rPr>
                              <w:t>.</w:t>
                            </w:r>
                            <w:r>
                              <w:rPr>
                                <w:rFonts w:ascii="Times New Roman" w:hAnsi="Times New Roman" w:cs="Times New Roman"/>
                                <w:b/>
                                <w:bCs/>
                                <w:u w:val="single"/>
                              </w:rPr>
                              <w:t xml:space="preserve"> </w:t>
                            </w:r>
                            <w:r>
                              <w:rPr>
                                <w:rFonts w:ascii="Times New Roman" w:hAnsi="Times New Roman" w:cs="Times New Roman"/>
                              </w:rPr>
                              <w:t>Log2-transformed mean expression levels for 75 target genes selected by ARCHIE for SCZ across 54 GTEx v8 tissues. Three genes (</w:t>
                            </w:r>
                            <w:r w:rsidRPr="006D6863">
                              <w:rPr>
                                <w:rFonts w:ascii="Times New Roman" w:hAnsi="Times New Roman" w:cs="Times New Roman"/>
                                <w:i/>
                                <w:iCs/>
                              </w:rPr>
                              <w:t>PADI2, KCNJ10, MLC1</w:t>
                            </w:r>
                            <w:r>
                              <w:rPr>
                                <w:rFonts w:ascii="Times New Roman" w:hAnsi="Times New Roman" w:cs="Times New Roman"/>
                              </w:rPr>
                              <w:t>) are highly differentially expressed in brain tissues.</w:t>
                            </w:r>
                          </w:p>
                          <w:p w14:paraId="76D4D856" w14:textId="77777777" w:rsidR="00E8616D" w:rsidRPr="006D6863" w:rsidRDefault="00E8616D" w:rsidP="00E8616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289162" id="Text Box 132" o:spid="_x0000_s1029" type="#_x0000_t202" style="position:absolute;margin-left:-35.6pt;margin-top:17.05pt;width:727.85pt;height:65.6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" fillcolor="white [3201]" stroked="f" strokeweight=".5pt">
                <v:textbox>
                  <w:txbxContent>
                    <w:p w14:paraId="1107E47A" w14:textId="0A98EDD6" w:rsidR="00E8616D" w:rsidRPr="006D6863" w:rsidRDefault="00E8616D" w:rsidP="00E8616D">
                      <w:pPr>
                        <w:jc w:val="both"/>
                        <w:rPr>
                          <w:rFonts w:ascii="Times New Roman" w:hAnsi="Times New Roman" w:cs="Times New Roman"/>
                        </w:rPr>
                      </w:pPr>
                      <w:r w:rsidRPr="00C96AB0">
                        <w:rPr>
                          <w:rFonts w:ascii="Times New Roman" w:hAnsi="Times New Roman" w:cs="Times New Roman"/>
                          <w:b/>
                          <w:bCs/>
                        </w:rPr>
                        <w:t xml:space="preserve">Supplementary Figure </w:t>
                      </w:r>
                      <w:r w:rsidR="00881C31">
                        <w:rPr>
                          <w:rFonts w:ascii="Times New Roman" w:hAnsi="Times New Roman" w:cs="Times New Roman"/>
                          <w:b/>
                          <w:bCs/>
                        </w:rPr>
                        <w:t>4</w:t>
                      </w:r>
                      <w:r w:rsidRPr="00C96AB0">
                        <w:rPr>
                          <w:rFonts w:ascii="Times New Roman" w:hAnsi="Times New Roman" w:cs="Times New Roman"/>
                          <w:b/>
                          <w:bCs/>
                        </w:rPr>
                        <w:t>.</w:t>
                      </w:r>
                      <w:r>
                        <w:rPr>
                          <w:rFonts w:ascii="Times New Roman" w:hAnsi="Times New Roman" w:cs="Times New Roman"/>
                          <w:b/>
                          <w:bCs/>
                          <w:u w:val="single"/>
                        </w:rPr>
                        <w:t xml:space="preserve"> </w:t>
                      </w:r>
                      <w:r>
                        <w:rPr>
                          <w:rFonts w:ascii="Times New Roman" w:hAnsi="Times New Roman" w:cs="Times New Roman"/>
                        </w:rPr>
                        <w:t>Log2-transformed mean expression levels for 75 target genes selected by ARCHIE for SCZ across 54 GTEx v8 tissues. Three genes (</w:t>
                      </w:r>
                      <w:r w:rsidRPr="006D6863">
                        <w:rPr>
                          <w:rFonts w:ascii="Times New Roman" w:hAnsi="Times New Roman" w:cs="Times New Roman"/>
                          <w:i/>
                          <w:iCs/>
                        </w:rPr>
                        <w:t>PADI2, KCNJ10, MLC1</w:t>
                      </w:r>
                      <w:r>
                        <w:rPr>
                          <w:rFonts w:ascii="Times New Roman" w:hAnsi="Times New Roman" w:cs="Times New Roman"/>
                        </w:rPr>
                        <w:t>) are highly differentially expressed in brain tissues.</w:t>
                      </w:r>
                    </w:p>
                    <w:p w14:paraId="76D4D856" w14:textId="77777777" w:rsidR="00E8616D" w:rsidRPr="006D6863" w:rsidRDefault="00E8616D" w:rsidP="00E8616D">
                      <w:pPr>
                        <w:jc w:val="both"/>
                      </w:pPr>
                    </w:p>
                  </w:txbxContent>
                </v:textbox>
              </v:shape>
            </w:pict>
          </mc:Fallback>
        </mc:AlternateContent>
      </w:r>
      <w:r>
        <w:rPr>
          <w:rFonts w:ascii="Times New Roman" w:hAnsi="Times New Roman" w:cs="Times New Roman"/>
        </w:rPr>
        <w:br w:type="page"/>
      </w:r>
    </w:p>
    <w:p w14:paraId="7F06BA0F" w14:textId="77777777" w:rsidR="00E8616D" w:rsidRDefault="00E8616D" w:rsidP="00E8616D">
      <w:pPr>
        <w:rPr>
          <w:rFonts w:ascii="Times New Roman" w:hAnsi="Times New Roman" w:cs="Times New Roman"/>
        </w:rPr>
      </w:pPr>
      <w:r>
        <w:rPr>
          <w:noProof/>
        </w:rPr>
        <w:lastRenderedPageBreak/>
        <mc:AlternateContent>
          <mc:Choice Requires="wps">
            <w:drawing>
              <wp:anchor distT="0" distB="0" distL="114300" distR="114300" simplePos="0" relativeHeight="251661312" behindDoc="0" locked="0" layoutInCell="1" allowOverlap="1" wp14:anchorId="6CA109A8" wp14:editId="78FC64E5">
                <wp:simplePos x="0" y="0"/>
                <wp:positionH relativeFrom="column">
                  <wp:posOffset>778214</wp:posOffset>
                </wp:positionH>
                <wp:positionV relativeFrom="paragraph">
                  <wp:posOffset>-145915</wp:posOffset>
                </wp:positionV>
                <wp:extent cx="6478202" cy="299656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6478202" cy="2996565"/>
                        </a:xfrm>
                        <a:prstGeom prst="rect">
                          <a:avLst/>
                        </a:prstGeom>
                        <a:noFill/>
                        <a:ln w="6350">
                          <a:noFill/>
                        </a:ln>
                      </wps:spPr>
                      <wps:txbx>
                        <w:txbxContent>
                          <w:p w14:paraId="60E47794" w14:textId="77777777" w:rsidR="00E8616D" w:rsidRDefault="00E8616D" w:rsidP="00E8616D">
                            <w:pPr>
                              <w:jc w:val="center"/>
                            </w:pPr>
                            <w:r w:rsidRPr="00F04B02">
                              <w:rPr>
                                <w:noProof/>
                              </w:rPr>
                              <w:drawing>
                                <wp:inline distT="0" distB="0" distL="0" distR="0" wp14:anchorId="36CCF050" wp14:editId="6F2BF032">
                                  <wp:extent cx="4923373" cy="2141220"/>
                                  <wp:effectExtent l="0" t="0" r="4445" b="5080"/>
                                  <wp:docPr id="197" name="Picture 19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14930" cy="21810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109A8" id="Text Box 86" o:spid="_x0000_s1028" type="#_x0000_t202" style="position:absolute;margin-left:61.3pt;margin-top:-11.5pt;width:510.1pt;height:23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" filled="f" stroked="f" strokeweight=".5pt">
                <v:textbox>
                  <w:txbxContent>
                    <w:p w14:paraId="60E47794" w14:textId="77777777" w:rsidR="00E8616D" w:rsidRDefault="00E8616D" w:rsidP="00E8616D">
                      <w:pPr>
                        <w:jc w:val="center"/>
                      </w:pPr>
                      <w:r w:rsidRPr="00F04B02">
                        <w:rPr>
                          <w:noProof/>
                        </w:rPr>
                        <w:drawing>
                          <wp:inline distT="0" distB="0" distL="0" distR="0" wp14:anchorId="36CCF050" wp14:editId="6F2BF032">
                            <wp:extent cx="4923373" cy="2141220"/>
                            <wp:effectExtent l="0" t="0" r="4445" b="5080"/>
                            <wp:docPr id="197" name="Picture 19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14930" cy="2181039"/>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05B79091" wp14:editId="6E31C963">
                <wp:simplePos x="0" y="0"/>
                <wp:positionH relativeFrom="column">
                  <wp:posOffset>781888</wp:posOffset>
                </wp:positionH>
                <wp:positionV relativeFrom="paragraph">
                  <wp:posOffset>-219075</wp:posOffset>
                </wp:positionV>
                <wp:extent cx="470781" cy="443619"/>
                <wp:effectExtent l="0" t="0" r="0" b="1270"/>
                <wp:wrapNone/>
                <wp:docPr id="117" name="Text Box 117"/>
                <wp:cNvGraphicFramePr/>
                <a:graphic xmlns:a="http://schemas.openxmlformats.org/drawingml/2006/main">
                  <a:graphicData uri="http://schemas.microsoft.com/office/word/2010/wordprocessingShape">
                    <wps:wsp>
                      <wps:cNvSpPr txBox="1"/>
                      <wps:spPr>
                        <a:xfrm>
                          <a:off x="0" y="0"/>
                          <a:ext cx="470781" cy="443619"/>
                        </a:xfrm>
                        <a:prstGeom prst="rect">
                          <a:avLst/>
                        </a:prstGeom>
                        <a:solidFill>
                          <a:schemeClr val="lt1"/>
                        </a:solidFill>
                        <a:ln w="6350">
                          <a:noFill/>
                        </a:ln>
                      </wps:spPr>
                      <wps:txbx>
                        <w:txbxContent>
                          <w:p w14:paraId="03AAA4C8"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79091" id="Text Box 117" o:spid="_x0000_s1029" type="#_x0000_t202" style="position:absolute;margin-left:61.55pt;margin-top:-17.25pt;width:37.05pt;height:3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" fillcolor="white [3201]" stroked="f" strokeweight=".5pt">
                <v:textbox>
                  <w:txbxContent>
                    <w:p w14:paraId="03AAA4C8"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p>
    <w:p w14:paraId="401CE0DD" w14:textId="77777777" w:rsidR="00E8616D" w:rsidRDefault="00E8616D" w:rsidP="00E8616D">
      <w:pPr>
        <w:rPr>
          <w:rFonts w:ascii="Times New Roman" w:hAnsi="Times New Roman" w:cs="Times New Roman"/>
        </w:rPr>
      </w:pPr>
    </w:p>
    <w:p w14:paraId="2EEB4B3D" w14:textId="77777777" w:rsidR="00E8616D" w:rsidRDefault="00E8616D" w:rsidP="00E8616D">
      <w:pPr>
        <w:rPr>
          <w:rFonts w:ascii="Times New Roman" w:hAnsi="Times New Roman" w:cs="Times New Roman"/>
        </w:rPr>
      </w:pPr>
    </w:p>
    <w:p w14:paraId="13B22B8B" w14:textId="77777777" w:rsidR="00E8616D" w:rsidRDefault="00E8616D" w:rsidP="00E8616D">
      <w:pPr>
        <w:rPr>
          <w:rFonts w:ascii="Times New Roman" w:hAnsi="Times New Roman" w:cs="Times New Roman"/>
        </w:rPr>
      </w:pPr>
    </w:p>
    <w:p w14:paraId="353D38CE" w14:textId="77777777" w:rsidR="00E8616D" w:rsidRDefault="00E8616D" w:rsidP="00E8616D">
      <w:pPr>
        <w:rPr>
          <w:rFonts w:ascii="Times New Roman" w:hAnsi="Times New Roman" w:cs="Times New Roman"/>
        </w:rPr>
      </w:pPr>
    </w:p>
    <w:p w14:paraId="08B9115A" w14:textId="77777777" w:rsidR="00E8616D" w:rsidRDefault="00E8616D" w:rsidP="00E8616D">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3EDB6D5B" w14:textId="77777777" w:rsidR="00E8616D" w:rsidRDefault="00E8616D" w:rsidP="00E8616D">
      <w:pPr>
        <w:rPr>
          <w:rFonts w:ascii="Times New Roman" w:hAnsi="Times New Roman" w:cs="Times New Roman"/>
        </w:rPr>
      </w:pPr>
      <w:r>
        <w:rPr>
          <w:noProof/>
        </w:rPr>
        <mc:AlternateContent>
          <mc:Choice Requires="wps">
            <w:drawing>
              <wp:anchor distT="0" distB="0" distL="114300" distR="114300" simplePos="0" relativeHeight="251663360" behindDoc="0" locked="0" layoutInCell="1" allowOverlap="1" wp14:anchorId="0707DC72" wp14:editId="53A0B018">
                <wp:simplePos x="0" y="0"/>
                <wp:positionH relativeFrom="column">
                  <wp:posOffset>5222557</wp:posOffset>
                </wp:positionH>
                <wp:positionV relativeFrom="paragraph">
                  <wp:posOffset>51118</wp:posOffset>
                </wp:positionV>
                <wp:extent cx="2807595" cy="288664"/>
                <wp:effectExtent l="2223" t="0" r="1587" b="1588"/>
                <wp:wrapNone/>
                <wp:docPr id="12" name="Text Box 12"/>
                <wp:cNvGraphicFramePr/>
                <a:graphic xmlns:a="http://schemas.openxmlformats.org/drawingml/2006/main">
                  <a:graphicData uri="http://schemas.microsoft.com/office/word/2010/wordprocessingShape">
                    <wps:wsp>
                      <wps:cNvSpPr txBox="1"/>
                      <wps:spPr>
                        <a:xfrm rot="5400000">
                          <a:off x="0" y="0"/>
                          <a:ext cx="2807595" cy="288664"/>
                        </a:xfrm>
                        <a:prstGeom prst="rect">
                          <a:avLst/>
                        </a:prstGeom>
                        <a:solidFill>
                          <a:schemeClr val="lt1"/>
                        </a:solidFill>
                        <a:ln w="6350">
                          <a:noFill/>
                        </a:ln>
                      </wps:spPr>
                      <wps:txbx>
                        <w:txbxContent>
                          <w:p w14:paraId="0482C88C" w14:textId="77777777" w:rsidR="00E8616D" w:rsidRDefault="00E8616D" w:rsidP="00E8616D">
                            <w:r>
                              <w:t>Selected variants (variant-component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7DC72" id="Text Box 12" o:spid="_x0000_s1030" type="#_x0000_t202" style="position:absolute;margin-left:411.2pt;margin-top:4.05pt;width:221.05pt;height:22.7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" fillcolor="white [3201]" stroked="f" strokeweight=".5pt">
                <v:textbox>
                  <w:txbxContent>
                    <w:p w14:paraId="0482C88C" w14:textId="77777777" w:rsidR="00E8616D" w:rsidRDefault="00E8616D" w:rsidP="00E8616D">
                      <w:r>
                        <w:t>Selected variants (variant-component 1)</w:t>
                      </w:r>
                    </w:p>
                  </w:txbxContent>
                </v:textbox>
              </v:shape>
            </w:pict>
          </mc:Fallback>
        </mc:AlternateContent>
      </w:r>
    </w:p>
    <w:p w14:paraId="02FF16BA" w14:textId="77777777" w:rsidR="00E8616D" w:rsidRDefault="00E8616D" w:rsidP="00E8616D">
      <w:pPr>
        <w:rPr>
          <w:rFonts w:ascii="Times New Roman" w:hAnsi="Times New Roman" w:cs="Times New Roman"/>
        </w:rPr>
      </w:pPr>
    </w:p>
    <w:p w14:paraId="0F1788CF" w14:textId="77777777" w:rsidR="00E8616D" w:rsidRDefault="00E8616D" w:rsidP="00E8616D">
      <w:pPr>
        <w:rPr>
          <w:rFonts w:ascii="Times New Roman" w:hAnsi="Times New Roman" w:cs="Times New Roman"/>
        </w:rPr>
      </w:pPr>
    </w:p>
    <w:p w14:paraId="14E81943" w14:textId="77777777" w:rsidR="00E8616D" w:rsidRDefault="00E8616D" w:rsidP="00E8616D">
      <w:pPr>
        <w:rPr>
          <w:rFonts w:ascii="Times New Roman" w:hAnsi="Times New Roman" w:cs="Times New Roman"/>
        </w:rPr>
      </w:pPr>
    </w:p>
    <w:p w14:paraId="271DE254" w14:textId="77777777" w:rsidR="00E8616D" w:rsidRDefault="00E8616D" w:rsidP="00E8616D">
      <w:pPr>
        <w:rPr>
          <w:rFonts w:ascii="Times New Roman" w:hAnsi="Times New Roman" w:cs="Times New Roman"/>
        </w:rPr>
      </w:pPr>
    </w:p>
    <w:p w14:paraId="408072D4" w14:textId="77777777" w:rsidR="00E8616D" w:rsidRDefault="00E8616D" w:rsidP="00E8616D">
      <w:pPr>
        <w:rPr>
          <w:rFonts w:ascii="Times New Roman" w:hAnsi="Times New Roman" w:cs="Times New Roman"/>
        </w:rPr>
      </w:pPr>
      <w:r>
        <w:rPr>
          <w:noProof/>
        </w:rPr>
        <mc:AlternateContent>
          <mc:Choice Requires="wps">
            <w:drawing>
              <wp:anchor distT="0" distB="0" distL="114300" distR="114300" simplePos="0" relativeHeight="251662336" behindDoc="0" locked="0" layoutInCell="1" allowOverlap="1" wp14:anchorId="569068C7" wp14:editId="7D106EE2">
                <wp:simplePos x="0" y="0"/>
                <wp:positionH relativeFrom="column">
                  <wp:posOffset>2661717</wp:posOffset>
                </wp:positionH>
                <wp:positionV relativeFrom="paragraph">
                  <wp:posOffset>106680</wp:posOffset>
                </wp:positionV>
                <wp:extent cx="2480310" cy="3562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480310" cy="356235"/>
                        </a:xfrm>
                        <a:prstGeom prst="rect">
                          <a:avLst/>
                        </a:prstGeom>
                        <a:solidFill>
                          <a:schemeClr val="lt1"/>
                        </a:solidFill>
                        <a:ln w="6350">
                          <a:noFill/>
                        </a:ln>
                      </wps:spPr>
                      <wps:txbx>
                        <w:txbxContent>
                          <w:p w14:paraId="48751C69" w14:textId="77777777" w:rsidR="00E8616D" w:rsidRDefault="00E8616D" w:rsidP="00E8616D">
                            <w:pPr>
                              <w:jc w:val="center"/>
                            </w:pPr>
                            <w:r>
                              <w:t>Selected genes (gene-component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9068C7" id="Text Box 11" o:spid="_x0000_s1031" type="#_x0000_t202" style="position:absolute;margin-left:209.6pt;margin-top:8.4pt;width:195.3pt;height:28.0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" fillcolor="white [3201]" stroked="f" strokeweight=".5pt">
                <v:textbox>
                  <w:txbxContent>
                    <w:p w14:paraId="48751C69" w14:textId="77777777" w:rsidR="00E8616D" w:rsidRDefault="00E8616D" w:rsidP="00E8616D">
                      <w:pPr>
                        <w:jc w:val="center"/>
                      </w:pPr>
                      <w:r>
                        <w:t>Selected genes (gene-component 1)</w:t>
                      </w:r>
                    </w:p>
                  </w:txbxContent>
                </v:textbox>
              </v:shape>
            </w:pict>
          </mc:Fallback>
        </mc:AlternateContent>
      </w:r>
    </w:p>
    <w:p w14:paraId="1AC1FF57" w14:textId="77777777" w:rsidR="00E8616D" w:rsidRPr="00B81EC8" w:rsidRDefault="00E8616D" w:rsidP="00E8616D">
      <w:pPr>
        <w:rPr>
          <w:rFonts w:ascii="Times New Roman" w:hAnsi="Times New Roman" w:cs="Times New Roman"/>
          <w:b/>
          <w:bCs/>
          <w:sz w:val="32"/>
          <w:szCs w:val="32"/>
          <w:u w:val="single"/>
        </w:rPr>
      </w:pPr>
      <w:r>
        <w:rPr>
          <w:noProof/>
        </w:rPr>
        <mc:AlternateContent>
          <mc:Choice Requires="wps">
            <w:drawing>
              <wp:anchor distT="0" distB="0" distL="114300" distR="114300" simplePos="0" relativeHeight="251670528" behindDoc="0" locked="0" layoutInCell="1" allowOverlap="1" wp14:anchorId="7A7AD713" wp14:editId="5599E139">
                <wp:simplePos x="0" y="0"/>
                <wp:positionH relativeFrom="column">
                  <wp:posOffset>713591</wp:posOffset>
                </wp:positionH>
                <wp:positionV relativeFrom="paragraph">
                  <wp:posOffset>255635</wp:posOffset>
                </wp:positionV>
                <wp:extent cx="470781" cy="443619"/>
                <wp:effectExtent l="0" t="0" r="0" b="1270"/>
                <wp:wrapNone/>
                <wp:docPr id="9" name="Text Box 9"/>
                <wp:cNvGraphicFramePr/>
                <a:graphic xmlns:a="http://schemas.openxmlformats.org/drawingml/2006/main">
                  <a:graphicData uri="http://schemas.microsoft.com/office/word/2010/wordprocessingShape">
                    <wps:wsp>
                      <wps:cNvSpPr txBox="1"/>
                      <wps:spPr>
                        <a:xfrm>
                          <a:off x="0" y="0"/>
                          <a:ext cx="470781" cy="443619"/>
                        </a:xfrm>
                        <a:prstGeom prst="rect">
                          <a:avLst/>
                        </a:prstGeom>
                        <a:solidFill>
                          <a:schemeClr val="lt1"/>
                        </a:solidFill>
                        <a:ln w="6350">
                          <a:noFill/>
                        </a:ln>
                      </wps:spPr>
                      <wps:txbx>
                        <w:txbxContent>
                          <w:p w14:paraId="72069E8F"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AD713" id="Text Box 9" o:spid="_x0000_s1032" type="#_x0000_t202" style="position:absolute;margin-left:56.2pt;margin-top:20.15pt;width:37.05pt;height:34.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" fillcolor="white [3201]" stroked="f" strokeweight=".5pt">
                <v:textbox>
                  <w:txbxContent>
                    <w:p w14:paraId="72069E8F"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Pr="00E47F05">
        <w:rPr>
          <w:b/>
          <w:bCs/>
          <w:noProof/>
          <w:u w:val="single"/>
        </w:rPr>
        <mc:AlternateContent>
          <mc:Choice Requires="wps">
            <w:drawing>
              <wp:anchor distT="0" distB="0" distL="114300" distR="114300" simplePos="0" relativeHeight="251665408" behindDoc="0" locked="0" layoutInCell="1" allowOverlap="1" wp14:anchorId="0B622226" wp14:editId="4EC4C87F">
                <wp:simplePos x="0" y="0"/>
                <wp:positionH relativeFrom="column">
                  <wp:posOffset>2507237</wp:posOffset>
                </wp:positionH>
                <wp:positionV relativeFrom="paragraph">
                  <wp:posOffset>3146263</wp:posOffset>
                </wp:positionV>
                <wp:extent cx="2480650" cy="353085"/>
                <wp:effectExtent l="0" t="0" r="0" b="2540"/>
                <wp:wrapNone/>
                <wp:docPr id="16" name="Text Box 16"/>
                <wp:cNvGraphicFramePr/>
                <a:graphic xmlns:a="http://schemas.openxmlformats.org/drawingml/2006/main">
                  <a:graphicData uri="http://schemas.microsoft.com/office/word/2010/wordprocessingShape">
                    <wps:wsp>
                      <wps:cNvSpPr txBox="1"/>
                      <wps:spPr>
                        <a:xfrm>
                          <a:off x="0" y="0"/>
                          <a:ext cx="2480650" cy="353085"/>
                        </a:xfrm>
                        <a:prstGeom prst="rect">
                          <a:avLst/>
                        </a:prstGeom>
                        <a:solidFill>
                          <a:schemeClr val="lt1"/>
                        </a:solidFill>
                        <a:ln w="6350">
                          <a:noFill/>
                        </a:ln>
                      </wps:spPr>
                      <wps:txbx>
                        <w:txbxContent>
                          <w:p w14:paraId="5CCC846A" w14:textId="77777777" w:rsidR="00E8616D" w:rsidRDefault="00E8616D" w:rsidP="00E8616D">
                            <w:pPr>
                              <w:jc w:val="center"/>
                            </w:pPr>
                            <w:r>
                              <w:t>Selected genes (gene-component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622226" id="Text Box 16" o:spid="_x0000_s1033" type="#_x0000_t202" style="position:absolute;margin-left:197.4pt;margin-top:247.75pt;width:195.35pt;height:27.8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" fillcolor="white [3201]" stroked="f" strokeweight=".5pt">
                <v:textbox>
                  <w:txbxContent>
                    <w:p w14:paraId="5CCC846A" w14:textId="77777777" w:rsidR="00E8616D" w:rsidRDefault="00E8616D" w:rsidP="00E8616D">
                      <w:pPr>
                        <w:jc w:val="center"/>
                      </w:pPr>
                      <w:r>
                        <w:t>Selected genes (gene-component 2)</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6E4C8EEB" wp14:editId="0A13C4F6">
                <wp:simplePos x="0" y="0"/>
                <wp:positionH relativeFrom="column">
                  <wp:posOffset>4046308</wp:posOffset>
                </wp:positionH>
                <wp:positionV relativeFrom="paragraph">
                  <wp:posOffset>1597045</wp:posOffset>
                </wp:positionV>
                <wp:extent cx="2743200" cy="288290"/>
                <wp:effectExtent l="0" t="4445" r="0" b="0"/>
                <wp:wrapNone/>
                <wp:docPr id="17" name="Text Box 17"/>
                <wp:cNvGraphicFramePr/>
                <a:graphic xmlns:a="http://schemas.openxmlformats.org/drawingml/2006/main">
                  <a:graphicData uri="http://schemas.microsoft.com/office/word/2010/wordprocessingShape">
                    <wps:wsp>
                      <wps:cNvSpPr txBox="1"/>
                      <wps:spPr>
                        <a:xfrm rot="5400000">
                          <a:off x="0" y="0"/>
                          <a:ext cx="2743200" cy="288290"/>
                        </a:xfrm>
                        <a:prstGeom prst="rect">
                          <a:avLst/>
                        </a:prstGeom>
                        <a:solidFill>
                          <a:schemeClr val="lt1"/>
                        </a:solidFill>
                        <a:ln w="6350">
                          <a:noFill/>
                        </a:ln>
                      </wps:spPr>
                      <wps:txbx>
                        <w:txbxContent>
                          <w:p w14:paraId="136DD5FA" w14:textId="77777777" w:rsidR="00E8616D" w:rsidRDefault="00E8616D" w:rsidP="00E8616D">
                            <w:r>
                              <w:t>Selected variants (variant-component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C8EEB" id="Text Box 17" o:spid="_x0000_s1034" type="#_x0000_t202" style="position:absolute;margin-left:318.6pt;margin-top:125.75pt;width:3in;height:22.7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" fillcolor="white [3201]" stroked="f" strokeweight=".5pt">
                <v:textbox>
                  <w:txbxContent>
                    <w:p w14:paraId="136DD5FA" w14:textId="77777777" w:rsidR="00E8616D" w:rsidRDefault="00E8616D" w:rsidP="00E8616D">
                      <w:r>
                        <w:t>Selected variants (variant-component 2)</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3377C0F3" wp14:editId="1431EADE">
                <wp:simplePos x="0" y="0"/>
                <wp:positionH relativeFrom="column">
                  <wp:posOffset>5720567</wp:posOffset>
                </wp:positionH>
                <wp:positionV relativeFrom="paragraph">
                  <wp:posOffset>1207291</wp:posOffset>
                </wp:positionV>
                <wp:extent cx="2091351" cy="1729212"/>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091351" cy="1729212"/>
                        </a:xfrm>
                        <a:prstGeom prst="rect">
                          <a:avLst/>
                        </a:prstGeom>
                        <a:noFill/>
                        <a:ln w="6350">
                          <a:noFill/>
                        </a:ln>
                      </wps:spPr>
                      <wps:txbx>
                        <w:txbxContent>
                          <w:p w14:paraId="33385B31" w14:textId="77777777" w:rsidR="00E8616D" w:rsidRDefault="00E8616D" w:rsidP="00E8616D">
                            <w:r w:rsidRPr="00E47F05">
                              <w:rPr>
                                <w:rFonts w:ascii="Times New Roman" w:hAnsi="Times New Roman" w:cs="Times New Roman"/>
                                <w:noProof/>
                              </w:rPr>
                              <w:drawing>
                                <wp:inline distT="0" distB="0" distL="0" distR="0" wp14:anchorId="290A1B6C" wp14:editId="03CAD155">
                                  <wp:extent cx="927100" cy="1003300"/>
                                  <wp:effectExtent l="0" t="0" r="0" b="0"/>
                                  <wp:docPr id="110" name="Picture 1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27100" cy="1003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7C0F3" id="Text Box 20" o:spid="_x0000_s1035" type="#_x0000_t202" style="position:absolute;margin-left:450.45pt;margin-top:95.05pt;width:164.65pt;height:13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" filled="f" stroked="f" strokeweight=".5pt">
                <v:textbox>
                  <w:txbxContent>
                    <w:p w14:paraId="33385B31" w14:textId="77777777" w:rsidR="00E8616D" w:rsidRDefault="00E8616D" w:rsidP="00E8616D">
                      <w:r w:rsidRPr="00E47F05">
                        <w:rPr>
                          <w:rFonts w:ascii="Times New Roman" w:hAnsi="Times New Roman" w:cs="Times New Roman"/>
                          <w:noProof/>
                        </w:rPr>
                        <w:drawing>
                          <wp:inline distT="0" distB="0" distL="0" distR="0" wp14:anchorId="290A1B6C" wp14:editId="03CAD155">
                            <wp:extent cx="927100" cy="1003300"/>
                            <wp:effectExtent l="0" t="0" r="0" b="0"/>
                            <wp:docPr id="110" name="Picture 1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27100" cy="100330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5A0C1027" wp14:editId="1BD48947">
                <wp:simplePos x="0" y="0"/>
                <wp:positionH relativeFrom="column">
                  <wp:posOffset>2223621</wp:posOffset>
                </wp:positionH>
                <wp:positionV relativeFrom="paragraph">
                  <wp:posOffset>204848</wp:posOffset>
                </wp:positionV>
                <wp:extent cx="3829615" cy="3060072"/>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829615" cy="3060072"/>
                        </a:xfrm>
                        <a:prstGeom prst="rect">
                          <a:avLst/>
                        </a:prstGeom>
                        <a:noFill/>
                        <a:ln w="6350">
                          <a:noFill/>
                        </a:ln>
                      </wps:spPr>
                      <wps:txbx>
                        <w:txbxContent>
                          <w:p w14:paraId="16CD6E37" w14:textId="77777777" w:rsidR="00E8616D" w:rsidRDefault="00E8616D" w:rsidP="00E8616D">
                            <w:r w:rsidRPr="00F04B02">
                              <w:rPr>
                                <w:noProof/>
                              </w:rPr>
                              <w:drawing>
                                <wp:inline distT="0" distB="0" distL="0" distR="0" wp14:anchorId="34C719B9" wp14:editId="5532A400">
                                  <wp:extent cx="2966483" cy="2940116"/>
                                  <wp:effectExtent l="0" t="0" r="5715" b="0"/>
                                  <wp:docPr id="196" name="Picture 196" descr="A picture containing frui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07184" cy="29804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C1027" id="Text Box 15" o:spid="_x0000_s1036" type="#_x0000_t202" style="position:absolute;margin-left:175.1pt;margin-top:16.15pt;width:301.55pt;height:240.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" filled="f" stroked="f" strokeweight=".5pt">
                <v:textbox>
                  <w:txbxContent>
                    <w:p w14:paraId="16CD6E37" w14:textId="77777777" w:rsidR="00E8616D" w:rsidRDefault="00E8616D" w:rsidP="00E8616D">
                      <w:r w:rsidRPr="00F04B02">
                        <w:rPr>
                          <w:noProof/>
                        </w:rPr>
                        <w:drawing>
                          <wp:inline distT="0" distB="0" distL="0" distR="0" wp14:anchorId="34C719B9" wp14:editId="5532A400">
                            <wp:extent cx="2966483" cy="2940116"/>
                            <wp:effectExtent l="0" t="0" r="5715" b="0"/>
                            <wp:docPr id="196" name="Picture 196" descr="A picture containing frui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07184" cy="2980456"/>
                                    </a:xfrm>
                                    <a:prstGeom prst="rect">
                                      <a:avLst/>
                                    </a:prstGeom>
                                  </pic:spPr>
                                </pic:pic>
                              </a:graphicData>
                            </a:graphic>
                          </wp:inline>
                        </w:drawing>
                      </w:r>
                    </w:p>
                  </w:txbxContent>
                </v:textbox>
              </v:shape>
            </w:pict>
          </mc:Fallback>
        </mc:AlternateContent>
      </w:r>
      <w:r>
        <w:rPr>
          <w:b/>
          <w:bCs/>
          <w:noProof/>
          <w:u w:val="single"/>
        </w:rPr>
        <mc:AlternateContent>
          <mc:Choice Requires="wps">
            <w:drawing>
              <wp:anchor distT="0" distB="0" distL="114300" distR="114300" simplePos="0" relativeHeight="251669504" behindDoc="0" locked="0" layoutInCell="1" allowOverlap="1" wp14:anchorId="43A32BDB" wp14:editId="65D639D6">
                <wp:simplePos x="0" y="0"/>
                <wp:positionH relativeFrom="column">
                  <wp:posOffset>-315595</wp:posOffset>
                </wp:positionH>
                <wp:positionV relativeFrom="paragraph">
                  <wp:posOffset>3596222</wp:posOffset>
                </wp:positionV>
                <wp:extent cx="9243569" cy="832919"/>
                <wp:effectExtent l="0" t="0" r="2540" b="5715"/>
                <wp:wrapNone/>
                <wp:docPr id="128" name="Text Box 128"/>
                <wp:cNvGraphicFramePr/>
                <a:graphic xmlns:a="http://schemas.openxmlformats.org/drawingml/2006/main">
                  <a:graphicData uri="http://schemas.microsoft.com/office/word/2010/wordprocessingShape">
                    <wps:wsp>
                      <wps:cNvSpPr txBox="1"/>
                      <wps:spPr>
                        <a:xfrm>
                          <a:off x="0" y="0"/>
                          <a:ext cx="9243569" cy="832919"/>
                        </a:xfrm>
                        <a:prstGeom prst="rect">
                          <a:avLst/>
                        </a:prstGeom>
                        <a:solidFill>
                          <a:schemeClr val="lt1"/>
                        </a:solidFill>
                        <a:ln w="6350">
                          <a:noFill/>
                        </a:ln>
                      </wps:spPr>
                      <wps:txbx>
                        <w:txbxContent>
                          <w:p w14:paraId="12CA6D05" w14:textId="2AE144AF" w:rsidR="00E8616D" w:rsidRPr="006D6863" w:rsidRDefault="00E8616D" w:rsidP="00E8616D">
                            <w:pPr>
                              <w:rPr>
                                <w:rFonts w:ascii="Times New Roman" w:hAnsi="Times New Roman" w:cs="Times New Roman"/>
                              </w:rPr>
                            </w:pPr>
                            <w:r w:rsidRPr="00C96AB0">
                              <w:rPr>
                                <w:rFonts w:ascii="Times New Roman" w:hAnsi="Times New Roman" w:cs="Times New Roman"/>
                                <w:b/>
                                <w:bCs/>
                              </w:rPr>
                              <w:t xml:space="preserve">Supplementary Figure </w:t>
                            </w:r>
                            <w:r w:rsidR="00881C31">
                              <w:rPr>
                                <w:rFonts w:ascii="Times New Roman" w:hAnsi="Times New Roman" w:cs="Times New Roman"/>
                                <w:b/>
                                <w:bCs/>
                              </w:rPr>
                              <w:t>5</w:t>
                            </w:r>
                            <w:r w:rsidRPr="00C96AB0">
                              <w:rPr>
                                <w:rFonts w:ascii="Times New Roman" w:hAnsi="Times New Roman" w:cs="Times New Roman"/>
                                <w:b/>
                                <w:bCs/>
                              </w:rPr>
                              <w:t xml:space="preserve">. </w:t>
                            </w:r>
                            <w:r>
                              <w:rPr>
                                <w:rFonts w:ascii="Times New Roman" w:hAnsi="Times New Roman" w:cs="Times New Roman"/>
                              </w:rPr>
                              <w:t>-log</w:t>
                            </w:r>
                            <w:r w:rsidRPr="00B81EC8">
                              <w:rPr>
                                <w:rFonts w:ascii="Times New Roman" w:hAnsi="Times New Roman" w:cs="Times New Roman"/>
                                <w:vertAlign w:val="subscript"/>
                              </w:rPr>
                              <w:t>10</w:t>
                            </w:r>
                            <w:r>
                              <w:rPr>
                                <w:rFonts w:ascii="Times New Roman" w:hAnsi="Times New Roman" w:cs="Times New Roman"/>
                              </w:rPr>
                              <w:t>(p-values) for trans-eQTL (as reported in eQTLGen summary statistics) association between variants and genes selected in (A) ARCHIE component 1 and (B) component 2. Any association p-value &lt; 10</w:t>
                            </w:r>
                            <w:r>
                              <w:rPr>
                                <w:rFonts w:ascii="Times New Roman" w:hAnsi="Times New Roman" w:cs="Times New Roman"/>
                                <w:vertAlign w:val="superscript"/>
                              </w:rPr>
                              <w:t>-08</w:t>
                            </w:r>
                            <w:r>
                              <w:rPr>
                                <w:rFonts w:ascii="Times New Roman" w:hAnsi="Times New Roman" w:cs="Times New Roman"/>
                              </w:rPr>
                              <w:t xml:space="preserve"> is collapsed to 10</w:t>
                            </w:r>
                            <w:r>
                              <w:rPr>
                                <w:rFonts w:ascii="Times New Roman" w:hAnsi="Times New Roman" w:cs="Times New Roman"/>
                                <w:vertAlign w:val="superscript"/>
                              </w:rPr>
                              <w:t>-08</w:t>
                            </w:r>
                            <w:r>
                              <w:rPr>
                                <w:rFonts w:ascii="Times New Roman" w:hAnsi="Times New Roman" w:cs="Times New Roman"/>
                              </w:rPr>
                              <w:t xml:space="preserve"> for the ease of viewing.</w:t>
                            </w:r>
                          </w:p>
                          <w:p w14:paraId="7AC50432" w14:textId="77777777" w:rsidR="00E8616D" w:rsidRPr="006D6863" w:rsidRDefault="00E8616D" w:rsidP="00E861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A32BDB" id="Text Box 128" o:spid="_x0000_s1039" type="#_x0000_t202" style="position:absolute;margin-left:-24.85pt;margin-top:283.15pt;width:727.85pt;height:65.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" fillcolor="white [3201]" stroked="f" strokeweight=".5pt">
                <v:textbox>
                  <w:txbxContent>
                    <w:p w14:paraId="12CA6D05" w14:textId="2AE144AF" w:rsidR="00E8616D" w:rsidRPr="006D6863" w:rsidRDefault="00E8616D" w:rsidP="00E8616D">
                      <w:pPr>
                        <w:rPr>
                          <w:rFonts w:ascii="Times New Roman" w:hAnsi="Times New Roman" w:cs="Times New Roman"/>
                        </w:rPr>
                      </w:pPr>
                      <w:r w:rsidRPr="00C96AB0">
                        <w:rPr>
                          <w:rFonts w:ascii="Times New Roman" w:hAnsi="Times New Roman" w:cs="Times New Roman"/>
                          <w:b/>
                          <w:bCs/>
                        </w:rPr>
                        <w:t xml:space="preserve">Supplementary Figure </w:t>
                      </w:r>
                      <w:r w:rsidR="00881C31">
                        <w:rPr>
                          <w:rFonts w:ascii="Times New Roman" w:hAnsi="Times New Roman" w:cs="Times New Roman"/>
                          <w:b/>
                          <w:bCs/>
                        </w:rPr>
                        <w:t>5</w:t>
                      </w:r>
                      <w:r w:rsidRPr="00C96AB0">
                        <w:rPr>
                          <w:rFonts w:ascii="Times New Roman" w:hAnsi="Times New Roman" w:cs="Times New Roman"/>
                          <w:b/>
                          <w:bCs/>
                        </w:rPr>
                        <w:t xml:space="preserve">. </w:t>
                      </w:r>
                      <w:r>
                        <w:rPr>
                          <w:rFonts w:ascii="Times New Roman" w:hAnsi="Times New Roman" w:cs="Times New Roman"/>
                        </w:rPr>
                        <w:t>-log</w:t>
                      </w:r>
                      <w:r w:rsidRPr="00B81EC8">
                        <w:rPr>
                          <w:rFonts w:ascii="Times New Roman" w:hAnsi="Times New Roman" w:cs="Times New Roman"/>
                          <w:vertAlign w:val="subscript"/>
                        </w:rPr>
                        <w:t>10</w:t>
                      </w:r>
                      <w:r>
                        <w:rPr>
                          <w:rFonts w:ascii="Times New Roman" w:hAnsi="Times New Roman" w:cs="Times New Roman"/>
                        </w:rPr>
                        <w:t>(p-values) for trans-eQTL (as reported in eQTLGen summary statistics) association between variants and genes selected in (A) ARCHIE component 1 and (B) component 2. Any association p-value &lt; 10</w:t>
                      </w:r>
                      <w:r>
                        <w:rPr>
                          <w:rFonts w:ascii="Times New Roman" w:hAnsi="Times New Roman" w:cs="Times New Roman"/>
                          <w:vertAlign w:val="superscript"/>
                        </w:rPr>
                        <w:t>-08</w:t>
                      </w:r>
                      <w:r>
                        <w:rPr>
                          <w:rFonts w:ascii="Times New Roman" w:hAnsi="Times New Roman" w:cs="Times New Roman"/>
                        </w:rPr>
                        <w:t xml:space="preserve"> is collapsed to 10</w:t>
                      </w:r>
                      <w:r>
                        <w:rPr>
                          <w:rFonts w:ascii="Times New Roman" w:hAnsi="Times New Roman" w:cs="Times New Roman"/>
                          <w:vertAlign w:val="superscript"/>
                        </w:rPr>
                        <w:t>-08</w:t>
                      </w:r>
                      <w:r>
                        <w:rPr>
                          <w:rFonts w:ascii="Times New Roman" w:hAnsi="Times New Roman" w:cs="Times New Roman"/>
                        </w:rPr>
                        <w:t xml:space="preserve"> for the ease of viewing.</w:t>
                      </w:r>
                    </w:p>
                    <w:p w14:paraId="7AC50432" w14:textId="77777777" w:rsidR="00E8616D" w:rsidRPr="006D6863" w:rsidRDefault="00E8616D" w:rsidP="00E8616D"/>
                  </w:txbxContent>
                </v:textbox>
              </v:shape>
            </w:pict>
          </mc:Fallback>
        </mc:AlternateContent>
      </w:r>
      <w:r>
        <w:rPr>
          <w:rFonts w:ascii="Times New Roman" w:hAnsi="Times New Roman" w:cs="Times New Roman"/>
        </w:rPr>
        <w:br w:type="page"/>
      </w:r>
    </w:p>
    <w:p w14:paraId="1F6D7BA8" w14:textId="77777777" w:rsidR="00E8616D" w:rsidRDefault="00E8616D" w:rsidP="00E8616D">
      <w:pPr>
        <w:jc w:val="center"/>
        <w:rPr>
          <w:rFonts w:ascii="Times New Roman" w:hAnsi="Times New Roman" w:cs="Times New Roman"/>
        </w:rPr>
      </w:pPr>
      <w:r w:rsidRPr="00B81EC8">
        <w:rPr>
          <w:rFonts w:ascii="Times New Roman" w:hAnsi="Times New Roman" w:cs="Times New Roman"/>
          <w:noProof/>
        </w:rPr>
        <w:lastRenderedPageBreak/>
        <mc:AlternateContent>
          <mc:Choice Requires="wps">
            <w:drawing>
              <wp:anchor distT="0" distB="0" distL="114300" distR="114300" simplePos="0" relativeHeight="251673600" behindDoc="0" locked="0" layoutInCell="1" allowOverlap="1" wp14:anchorId="6675B94E" wp14:editId="4D52DB1F">
                <wp:simplePos x="0" y="0"/>
                <wp:positionH relativeFrom="column">
                  <wp:posOffset>781685</wp:posOffset>
                </wp:positionH>
                <wp:positionV relativeFrom="paragraph">
                  <wp:posOffset>-219075</wp:posOffset>
                </wp:positionV>
                <wp:extent cx="470781" cy="443619"/>
                <wp:effectExtent l="0" t="0" r="0" b="1270"/>
                <wp:wrapNone/>
                <wp:docPr id="6" name="Text Box 6"/>
                <wp:cNvGraphicFramePr/>
                <a:graphic xmlns:a="http://schemas.openxmlformats.org/drawingml/2006/main">
                  <a:graphicData uri="http://schemas.microsoft.com/office/word/2010/wordprocessingShape">
                    <wps:wsp>
                      <wps:cNvSpPr txBox="1"/>
                      <wps:spPr>
                        <a:xfrm>
                          <a:off x="0" y="0"/>
                          <a:ext cx="470781" cy="443619"/>
                        </a:xfrm>
                        <a:prstGeom prst="rect">
                          <a:avLst/>
                        </a:prstGeom>
                        <a:solidFill>
                          <a:schemeClr val="lt1"/>
                        </a:solidFill>
                        <a:ln w="6350">
                          <a:noFill/>
                        </a:ln>
                      </wps:spPr>
                      <wps:txbx>
                        <w:txbxContent>
                          <w:p w14:paraId="51DEE6B8"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5B94E" id="Text Box 6" o:spid="_x0000_s1038" type="#_x0000_t202" style="position:absolute;left:0;text-align:left;margin-left:61.55pt;margin-top:-17.25pt;width:37.05pt;height:34.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" fillcolor="white [3201]" stroked="f" strokeweight=".5pt">
                <v:textbox>
                  <w:txbxContent>
                    <w:p w14:paraId="51DEE6B8"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Pr="00B81EC8">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7EAD22C7" wp14:editId="531C296C">
                <wp:simplePos x="0" y="0"/>
                <wp:positionH relativeFrom="column">
                  <wp:posOffset>713105</wp:posOffset>
                </wp:positionH>
                <wp:positionV relativeFrom="paragraph">
                  <wp:posOffset>2358390</wp:posOffset>
                </wp:positionV>
                <wp:extent cx="470781" cy="443619"/>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470781" cy="443619"/>
                        </a:xfrm>
                        <a:prstGeom prst="rect">
                          <a:avLst/>
                        </a:prstGeom>
                        <a:solidFill>
                          <a:schemeClr val="lt1"/>
                        </a:solidFill>
                        <a:ln w="6350">
                          <a:noFill/>
                        </a:ln>
                      </wps:spPr>
                      <wps:txbx>
                        <w:txbxContent>
                          <w:p w14:paraId="6ABA5CBA"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D22C7" id="Text Box 10" o:spid="_x0000_s1039" type="#_x0000_t202" style="position:absolute;left:0;text-align:left;margin-left:56.15pt;margin-top:185.7pt;width:37.05pt;height:3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" fillcolor="white [3201]" stroked="f" strokeweight=".5pt">
                <v:textbox>
                  <w:txbxContent>
                    <w:p w14:paraId="6ABA5CBA" w14:textId="77777777" w:rsidR="00E8616D" w:rsidRPr="00E47F05" w:rsidRDefault="00E8616D" w:rsidP="00E8616D">
                      <w:pP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Pr="00B81EC8">
        <w:rPr>
          <w:rFonts w:ascii="Times New Roman" w:hAnsi="Times New Roman" w:cs="Times New Roman"/>
          <w:noProof/>
        </w:rPr>
        <w:drawing>
          <wp:inline distT="0" distB="0" distL="0" distR="0" wp14:anchorId="7A6DFB42" wp14:editId="684D09D0">
            <wp:extent cx="6230679" cy="2585540"/>
            <wp:effectExtent l="0" t="0" r="5080" b="571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ell phone&#10;&#10;Description automatically generated"/>
                    <pic:cNvPicPr/>
                  </pic:nvPicPr>
                  <pic:blipFill>
                    <a:blip r:embed="rId18"/>
                    <a:stretch>
                      <a:fillRect/>
                    </a:stretch>
                  </pic:blipFill>
                  <pic:spPr>
                    <a:xfrm>
                      <a:off x="0" y="0"/>
                      <a:ext cx="6232519" cy="2586303"/>
                    </a:xfrm>
                    <a:prstGeom prst="rect">
                      <a:avLst/>
                    </a:prstGeom>
                  </pic:spPr>
                </pic:pic>
              </a:graphicData>
            </a:graphic>
          </wp:inline>
        </w:drawing>
      </w:r>
    </w:p>
    <w:p w14:paraId="462DA7B5" w14:textId="77777777" w:rsidR="00E8616D" w:rsidRDefault="00E8616D" w:rsidP="00E8616D">
      <w:pPr>
        <w:jc w:val="center"/>
        <w:rPr>
          <w:rFonts w:ascii="Times New Roman" w:hAnsi="Times New Roman" w:cs="Times New Roman"/>
        </w:rPr>
      </w:pPr>
      <w:r>
        <w:rPr>
          <w:b/>
          <w:bCs/>
          <w:noProof/>
          <w:u w:val="single"/>
        </w:rPr>
        <mc:AlternateContent>
          <mc:Choice Requires="wps">
            <w:drawing>
              <wp:anchor distT="0" distB="0" distL="114300" distR="114300" simplePos="0" relativeHeight="251672576" behindDoc="0" locked="0" layoutInCell="1" allowOverlap="1" wp14:anchorId="6E7E4DB2" wp14:editId="7E779D65">
                <wp:simplePos x="0" y="0"/>
                <wp:positionH relativeFrom="column">
                  <wp:posOffset>-558800</wp:posOffset>
                </wp:positionH>
                <wp:positionV relativeFrom="paragraph">
                  <wp:posOffset>2547797</wp:posOffset>
                </wp:positionV>
                <wp:extent cx="9243060" cy="832485"/>
                <wp:effectExtent l="0" t="0" r="2540" b="5715"/>
                <wp:wrapNone/>
                <wp:docPr id="5" name="Text Box 5"/>
                <wp:cNvGraphicFramePr/>
                <a:graphic xmlns:a="http://schemas.openxmlformats.org/drawingml/2006/main">
                  <a:graphicData uri="http://schemas.microsoft.com/office/word/2010/wordprocessingShape">
                    <wps:wsp>
                      <wps:cNvSpPr txBox="1"/>
                      <wps:spPr>
                        <a:xfrm>
                          <a:off x="0" y="0"/>
                          <a:ext cx="9243060" cy="832485"/>
                        </a:xfrm>
                        <a:prstGeom prst="rect">
                          <a:avLst/>
                        </a:prstGeom>
                        <a:solidFill>
                          <a:schemeClr val="lt1"/>
                        </a:solidFill>
                        <a:ln w="6350">
                          <a:noFill/>
                        </a:ln>
                      </wps:spPr>
                      <wps:txbx>
                        <w:txbxContent>
                          <w:p w14:paraId="0DD7D993" w14:textId="7684551B" w:rsidR="00E8616D" w:rsidRPr="006D6863" w:rsidRDefault="00E8616D" w:rsidP="00E8616D">
                            <w:pPr>
                              <w:jc w:val="both"/>
                              <w:rPr>
                                <w:rFonts w:ascii="Times New Roman" w:hAnsi="Times New Roman" w:cs="Times New Roman"/>
                              </w:rPr>
                            </w:pPr>
                            <w:r w:rsidRPr="00C96AB0">
                              <w:rPr>
                                <w:rFonts w:ascii="Times New Roman" w:hAnsi="Times New Roman" w:cs="Times New Roman"/>
                                <w:b/>
                                <w:bCs/>
                              </w:rPr>
                              <w:t>Supplementary Figure</w:t>
                            </w:r>
                            <w:r w:rsidR="00865B5E" w:rsidRPr="00C96AB0">
                              <w:rPr>
                                <w:rFonts w:ascii="Times New Roman" w:hAnsi="Times New Roman" w:cs="Times New Roman"/>
                                <w:b/>
                                <w:bCs/>
                              </w:rPr>
                              <w:t xml:space="preserve"> </w:t>
                            </w:r>
                            <w:r w:rsidR="00881C31">
                              <w:rPr>
                                <w:rFonts w:ascii="Times New Roman" w:hAnsi="Times New Roman" w:cs="Times New Roman"/>
                                <w:b/>
                                <w:bCs/>
                              </w:rPr>
                              <w:t>6</w:t>
                            </w:r>
                            <w:r w:rsidRPr="00C96AB0">
                              <w:rPr>
                                <w:rFonts w:ascii="Times New Roman" w:hAnsi="Times New Roman" w:cs="Times New Roman"/>
                                <w:b/>
                                <w:bCs/>
                              </w:rPr>
                              <w:t>.</w:t>
                            </w:r>
                            <w:r>
                              <w:rPr>
                                <w:rFonts w:ascii="Times New Roman" w:hAnsi="Times New Roman" w:cs="Times New Roman"/>
                                <w:b/>
                                <w:bCs/>
                                <w:u w:val="single"/>
                              </w:rPr>
                              <w:t xml:space="preserve"> </w:t>
                            </w:r>
                            <w:r>
                              <w:rPr>
                                <w:rFonts w:ascii="Times New Roman" w:hAnsi="Times New Roman" w:cs="Times New Roman"/>
                              </w:rPr>
                              <w:t xml:space="preserve">Differential expression enrichment analysis for the selected genes in (A) gene-component 1 and (B) gene-component 2 for enrichment among pre-determined list of differentially expressed genes in each tissue of GTEx v8 and their corresponding enrichment p-value. The red bars denote the p-values for the tissues which are significant at FDR-adjusted p-value threshold of 0.001. </w:t>
                            </w:r>
                          </w:p>
                          <w:p w14:paraId="2CC291D4" w14:textId="77777777" w:rsidR="00E8616D" w:rsidRPr="006D6863" w:rsidRDefault="00E8616D" w:rsidP="00E8616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7E4DB2" id="Text Box 5" o:spid="_x0000_s1042" type="#_x0000_t202" style="position:absolute;left:0;text-align:left;margin-left:-44pt;margin-top:200.6pt;width:727.8pt;height:65.5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" fillcolor="white [3201]" stroked="f" strokeweight=".5pt">
                <v:textbox>
                  <w:txbxContent>
                    <w:p w14:paraId="0DD7D993" w14:textId="7684551B" w:rsidR="00E8616D" w:rsidRPr="006D6863" w:rsidRDefault="00E8616D" w:rsidP="00E8616D">
                      <w:pPr>
                        <w:jc w:val="both"/>
                        <w:rPr>
                          <w:rFonts w:ascii="Times New Roman" w:hAnsi="Times New Roman" w:cs="Times New Roman"/>
                        </w:rPr>
                      </w:pPr>
                      <w:r w:rsidRPr="00C96AB0">
                        <w:rPr>
                          <w:rFonts w:ascii="Times New Roman" w:hAnsi="Times New Roman" w:cs="Times New Roman"/>
                          <w:b/>
                          <w:bCs/>
                        </w:rPr>
                        <w:t>Supplementary Figure</w:t>
                      </w:r>
                      <w:r w:rsidR="00865B5E" w:rsidRPr="00C96AB0">
                        <w:rPr>
                          <w:rFonts w:ascii="Times New Roman" w:hAnsi="Times New Roman" w:cs="Times New Roman"/>
                          <w:b/>
                          <w:bCs/>
                        </w:rPr>
                        <w:t xml:space="preserve"> </w:t>
                      </w:r>
                      <w:r w:rsidR="00881C31">
                        <w:rPr>
                          <w:rFonts w:ascii="Times New Roman" w:hAnsi="Times New Roman" w:cs="Times New Roman"/>
                          <w:b/>
                          <w:bCs/>
                        </w:rPr>
                        <w:t>6</w:t>
                      </w:r>
                      <w:r w:rsidRPr="00C96AB0">
                        <w:rPr>
                          <w:rFonts w:ascii="Times New Roman" w:hAnsi="Times New Roman" w:cs="Times New Roman"/>
                          <w:b/>
                          <w:bCs/>
                        </w:rPr>
                        <w:t>.</w:t>
                      </w:r>
                      <w:r>
                        <w:rPr>
                          <w:rFonts w:ascii="Times New Roman" w:hAnsi="Times New Roman" w:cs="Times New Roman"/>
                          <w:b/>
                          <w:bCs/>
                          <w:u w:val="single"/>
                        </w:rPr>
                        <w:t xml:space="preserve"> </w:t>
                      </w:r>
                      <w:r>
                        <w:rPr>
                          <w:rFonts w:ascii="Times New Roman" w:hAnsi="Times New Roman" w:cs="Times New Roman"/>
                        </w:rPr>
                        <w:t xml:space="preserve">Differential expression enrichment analysis for the selected genes in (A) gene-component 1 and (B) gene-component 2 for enrichment among pre-determined list of differentially expressed genes in each tissue of GTEx v8 and their corresponding enrichment p-value. The red bars denote the p-values for the tissues which are significant at FDR-adjusted p-value threshold of 0.001. </w:t>
                      </w:r>
                    </w:p>
                    <w:p w14:paraId="2CC291D4" w14:textId="77777777" w:rsidR="00E8616D" w:rsidRPr="006D6863" w:rsidRDefault="00E8616D" w:rsidP="00E8616D">
                      <w:pPr>
                        <w:jc w:val="both"/>
                      </w:pPr>
                    </w:p>
                  </w:txbxContent>
                </v:textbox>
              </v:shape>
            </w:pict>
          </mc:Fallback>
        </mc:AlternateContent>
      </w:r>
      <w:r w:rsidRPr="00B81EC8">
        <w:rPr>
          <w:rFonts w:ascii="Times New Roman" w:hAnsi="Times New Roman" w:cs="Times New Roman"/>
          <w:noProof/>
        </w:rPr>
        <w:drawing>
          <wp:inline distT="0" distB="0" distL="0" distR="0" wp14:anchorId="4DDE3615" wp14:editId="60CDB059">
            <wp:extent cx="6156251" cy="2530904"/>
            <wp:effectExtent l="0" t="0" r="381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pic:cNvPicPr/>
                  </pic:nvPicPr>
                  <pic:blipFill>
                    <a:blip r:embed="rId19"/>
                    <a:stretch>
                      <a:fillRect/>
                    </a:stretch>
                  </pic:blipFill>
                  <pic:spPr>
                    <a:xfrm>
                      <a:off x="0" y="0"/>
                      <a:ext cx="6156717" cy="2531096"/>
                    </a:xfrm>
                    <a:prstGeom prst="rect">
                      <a:avLst/>
                    </a:prstGeom>
                  </pic:spPr>
                </pic:pic>
              </a:graphicData>
            </a:graphic>
          </wp:inline>
        </w:drawing>
      </w:r>
      <w:r>
        <w:rPr>
          <w:rFonts w:ascii="Times New Roman" w:hAnsi="Times New Roman" w:cs="Times New Roman"/>
        </w:rPr>
        <w:br w:type="page"/>
      </w:r>
    </w:p>
    <w:p w14:paraId="79C482D4" w14:textId="5712FED5" w:rsidR="00451C51" w:rsidRPr="00451C51" w:rsidRDefault="00451C51" w:rsidP="00BF6FC1">
      <w:pPr>
        <w:pStyle w:val="Heading4"/>
        <w:shd w:val="clear" w:color="auto" w:fill="FFFFFF"/>
        <w:spacing w:before="150" w:beforeAutospacing="0" w:after="150" w:afterAutospacing="0" w:line="480" w:lineRule="auto"/>
        <w:jc w:val="both"/>
        <w:textAlignment w:val="baseline"/>
      </w:pPr>
      <w:r w:rsidRPr="00451C51">
        <w:lastRenderedPageBreak/>
        <w:t>References</w:t>
      </w:r>
    </w:p>
    <w:p w14:paraId="023259EF" w14:textId="7347EBFF"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rPr>
        <w:fldChar w:fldCharType="begin" w:fldLock="1"/>
      </w:r>
      <w:r w:rsidRPr="00451C51">
        <w:rPr>
          <w:rFonts w:ascii="Times New Roman" w:hAnsi="Times New Roman" w:cs="Times New Roman"/>
        </w:rPr>
        <w:instrText xml:space="preserve">ADDIN Mendeley Bibliography CSL_BIBLIOGRAPHY </w:instrText>
      </w:r>
      <w:r w:rsidRPr="00451C51">
        <w:rPr>
          <w:rFonts w:ascii="Times New Roman" w:hAnsi="Times New Roman" w:cs="Times New Roman"/>
        </w:rPr>
        <w:fldChar w:fldCharType="separate"/>
      </w:r>
      <w:r w:rsidRPr="00451C51">
        <w:rPr>
          <w:rFonts w:ascii="Times New Roman" w:hAnsi="Times New Roman" w:cs="Times New Roman"/>
          <w:noProof/>
        </w:rPr>
        <w:t xml:space="preserve">1. </w:t>
      </w:r>
      <w:r w:rsidRPr="00451C51">
        <w:rPr>
          <w:rFonts w:ascii="Times New Roman" w:hAnsi="Times New Roman" w:cs="Times New Roman"/>
          <w:noProof/>
        </w:rPr>
        <w:tab/>
        <w:t xml:space="preserve">Rosa MJ, Mehta MA, Pich EM, et al. Estimating multivariate similarity between neuroimaging datasets with sparse canonical correlation analysis: An application to perfusion imaging. </w:t>
      </w:r>
      <w:r w:rsidRPr="00451C51">
        <w:rPr>
          <w:rFonts w:ascii="Times New Roman" w:hAnsi="Times New Roman" w:cs="Times New Roman"/>
          <w:i/>
          <w:iCs/>
          <w:noProof/>
        </w:rPr>
        <w:t>Front Neurosci</w:t>
      </w:r>
      <w:r w:rsidRPr="00451C51">
        <w:rPr>
          <w:rFonts w:ascii="Times New Roman" w:hAnsi="Times New Roman" w:cs="Times New Roman"/>
          <w:noProof/>
        </w:rPr>
        <w:t>. 2015. doi:10.3389/fnins.2015.00366</w:t>
      </w:r>
    </w:p>
    <w:p w14:paraId="60B0DB06"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2. </w:t>
      </w:r>
      <w:r w:rsidRPr="00451C51">
        <w:rPr>
          <w:rFonts w:ascii="Times New Roman" w:hAnsi="Times New Roman" w:cs="Times New Roman"/>
          <w:noProof/>
        </w:rPr>
        <w:tab/>
        <w:t xml:space="preserve">Witten DM, Tibshirani R, Hastie T. A penalized matrix decomposition, with applications to sparse principal components and canonical correlation analysis. </w:t>
      </w:r>
      <w:r w:rsidRPr="00451C51">
        <w:rPr>
          <w:rFonts w:ascii="Times New Roman" w:hAnsi="Times New Roman" w:cs="Times New Roman"/>
          <w:i/>
          <w:iCs/>
          <w:noProof/>
        </w:rPr>
        <w:t>Biostatistics</w:t>
      </w:r>
      <w:r w:rsidRPr="00451C51">
        <w:rPr>
          <w:rFonts w:ascii="Times New Roman" w:hAnsi="Times New Roman" w:cs="Times New Roman"/>
          <w:noProof/>
        </w:rPr>
        <w:t>. 2009. doi:10.1093/biostatistics/kxp008</w:t>
      </w:r>
    </w:p>
    <w:p w14:paraId="7BCF4DAB"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3. </w:t>
      </w:r>
      <w:r w:rsidRPr="00451C51">
        <w:rPr>
          <w:rFonts w:ascii="Times New Roman" w:hAnsi="Times New Roman" w:cs="Times New Roman"/>
          <w:noProof/>
        </w:rPr>
        <w:tab/>
        <w:t xml:space="preserve">Schäfer J, Strimmer K. A shrinkage approach to large-scale covariance matrix estimation and implications for functional genomics. </w:t>
      </w:r>
      <w:r w:rsidRPr="00451C51">
        <w:rPr>
          <w:rFonts w:ascii="Times New Roman" w:hAnsi="Times New Roman" w:cs="Times New Roman"/>
          <w:i/>
          <w:iCs/>
          <w:noProof/>
        </w:rPr>
        <w:t>Stat Appl Genet Mol Biol</w:t>
      </w:r>
      <w:r w:rsidRPr="00451C51">
        <w:rPr>
          <w:rFonts w:ascii="Times New Roman" w:hAnsi="Times New Roman" w:cs="Times New Roman"/>
          <w:noProof/>
        </w:rPr>
        <w:t>. 2005. doi:10.2202/1544-6115.1175</w:t>
      </w:r>
    </w:p>
    <w:p w14:paraId="5AE39DD1"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4. </w:t>
      </w:r>
      <w:r w:rsidRPr="00451C51">
        <w:rPr>
          <w:rFonts w:ascii="Times New Roman" w:hAnsi="Times New Roman" w:cs="Times New Roman"/>
          <w:noProof/>
        </w:rPr>
        <w:tab/>
        <w:t xml:space="preserve">Ledoit O, Wolf M. Improved estimation of the covariance matrix of stock returns with an application to portfolio selection. </w:t>
      </w:r>
      <w:r w:rsidRPr="00451C51">
        <w:rPr>
          <w:rFonts w:ascii="Times New Roman" w:hAnsi="Times New Roman" w:cs="Times New Roman"/>
          <w:i/>
          <w:iCs/>
          <w:noProof/>
        </w:rPr>
        <w:t>J Empir Financ</w:t>
      </w:r>
      <w:r w:rsidRPr="00451C51">
        <w:rPr>
          <w:rFonts w:ascii="Times New Roman" w:hAnsi="Times New Roman" w:cs="Times New Roman"/>
          <w:noProof/>
        </w:rPr>
        <w:t>. 2003. doi:10.1016/S0927-5398(03)00007-0</w:t>
      </w:r>
    </w:p>
    <w:p w14:paraId="692A4F23"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5. </w:t>
      </w:r>
      <w:r w:rsidRPr="00451C51">
        <w:rPr>
          <w:rFonts w:ascii="Times New Roman" w:hAnsi="Times New Roman" w:cs="Times New Roman"/>
          <w:noProof/>
        </w:rPr>
        <w:tab/>
        <w:t xml:space="preserve">Ledoit O, Wolf M. A well-conditioned estimator for large-dimensional covariance matrices. </w:t>
      </w:r>
      <w:r w:rsidRPr="00451C51">
        <w:rPr>
          <w:rFonts w:ascii="Times New Roman" w:hAnsi="Times New Roman" w:cs="Times New Roman"/>
          <w:i/>
          <w:iCs/>
          <w:noProof/>
        </w:rPr>
        <w:t>J Multivar Anal</w:t>
      </w:r>
      <w:r w:rsidRPr="00451C51">
        <w:rPr>
          <w:rFonts w:ascii="Times New Roman" w:hAnsi="Times New Roman" w:cs="Times New Roman"/>
          <w:noProof/>
        </w:rPr>
        <w:t>. 2004. doi:10.1016/S0047-259X(03)00096-4</w:t>
      </w:r>
    </w:p>
    <w:p w14:paraId="172AE75B"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6. </w:t>
      </w:r>
      <w:r w:rsidRPr="00451C51">
        <w:rPr>
          <w:rFonts w:ascii="Times New Roman" w:hAnsi="Times New Roman" w:cs="Times New Roman"/>
          <w:noProof/>
        </w:rPr>
        <w:tab/>
        <w:t xml:space="preserve">Bycroft C, Freeman C, Petkova D, et al. The UK Biobank resource with deep phenotyping and genomic data. </w:t>
      </w:r>
      <w:r w:rsidRPr="00451C51">
        <w:rPr>
          <w:rFonts w:ascii="Times New Roman" w:hAnsi="Times New Roman" w:cs="Times New Roman"/>
          <w:i/>
          <w:iCs/>
          <w:noProof/>
        </w:rPr>
        <w:t>Nature</w:t>
      </w:r>
      <w:r w:rsidRPr="00451C51">
        <w:rPr>
          <w:rFonts w:ascii="Times New Roman" w:hAnsi="Times New Roman" w:cs="Times New Roman"/>
          <w:noProof/>
        </w:rPr>
        <w:t>. 2018;562:203-209.</w:t>
      </w:r>
    </w:p>
    <w:p w14:paraId="63FA4847"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7. </w:t>
      </w:r>
      <w:r w:rsidRPr="00451C51">
        <w:rPr>
          <w:rFonts w:ascii="Times New Roman" w:hAnsi="Times New Roman" w:cs="Times New Roman"/>
          <w:noProof/>
        </w:rPr>
        <w:tab/>
        <w:t xml:space="preserve">Liberzon A, Birger C, Thorvaldsdottir H, Ghandi M, Mesirov JP, Tamayo P. The Molecular Signatures Database (MSigDB) hallmark gene set collection. </w:t>
      </w:r>
      <w:r w:rsidRPr="00451C51">
        <w:rPr>
          <w:rFonts w:ascii="Times New Roman" w:hAnsi="Times New Roman" w:cs="Times New Roman"/>
          <w:i/>
          <w:iCs/>
          <w:noProof/>
        </w:rPr>
        <w:t>Cell Syst</w:t>
      </w:r>
      <w:r w:rsidRPr="00451C51">
        <w:rPr>
          <w:rFonts w:ascii="Times New Roman" w:hAnsi="Times New Roman" w:cs="Times New Roman"/>
          <w:noProof/>
        </w:rPr>
        <w:t>. 2015;1(6):417-425. doi:10.1016/j.cels.2015.12.004</w:t>
      </w:r>
    </w:p>
    <w:p w14:paraId="13B3AACE"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8. </w:t>
      </w:r>
      <w:r w:rsidRPr="00451C51">
        <w:rPr>
          <w:rFonts w:ascii="Times New Roman" w:hAnsi="Times New Roman" w:cs="Times New Roman"/>
          <w:noProof/>
        </w:rPr>
        <w:tab/>
        <w:t xml:space="preserve">Liberzon A, Subramanian A, Pinchback R, Thorvaldsdóttir H, Tamayo P, Mesirov JP. Molecular signatures database (MSigDB) 3.0. </w:t>
      </w:r>
      <w:r w:rsidRPr="00451C51">
        <w:rPr>
          <w:rFonts w:ascii="Times New Roman" w:hAnsi="Times New Roman" w:cs="Times New Roman"/>
          <w:i/>
          <w:iCs/>
          <w:noProof/>
        </w:rPr>
        <w:t>Bioinformatics</w:t>
      </w:r>
      <w:r w:rsidRPr="00451C51">
        <w:rPr>
          <w:rFonts w:ascii="Times New Roman" w:hAnsi="Times New Roman" w:cs="Times New Roman"/>
          <w:noProof/>
        </w:rPr>
        <w:t>. 2011. doi:10.1093/bioinformatics/btr260</w:t>
      </w:r>
    </w:p>
    <w:p w14:paraId="6EAC6099"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9. </w:t>
      </w:r>
      <w:r w:rsidRPr="00451C51">
        <w:rPr>
          <w:rFonts w:ascii="Times New Roman" w:hAnsi="Times New Roman" w:cs="Times New Roman"/>
          <w:noProof/>
        </w:rPr>
        <w:tab/>
        <w:t xml:space="preserve">Han H, Cho JW, Lee S, et al. TRRUST v2: An expanded reference database of human and mouse transcriptional regulatory interactions. </w:t>
      </w:r>
      <w:r w:rsidRPr="00451C51">
        <w:rPr>
          <w:rFonts w:ascii="Times New Roman" w:hAnsi="Times New Roman" w:cs="Times New Roman"/>
          <w:i/>
          <w:iCs/>
          <w:noProof/>
        </w:rPr>
        <w:t>Nucleic Acids Res</w:t>
      </w:r>
      <w:r w:rsidRPr="00451C51">
        <w:rPr>
          <w:rFonts w:ascii="Times New Roman" w:hAnsi="Times New Roman" w:cs="Times New Roman"/>
          <w:noProof/>
        </w:rPr>
        <w:t>. 2018. doi:10.1093/nar/gkx1013</w:t>
      </w:r>
    </w:p>
    <w:p w14:paraId="6602BD86"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10. </w:t>
      </w:r>
      <w:r w:rsidRPr="00451C51">
        <w:rPr>
          <w:rFonts w:ascii="Times New Roman" w:hAnsi="Times New Roman" w:cs="Times New Roman"/>
          <w:noProof/>
        </w:rPr>
        <w:tab/>
        <w:t xml:space="preserve">Zheng G, Tu K, Yang Q, et al. ITFP: An integrated platform of mammalian transcription factors. </w:t>
      </w:r>
      <w:r w:rsidRPr="00451C51">
        <w:rPr>
          <w:rFonts w:ascii="Times New Roman" w:hAnsi="Times New Roman" w:cs="Times New Roman"/>
          <w:i/>
          <w:iCs/>
          <w:noProof/>
        </w:rPr>
        <w:t>Bioinformatics</w:t>
      </w:r>
      <w:r w:rsidRPr="00451C51">
        <w:rPr>
          <w:rFonts w:ascii="Times New Roman" w:hAnsi="Times New Roman" w:cs="Times New Roman"/>
          <w:noProof/>
        </w:rPr>
        <w:t>. 2008. doi:10.1093/bioinformatics/btn439</w:t>
      </w:r>
    </w:p>
    <w:p w14:paraId="122DA5E8"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11. </w:t>
      </w:r>
      <w:r w:rsidRPr="00451C51">
        <w:rPr>
          <w:rFonts w:ascii="Times New Roman" w:hAnsi="Times New Roman" w:cs="Times New Roman"/>
          <w:noProof/>
        </w:rPr>
        <w:tab/>
        <w:t xml:space="preserve">Liu ZP, Wu C, Miao H, Wu H. RegNetwork: An integrated database of transcriptional and post-transcriptional regulatory networks in human and mouse. </w:t>
      </w:r>
      <w:r w:rsidRPr="00451C51">
        <w:rPr>
          <w:rFonts w:ascii="Times New Roman" w:hAnsi="Times New Roman" w:cs="Times New Roman"/>
          <w:i/>
          <w:iCs/>
          <w:noProof/>
        </w:rPr>
        <w:t>Database</w:t>
      </w:r>
      <w:r w:rsidRPr="00451C51">
        <w:rPr>
          <w:rFonts w:ascii="Times New Roman" w:hAnsi="Times New Roman" w:cs="Times New Roman"/>
          <w:noProof/>
        </w:rPr>
        <w:t>. 2015. doi:10.1093/database/bav095</w:t>
      </w:r>
    </w:p>
    <w:p w14:paraId="7C428228" w14:textId="77777777" w:rsidR="006C02E4" w:rsidRPr="00451C51" w:rsidRDefault="006C02E4" w:rsidP="006C02E4">
      <w:pPr>
        <w:widowControl w:val="0"/>
        <w:autoSpaceDE w:val="0"/>
        <w:autoSpaceDN w:val="0"/>
        <w:adjustRightInd w:val="0"/>
        <w:ind w:left="640" w:hanging="640"/>
        <w:rPr>
          <w:rFonts w:ascii="Times New Roman" w:hAnsi="Times New Roman" w:cs="Times New Roman"/>
          <w:noProof/>
        </w:rPr>
      </w:pPr>
      <w:r w:rsidRPr="00451C51">
        <w:rPr>
          <w:rFonts w:ascii="Times New Roman" w:hAnsi="Times New Roman" w:cs="Times New Roman"/>
          <w:noProof/>
        </w:rPr>
        <w:t xml:space="preserve">12. </w:t>
      </w:r>
      <w:r w:rsidRPr="00451C51">
        <w:rPr>
          <w:rFonts w:ascii="Times New Roman" w:hAnsi="Times New Roman" w:cs="Times New Roman"/>
          <w:noProof/>
        </w:rPr>
        <w:tab/>
        <w:t xml:space="preserve">Szklarczyk D, Gable AL, Lyon D, et al. STRING v11: Protein-protein association networks with increased coverage, supporting functional discovery in genome-wide experimental datasets. </w:t>
      </w:r>
      <w:r w:rsidRPr="00451C51">
        <w:rPr>
          <w:rFonts w:ascii="Times New Roman" w:hAnsi="Times New Roman" w:cs="Times New Roman"/>
          <w:i/>
          <w:iCs/>
          <w:noProof/>
        </w:rPr>
        <w:t>Nucleic Acids Res</w:t>
      </w:r>
      <w:r w:rsidRPr="00451C51">
        <w:rPr>
          <w:rFonts w:ascii="Times New Roman" w:hAnsi="Times New Roman" w:cs="Times New Roman"/>
          <w:noProof/>
        </w:rPr>
        <w:t>. 2019. doi:10.1093/nar/gky1131</w:t>
      </w:r>
    </w:p>
    <w:p w14:paraId="0D045189" w14:textId="1E88204F" w:rsidR="00FD40C8" w:rsidRPr="00451C51" w:rsidRDefault="006C02E4">
      <w:pPr>
        <w:rPr>
          <w:rFonts w:ascii="Times New Roman" w:hAnsi="Times New Roman" w:cs="Times New Roman"/>
        </w:rPr>
      </w:pPr>
      <w:r w:rsidRPr="00451C51">
        <w:rPr>
          <w:rFonts w:ascii="Times New Roman" w:hAnsi="Times New Roman" w:cs="Times New Roman"/>
        </w:rPr>
        <w:fldChar w:fldCharType="end"/>
      </w:r>
    </w:p>
    <w:sectPr w:rsidR="00FD40C8" w:rsidRPr="00451C51" w:rsidSect="009F3800">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73F6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D036D6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2DA"/>
    <w:rsid w:val="0007643B"/>
    <w:rsid w:val="001232FC"/>
    <w:rsid w:val="001627A7"/>
    <w:rsid w:val="001A0653"/>
    <w:rsid w:val="001A2048"/>
    <w:rsid w:val="001F7575"/>
    <w:rsid w:val="00211EDF"/>
    <w:rsid w:val="00260A11"/>
    <w:rsid w:val="00277B4D"/>
    <w:rsid w:val="002D6597"/>
    <w:rsid w:val="003C4D2C"/>
    <w:rsid w:val="003E4FCC"/>
    <w:rsid w:val="004101E6"/>
    <w:rsid w:val="0041175C"/>
    <w:rsid w:val="00451C51"/>
    <w:rsid w:val="00491D39"/>
    <w:rsid w:val="004D28E6"/>
    <w:rsid w:val="004E23FA"/>
    <w:rsid w:val="004F01D5"/>
    <w:rsid w:val="00577F3A"/>
    <w:rsid w:val="005A338E"/>
    <w:rsid w:val="006155AD"/>
    <w:rsid w:val="00644E44"/>
    <w:rsid w:val="006A4BFC"/>
    <w:rsid w:val="006C02E4"/>
    <w:rsid w:val="006E38E1"/>
    <w:rsid w:val="007056FB"/>
    <w:rsid w:val="0075737D"/>
    <w:rsid w:val="007964BD"/>
    <w:rsid w:val="007A3854"/>
    <w:rsid w:val="007A4D36"/>
    <w:rsid w:val="00822C25"/>
    <w:rsid w:val="00865B5E"/>
    <w:rsid w:val="008739C8"/>
    <w:rsid w:val="00881C31"/>
    <w:rsid w:val="008932DA"/>
    <w:rsid w:val="008A2BA6"/>
    <w:rsid w:val="008F5710"/>
    <w:rsid w:val="00900362"/>
    <w:rsid w:val="009439E7"/>
    <w:rsid w:val="0095711E"/>
    <w:rsid w:val="009975C6"/>
    <w:rsid w:val="009F3800"/>
    <w:rsid w:val="00A20E4C"/>
    <w:rsid w:val="00A7778F"/>
    <w:rsid w:val="00AF4CE0"/>
    <w:rsid w:val="00B106F1"/>
    <w:rsid w:val="00B23CF0"/>
    <w:rsid w:val="00B27166"/>
    <w:rsid w:val="00B4454D"/>
    <w:rsid w:val="00BB0233"/>
    <w:rsid w:val="00BF6FC1"/>
    <w:rsid w:val="00C337D2"/>
    <w:rsid w:val="00C55E4C"/>
    <w:rsid w:val="00C65684"/>
    <w:rsid w:val="00C67231"/>
    <w:rsid w:val="00C96AB0"/>
    <w:rsid w:val="00CF4CD6"/>
    <w:rsid w:val="00CF6D00"/>
    <w:rsid w:val="00D079E6"/>
    <w:rsid w:val="00D67FC2"/>
    <w:rsid w:val="00D961FC"/>
    <w:rsid w:val="00DC53A2"/>
    <w:rsid w:val="00DC5544"/>
    <w:rsid w:val="00DC6FB3"/>
    <w:rsid w:val="00DF7291"/>
    <w:rsid w:val="00E175DD"/>
    <w:rsid w:val="00E46537"/>
    <w:rsid w:val="00E8616D"/>
    <w:rsid w:val="00FC537B"/>
    <w:rsid w:val="00FD3FEA"/>
    <w:rsid w:val="00FD40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00E931"/>
  <w15:chartTrackingRefBased/>
  <w15:docId w15:val="{79D987BF-93FE-DA4C-850C-13DBA3679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8932DA"/>
    <w:pPr>
      <w:spacing w:before="100" w:beforeAutospacing="1" w:after="100" w:afterAutospacing="1"/>
      <w:outlineLvl w:val="3"/>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32D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932DA"/>
    <w:rPr>
      <w:rFonts w:ascii="Times New Roman" w:hAnsi="Times New Roman" w:cs="Times New Roman"/>
      <w:sz w:val="18"/>
      <w:szCs w:val="18"/>
    </w:rPr>
  </w:style>
  <w:style w:type="character" w:customStyle="1" w:styleId="Heading4Char">
    <w:name w:val="Heading 4 Char"/>
    <w:basedOn w:val="DefaultParagraphFont"/>
    <w:link w:val="Heading4"/>
    <w:uiPriority w:val="9"/>
    <w:rsid w:val="008932DA"/>
    <w:rPr>
      <w:rFonts w:ascii="Times New Roman" w:eastAsia="Times New Roman" w:hAnsi="Times New Roman" w:cs="Times New Roman"/>
      <w:b/>
      <w:bCs/>
    </w:rPr>
  </w:style>
  <w:style w:type="character" w:styleId="CommentReference">
    <w:name w:val="annotation reference"/>
    <w:basedOn w:val="DefaultParagraphFont"/>
    <w:uiPriority w:val="99"/>
    <w:semiHidden/>
    <w:unhideWhenUsed/>
    <w:rsid w:val="008932DA"/>
    <w:rPr>
      <w:sz w:val="16"/>
      <w:szCs w:val="16"/>
    </w:rPr>
  </w:style>
  <w:style w:type="paragraph" w:styleId="CommentText">
    <w:name w:val="annotation text"/>
    <w:basedOn w:val="Normal"/>
    <w:link w:val="CommentTextChar"/>
    <w:uiPriority w:val="99"/>
    <w:semiHidden/>
    <w:unhideWhenUsed/>
    <w:rsid w:val="008932DA"/>
    <w:rPr>
      <w:sz w:val="20"/>
      <w:szCs w:val="20"/>
    </w:rPr>
  </w:style>
  <w:style w:type="character" w:customStyle="1" w:styleId="CommentTextChar">
    <w:name w:val="Comment Text Char"/>
    <w:basedOn w:val="DefaultParagraphFont"/>
    <w:link w:val="CommentText"/>
    <w:uiPriority w:val="99"/>
    <w:semiHidden/>
    <w:rsid w:val="008932DA"/>
    <w:rPr>
      <w:sz w:val="20"/>
      <w:szCs w:val="20"/>
    </w:rPr>
  </w:style>
  <w:style w:type="paragraph" w:styleId="CommentSubject">
    <w:name w:val="annotation subject"/>
    <w:basedOn w:val="CommentText"/>
    <w:next w:val="CommentText"/>
    <w:link w:val="CommentSubjectChar"/>
    <w:uiPriority w:val="99"/>
    <w:semiHidden/>
    <w:unhideWhenUsed/>
    <w:rsid w:val="00CF6D00"/>
    <w:rPr>
      <w:b/>
      <w:bCs/>
    </w:rPr>
  </w:style>
  <w:style w:type="character" w:customStyle="1" w:styleId="CommentSubjectChar">
    <w:name w:val="Comment Subject Char"/>
    <w:basedOn w:val="CommentTextChar"/>
    <w:link w:val="CommentSubject"/>
    <w:uiPriority w:val="99"/>
    <w:semiHidden/>
    <w:rsid w:val="00CF6D00"/>
    <w:rPr>
      <w:b/>
      <w:bCs/>
      <w:sz w:val="20"/>
      <w:szCs w:val="20"/>
    </w:rPr>
  </w:style>
  <w:style w:type="character" w:styleId="PlaceholderText">
    <w:name w:val="Placeholder Text"/>
    <w:basedOn w:val="DefaultParagraphFont"/>
    <w:uiPriority w:val="99"/>
    <w:semiHidden/>
    <w:rsid w:val="004E23FA"/>
    <w:rPr>
      <w:color w:val="808080"/>
    </w:rPr>
  </w:style>
  <w:style w:type="table" w:styleId="TableGrid">
    <w:name w:val="Table Grid"/>
    <w:basedOn w:val="TableNormal"/>
    <w:uiPriority w:val="39"/>
    <w:rsid w:val="005A3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7820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tiff"/><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0.tiff"/><Relationship Id="rId12" Type="http://schemas.openxmlformats.org/officeDocument/2006/relationships/image" Target="media/image6.tiff"/><Relationship Id="rId17" Type="http://schemas.openxmlformats.org/officeDocument/2006/relationships/image" Target="media/image60.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image" Target="media/image50.tiff"/><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6BB9A7-731B-5C43-A079-7A4AF5C54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18</Pages>
  <Words>7401</Words>
  <Characters>42189</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Diptavo Dutta</dc:creator>
  <cp:keywords/>
  <dc:description/>
  <cp:lastModifiedBy>Diptavo Dutta</cp:lastModifiedBy>
  <cp:revision>10</cp:revision>
  <dcterms:created xsi:type="dcterms:W3CDTF">2021-04-05T15:34:00Z</dcterms:created>
  <dcterms:modified xsi:type="dcterms:W3CDTF">2021-05-13T18:48:00Z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2cd5554-7392-48bb-a738-f0f968bd337e_Enabled">
    <vt:lpwstr>true</vt:lpwstr>
  </property>
  <property fmtid="{D5CDD505-2E9C-101B-9397-08002B2CF9AE}" pid="3" name="MSIP_Label_72cd5554-7392-48bb-a738-f0f968bd337e_SetDate">
    <vt:lpwstr>2020-08-22T03:13:52Z</vt:lpwstr>
  </property>
  <property fmtid="{D5CDD505-2E9C-101B-9397-08002B2CF9AE}" pid="4" name="MSIP_Label_72cd5554-7392-48bb-a738-f0f968bd337e_Method">
    <vt:lpwstr>Standard</vt:lpwstr>
  </property>
  <property fmtid="{D5CDD505-2E9C-101B-9397-08002B2CF9AE}" pid="5" name="MSIP_Label_72cd5554-7392-48bb-a738-f0f968bd337e_Name">
    <vt:lpwstr>72cd5554-7392-48bb-a738-f0f968bd337e</vt:lpwstr>
  </property>
  <property fmtid="{D5CDD505-2E9C-101B-9397-08002B2CF9AE}" pid="6" name="MSIP_Label_72cd5554-7392-48bb-a738-f0f968bd337e_SiteId">
    <vt:lpwstr>9fa4f438-b1e6-473b-803f-86f8aedf0dec</vt:lpwstr>
  </property>
  <property fmtid="{D5CDD505-2E9C-101B-9397-08002B2CF9AE}" pid="7" name="MSIP_Label_72cd5554-7392-48bb-a738-f0f968bd337e_ActionId">
    <vt:lpwstr>fa3bb591-2dfe-4401-93f8-0000f3a276c7</vt:lpwstr>
  </property>
  <property fmtid="{D5CDD505-2E9C-101B-9397-08002B2CF9AE}" pid="8" name="MSIP_Label_72cd5554-7392-48bb-a738-f0f968bd337e_ContentBits">
    <vt:lpwstr>0</vt:lpwstr>
  </property>
  <property fmtid="{D5CDD505-2E9C-101B-9397-08002B2CF9AE}" pid="9" name="Mendeley Recent Style Id 0_1">
    <vt:lpwstr>http://www.zotero.org/styles/american-medical-association</vt:lpwstr>
  </property>
  <property fmtid="{D5CDD505-2E9C-101B-9397-08002B2CF9AE}" pid="10" name="Mendeley Recent Style Name 0_1">
    <vt:lpwstr>American Medical Association</vt:lpwstr>
  </property>
  <property fmtid="{D5CDD505-2E9C-101B-9397-08002B2CF9AE}" pid="11" name="Mendeley Recent Style Id 1_1">
    <vt:lpwstr>http://www.zotero.org/styles/apa</vt:lpwstr>
  </property>
  <property fmtid="{D5CDD505-2E9C-101B-9397-08002B2CF9AE}" pid="12" name="Mendeley Recent Style Name 1_1">
    <vt:lpwstr>American Psychological Association 6th edition</vt:lpwstr>
  </property>
  <property fmtid="{D5CDD505-2E9C-101B-9397-08002B2CF9AE}" pid="13" name="Mendeley Recent Style Id 2_1">
    <vt:lpwstr>http://www.zotero.org/styles/chicago-author-date</vt:lpwstr>
  </property>
  <property fmtid="{D5CDD505-2E9C-101B-9397-08002B2CF9AE}" pid="14" name="Mendeley Recent Style Name 2_1">
    <vt:lpwstr>Chicago Manual of Style 17th edition (author-date)</vt:lpwstr>
  </property>
  <property fmtid="{D5CDD505-2E9C-101B-9397-08002B2CF9AE}" pid="15" name="Mendeley Recent Style Id 3_1">
    <vt:lpwstr>http://www.zotero.org/styles/harvard-cite-them-right</vt:lpwstr>
  </property>
  <property fmtid="{D5CDD505-2E9C-101B-9397-08002B2CF9AE}" pid="16" name="Mendeley Recent Style Name 3_1">
    <vt:lpwstr>Cite Them Right 10th edition - Harvard</vt:lpwstr>
  </property>
  <property fmtid="{D5CDD505-2E9C-101B-9397-08002B2CF9AE}" pid="17" name="Mendeley Recent Style Id 4_1">
    <vt:lpwstr>http://www.zotero.org/styles/harvard1</vt:lpwstr>
  </property>
  <property fmtid="{D5CDD505-2E9C-101B-9397-08002B2CF9AE}" pid="18" name="Mendeley Recent Style Name 4_1">
    <vt:lpwstr>Harvard reference format 1 (deprecated)</vt:lpwstr>
  </property>
  <property fmtid="{D5CDD505-2E9C-101B-9397-08002B2CF9AE}" pid="19" name="Mendeley Recent Style Id 5_1">
    <vt:lpwstr>http://www.zotero.org/styles/ieee</vt:lpwstr>
  </property>
  <property fmtid="{D5CDD505-2E9C-101B-9397-08002B2CF9AE}" pid="20" name="Mendeley Recent Style Name 5_1">
    <vt:lpwstr>IEEE</vt:lpwstr>
  </property>
  <property fmtid="{D5CDD505-2E9C-101B-9397-08002B2CF9AE}" pid="21" name="Mendeley Recent Style Id 6_1">
    <vt:lpwstr>http://www.zotero.org/styles/modern-humanities-research-association</vt:lpwstr>
  </property>
  <property fmtid="{D5CDD505-2E9C-101B-9397-08002B2CF9AE}" pid="22" name="Mendeley Recent Style Name 6_1">
    <vt:lpwstr>Modern Humanities Research Association 3rd edition (note with bibliography)</vt:lpwstr>
  </property>
  <property fmtid="{D5CDD505-2E9C-101B-9397-08002B2CF9AE}" pid="23" name="Mendeley Recent Style Id 7_1">
    <vt:lpwstr>http://www.zotero.org/styles/modern-language-association</vt:lpwstr>
  </property>
  <property fmtid="{D5CDD505-2E9C-101B-9397-08002B2CF9AE}" pid="24" name="Mendeley Recent Style Name 7_1">
    <vt:lpwstr>Modern Language Association 8th edition</vt:lpwstr>
  </property>
  <property fmtid="{D5CDD505-2E9C-101B-9397-08002B2CF9AE}" pid="25" name="Mendeley Recent Style Id 8_1">
    <vt:lpwstr>http://www.zotero.org/styles/national-library-of-medicine</vt:lpwstr>
  </property>
  <property fmtid="{D5CDD505-2E9C-101B-9397-08002B2CF9AE}" pid="26" name="Mendeley Recent Style Name 8_1">
    <vt:lpwstr>National Library of Medicine</vt:lpwstr>
  </property>
  <property fmtid="{D5CDD505-2E9C-101B-9397-08002B2CF9AE}" pid="27" name="Mendeley Recent Style Id 9_1">
    <vt:lpwstr>http://www.zotero.org/styles/nature</vt:lpwstr>
  </property>
  <property fmtid="{D5CDD505-2E9C-101B-9397-08002B2CF9AE}" pid="28" name="Mendeley Recent Style Name 9_1">
    <vt:lpwstr>Nature</vt:lpwstr>
  </property>
  <property fmtid="{D5CDD505-2E9C-101B-9397-08002B2CF9AE}" pid="29" name="Mendeley Document_1">
    <vt:lpwstr>True</vt:lpwstr>
  </property>
  <property fmtid="{D5CDD505-2E9C-101B-9397-08002B2CF9AE}" pid="30" name="Mendeley Citation Style_1">
    <vt:lpwstr>http://www.zotero.org/styles/american-medical-association</vt:lpwstr>
  </property>
  <property fmtid="{D5CDD505-2E9C-101B-9397-08002B2CF9AE}" pid="31" name="Mendeley Unique User Id_1">
    <vt:lpwstr>8abe155c-490f-3767-a99f-12948699ca8b</vt:lpwstr>
  </property>
</Properties>
</file>