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274AC1" w14:textId="54D580C0" w:rsidR="00FD63B9" w:rsidRPr="00815320" w:rsidRDefault="00FD63B9" w:rsidP="00FD63B9">
      <w:pPr>
        <w:rPr>
          <w:rFonts w:ascii="Arial" w:hAnsi="Arial" w:cs="Arial"/>
          <w:b/>
          <w:noProof/>
          <w:sz w:val="24"/>
          <w:szCs w:val="24"/>
          <w:u w:val="single"/>
        </w:rPr>
      </w:pPr>
      <w:r w:rsidRPr="00815320">
        <w:rPr>
          <w:rFonts w:ascii="Arial" w:hAnsi="Arial" w:cs="Arial"/>
          <w:b/>
          <w:noProof/>
          <w:sz w:val="24"/>
          <w:szCs w:val="24"/>
          <w:u w:val="single"/>
        </w:rPr>
        <w:t>SUPPLEMENTAL</w:t>
      </w:r>
      <w:r w:rsidR="00F06419" w:rsidRPr="00815320">
        <w:rPr>
          <w:rFonts w:ascii="Arial" w:hAnsi="Arial" w:cs="Arial"/>
          <w:b/>
          <w:noProof/>
          <w:sz w:val="24"/>
          <w:szCs w:val="24"/>
          <w:u w:val="single"/>
        </w:rPr>
        <w:t xml:space="preserve"> INFORMATION</w:t>
      </w:r>
      <w:r w:rsidRPr="00815320">
        <w:rPr>
          <w:rFonts w:ascii="Arial" w:hAnsi="Arial" w:cs="Arial"/>
          <w:b/>
          <w:noProof/>
          <w:sz w:val="24"/>
          <w:szCs w:val="24"/>
          <w:u w:val="single"/>
        </w:rPr>
        <w:t>:</w:t>
      </w:r>
    </w:p>
    <w:p w14:paraId="615CBCC5" w14:textId="77777777" w:rsidR="00F06419" w:rsidRPr="00815320" w:rsidRDefault="00F06419" w:rsidP="00FD63B9">
      <w:pPr>
        <w:rPr>
          <w:rFonts w:ascii="Arial" w:hAnsi="Arial" w:cs="Arial"/>
          <w:b/>
          <w:noProof/>
          <w:sz w:val="24"/>
          <w:szCs w:val="24"/>
          <w:u w:val="single"/>
        </w:rPr>
      </w:pPr>
    </w:p>
    <w:p w14:paraId="7D410D5C" w14:textId="481975E2" w:rsidR="00735434" w:rsidRPr="00235A1F" w:rsidRDefault="00F06419" w:rsidP="00235A1F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sz w:val="24"/>
          <w:szCs w:val="24"/>
        </w:rPr>
      </w:pPr>
      <w:r w:rsidRPr="00235A1F">
        <w:rPr>
          <w:rFonts w:ascii="Arial" w:eastAsia="Times New Roman" w:hAnsi="Arial" w:cs="Arial"/>
          <w:b/>
          <w:sz w:val="24"/>
          <w:szCs w:val="24"/>
        </w:rPr>
        <w:t>Supplementary Figure 1. Patient MRI</w:t>
      </w:r>
    </w:p>
    <w:p w14:paraId="49D5D5BE" w14:textId="05166B27" w:rsidR="00735434" w:rsidRPr="00235A1F" w:rsidRDefault="00735434" w:rsidP="0073543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235A1F">
        <w:rPr>
          <w:rFonts w:ascii="Arial" w:eastAsia="Times New Roman" w:hAnsi="Arial" w:cs="Arial"/>
          <w:color w:val="000000"/>
          <w:sz w:val="24"/>
          <w:szCs w:val="24"/>
        </w:rPr>
        <w:t xml:space="preserve">Multiplanar and multisequence MRI of the brain was performed using metastases protocol before and after administration of gadobenate dimeglumine (Multihance) injection 20 mL : 15 mL </w:t>
      </w:r>
      <w:proofErr w:type="spellStart"/>
      <w:r w:rsidRPr="00235A1F">
        <w:rPr>
          <w:rFonts w:ascii="Arial" w:eastAsia="Times New Roman" w:hAnsi="Arial" w:cs="Arial"/>
          <w:color w:val="000000"/>
          <w:sz w:val="24"/>
          <w:szCs w:val="24"/>
        </w:rPr>
        <w:t>mL</w:t>
      </w:r>
      <w:proofErr w:type="spellEnd"/>
      <w:r w:rsidRPr="00235A1F">
        <w:rPr>
          <w:rFonts w:ascii="Arial" w:eastAsia="Times New Roman" w:hAnsi="Arial" w:cs="Arial"/>
          <w:color w:val="000000"/>
          <w:sz w:val="24"/>
          <w:szCs w:val="24"/>
        </w:rPr>
        <w:t xml:space="preserve"> IV Multihance contrast at 3 Tesla for imaging</w:t>
      </w:r>
      <w:r w:rsidR="00235A1F" w:rsidRPr="00235A1F">
        <w:rPr>
          <w:rFonts w:ascii="Arial" w:eastAsia="Times New Roman" w:hAnsi="Arial" w:cs="Arial"/>
          <w:color w:val="000000"/>
          <w:sz w:val="24"/>
          <w:szCs w:val="24"/>
        </w:rPr>
        <w:t xml:space="preserve"> in patient STN99</w:t>
      </w:r>
      <w:r w:rsidRPr="00235A1F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3E4E9D" w:rsidRPr="00235A1F">
        <w:rPr>
          <w:rFonts w:ascii="Arial" w:eastAsia="Times New Roman" w:hAnsi="Arial" w:cs="Arial"/>
          <w:color w:val="000000"/>
          <w:sz w:val="24"/>
          <w:szCs w:val="24"/>
        </w:rPr>
        <w:t xml:space="preserve">Supplementary </w:t>
      </w:r>
      <w:r w:rsidRPr="00235A1F">
        <w:rPr>
          <w:rFonts w:ascii="Arial" w:hAnsi="Arial" w:cs="Arial"/>
          <w:color w:val="000000"/>
          <w:sz w:val="24"/>
          <w:szCs w:val="24"/>
        </w:rPr>
        <w:t>Figure 1</w:t>
      </w:r>
      <w:r w:rsidR="003E4E9D" w:rsidRPr="00235A1F">
        <w:rPr>
          <w:rFonts w:ascii="Arial" w:hAnsi="Arial" w:cs="Arial"/>
          <w:color w:val="000000"/>
          <w:sz w:val="24"/>
          <w:szCs w:val="24"/>
        </w:rPr>
        <w:t>a</w:t>
      </w:r>
      <w:r w:rsidRPr="00235A1F">
        <w:rPr>
          <w:rFonts w:ascii="Arial" w:hAnsi="Arial" w:cs="Arial"/>
          <w:color w:val="000000"/>
          <w:sz w:val="24"/>
          <w:szCs w:val="24"/>
        </w:rPr>
        <w:t xml:space="preserve"> acquired using sagittal T1-weighted space with contrast utilizing multiplanar reformation of Axial reformatting at 1MM slice thickness. </w:t>
      </w:r>
      <w:r w:rsidR="00235A1F" w:rsidRPr="00235A1F">
        <w:rPr>
          <w:rFonts w:ascii="Arial" w:hAnsi="Arial" w:cs="Arial"/>
          <w:color w:val="000000"/>
          <w:sz w:val="24"/>
          <w:szCs w:val="24"/>
        </w:rPr>
        <w:t xml:space="preserve">Supplementary </w:t>
      </w:r>
      <w:r w:rsidRPr="00235A1F">
        <w:rPr>
          <w:rFonts w:ascii="Arial" w:hAnsi="Arial" w:cs="Arial"/>
          <w:color w:val="000000"/>
          <w:sz w:val="24"/>
          <w:szCs w:val="24"/>
        </w:rPr>
        <w:t>Figure 1</w:t>
      </w:r>
      <w:r w:rsidR="00235A1F" w:rsidRPr="00235A1F">
        <w:rPr>
          <w:rFonts w:ascii="Arial" w:hAnsi="Arial" w:cs="Arial"/>
          <w:color w:val="000000"/>
          <w:sz w:val="24"/>
          <w:szCs w:val="24"/>
        </w:rPr>
        <w:t>b</w:t>
      </w:r>
      <w:r w:rsidRPr="00235A1F">
        <w:rPr>
          <w:rFonts w:ascii="Arial" w:hAnsi="Arial" w:cs="Arial"/>
          <w:color w:val="000000"/>
          <w:sz w:val="24"/>
          <w:szCs w:val="24"/>
        </w:rPr>
        <w:t xml:space="preserve"> Image acquired using Axial T1-weighted 3D with contrast at 1 MM slice thickness.</w:t>
      </w:r>
      <w:r w:rsidR="00235A1F" w:rsidRPr="00235A1F">
        <w:rPr>
          <w:rFonts w:ascii="Arial" w:hAnsi="Arial" w:cs="Arial"/>
          <w:color w:val="000000"/>
          <w:sz w:val="24"/>
          <w:szCs w:val="24"/>
        </w:rPr>
        <w:t xml:space="preserve"> Both scans were performed post-second craniotomy, Supplementary Figure 1b being most recent in sequence.</w:t>
      </w:r>
    </w:p>
    <w:p w14:paraId="00662FE2" w14:textId="77777777" w:rsidR="00735434" w:rsidRPr="00235A1F" w:rsidRDefault="00735434" w:rsidP="00735434">
      <w:pPr>
        <w:rPr>
          <w:rFonts w:ascii="Arial" w:eastAsia="Times New Roman" w:hAnsi="Arial" w:cs="Arial"/>
          <w:sz w:val="24"/>
          <w:szCs w:val="24"/>
        </w:rPr>
      </w:pPr>
    </w:p>
    <w:p w14:paraId="75B0D63A" w14:textId="77777777" w:rsidR="00815320" w:rsidRPr="00235A1F" w:rsidRDefault="00F06419" w:rsidP="00815320">
      <w:pPr>
        <w:adjustRightInd w:val="0"/>
        <w:snapToGrid w:val="0"/>
        <w:spacing w:after="0"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235A1F">
        <w:rPr>
          <w:rFonts w:ascii="Arial" w:eastAsia="Times New Roman" w:hAnsi="Arial" w:cs="Arial"/>
          <w:b/>
          <w:sz w:val="24"/>
          <w:szCs w:val="24"/>
        </w:rPr>
        <w:t>Supplementary Figure 2. Spatial transcriptomic mapping reveals diverse tumor cell subpopulations in brain metastatic lesion.</w:t>
      </w:r>
    </w:p>
    <w:p w14:paraId="53236290" w14:textId="77777777" w:rsidR="00EF2572" w:rsidRPr="00235A1F" w:rsidRDefault="00EF2572" w:rsidP="00EF2572">
      <w:pPr>
        <w:numPr>
          <w:ilvl w:val="0"/>
          <w:numId w:val="2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235A1F">
        <w:rPr>
          <w:rFonts w:ascii="Arial" w:eastAsia="Times New Roman" w:hAnsi="Arial" w:cs="Arial"/>
          <w:sz w:val="24"/>
          <w:szCs w:val="24"/>
        </w:rPr>
        <w:t>Spatial location and unsupervised clustering of mouse spots based on gene expression. Spot colors indicate cell types.</w:t>
      </w:r>
    </w:p>
    <w:p w14:paraId="30D7621B" w14:textId="12D8BA2D" w:rsidR="00F06419" w:rsidRPr="00235A1F" w:rsidRDefault="00F06419" w:rsidP="00F06419">
      <w:pPr>
        <w:numPr>
          <w:ilvl w:val="0"/>
          <w:numId w:val="2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235A1F">
        <w:rPr>
          <w:rFonts w:ascii="Arial" w:eastAsia="Times New Roman" w:hAnsi="Arial" w:cs="Arial"/>
          <w:bCs/>
          <w:sz w:val="24"/>
          <w:szCs w:val="24"/>
        </w:rPr>
        <w:t xml:space="preserve">UMAP visualization of </w:t>
      </w:r>
      <w:r w:rsidR="00EF2572" w:rsidRPr="00235A1F">
        <w:rPr>
          <w:rFonts w:ascii="Arial" w:eastAsia="Times New Roman" w:hAnsi="Arial" w:cs="Arial"/>
          <w:bCs/>
          <w:sz w:val="24"/>
          <w:szCs w:val="24"/>
        </w:rPr>
        <w:t xml:space="preserve">11 </w:t>
      </w:r>
      <w:r w:rsidRPr="00235A1F">
        <w:rPr>
          <w:rFonts w:ascii="Arial" w:eastAsia="Times New Roman" w:hAnsi="Arial" w:cs="Arial"/>
          <w:bCs/>
          <w:sz w:val="24"/>
          <w:szCs w:val="24"/>
        </w:rPr>
        <w:t>clusters</w:t>
      </w:r>
    </w:p>
    <w:p w14:paraId="598331A8" w14:textId="1D4B10DE" w:rsidR="00EF2572" w:rsidRPr="00235A1F" w:rsidRDefault="00F06419" w:rsidP="00EF2572">
      <w:pPr>
        <w:numPr>
          <w:ilvl w:val="0"/>
          <w:numId w:val="2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235A1F">
        <w:rPr>
          <w:rFonts w:ascii="Arial" w:eastAsia="Times New Roman" w:hAnsi="Arial" w:cs="Arial"/>
          <w:bCs/>
          <w:sz w:val="24"/>
          <w:szCs w:val="24"/>
        </w:rPr>
        <w:t>Spatial distribution of UPR-associated markers by spots that are overlaid on the H&amp;E image.</w:t>
      </w:r>
    </w:p>
    <w:p w14:paraId="6CD993AE" w14:textId="77777777" w:rsidR="00F06419" w:rsidRPr="00815320" w:rsidRDefault="00F06419" w:rsidP="00F06419">
      <w:pPr>
        <w:adjustRightInd w:val="0"/>
        <w:snapToGrid w:val="0"/>
        <w:spacing w:line="360" w:lineRule="auto"/>
        <w:ind w:left="720"/>
        <w:rPr>
          <w:rFonts w:ascii="Arial" w:eastAsia="Times New Roman" w:hAnsi="Arial" w:cs="Arial"/>
          <w:b/>
          <w:sz w:val="24"/>
          <w:szCs w:val="24"/>
        </w:rPr>
      </w:pPr>
    </w:p>
    <w:p w14:paraId="7203771D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15320">
        <w:rPr>
          <w:rFonts w:ascii="Arial" w:eastAsia="Times New Roman" w:hAnsi="Arial" w:cs="Arial"/>
          <w:b/>
          <w:bCs/>
          <w:sz w:val="24"/>
          <w:szCs w:val="24"/>
        </w:rPr>
        <w:t>Supplementary Figure 3: Representative IF images of PDoX murine brains stained for human, proliferation, epithelial and mesenchymal markers.</w:t>
      </w:r>
    </w:p>
    <w:p w14:paraId="09FD8BF3" w14:textId="77777777" w:rsidR="00F06419" w:rsidRPr="00815320" w:rsidRDefault="00F06419" w:rsidP="00F06419">
      <w:pPr>
        <w:numPr>
          <w:ilvl w:val="0"/>
          <w:numId w:val="4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>An IF image of the entire NSG mouse brain section with xenograft tumor stained for HNA, Ki67 and DAPI for DNA. Scale bar: 800µm.</w:t>
      </w:r>
    </w:p>
    <w:p w14:paraId="5EEE98DB" w14:textId="77777777" w:rsidR="00F06419" w:rsidRPr="00815320" w:rsidRDefault="00F06419" w:rsidP="00F06419">
      <w:pPr>
        <w:numPr>
          <w:ilvl w:val="0"/>
          <w:numId w:val="4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>An IF image of the entire NSG mouse brain section with xenograft tumor stained for ZO-1, Vimentin and DAPI for DNA. Scale bar: 800µm.</w:t>
      </w:r>
    </w:p>
    <w:p w14:paraId="026AF084" w14:textId="77777777" w:rsidR="00F06419" w:rsidRPr="00815320" w:rsidRDefault="00F06419" w:rsidP="00F06419">
      <w:pPr>
        <w:numPr>
          <w:ilvl w:val="0"/>
          <w:numId w:val="4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>An IF image of the entire NSG mouse brain section with xenograft tumor stained for EPCAM and DAPI for DNA. Scale bar: 600µm.</w:t>
      </w:r>
    </w:p>
    <w:p w14:paraId="5B999B18" w14:textId="77777777" w:rsidR="00F06419" w:rsidRPr="00815320" w:rsidRDefault="00F06419" w:rsidP="00F06419">
      <w:pPr>
        <w:numPr>
          <w:ilvl w:val="0"/>
          <w:numId w:val="4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 xml:space="preserve">An IF image of the entire NSG mouse brain section with xenograft tumor stained for Pan-cytokeratin and DAPI for DNA. Scale bar: 600µm. </w:t>
      </w:r>
    </w:p>
    <w:p w14:paraId="2EDFC8D4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5A284714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15320">
        <w:rPr>
          <w:rFonts w:ascii="Arial" w:eastAsia="Times New Roman" w:hAnsi="Arial" w:cs="Arial"/>
          <w:b/>
          <w:bCs/>
          <w:sz w:val="24"/>
          <w:szCs w:val="24"/>
        </w:rPr>
        <w:lastRenderedPageBreak/>
        <w:t>Supplementary Figure 4: Representation of “Protein processing in Endoplasmic reticulum” and transcripts related to the pathway and shared between patient’s BM, PDO and PDoX.</w:t>
      </w:r>
    </w:p>
    <w:p w14:paraId="563BB0D7" w14:textId="77777777" w:rsidR="00F06419" w:rsidRPr="00815320" w:rsidRDefault="00F06419" w:rsidP="00F06419">
      <w:pPr>
        <w:numPr>
          <w:ilvl w:val="0"/>
          <w:numId w:val="3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>KEGG pathway of “Protein processing in Endoplasmic reticulum”.</w:t>
      </w:r>
    </w:p>
    <w:p w14:paraId="4AFC1B7F" w14:textId="77777777" w:rsidR="00F06419" w:rsidRPr="00815320" w:rsidRDefault="00F06419" w:rsidP="00F06419">
      <w:pPr>
        <w:numPr>
          <w:ilvl w:val="0"/>
          <w:numId w:val="3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 xml:space="preserve">Cnetplot showing enrichment of common transcripts related to “Protein processing in Endoplasmic reticulum”. </w:t>
      </w:r>
    </w:p>
    <w:p w14:paraId="44B7A67C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547ACA99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15320">
        <w:rPr>
          <w:rFonts w:ascii="Arial" w:eastAsia="Times New Roman" w:hAnsi="Arial" w:cs="Arial"/>
          <w:b/>
          <w:bCs/>
          <w:sz w:val="24"/>
          <w:szCs w:val="24"/>
        </w:rPr>
        <w:t>Supplementary Figure 5: GO over-representation analysis of differentially expressed genes between PDO and PDoX groups</w:t>
      </w:r>
    </w:p>
    <w:p w14:paraId="05BB2A79" w14:textId="77777777" w:rsidR="00F06419" w:rsidRPr="00815320" w:rsidRDefault="00F06419" w:rsidP="00F06419">
      <w:pPr>
        <w:numPr>
          <w:ilvl w:val="0"/>
          <w:numId w:val="1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 xml:space="preserve">Bar plots of downregulated genes between organoid (PDO) and PDX (PDoX) groups. </w:t>
      </w:r>
    </w:p>
    <w:p w14:paraId="78592418" w14:textId="77777777" w:rsidR="00F06419" w:rsidRPr="00815320" w:rsidRDefault="00F06419" w:rsidP="00F06419">
      <w:pPr>
        <w:numPr>
          <w:ilvl w:val="0"/>
          <w:numId w:val="1"/>
        </w:numPr>
        <w:adjustRightInd w:val="0"/>
        <w:snapToGrid w:val="0"/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sz w:val="24"/>
          <w:szCs w:val="24"/>
        </w:rPr>
        <w:t xml:space="preserve">Bar plots of upregulated genes between organoid (PDO) and PDX (PDoX) groups. </w:t>
      </w:r>
    </w:p>
    <w:p w14:paraId="0ECA9925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0D61CDA0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15320">
        <w:rPr>
          <w:rFonts w:ascii="Arial" w:eastAsia="Times New Roman" w:hAnsi="Arial" w:cs="Arial"/>
          <w:b/>
          <w:bCs/>
          <w:sz w:val="24"/>
          <w:szCs w:val="24"/>
        </w:rPr>
        <w:t>Supplementary table 1: Top expression markers used for distinction of 11 tumor epithelial clusters</w:t>
      </w:r>
    </w:p>
    <w:p w14:paraId="7C1A3AE7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1552B093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15320">
        <w:rPr>
          <w:rFonts w:ascii="Arial" w:eastAsia="Times New Roman" w:hAnsi="Arial" w:cs="Arial"/>
          <w:b/>
          <w:bCs/>
          <w:sz w:val="24"/>
          <w:szCs w:val="24"/>
        </w:rPr>
        <w:t>Supplementary table 2: Summary of the up/downregulated pathways within each cluster generated by Hallmark pathway analysis</w:t>
      </w:r>
    </w:p>
    <w:p w14:paraId="204CA63C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7A002F4F" w14:textId="5BF5ACDC" w:rsidR="00F06419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15320">
        <w:rPr>
          <w:rFonts w:ascii="Arial" w:eastAsia="Times New Roman" w:hAnsi="Arial" w:cs="Arial"/>
          <w:b/>
          <w:bCs/>
          <w:sz w:val="24"/>
          <w:szCs w:val="24"/>
        </w:rPr>
        <w:t xml:space="preserve">Supplementary table 3: Overview of the composition of human (normal) transcripts and murine (novel) transcripts within each sample analyzed with bulk RNA sequencing. </w:t>
      </w:r>
      <w:r w:rsidRPr="00815320">
        <w:rPr>
          <w:rFonts w:ascii="Arial" w:eastAsia="Times New Roman" w:hAnsi="Arial" w:cs="Arial"/>
          <w:sz w:val="24"/>
          <w:szCs w:val="24"/>
        </w:rPr>
        <w:t>The resulting number of transcripts used for downstream analysis after removal of “novel” is also summarized.</w:t>
      </w:r>
    </w:p>
    <w:p w14:paraId="33191C75" w14:textId="77777777" w:rsidR="00815320" w:rsidRPr="00815320" w:rsidRDefault="00815320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7423ED6C" w14:textId="77777777" w:rsidR="00F06419" w:rsidRPr="00815320" w:rsidRDefault="00F06419" w:rsidP="00F06419">
      <w:pPr>
        <w:adjustRightInd w:val="0"/>
        <w:snapToGrid w:val="0"/>
        <w:spacing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15320">
        <w:rPr>
          <w:rFonts w:ascii="Arial" w:eastAsia="Times New Roman" w:hAnsi="Arial" w:cs="Arial"/>
          <w:b/>
          <w:bCs/>
          <w:sz w:val="24"/>
          <w:szCs w:val="24"/>
        </w:rPr>
        <w:t>Supplementary table 4: Common transcripts shared between patient’s BM, PDO and PDoX.</w:t>
      </w:r>
    </w:p>
    <w:p w14:paraId="703C4631" w14:textId="77777777" w:rsidR="00F06419" w:rsidRPr="00815320" w:rsidRDefault="00F06419" w:rsidP="00FD63B9">
      <w:pPr>
        <w:rPr>
          <w:rFonts w:ascii="Arial" w:hAnsi="Arial" w:cs="Arial"/>
          <w:b/>
          <w:noProof/>
          <w:sz w:val="24"/>
          <w:szCs w:val="24"/>
          <w:u w:val="single"/>
        </w:rPr>
      </w:pPr>
    </w:p>
    <w:p w14:paraId="40683D0B" w14:textId="0EA5B93A" w:rsidR="005A77A5" w:rsidRPr="00EF2572" w:rsidRDefault="00EF2572">
      <w:pPr>
        <w:rPr>
          <w:rFonts w:ascii="Arial" w:hAnsi="Arial" w:cs="Arial"/>
          <w:b/>
          <w:bCs/>
          <w:noProof/>
          <w:sz w:val="24"/>
          <w:szCs w:val="24"/>
        </w:rPr>
      </w:pPr>
      <w:r w:rsidRPr="00EF2572">
        <w:rPr>
          <w:rFonts w:ascii="Arial" w:hAnsi="Arial" w:cs="Arial"/>
          <w:b/>
          <w:bCs/>
          <w:noProof/>
          <w:sz w:val="24"/>
          <w:szCs w:val="24"/>
        </w:rPr>
        <w:t>Supplementary table 5:</w:t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Summary of</w:t>
      </w:r>
      <w:r w:rsidRPr="00EF2572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>
        <w:rPr>
          <w:rFonts w:ascii="Arial" w:hAnsi="Arial" w:cs="Arial"/>
          <w:b/>
          <w:bCs/>
          <w:noProof/>
          <w:sz w:val="24"/>
          <w:szCs w:val="24"/>
        </w:rPr>
        <w:t>probe-wise differential methylation analysis.</w:t>
      </w:r>
    </w:p>
    <w:p w14:paraId="789C3A42" w14:textId="77777777" w:rsidR="00815320" w:rsidRDefault="00815320">
      <w:pPr>
        <w:rPr>
          <w:rFonts w:ascii="Arial" w:hAnsi="Arial" w:cs="Arial"/>
          <w:noProof/>
          <w:sz w:val="24"/>
          <w:szCs w:val="24"/>
        </w:rPr>
      </w:pPr>
    </w:p>
    <w:p w14:paraId="27B81476" w14:textId="77777777" w:rsidR="00815320" w:rsidRPr="00815320" w:rsidRDefault="00815320">
      <w:pPr>
        <w:rPr>
          <w:rFonts w:ascii="Arial" w:hAnsi="Arial" w:cs="Arial"/>
          <w:sz w:val="24"/>
          <w:szCs w:val="24"/>
        </w:rPr>
      </w:pPr>
    </w:p>
    <w:p w14:paraId="6A99E59C" w14:textId="52996D72" w:rsidR="00FD63B9" w:rsidRPr="00815320" w:rsidRDefault="00FD63B9" w:rsidP="0081532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sectPr w:rsidR="00FD63B9" w:rsidRPr="008153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F42FA9"/>
    <w:multiLevelType w:val="multilevel"/>
    <w:tmpl w:val="6BBA617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4946B8D"/>
    <w:multiLevelType w:val="multilevel"/>
    <w:tmpl w:val="905E06B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DA7184D"/>
    <w:multiLevelType w:val="multilevel"/>
    <w:tmpl w:val="DC8EEF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4A73A08"/>
    <w:multiLevelType w:val="multilevel"/>
    <w:tmpl w:val="2C60A9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E177553"/>
    <w:multiLevelType w:val="multilevel"/>
    <w:tmpl w:val="A35C752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1161529">
    <w:abstractNumId w:val="2"/>
  </w:num>
  <w:num w:numId="2" w16cid:durableId="669336994">
    <w:abstractNumId w:val="1"/>
  </w:num>
  <w:num w:numId="3" w16cid:durableId="795216292">
    <w:abstractNumId w:val="4"/>
  </w:num>
  <w:num w:numId="4" w16cid:durableId="1533571786">
    <w:abstractNumId w:val="3"/>
  </w:num>
  <w:num w:numId="5" w16cid:durableId="151944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7A5"/>
    <w:rsid w:val="00235A1F"/>
    <w:rsid w:val="003267E3"/>
    <w:rsid w:val="003E4E9D"/>
    <w:rsid w:val="00421303"/>
    <w:rsid w:val="00474660"/>
    <w:rsid w:val="00520AC8"/>
    <w:rsid w:val="00597F64"/>
    <w:rsid w:val="005A77A5"/>
    <w:rsid w:val="00735434"/>
    <w:rsid w:val="0076732A"/>
    <w:rsid w:val="00815320"/>
    <w:rsid w:val="00A4677A"/>
    <w:rsid w:val="00D478B1"/>
    <w:rsid w:val="00EF2572"/>
    <w:rsid w:val="00F06419"/>
    <w:rsid w:val="00F67E5C"/>
    <w:rsid w:val="00F92E8A"/>
    <w:rsid w:val="00FA195E"/>
    <w:rsid w:val="00FD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5D088"/>
  <w15:chartTrackingRefBased/>
  <w15:docId w15:val="{A56E4E1C-60B5-4EA8-AA2E-EC78DAA59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D63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7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D63B9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79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.~WRD0002</Template>
  <TotalTime>2</TotalTime>
  <Pages>3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 University IT</Company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Emon Nasajpour</dc:creator>
  <cp:keywords/>
  <dc:description/>
  <cp:lastModifiedBy>Claudia Katharina Petritsch</cp:lastModifiedBy>
  <cp:revision>2</cp:revision>
  <dcterms:created xsi:type="dcterms:W3CDTF">2024-09-17T00:35:00Z</dcterms:created>
  <dcterms:modified xsi:type="dcterms:W3CDTF">2024-09-17T00:35:00Z</dcterms:modified>
</cp:coreProperties>
</file>