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1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6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21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Supplementary table 1 Clinicopathological feature of patients with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concurrent L858R and uncommon </w:t>
            </w:r>
            <w:r>
              <w:rPr>
                <w:rFonts w:hint="default" w:ascii="Arial" w:hAnsi="Arial" w:eastAsia="等线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EGFR exon 21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mutations.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21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characteristics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Concurrent L858R and uncommon </w:t>
            </w:r>
            <w:r>
              <w:rPr>
                <w:rFonts w:hint="default" w:ascii="Arial" w:hAnsi="Arial" w:eastAsia="等线" w:cs="Arial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EGFR exon 21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mutations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(N=54)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 (%)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Age,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Median (range)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58.6 (32-75)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 (37.0)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 (62.9)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Smoking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 (59.2)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 (18.5)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 (22.2)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Family history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 (51.8)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 (16.6)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 (31.4)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Histology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Adenocarcinoma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 (100.0)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Non-adenocarcinoma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 (0.0)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Stage (AJCC)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I-II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 (31.5)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III-IV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 (83.78)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(1.8)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NA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not avaliable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M2JmMWJmMmYwOGQ0M2Q2OWMwNDlmOWEwYWU0OWUifQ=="/>
  </w:docVars>
  <w:rsids>
    <w:rsidRoot w:val="00000000"/>
    <w:rsid w:val="0EFF5909"/>
    <w:rsid w:val="6FC1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default" w:ascii="Arial" w:hAnsi="Arial" w:cs="Arial"/>
      <w:i/>
      <w:iCs/>
      <w:color w:val="000000"/>
      <w:sz w:val="24"/>
      <w:szCs w:val="24"/>
      <w:u w:val="none"/>
    </w:rPr>
  </w:style>
  <w:style w:type="character" w:customStyle="1" w:styleId="6">
    <w:name w:val="font31"/>
    <w:basedOn w:val="3"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2024-05-11T14:12:00Z</dcterms:created>
  <dc:creator>ASUS</dc:creator>
  <cp:lastModifiedBy>sea n sky</cp:lastModifiedBy>
  <dcterms:modified xsi:type="dcterms:W3CDTF">2024-05-21T17:09:45Z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5499D20DC16A4F249C1231DCA74DC275_12</vt:lpwstr>
  </property>
</Properties>
</file>