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C4B80E" w14:textId="323C5191" w:rsidR="00950741" w:rsidRPr="00950741" w:rsidRDefault="00950741" w:rsidP="002B492A">
      <w:pPr>
        <w:spacing w:line="480" w:lineRule="auto"/>
        <w:jc w:val="both"/>
        <w:rPr>
          <w:b/>
          <w:bCs/>
          <w:lang w:val="en-US"/>
        </w:rPr>
      </w:pPr>
      <w:r w:rsidRPr="00950741">
        <w:rPr>
          <w:b/>
          <w:bCs/>
          <w:lang w:val="en-US"/>
        </w:rPr>
        <w:t xml:space="preserve">Supplementary file </w:t>
      </w:r>
      <w:r w:rsidR="00AA361B">
        <w:rPr>
          <w:b/>
          <w:bCs/>
          <w:lang w:val="en-US"/>
        </w:rPr>
        <w:t>1</w:t>
      </w:r>
    </w:p>
    <w:p w14:paraId="203C5E94" w14:textId="3AD74D7E" w:rsidR="003E5D31" w:rsidRPr="00524CD7" w:rsidRDefault="00950741" w:rsidP="002B492A">
      <w:pPr>
        <w:spacing w:line="480" w:lineRule="auto"/>
        <w:jc w:val="both"/>
        <w:rPr>
          <w:rFonts w:cstheme="minorHAnsi"/>
          <w:b/>
          <w:bCs/>
          <w:iCs/>
          <w:lang w:val="en-US"/>
        </w:rPr>
      </w:pPr>
      <w:r>
        <w:rPr>
          <w:lang w:val="en-US"/>
        </w:rPr>
        <w:t xml:space="preserve"> </w:t>
      </w:r>
      <w:r w:rsidR="00C14F10" w:rsidRPr="00524CD7">
        <w:rPr>
          <w:rFonts w:cstheme="minorHAnsi"/>
          <w:b/>
          <w:bCs/>
          <w:iCs/>
          <w:lang w:val="en-US"/>
        </w:rPr>
        <w:t>Materials and Methods (supplementary information)</w:t>
      </w:r>
    </w:p>
    <w:p w14:paraId="7E6AF111" w14:textId="77777777" w:rsidR="00524CD7" w:rsidRDefault="00C14F10" w:rsidP="002B492A">
      <w:pPr>
        <w:spacing w:line="480" w:lineRule="auto"/>
        <w:jc w:val="both"/>
        <w:outlineLvl w:val="0"/>
        <w:rPr>
          <w:rFonts w:cstheme="minorHAnsi"/>
          <w:b/>
          <w:lang w:val="en-US"/>
        </w:rPr>
      </w:pPr>
      <w:r w:rsidRPr="00524CD7">
        <w:rPr>
          <w:rFonts w:cstheme="minorHAnsi"/>
          <w:b/>
          <w:lang w:val="en-US"/>
        </w:rPr>
        <w:t xml:space="preserve">Metal concentration in water and fish liver. </w:t>
      </w:r>
    </w:p>
    <w:p w14:paraId="38687DA7" w14:textId="2BB8E45F" w:rsidR="006B3C6A" w:rsidRPr="00524CD7" w:rsidRDefault="00C14F10" w:rsidP="002B492A">
      <w:pPr>
        <w:spacing w:line="480" w:lineRule="auto"/>
        <w:jc w:val="both"/>
        <w:outlineLvl w:val="0"/>
        <w:rPr>
          <w:rFonts w:cstheme="minorHAnsi"/>
          <w:lang w:val="en-US"/>
        </w:rPr>
      </w:pPr>
      <w:r w:rsidRPr="00524CD7">
        <w:rPr>
          <w:rFonts w:cstheme="minorHAnsi"/>
          <w:lang w:val="en-US"/>
        </w:rPr>
        <w:t xml:space="preserve">Metal traces concentrations (Cd, Cu and Zn) in water and liver were determined with the ICPMS (Ionization Coupled Mass spectrometry) technology at Chemical department of Laval </w:t>
      </w:r>
      <w:r w:rsidR="00AA361B">
        <w:rPr>
          <w:rFonts w:cstheme="minorHAnsi"/>
          <w:lang w:val="en-US"/>
        </w:rPr>
        <w:t>U</w:t>
      </w:r>
      <w:r w:rsidRPr="00524CD7">
        <w:rPr>
          <w:rFonts w:cstheme="minorHAnsi"/>
          <w:lang w:val="en-US"/>
        </w:rPr>
        <w:t>niversity for T0 and T1, then at INRS (</w:t>
      </w:r>
      <w:proofErr w:type="spellStart"/>
      <w:r w:rsidRPr="00524CD7">
        <w:rPr>
          <w:rStyle w:val="Emphasis"/>
          <w:rFonts w:cstheme="minorHAnsi"/>
          <w:lang w:val="en-US"/>
        </w:rPr>
        <w:t>Institut</w:t>
      </w:r>
      <w:proofErr w:type="spellEnd"/>
      <w:r w:rsidRPr="00524CD7">
        <w:rPr>
          <w:rStyle w:val="Emphasis"/>
          <w:rFonts w:cstheme="minorHAnsi"/>
          <w:lang w:val="en-US"/>
        </w:rPr>
        <w:t xml:space="preserve"> National de la Recherche </w:t>
      </w:r>
      <w:proofErr w:type="spellStart"/>
      <w:r w:rsidRPr="00524CD7">
        <w:rPr>
          <w:rStyle w:val="Emphasis"/>
          <w:rFonts w:cstheme="minorHAnsi"/>
          <w:lang w:val="en-US"/>
        </w:rPr>
        <w:t>Scientifique</w:t>
      </w:r>
      <w:proofErr w:type="spellEnd"/>
      <w:r w:rsidRPr="00524CD7">
        <w:rPr>
          <w:rFonts w:cstheme="minorHAnsi"/>
          <w:lang w:val="en-US"/>
        </w:rPr>
        <w:t xml:space="preserve">) for T1-T3. Before ICPMS analysis, the Cd in water samples </w:t>
      </w:r>
      <w:r w:rsidRPr="00524CD7">
        <w:rPr>
          <w:rFonts w:cstheme="minorHAnsi"/>
          <w:noProof/>
          <w:lang w:val="en-US"/>
        </w:rPr>
        <w:t>was fixed</w:t>
      </w:r>
      <w:r w:rsidRPr="00524CD7">
        <w:rPr>
          <w:rFonts w:cstheme="minorHAnsi"/>
          <w:lang w:val="en-US"/>
        </w:rPr>
        <w:t xml:space="preserve"> by adding 4% of nitric acid. This analysis was performed every week until the end of Cd exposure regimes. </w:t>
      </w:r>
      <w:r w:rsidRPr="00524CD7">
        <w:rPr>
          <w:rFonts w:cstheme="minorHAnsi"/>
          <w:color w:val="000000" w:themeColor="text1"/>
          <w:lang w:val="en-US"/>
        </w:rPr>
        <w:t>Liver samples stored in Eppendorf</w:t>
      </w:r>
      <w:r w:rsidRPr="00524CD7">
        <w:rPr>
          <w:rFonts w:cstheme="minorHAnsi"/>
          <w:color w:val="000000" w:themeColor="text1"/>
          <w:vertAlign w:val="superscript"/>
          <w:lang w:val="en-US"/>
        </w:rPr>
        <w:t>®</w:t>
      </w:r>
      <w:r w:rsidRPr="00524CD7">
        <w:rPr>
          <w:rFonts w:cstheme="minorHAnsi"/>
          <w:color w:val="000000" w:themeColor="text1"/>
          <w:lang w:val="en-US"/>
        </w:rPr>
        <w:t xml:space="preserve"> tubes </w:t>
      </w:r>
      <w:r w:rsidRPr="00524CD7">
        <w:rPr>
          <w:rFonts w:cstheme="minorHAnsi"/>
          <w:noProof/>
          <w:color w:val="000000" w:themeColor="text1"/>
          <w:lang w:val="en-US"/>
        </w:rPr>
        <w:t>were weighed</w:t>
      </w:r>
      <w:r w:rsidRPr="00524CD7">
        <w:rPr>
          <w:rFonts w:cstheme="minorHAnsi"/>
          <w:color w:val="000000" w:themeColor="text1"/>
          <w:lang w:val="en-US"/>
        </w:rPr>
        <w:t xml:space="preserve"> before and after </w:t>
      </w:r>
      <w:proofErr w:type="spellStart"/>
      <w:r w:rsidRPr="00524CD7">
        <w:rPr>
          <w:rFonts w:cstheme="minorHAnsi"/>
          <w:color w:val="000000" w:themeColor="text1"/>
          <w:lang w:val="en-US"/>
        </w:rPr>
        <w:t>lyophilisation</w:t>
      </w:r>
      <w:proofErr w:type="spellEnd"/>
      <w:r w:rsidRPr="00524CD7">
        <w:rPr>
          <w:rFonts w:cstheme="minorHAnsi"/>
          <w:color w:val="000000" w:themeColor="text1"/>
          <w:lang w:val="en-US"/>
        </w:rPr>
        <w:t xml:space="preserve">. Freeze-dried samples were digested using purified nitric acid and kept at room temperature upon five days. The </w:t>
      </w:r>
      <w:r w:rsidR="00AD2A18" w:rsidRPr="00524CD7">
        <w:rPr>
          <w:rFonts w:cstheme="minorHAnsi"/>
          <w:color w:val="000000" w:themeColor="text1"/>
          <w:lang w:val="en-US"/>
        </w:rPr>
        <w:t xml:space="preserve">digestion </w:t>
      </w:r>
      <w:r w:rsidRPr="00524CD7">
        <w:rPr>
          <w:rFonts w:cstheme="minorHAnsi"/>
          <w:color w:val="000000" w:themeColor="text1"/>
          <w:lang w:val="en-US"/>
        </w:rPr>
        <w:t>protocol was adapted from Borgmann</w:t>
      </w:r>
      <w:r w:rsidR="00AD2A18" w:rsidRPr="00524CD7">
        <w:rPr>
          <w:rFonts w:cstheme="minorHAnsi"/>
          <w:color w:val="000000" w:themeColor="text1"/>
          <w:lang w:val="en-US"/>
        </w:rPr>
        <w:t xml:space="preserve"> </w:t>
      </w:r>
      <w:r w:rsidR="00AD2A18" w:rsidRPr="00524CD7">
        <w:rPr>
          <w:rFonts w:cstheme="minorHAnsi"/>
          <w:color w:val="000000" w:themeColor="text1"/>
          <w:lang w:val="en-US"/>
        </w:rPr>
        <w:fldChar w:fldCharType="begin"/>
      </w:r>
      <w:r w:rsidR="00AA361B">
        <w:rPr>
          <w:rFonts w:cstheme="minorHAnsi"/>
          <w:color w:val="000000" w:themeColor="text1"/>
          <w:lang w:val="en-US"/>
        </w:rPr>
        <w:instrText xml:space="preserve"> ADDIN ZOTERO_ITEM CSL_CITATION {"citationID":"OK7VQllZ","properties":{"formattedCitation":"[1]","plainCitation":"[1]","noteIndex":0},"citationItems":[{"id":7878,"uris":["http://zotero.org/users/3085162/items/4LT5R49E"],"uri":["http://zotero.org/users/3085162/items/4LT5R49E"],"itemData":{"id":7878,"type":"article-journal","abstract":"Bioaccumulation and chronic toxicity of nickel (Ni) to Hyalella azteca in Ni-spiked sediments was strongly affected by the source of sediment used. The total range in LC50s on a sediment concentration basis ranged over 20 fold. Differences in Ni toxicity generally matched differences in Ni bioaccumulation, and toxicity expressed on a body concentration basis varied less than three fold. Body concentrations, therefore, provide a much more reliable prediction of Ni toxicity in sediments than do concentrations in the sediment. Ni in overlying water was also a reliable predictor of Ni toxicity, but only in tests conducted in Imhoff settling cones with large (67:1) water to sediment ratios. Overlying water LC50s for tests in beakers varied 18 fold. Sediment and body concentrations of Ni tolerated by Hyalella were slightly higher in cones than in beakers. Reproduction was not affected significantly by Ni at concentrations below the LC50 and 10-week EC50s for survival and biomass production (including survival, growth and reproduction) were only marginally lower than 4-week EC50s (survival and growth only).","container-title":"Environmental Pollution (Barking, Essex: 1987)","ISSN":"0269-7491","issue":"2","journalAbbreviation":"Environ. Pollut.","language":"eng","note":"00068 \nPMID: 11202722","page":"189-198","source":"PubMed","title":"Quantification of bioavailable nickel in sediments and toxic thresholds to Hyalella azteca","volume":"111","author":[{"family":"Borgmann","given":"U."},{"family":"Néron","given":"R."},{"family":"Norwood","given":"W. P."}],"issued":{"date-parts":[["2001"]]}}}],"schema":"https://github.com/citation-style-language/schema/raw/master/csl-citation.json"} </w:instrText>
      </w:r>
      <w:r w:rsidR="00AD2A18" w:rsidRPr="00524CD7">
        <w:rPr>
          <w:rFonts w:cstheme="minorHAnsi"/>
          <w:color w:val="000000" w:themeColor="text1"/>
          <w:lang w:val="en-US"/>
        </w:rPr>
        <w:fldChar w:fldCharType="separate"/>
      </w:r>
      <w:r w:rsidR="00AA361B" w:rsidRPr="00AA361B">
        <w:rPr>
          <w:rFonts w:ascii="Calibri" w:cs="Calibri"/>
          <w:lang w:val="en-US"/>
        </w:rPr>
        <w:t>[1]</w:t>
      </w:r>
      <w:r w:rsidR="00AD2A18" w:rsidRPr="00524CD7">
        <w:rPr>
          <w:rFonts w:cstheme="minorHAnsi"/>
          <w:color w:val="000000" w:themeColor="text1"/>
          <w:lang w:val="en-US"/>
        </w:rPr>
        <w:fldChar w:fldCharType="end"/>
      </w:r>
      <w:r w:rsidR="00AD2A18" w:rsidRPr="00524CD7">
        <w:rPr>
          <w:rFonts w:cstheme="minorHAnsi"/>
          <w:color w:val="000000" w:themeColor="text1"/>
          <w:lang w:val="en-US"/>
        </w:rPr>
        <w:t xml:space="preserve"> and recently modified </w:t>
      </w:r>
      <w:r w:rsidR="00AD2A18" w:rsidRPr="00524CD7">
        <w:rPr>
          <w:rFonts w:cstheme="minorHAnsi"/>
          <w:color w:val="000000" w:themeColor="text1"/>
          <w:lang w:val="en-US"/>
        </w:rPr>
        <w:fldChar w:fldCharType="begin"/>
      </w:r>
      <w:r w:rsidR="00AA361B">
        <w:rPr>
          <w:rFonts w:cstheme="minorHAnsi"/>
          <w:color w:val="000000" w:themeColor="text1"/>
          <w:lang w:val="en-US"/>
        </w:rPr>
        <w:instrText xml:space="preserve"> ADDIN ZOTERO_ITEM CSL_CITATION {"citationID":"9Mxunt35","properties":{"formattedCitation":"[2]","plainCitation":"[2]","noteIndex":0},"citationItems":[{"id":217,"uris":["http://zotero.org/users/3085162/items/I54EZDDB"],"uri":["http://zotero.org/users/3085162/items/I54EZDDB"],"itemData":{"id":217,"type":"article-journal","container-title":"Ecotoxicology","DOI":"10.1007/s10646-009-0320-7","ISSN":"0963-9292, 1573-3017","issue":"5","language":"en","page":"620-631","source":"CrossRef","title":"Transcriptional responses to environmental metal exposure in wild yellow perch (Perca flavescens) collected in lakes with differing environmental metal concentrations (Cd, Cu, Ni)","URL":"http://link.springer.com/10.1007/s10646-009-0320-7","volume":"18","author":[{"family":"Pierron","given":"Fabien"},{"family":"Bourret","given":"Vincent"},{"family":"St-Cyr","given":"Jérôme"},{"family":"Campbell","given":"Peter G. C."},{"family":"Bernatchez","given":"Louis"},{"family":"Couture","given":"Patrice"}],"accessed":{"date-parts":[["2014",9,3]]},"issued":{"date-parts":[["2009",7]]}}}],"schema":"https://github.com/citation-style-language/schema/raw/master/csl-citation.json"} </w:instrText>
      </w:r>
      <w:r w:rsidR="00AD2A18" w:rsidRPr="00524CD7">
        <w:rPr>
          <w:rFonts w:cstheme="minorHAnsi"/>
          <w:color w:val="000000" w:themeColor="text1"/>
          <w:lang w:val="en-US"/>
        </w:rPr>
        <w:fldChar w:fldCharType="separate"/>
      </w:r>
      <w:r w:rsidR="00AA361B" w:rsidRPr="00AA361B">
        <w:rPr>
          <w:rFonts w:ascii="Calibri" w:cs="Calibri"/>
        </w:rPr>
        <w:t>[2]</w:t>
      </w:r>
      <w:r w:rsidR="00AD2A18" w:rsidRPr="00524CD7">
        <w:rPr>
          <w:rFonts w:cstheme="minorHAnsi"/>
          <w:color w:val="000000" w:themeColor="text1"/>
          <w:lang w:val="en-US"/>
        </w:rPr>
        <w:fldChar w:fldCharType="end"/>
      </w:r>
      <w:r w:rsidR="00AD2A18" w:rsidRPr="00524CD7">
        <w:rPr>
          <w:rFonts w:cstheme="minorHAnsi"/>
          <w:color w:val="000000" w:themeColor="text1"/>
          <w:lang w:val="en-US"/>
        </w:rPr>
        <w:t>.</w:t>
      </w:r>
      <w:r w:rsidR="00AA361B">
        <w:rPr>
          <w:rFonts w:cstheme="minorHAnsi"/>
          <w:color w:val="000000" w:themeColor="text1"/>
          <w:lang w:val="en-US"/>
        </w:rPr>
        <w:t xml:space="preserve"> </w:t>
      </w:r>
      <w:r w:rsidRPr="00524CD7">
        <w:rPr>
          <w:rFonts w:cstheme="minorHAnsi"/>
          <w:color w:val="000000" w:themeColor="text1"/>
          <w:lang w:val="en-US"/>
        </w:rPr>
        <w:t xml:space="preserve">The method validity was always verified at INRS using internal standards (DOLT-4, Dogfish liver) certified reference material for trace metals, National Research Council of Canada (NRC-CNRC); TORT-3, lobster hepatopancreas (NRC-CNRC, Ottawa, ON). The digested samples </w:t>
      </w:r>
      <w:r w:rsidRPr="00524CD7">
        <w:rPr>
          <w:rFonts w:cstheme="minorHAnsi"/>
          <w:noProof/>
          <w:color w:val="000000" w:themeColor="text1"/>
          <w:lang w:val="en-US"/>
        </w:rPr>
        <w:t>were diluted</w:t>
      </w:r>
      <w:r w:rsidRPr="00524CD7">
        <w:rPr>
          <w:rFonts w:cstheme="minorHAnsi"/>
          <w:color w:val="000000" w:themeColor="text1"/>
          <w:lang w:val="en-US"/>
        </w:rPr>
        <w:t xml:space="preserve"> with distilled water and the concentration of Cd, Cu and Zn were measured using ICPMS machine at INRS. </w:t>
      </w:r>
      <w:r w:rsidRPr="00524CD7">
        <w:rPr>
          <w:rFonts w:cstheme="minorHAnsi"/>
          <w:lang w:val="en-US"/>
        </w:rPr>
        <w:t xml:space="preserve">The metals concentrations were </w:t>
      </w:r>
      <w:proofErr w:type="spellStart"/>
      <w:r w:rsidRPr="00524CD7">
        <w:rPr>
          <w:rFonts w:cstheme="minorHAnsi"/>
          <w:lang w:val="en-US"/>
        </w:rPr>
        <w:t>analysed</w:t>
      </w:r>
      <w:proofErr w:type="spellEnd"/>
      <w:r w:rsidRPr="00524CD7">
        <w:rPr>
          <w:rFonts w:cstheme="minorHAnsi"/>
          <w:lang w:val="en-US"/>
        </w:rPr>
        <w:t xml:space="preserve"> using two-way analysis of variance (ANOVA) of two independent factors, time and treatment. Depending on the normality of the metal’s concentration distribution inspected with the Shapiro test, the interactions between time and treatment factors were </w:t>
      </w:r>
      <w:proofErr w:type="spellStart"/>
      <w:r w:rsidRPr="00524CD7">
        <w:rPr>
          <w:rFonts w:cstheme="minorHAnsi"/>
          <w:lang w:val="en-US"/>
        </w:rPr>
        <w:t>analysed</w:t>
      </w:r>
      <w:proofErr w:type="spellEnd"/>
      <w:r w:rsidRPr="00524CD7">
        <w:rPr>
          <w:rFonts w:cstheme="minorHAnsi"/>
          <w:lang w:val="en-US"/>
        </w:rPr>
        <w:t xml:space="preserve"> using the Tukey’s test and Wilcoxon rank test</w:t>
      </w:r>
    </w:p>
    <w:p w14:paraId="2C268B52" w14:textId="77777777" w:rsidR="003E5D31" w:rsidRPr="00524CD7" w:rsidRDefault="00C14F10" w:rsidP="002B492A">
      <w:pPr>
        <w:spacing w:line="480" w:lineRule="auto"/>
        <w:jc w:val="both"/>
        <w:outlineLvl w:val="0"/>
        <w:rPr>
          <w:rFonts w:cstheme="minorHAnsi"/>
          <w:lang w:val="en-US"/>
        </w:rPr>
      </w:pPr>
      <w:r w:rsidRPr="00524CD7">
        <w:rPr>
          <w:rFonts w:cstheme="minorHAnsi"/>
          <w:b/>
          <w:color w:val="000000" w:themeColor="text1"/>
          <w:lang w:val="en-US"/>
        </w:rPr>
        <w:t>Fish rearing</w:t>
      </w:r>
      <w:r w:rsidRPr="00524CD7">
        <w:rPr>
          <w:rFonts w:cstheme="minorHAnsi"/>
          <w:lang w:val="en-US"/>
        </w:rPr>
        <w:t>.</w:t>
      </w:r>
    </w:p>
    <w:p w14:paraId="5DBB85EE" w14:textId="2FE59D2C" w:rsidR="003E5D31" w:rsidRPr="00524CD7" w:rsidRDefault="00C14F10" w:rsidP="002B492A">
      <w:pPr>
        <w:spacing w:line="480" w:lineRule="auto"/>
        <w:jc w:val="both"/>
        <w:outlineLvl w:val="0"/>
        <w:rPr>
          <w:rFonts w:cstheme="minorHAnsi"/>
          <w:lang w:val="en-US"/>
        </w:rPr>
      </w:pPr>
      <w:r w:rsidRPr="00524CD7">
        <w:rPr>
          <w:rFonts w:cstheme="minorHAnsi"/>
          <w:lang w:val="en-US"/>
        </w:rPr>
        <w:t xml:space="preserve">Two weeks after hatching, Yellow perch juveniles (size/weight) were transported in controlled temperature from </w:t>
      </w:r>
      <w:proofErr w:type="spellStart"/>
      <w:r w:rsidRPr="00524CD7">
        <w:rPr>
          <w:rFonts w:cstheme="minorHAnsi"/>
          <w:lang w:val="en-US"/>
        </w:rPr>
        <w:t>Kinmount</w:t>
      </w:r>
      <w:proofErr w:type="spellEnd"/>
      <w:r w:rsidRPr="00524CD7">
        <w:rPr>
          <w:rFonts w:cstheme="minorHAnsi"/>
          <w:lang w:val="en-US"/>
        </w:rPr>
        <w:t xml:space="preserve"> Fish Farm (Ontario, Canada) to the LARSA (</w:t>
      </w:r>
      <w:proofErr w:type="spellStart"/>
      <w:r w:rsidRPr="00524CD7">
        <w:rPr>
          <w:rFonts w:cstheme="minorHAnsi"/>
          <w:lang w:val="en-US"/>
        </w:rPr>
        <w:t>Laboratoire</w:t>
      </w:r>
      <w:proofErr w:type="spellEnd"/>
      <w:r w:rsidRPr="00524CD7">
        <w:rPr>
          <w:rFonts w:cstheme="minorHAnsi"/>
          <w:lang w:val="en-US"/>
        </w:rPr>
        <w:t xml:space="preserve"> de Recherche </w:t>
      </w:r>
      <w:proofErr w:type="spellStart"/>
      <w:r w:rsidRPr="00524CD7">
        <w:rPr>
          <w:rFonts w:cstheme="minorHAnsi"/>
          <w:lang w:val="en-US"/>
        </w:rPr>
        <w:t>en</w:t>
      </w:r>
      <w:proofErr w:type="spellEnd"/>
      <w:r w:rsidRPr="00524CD7">
        <w:rPr>
          <w:rFonts w:cstheme="minorHAnsi"/>
          <w:lang w:val="en-US"/>
        </w:rPr>
        <w:t xml:space="preserve"> Sciences </w:t>
      </w:r>
      <w:proofErr w:type="spellStart"/>
      <w:r w:rsidR="007C310B" w:rsidRPr="00524CD7">
        <w:rPr>
          <w:rFonts w:cstheme="minorHAnsi"/>
          <w:lang w:val="en-US"/>
        </w:rPr>
        <w:t>Aquatiques</w:t>
      </w:r>
      <w:proofErr w:type="spellEnd"/>
      <w:r w:rsidR="007C310B" w:rsidRPr="00524CD7">
        <w:rPr>
          <w:rFonts w:cstheme="minorHAnsi"/>
          <w:lang w:val="en-US"/>
        </w:rPr>
        <w:t>)</w:t>
      </w:r>
      <w:r w:rsidRPr="00524CD7">
        <w:rPr>
          <w:rFonts w:cstheme="minorHAnsi"/>
          <w:lang w:val="en-US"/>
        </w:rPr>
        <w:t>. The perch were kept in four 1 m</w:t>
      </w:r>
      <w:r w:rsidRPr="00524CD7">
        <w:rPr>
          <w:rFonts w:cstheme="minorHAnsi"/>
          <w:vertAlign w:val="superscript"/>
          <w:lang w:val="en-US"/>
        </w:rPr>
        <w:t>3</w:t>
      </w:r>
      <w:r w:rsidRPr="00524CD7">
        <w:rPr>
          <w:rFonts w:cstheme="minorHAnsi"/>
          <w:lang w:val="en-US"/>
        </w:rPr>
        <w:t xml:space="preserve"> indoor tanks for quarantine and acclimation in open circuit. They </w:t>
      </w:r>
      <w:r w:rsidRPr="00524CD7">
        <w:rPr>
          <w:rFonts w:cstheme="minorHAnsi"/>
          <w:noProof/>
          <w:lang w:val="en-US"/>
        </w:rPr>
        <w:t>were held</w:t>
      </w:r>
      <w:r w:rsidRPr="00524CD7">
        <w:rPr>
          <w:rFonts w:cstheme="minorHAnsi"/>
          <w:lang w:val="en-US"/>
        </w:rPr>
        <w:t xml:space="preserve"> under natural photoperiod conditions</w:t>
      </w:r>
      <w:r w:rsidR="002B492A" w:rsidRPr="00524CD7">
        <w:rPr>
          <w:rFonts w:cstheme="minorHAnsi"/>
          <w:lang w:val="en-US"/>
        </w:rPr>
        <w:t>,</w:t>
      </w:r>
      <w:r w:rsidRPr="00524CD7">
        <w:rPr>
          <w:rFonts w:cstheme="minorHAnsi"/>
          <w:lang w:val="en-US"/>
        </w:rPr>
        <w:t xml:space="preserve"> </w:t>
      </w:r>
      <w:r w:rsidRPr="00524CD7">
        <w:rPr>
          <w:rFonts w:cstheme="minorHAnsi"/>
          <w:noProof/>
          <w:lang w:val="en-US"/>
        </w:rPr>
        <w:t>and</w:t>
      </w:r>
      <w:r w:rsidRPr="00524CD7">
        <w:rPr>
          <w:rFonts w:cstheme="minorHAnsi"/>
          <w:lang w:val="en-US"/>
        </w:rPr>
        <w:t xml:space="preserve"> </w:t>
      </w:r>
      <w:r w:rsidR="002B492A" w:rsidRPr="00524CD7">
        <w:rPr>
          <w:rFonts w:cstheme="minorHAnsi"/>
          <w:lang w:val="en-US"/>
        </w:rPr>
        <w:t xml:space="preserve">the </w:t>
      </w:r>
      <w:r w:rsidRPr="00524CD7">
        <w:rPr>
          <w:rFonts w:cstheme="minorHAnsi"/>
          <w:noProof/>
          <w:lang w:val="en-US"/>
        </w:rPr>
        <w:t>temperature</w:t>
      </w:r>
      <w:r w:rsidRPr="00524CD7">
        <w:rPr>
          <w:rFonts w:cstheme="minorHAnsi"/>
          <w:lang w:val="en-US"/>
        </w:rPr>
        <w:t xml:space="preserve"> </w:t>
      </w:r>
      <w:r w:rsidRPr="00524CD7">
        <w:rPr>
          <w:rFonts w:cstheme="minorHAnsi"/>
          <w:noProof/>
          <w:lang w:val="en-US"/>
        </w:rPr>
        <w:t>was set</w:t>
      </w:r>
      <w:r w:rsidRPr="00524CD7">
        <w:rPr>
          <w:rFonts w:cstheme="minorHAnsi"/>
          <w:lang w:val="en-US"/>
        </w:rPr>
        <w:t xml:space="preserve"> at </w:t>
      </w:r>
      <w:r w:rsidRPr="00524CD7">
        <w:rPr>
          <w:rFonts w:cstheme="minorHAnsi"/>
          <w:lang w:val="en-US"/>
        </w:rPr>
        <w:lastRenderedPageBreak/>
        <w:t xml:space="preserve">20°C. After three weeks of acclimation, the temperature was gradually lowered 1°C every 48 hours until </w:t>
      </w:r>
      <w:r w:rsidR="002B492A" w:rsidRPr="00524CD7">
        <w:rPr>
          <w:rFonts w:cstheme="minorHAnsi"/>
          <w:lang w:val="en-US"/>
        </w:rPr>
        <w:t xml:space="preserve">it </w:t>
      </w:r>
      <w:r w:rsidRPr="00524CD7">
        <w:rPr>
          <w:rFonts w:cstheme="minorHAnsi"/>
          <w:noProof/>
          <w:lang w:val="en-US"/>
        </w:rPr>
        <w:t>reached</w:t>
      </w:r>
      <w:r w:rsidRPr="00524CD7">
        <w:rPr>
          <w:rFonts w:cstheme="minorHAnsi"/>
          <w:lang w:val="en-US"/>
        </w:rPr>
        <w:t xml:space="preserve"> 11°C. The perch </w:t>
      </w:r>
      <w:r w:rsidRPr="00524CD7">
        <w:rPr>
          <w:rFonts w:cstheme="minorHAnsi"/>
          <w:noProof/>
          <w:lang w:val="en-US"/>
        </w:rPr>
        <w:t>were randomly distributed</w:t>
      </w:r>
      <w:r w:rsidRPr="00524CD7">
        <w:rPr>
          <w:rFonts w:cstheme="minorHAnsi"/>
          <w:lang w:val="en-US"/>
        </w:rPr>
        <w:t xml:space="preserve"> in 24 tanks (50 fish per tank) of 36 L each tank was an independent filtering system circuit. The fish juveniles were daily feed from the beginning to the end of the experience. After an acclimation period of two weeks in independent tanks, selection regimes of Cadmium started.</w:t>
      </w:r>
    </w:p>
    <w:p w14:paraId="28872184" w14:textId="77777777" w:rsidR="00524CD7" w:rsidRDefault="00C14F10" w:rsidP="002B492A">
      <w:pPr>
        <w:spacing w:line="480" w:lineRule="auto"/>
        <w:jc w:val="both"/>
        <w:rPr>
          <w:rFonts w:cstheme="minorHAnsi"/>
          <w:b/>
          <w:color w:val="000000" w:themeColor="text1"/>
          <w:lang w:val="en-US"/>
        </w:rPr>
      </w:pPr>
      <w:r w:rsidRPr="00524CD7">
        <w:rPr>
          <w:rFonts w:cstheme="minorHAnsi"/>
          <w:b/>
          <w:color w:val="000000" w:themeColor="text1"/>
          <w:lang w:val="en-US"/>
        </w:rPr>
        <w:t xml:space="preserve">Ethics statement. </w:t>
      </w:r>
    </w:p>
    <w:p w14:paraId="696C333C" w14:textId="4F11E976" w:rsidR="003E5D31" w:rsidRPr="00524CD7" w:rsidRDefault="00C14F10" w:rsidP="002B492A">
      <w:pPr>
        <w:spacing w:line="480" w:lineRule="auto"/>
        <w:jc w:val="both"/>
        <w:rPr>
          <w:rFonts w:cstheme="minorHAnsi"/>
          <w:b/>
          <w:color w:val="000000" w:themeColor="text1"/>
          <w:lang w:val="en-US"/>
        </w:rPr>
      </w:pPr>
      <w:r w:rsidRPr="00524CD7">
        <w:rPr>
          <w:rFonts w:cstheme="minorHAnsi"/>
          <w:color w:val="000000" w:themeColor="text1"/>
          <w:lang w:val="en-US"/>
        </w:rPr>
        <w:t xml:space="preserve">This experiment and protocol </w:t>
      </w:r>
      <w:r w:rsidRPr="00524CD7">
        <w:rPr>
          <w:rFonts w:cstheme="minorHAnsi"/>
          <w:noProof/>
          <w:color w:val="000000" w:themeColor="text1"/>
          <w:lang w:val="en-US"/>
        </w:rPr>
        <w:t>were approved</w:t>
      </w:r>
      <w:r w:rsidRPr="00524CD7">
        <w:rPr>
          <w:rFonts w:cstheme="minorHAnsi"/>
          <w:color w:val="000000" w:themeColor="text1"/>
          <w:lang w:val="en-US"/>
        </w:rPr>
        <w:t xml:space="preserve"> by the Ethics Committee for the Use of Animals of Laval University (number 027/2015). All methods were carried out by the approved guidelines.</w:t>
      </w:r>
    </w:p>
    <w:p w14:paraId="6F180810" w14:textId="77777777" w:rsidR="00524CD7" w:rsidRDefault="00C14F10" w:rsidP="002B492A">
      <w:pPr>
        <w:spacing w:line="480" w:lineRule="auto"/>
        <w:jc w:val="both"/>
        <w:rPr>
          <w:rFonts w:cstheme="minorHAnsi"/>
          <w:lang w:val="en-US"/>
        </w:rPr>
      </w:pPr>
      <w:r w:rsidRPr="00524CD7">
        <w:rPr>
          <w:rFonts w:cstheme="minorHAnsi"/>
          <w:b/>
          <w:color w:val="000000" w:themeColor="text1"/>
          <w:lang w:val="en-US"/>
        </w:rPr>
        <w:t>Exposure regimes to cadmium</w:t>
      </w:r>
      <w:r w:rsidRPr="00524CD7">
        <w:rPr>
          <w:rFonts w:cstheme="minorHAnsi"/>
          <w:lang w:val="en-US"/>
        </w:rPr>
        <w:t xml:space="preserve">. </w:t>
      </w:r>
    </w:p>
    <w:p w14:paraId="76F664A1" w14:textId="5FD11A30" w:rsidR="003E5D31" w:rsidRPr="00524CD7" w:rsidRDefault="00C14F10" w:rsidP="002B492A">
      <w:pPr>
        <w:spacing w:line="480" w:lineRule="auto"/>
        <w:jc w:val="both"/>
        <w:rPr>
          <w:rFonts w:cstheme="minorHAnsi"/>
          <w:lang w:val="en-US"/>
        </w:rPr>
      </w:pPr>
      <w:r w:rsidRPr="00524CD7">
        <w:rPr>
          <w:rFonts w:cstheme="minorHAnsi"/>
          <w:lang w:val="en-US"/>
        </w:rPr>
        <w:t xml:space="preserve">Control and </w:t>
      </w:r>
      <w:r w:rsidRPr="00524CD7">
        <w:rPr>
          <w:rFonts w:cstheme="minorHAnsi"/>
          <w:noProof/>
          <w:lang w:val="en-US"/>
        </w:rPr>
        <w:t>Cd</w:t>
      </w:r>
      <w:r w:rsidR="002B492A" w:rsidRPr="00524CD7">
        <w:rPr>
          <w:rFonts w:cstheme="minorHAnsi"/>
          <w:noProof/>
          <w:lang w:val="en-US"/>
        </w:rPr>
        <w:t>-</w:t>
      </w:r>
      <w:r w:rsidRPr="00524CD7">
        <w:rPr>
          <w:rFonts w:cstheme="minorHAnsi"/>
          <w:noProof/>
          <w:lang w:val="en-US"/>
        </w:rPr>
        <w:t>treated</w:t>
      </w:r>
      <w:r w:rsidRPr="00524CD7">
        <w:rPr>
          <w:rFonts w:cstheme="minorHAnsi"/>
          <w:lang w:val="en-US"/>
        </w:rPr>
        <w:t xml:space="preserve"> tanks were randomly labelled. The experiment </w:t>
      </w:r>
      <w:r w:rsidRPr="00524CD7">
        <w:rPr>
          <w:rFonts w:cstheme="minorHAnsi"/>
          <w:noProof/>
          <w:lang w:val="en-US"/>
        </w:rPr>
        <w:t>was designed</w:t>
      </w:r>
      <w:r w:rsidRPr="00524CD7">
        <w:rPr>
          <w:rFonts w:cstheme="minorHAnsi"/>
          <w:lang w:val="en-US"/>
        </w:rPr>
        <w:t xml:space="preserve"> for two cadmium exposure regimes (8 tanks per regime), and one negative control regime (8 tanks). In treated tanks, fish </w:t>
      </w:r>
      <w:r w:rsidRPr="00524CD7">
        <w:rPr>
          <w:rFonts w:cstheme="minorHAnsi"/>
          <w:noProof/>
          <w:lang w:val="en-US"/>
        </w:rPr>
        <w:t>were exposed</w:t>
      </w:r>
      <w:r w:rsidRPr="00524CD7">
        <w:rPr>
          <w:rFonts w:cstheme="minorHAnsi"/>
          <w:lang w:val="en-US"/>
        </w:rPr>
        <w:t xml:space="preserve"> to cadmium chloride (CdCl</w:t>
      </w:r>
      <w:r w:rsidRPr="00524CD7">
        <w:rPr>
          <w:rFonts w:cstheme="minorHAnsi"/>
          <w:vertAlign w:val="subscript"/>
          <w:lang w:val="en-US"/>
        </w:rPr>
        <w:t>2</w:t>
      </w:r>
      <w:r w:rsidRPr="00524CD7">
        <w:rPr>
          <w:rFonts w:cstheme="minorHAnsi"/>
          <w:lang w:val="en-US"/>
        </w:rPr>
        <w:t xml:space="preserve">) provided by Sigma-Aldrich (&gt; 99.9% purity). The Cadmium </w:t>
      </w:r>
      <w:r w:rsidRPr="00524CD7">
        <w:rPr>
          <w:rFonts w:cstheme="minorHAnsi"/>
          <w:noProof/>
          <w:lang w:val="en-US"/>
        </w:rPr>
        <w:t>was dissolved</w:t>
      </w:r>
      <w:r w:rsidRPr="00524CD7">
        <w:rPr>
          <w:rFonts w:cstheme="minorHAnsi"/>
          <w:lang w:val="en-US"/>
        </w:rPr>
        <w:t xml:space="preserve"> in water following an increasing concentration gradient. For the constant concentration regime (CC), initially added at 0.8 ppb, Cd concentration was gradually increased every five days to reach a maximal concentration at the end of the first month (T1). This maximal concentration was maintained two months until the end of treatment (third month, T3). For the variable concentration regime (CV), initially added at 0.6 ppb, Cd concentration was increased every five days to reach the maximal concentration at the end of treatment (third month, T3). The maximal Cd concentration was empirically set at </w:t>
      </w:r>
      <w:r w:rsidR="002B492A" w:rsidRPr="00524CD7">
        <w:rPr>
          <w:rFonts w:cstheme="minorHAnsi"/>
          <w:noProof/>
          <w:lang w:val="en-US"/>
        </w:rPr>
        <w:t>nine</w:t>
      </w:r>
      <w:r w:rsidRPr="00524CD7">
        <w:rPr>
          <w:rFonts w:cstheme="minorHAnsi"/>
          <w:lang w:val="en-US"/>
        </w:rPr>
        <w:t xml:space="preserve"> ug/L as it is the highest Cd concentration tolerated by yellow perch in contaminated Canadian lakes</w:t>
      </w:r>
      <w:r w:rsidR="00AD2A18" w:rsidRPr="00524CD7">
        <w:rPr>
          <w:rFonts w:cstheme="minorHAnsi"/>
          <w:lang w:val="en-US"/>
        </w:rPr>
        <w:t xml:space="preserve"> </w:t>
      </w:r>
      <w:r w:rsidR="00AD2A18" w:rsidRPr="00524CD7">
        <w:rPr>
          <w:rFonts w:cstheme="minorHAnsi"/>
          <w:lang w:val="en-US"/>
        </w:rPr>
        <w:fldChar w:fldCharType="begin"/>
      </w:r>
      <w:r w:rsidR="00AA361B">
        <w:rPr>
          <w:rFonts w:cstheme="minorHAnsi"/>
          <w:lang w:val="en-US"/>
        </w:rPr>
        <w:instrText xml:space="preserve"> ADDIN ZOTERO_ITEM CSL_CITATION {"citationID":"Y3UmdnR0","properties":{"formattedCitation":"[3]","plainCitation":"[3]","noteIndex":0},"citationItems":[{"id":917,"uris":["http://zotero.org/users/3085162/items/RI348FG2"],"uri":["http://zotero.org/users/3085162/items/RI348FG2"],"itemData":{"id":917,"type":"article-journal","abstract":"The influences of metal contamination, fish size, season, and region on tissue\nmetabolic capacities and protein concentrations were examined in yellow perch from\ntwo metal gradients (Sudbury, Ontario, and Rouyn-Noranda, Qu´ebec, Canada) in\ntwo seasons (spring and summer). In general, increased tissue Cu and Cd contamination\nwas associated with lower aerobic capacities, suggesting direct metal inhibition\nof aerobic enzymes. However, our data also revealed that tissue Ni contamination\npositively affected aerobic capacities, possibly due to oxidative damage to mitochondrial\nmembranes leading to compensatory increases in the activity of mitochondrial\nenzymes. Tissue aerobic capacities decreased, but anaerobic capacities increased,\nwith size. Tissue protein concentrations and metabolic capacities were also influenced\nby season. A novel finding of this study is that size-corrected tissue enzyme\nactivities can differ markedly in yellow perch sampled in the same season in similar\nlakes, but separated by a few hundred kilometers. Overall, the results from this large\ndataset support that tissue metabolic capacities are under seasonal and regional\ninfluences, but are also affected by metal contamination. Our study indicates that\ntissue metabolic enzyme activities should be considered as a tool for ecological risk\nassessment studies aiming at detecting metal stress in wild fish. However, fish should\nbe sampled over a short period, and reference sites should be close to contaminated\nsites","language":"en_CA","source":"www.uleth.ca","title":"Seasonal and regional variations in metal contamination and condition indicators in yellow perch (Perca flavescens) along two polymetallic gradients. III. Energetic and physiological indicators","URL":"http://www.uleth.ca/dspace/handle/10133/3445","author":[{"family":"Couture","given":"Patrice"},{"family":"Rajotte","given":"James W."},{"family":"Pyle","given":"Gregory"}],"accessed":{"date-parts":[["2015",11,11]]},"issued":{"date-parts":[["2008"]]}}}],"schema":"https://github.com/citation-style-language/schema/raw/master/csl-citation.json"} </w:instrText>
      </w:r>
      <w:r w:rsidR="00AD2A18" w:rsidRPr="00524CD7">
        <w:rPr>
          <w:rFonts w:cstheme="minorHAnsi"/>
          <w:lang w:val="en-US"/>
        </w:rPr>
        <w:fldChar w:fldCharType="separate"/>
      </w:r>
      <w:r w:rsidR="00AA361B" w:rsidRPr="00AA361B">
        <w:rPr>
          <w:rFonts w:ascii="Calibri" w:cs="Calibri"/>
        </w:rPr>
        <w:t>[3]</w:t>
      </w:r>
      <w:r w:rsidR="00AD2A18" w:rsidRPr="00524CD7">
        <w:rPr>
          <w:rFonts w:cstheme="minorHAnsi"/>
          <w:lang w:val="en-US"/>
        </w:rPr>
        <w:fldChar w:fldCharType="end"/>
      </w:r>
      <w:r w:rsidR="00AD2A18" w:rsidRPr="00524CD7">
        <w:rPr>
          <w:rFonts w:cstheme="minorHAnsi"/>
          <w:lang w:val="en-US"/>
        </w:rPr>
        <w:t>.</w:t>
      </w:r>
      <w:r w:rsidR="00AA361B">
        <w:rPr>
          <w:rFonts w:cstheme="minorHAnsi"/>
          <w:lang w:val="en-US"/>
        </w:rPr>
        <w:t xml:space="preserve"> </w:t>
      </w:r>
      <w:r w:rsidRPr="00524CD7">
        <w:rPr>
          <w:rFonts w:cstheme="minorHAnsi"/>
          <w:lang w:val="en-US"/>
        </w:rPr>
        <w:t xml:space="preserve">The Cd exposure </w:t>
      </w:r>
      <w:r w:rsidRPr="00524CD7">
        <w:rPr>
          <w:rFonts w:cstheme="minorHAnsi"/>
          <w:noProof/>
          <w:lang w:val="en-US"/>
        </w:rPr>
        <w:t>was stopped</w:t>
      </w:r>
      <w:r w:rsidRPr="00524CD7">
        <w:rPr>
          <w:rFonts w:cstheme="minorHAnsi"/>
          <w:lang w:val="en-US"/>
        </w:rPr>
        <w:t xml:space="preserve"> after three months at T3. </w:t>
      </w:r>
      <w:r w:rsidR="002B492A" w:rsidRPr="00524CD7">
        <w:rPr>
          <w:rFonts w:cstheme="minorHAnsi"/>
          <w:noProof/>
          <w:lang w:val="en-US"/>
        </w:rPr>
        <w:t xml:space="preserve">The resilience of </w:t>
      </w:r>
      <w:r w:rsidRPr="00524CD7">
        <w:rPr>
          <w:rFonts w:cstheme="minorHAnsi"/>
          <w:noProof/>
          <w:lang w:val="en-US"/>
        </w:rPr>
        <w:t>fish and water microbiota</w:t>
      </w:r>
      <w:r w:rsidR="002B492A" w:rsidRPr="00524CD7">
        <w:rPr>
          <w:rFonts w:cstheme="minorHAnsi"/>
          <w:lang w:val="en-US"/>
        </w:rPr>
        <w:t xml:space="preserve"> was the subject of </w:t>
      </w:r>
      <w:r w:rsidR="002B492A" w:rsidRPr="00524CD7">
        <w:rPr>
          <w:rFonts w:cstheme="minorHAnsi"/>
          <w:noProof/>
          <w:lang w:val="en-US"/>
        </w:rPr>
        <w:t>the next</w:t>
      </w:r>
      <w:r w:rsidR="002B492A" w:rsidRPr="00524CD7">
        <w:rPr>
          <w:rFonts w:cstheme="minorHAnsi"/>
          <w:lang w:val="en-US"/>
        </w:rPr>
        <w:t xml:space="preserve"> study, so </w:t>
      </w:r>
      <w:r w:rsidRPr="00524CD7">
        <w:rPr>
          <w:rFonts w:cstheme="minorHAnsi"/>
          <w:lang w:val="en-US"/>
        </w:rPr>
        <w:t xml:space="preserve">the experiment was extended two months after T3. Through all the experiment period, to maintain viable conditions for Perch in each water tank, </w:t>
      </w:r>
      <w:r w:rsidRPr="00524CD7">
        <w:rPr>
          <w:rFonts w:cstheme="minorHAnsi"/>
          <w:noProof/>
          <w:lang w:val="en-US"/>
        </w:rPr>
        <w:t>f</w:t>
      </w:r>
      <w:r w:rsidR="002B492A" w:rsidRPr="00524CD7">
        <w:rPr>
          <w:rFonts w:cstheme="minorHAnsi"/>
          <w:noProof/>
          <w:lang w:val="en-US"/>
        </w:rPr>
        <w:t>a</w:t>
      </w:r>
      <w:r w:rsidRPr="00524CD7">
        <w:rPr>
          <w:rFonts w:cstheme="minorHAnsi"/>
          <w:noProof/>
          <w:lang w:val="en-US"/>
        </w:rPr>
        <w:t>ecal</w:t>
      </w:r>
      <w:r w:rsidRPr="00524CD7">
        <w:rPr>
          <w:rFonts w:cstheme="minorHAnsi"/>
          <w:lang w:val="en-US"/>
        </w:rPr>
        <w:t xml:space="preserve"> and food particles were daily cleaned using specific pressing tubes of each experimental conditions. </w:t>
      </w:r>
      <w:r w:rsidRPr="00524CD7">
        <w:rPr>
          <w:rFonts w:cstheme="minorHAnsi"/>
          <w:lang w:val="en-US"/>
        </w:rPr>
        <w:lastRenderedPageBreak/>
        <w:t>Then, a volume of 15 L of water was renewed two times a week in each tank, according to the Cd concentration of each experimental group. Water pH was adjusted five days per week, ammonia (NH</w:t>
      </w:r>
      <w:r w:rsidRPr="00524CD7">
        <w:rPr>
          <w:rFonts w:cstheme="minorHAnsi"/>
          <w:vertAlign w:val="subscript"/>
          <w:lang w:val="en-US"/>
        </w:rPr>
        <w:t>3</w:t>
      </w:r>
      <w:r w:rsidRPr="00524CD7">
        <w:rPr>
          <w:rFonts w:cstheme="minorHAnsi"/>
          <w:lang w:val="en-US"/>
        </w:rPr>
        <w:t>) and nitrogen dioxide (NO</w:t>
      </w:r>
      <w:r w:rsidRPr="00524CD7">
        <w:rPr>
          <w:rFonts w:cstheme="minorHAnsi"/>
          <w:vertAlign w:val="subscript"/>
          <w:lang w:val="en-US"/>
        </w:rPr>
        <w:t>2</w:t>
      </w:r>
      <w:r w:rsidRPr="00524CD7">
        <w:rPr>
          <w:rFonts w:cstheme="minorHAnsi"/>
          <w:lang w:val="en-US"/>
        </w:rPr>
        <w:t xml:space="preserve">) </w:t>
      </w:r>
      <w:r w:rsidRPr="00524CD7">
        <w:rPr>
          <w:rFonts w:cstheme="minorHAnsi"/>
          <w:noProof/>
          <w:lang w:val="en-US"/>
        </w:rPr>
        <w:t>were periodically stabili</w:t>
      </w:r>
      <w:r w:rsidR="002B492A" w:rsidRPr="00524CD7">
        <w:rPr>
          <w:rFonts w:cstheme="minorHAnsi"/>
          <w:noProof/>
          <w:lang w:val="en-US"/>
        </w:rPr>
        <w:t>s</w:t>
      </w:r>
      <w:r w:rsidRPr="00524CD7">
        <w:rPr>
          <w:rFonts w:cstheme="minorHAnsi"/>
          <w:noProof/>
          <w:lang w:val="en-US"/>
        </w:rPr>
        <w:t>ed</w:t>
      </w:r>
      <w:r w:rsidRPr="00524CD7">
        <w:rPr>
          <w:rFonts w:cstheme="minorHAnsi"/>
          <w:lang w:val="en-US"/>
        </w:rPr>
        <w:t>.</w:t>
      </w:r>
    </w:p>
    <w:p w14:paraId="0755B7EA" w14:textId="77777777" w:rsidR="00524CD7" w:rsidRDefault="00C14F10" w:rsidP="002B492A">
      <w:pPr>
        <w:spacing w:line="480" w:lineRule="auto"/>
        <w:jc w:val="both"/>
        <w:rPr>
          <w:rFonts w:cstheme="minorHAnsi"/>
          <w:lang w:val="en-US"/>
        </w:rPr>
      </w:pPr>
      <w:r w:rsidRPr="00524CD7">
        <w:rPr>
          <w:rFonts w:cstheme="minorHAnsi"/>
          <w:b/>
          <w:bCs/>
          <w:noProof/>
          <w:lang w:val="en-US"/>
        </w:rPr>
        <w:t>Mucosa sampling of perch skin and gut</w:t>
      </w:r>
      <w:r w:rsidRPr="00524CD7">
        <w:rPr>
          <w:rFonts w:cstheme="minorHAnsi"/>
          <w:noProof/>
          <w:lang w:val="en-US"/>
        </w:rPr>
        <w:t>.</w:t>
      </w:r>
      <w:r w:rsidRPr="00524CD7">
        <w:rPr>
          <w:rFonts w:cstheme="minorHAnsi"/>
          <w:lang w:val="en-US"/>
        </w:rPr>
        <w:t xml:space="preserve"> </w:t>
      </w:r>
    </w:p>
    <w:p w14:paraId="61C14941" w14:textId="26DD8BCC" w:rsidR="003E5D31" w:rsidRPr="00524CD7" w:rsidRDefault="00C14F10" w:rsidP="002B492A">
      <w:pPr>
        <w:spacing w:line="480" w:lineRule="auto"/>
        <w:jc w:val="both"/>
        <w:rPr>
          <w:rFonts w:cstheme="minorHAnsi"/>
          <w:lang w:val="en-US"/>
        </w:rPr>
      </w:pPr>
      <w:r w:rsidRPr="00524CD7">
        <w:rPr>
          <w:rFonts w:cstheme="minorHAnsi"/>
          <w:lang w:val="en-US"/>
        </w:rPr>
        <w:t xml:space="preserve">After a long exposure period, fish were </w:t>
      </w:r>
      <w:r w:rsidRPr="00524CD7">
        <w:rPr>
          <w:rFonts w:cstheme="minorHAnsi"/>
          <w:noProof/>
          <w:lang w:val="en-US"/>
        </w:rPr>
        <w:t>anaestheti</w:t>
      </w:r>
      <w:r w:rsidR="002B492A" w:rsidRPr="00524CD7">
        <w:rPr>
          <w:rFonts w:cstheme="minorHAnsi"/>
          <w:noProof/>
          <w:lang w:val="en-US"/>
        </w:rPr>
        <w:t>s</w:t>
      </w:r>
      <w:r w:rsidRPr="00524CD7">
        <w:rPr>
          <w:rFonts w:cstheme="minorHAnsi"/>
          <w:noProof/>
          <w:lang w:val="en-US"/>
        </w:rPr>
        <w:t>ed</w:t>
      </w:r>
      <w:r w:rsidRPr="00524CD7">
        <w:rPr>
          <w:rFonts w:cstheme="minorHAnsi"/>
          <w:lang w:val="en-US"/>
        </w:rPr>
        <w:t xml:space="preserve"> using MS-222 (2 mg/L) </w:t>
      </w:r>
      <w:r w:rsidR="002B492A" w:rsidRPr="00524CD7">
        <w:rPr>
          <w:rFonts w:cstheme="minorHAnsi"/>
          <w:noProof/>
          <w:lang w:val="en-US"/>
        </w:rPr>
        <w:t>by</w:t>
      </w:r>
      <w:r w:rsidRPr="00524CD7">
        <w:rPr>
          <w:rFonts w:cstheme="minorHAnsi"/>
          <w:lang w:val="en-US"/>
        </w:rPr>
        <w:t xml:space="preserve"> the animal wellbeing guidelines for fish </w:t>
      </w:r>
      <w:proofErr w:type="spellStart"/>
      <w:r w:rsidRPr="00524CD7">
        <w:rPr>
          <w:rFonts w:cstheme="minorHAnsi"/>
          <w:lang w:val="en-US"/>
        </w:rPr>
        <w:t>anaesthesia</w:t>
      </w:r>
      <w:proofErr w:type="spellEnd"/>
      <w:r w:rsidRPr="00524CD7">
        <w:rPr>
          <w:rFonts w:cstheme="minorHAnsi"/>
          <w:lang w:val="en-US"/>
        </w:rPr>
        <w:t xml:space="preserve">. Nine fishes </w:t>
      </w:r>
      <w:r w:rsidRPr="00524CD7">
        <w:rPr>
          <w:rFonts w:cstheme="minorHAnsi"/>
          <w:noProof/>
          <w:lang w:val="en-US"/>
        </w:rPr>
        <w:t>were sampled</w:t>
      </w:r>
      <w:r w:rsidRPr="00524CD7">
        <w:rPr>
          <w:rFonts w:cstheme="minorHAnsi"/>
          <w:lang w:val="en-US"/>
        </w:rPr>
        <w:t xml:space="preserve"> per tank, thus representing three biological replicates per tank, each replicate is a pool of three fishes. In a sterile platform, underneath a laminar flow hood, with sterile cotton swabs</w:t>
      </w:r>
      <w:r w:rsidR="00AA361B">
        <w:rPr>
          <w:rFonts w:cstheme="minorHAnsi"/>
          <w:lang w:val="en-US"/>
        </w:rPr>
        <w:t>,</w:t>
      </w:r>
      <w:r w:rsidRPr="00524CD7">
        <w:rPr>
          <w:rFonts w:cstheme="minorHAnsi"/>
          <w:lang w:val="en-US"/>
        </w:rPr>
        <w:t xml:space="preserve"> the skin mucus (from jaws to caudal</w:t>
      </w:r>
      <w:r w:rsidR="00AA361B">
        <w:rPr>
          <w:rFonts w:cstheme="minorHAnsi"/>
          <w:lang w:val="en-US"/>
        </w:rPr>
        <w:t>-</w:t>
      </w:r>
      <w:r w:rsidRPr="00524CD7">
        <w:rPr>
          <w:rFonts w:cstheme="minorHAnsi"/>
          <w:lang w:val="en-US"/>
        </w:rPr>
        <w:t xml:space="preserve">fin lobe) </w:t>
      </w:r>
      <w:r w:rsidRPr="00524CD7">
        <w:rPr>
          <w:rFonts w:cstheme="minorHAnsi"/>
          <w:noProof/>
          <w:lang w:val="en-US"/>
        </w:rPr>
        <w:t>was swabbed</w:t>
      </w:r>
      <w:r w:rsidRPr="00524CD7">
        <w:rPr>
          <w:rFonts w:cstheme="minorHAnsi"/>
          <w:lang w:val="en-US"/>
        </w:rPr>
        <w:t xml:space="preserve">, three swabs per replicate were stored in 2mL sterile microcentrifuge tube and directly stored at -80 C. Length to the fork and weight of each fish </w:t>
      </w:r>
      <w:r w:rsidRPr="00524CD7">
        <w:rPr>
          <w:rFonts w:cstheme="minorHAnsi"/>
          <w:noProof/>
          <w:lang w:val="en-US"/>
        </w:rPr>
        <w:t>were measured</w:t>
      </w:r>
      <w:r w:rsidRPr="00524CD7">
        <w:rPr>
          <w:rFonts w:cstheme="minorHAnsi"/>
          <w:lang w:val="en-US"/>
        </w:rPr>
        <w:t xml:space="preserve"> after skin mucus sampling. Once dissected, intestine and liver of each three fish were pooled in 2mL sterile microcentrifuge tubes and stored at -80 C. For intestine samples, to extract RNA of a subsequent transcriptomic project, 1 mL of </w:t>
      </w:r>
      <w:proofErr w:type="spellStart"/>
      <w:r w:rsidRPr="00524CD7">
        <w:rPr>
          <w:rFonts w:cstheme="minorHAnsi"/>
          <w:lang w:val="en-US"/>
        </w:rPr>
        <w:t>Trizol</w:t>
      </w:r>
      <w:proofErr w:type="spellEnd"/>
      <w:r w:rsidRPr="00524CD7">
        <w:rPr>
          <w:rFonts w:cstheme="minorHAnsi"/>
          <w:lang w:val="en-US"/>
        </w:rPr>
        <w:t xml:space="preserve"> (SIGMA-ALDRICH TRI Reagent) </w:t>
      </w:r>
      <w:r w:rsidRPr="00524CD7">
        <w:rPr>
          <w:rFonts w:cstheme="minorHAnsi"/>
          <w:noProof/>
          <w:lang w:val="en-US"/>
        </w:rPr>
        <w:t>was added</w:t>
      </w:r>
      <w:r w:rsidRPr="00524CD7">
        <w:rPr>
          <w:rFonts w:cstheme="minorHAnsi"/>
          <w:lang w:val="en-US"/>
        </w:rPr>
        <w:t xml:space="preserve"> to each sample before the cryogenic storage. A total of 432 host</w:t>
      </w:r>
      <w:r w:rsidR="00AA361B">
        <w:rPr>
          <w:rFonts w:cstheme="minorHAnsi"/>
          <w:lang w:val="en-US"/>
        </w:rPr>
        <w:t>-</w:t>
      </w:r>
      <w:r w:rsidRPr="00524CD7">
        <w:rPr>
          <w:rFonts w:cstheme="minorHAnsi"/>
          <w:lang w:val="en-US"/>
        </w:rPr>
        <w:t xml:space="preserve">microbiota samples </w:t>
      </w:r>
      <w:r w:rsidRPr="00524CD7">
        <w:rPr>
          <w:rFonts w:cstheme="minorHAnsi"/>
          <w:noProof/>
          <w:lang w:val="en-US"/>
        </w:rPr>
        <w:t>were collected</w:t>
      </w:r>
      <w:r w:rsidRPr="00524CD7">
        <w:rPr>
          <w:rFonts w:cstheme="minorHAnsi"/>
          <w:lang w:val="en-US"/>
        </w:rPr>
        <w:t xml:space="preserve"> for this study, 216 (3 times x 3 regimes x 8 tanks x 3 replicates) of swabbed skin mucus and 216 (3 times x 3 regimes x 8 tanks x 3 replicates) of gut tracts samples.</w:t>
      </w:r>
    </w:p>
    <w:p w14:paraId="3B8C645D" w14:textId="77777777" w:rsidR="00524CD7" w:rsidRDefault="00C14F10" w:rsidP="002B492A">
      <w:pPr>
        <w:spacing w:line="480" w:lineRule="auto"/>
        <w:jc w:val="both"/>
        <w:outlineLvl w:val="0"/>
        <w:rPr>
          <w:rFonts w:cstheme="minorHAnsi"/>
          <w:b/>
          <w:bCs/>
          <w:lang w:val="en-US"/>
        </w:rPr>
      </w:pPr>
      <w:r w:rsidRPr="00524CD7">
        <w:rPr>
          <w:rFonts w:cstheme="minorHAnsi"/>
          <w:b/>
          <w:bCs/>
          <w:lang w:val="en-US"/>
        </w:rPr>
        <w:t>Water tanks sampling</w:t>
      </w:r>
    </w:p>
    <w:p w14:paraId="6DD3732C" w14:textId="7AE2C675" w:rsidR="00E41547" w:rsidRPr="00524CD7" w:rsidRDefault="00C14F10" w:rsidP="002B492A">
      <w:pPr>
        <w:spacing w:line="480" w:lineRule="auto"/>
        <w:jc w:val="both"/>
        <w:outlineLvl w:val="0"/>
        <w:rPr>
          <w:rFonts w:cstheme="minorHAnsi"/>
          <w:lang w:val="en-US"/>
        </w:rPr>
      </w:pPr>
      <w:r w:rsidRPr="00524CD7">
        <w:rPr>
          <w:rFonts w:cstheme="minorHAnsi"/>
          <w:lang w:val="en-US"/>
        </w:rPr>
        <w:t xml:space="preserve">Sampled water </w:t>
      </w:r>
      <w:r w:rsidRPr="00524CD7">
        <w:rPr>
          <w:rFonts w:cstheme="minorHAnsi"/>
          <w:noProof/>
          <w:lang w:val="en-US"/>
        </w:rPr>
        <w:t>was stored</w:t>
      </w:r>
      <w:r w:rsidRPr="00524CD7">
        <w:rPr>
          <w:rFonts w:cstheme="minorHAnsi"/>
          <w:lang w:val="en-US"/>
        </w:rPr>
        <w:t xml:space="preserve"> in the sterile bottle (Nalgene), 2 </w:t>
      </w:r>
      <w:r w:rsidRPr="00524CD7">
        <w:rPr>
          <w:rFonts w:cstheme="minorHAnsi"/>
          <w:noProof/>
          <w:lang w:val="en-US"/>
        </w:rPr>
        <w:t>lit</w:t>
      </w:r>
      <w:r w:rsidR="002B492A" w:rsidRPr="00524CD7">
        <w:rPr>
          <w:rFonts w:cstheme="minorHAnsi"/>
          <w:noProof/>
          <w:lang w:val="en-US"/>
        </w:rPr>
        <w:t>re</w:t>
      </w:r>
      <w:r w:rsidRPr="00524CD7">
        <w:rPr>
          <w:rFonts w:cstheme="minorHAnsi"/>
          <w:noProof/>
          <w:lang w:val="en-US"/>
        </w:rPr>
        <w:t>s</w:t>
      </w:r>
      <w:r w:rsidRPr="00524CD7">
        <w:rPr>
          <w:rFonts w:cstheme="minorHAnsi"/>
          <w:lang w:val="en-US"/>
        </w:rPr>
        <w:t xml:space="preserve"> per tank. The water filtration protocol was performed using </w:t>
      </w:r>
      <w:r w:rsidR="002B492A" w:rsidRPr="00524CD7">
        <w:rPr>
          <w:rFonts w:cstheme="minorHAnsi"/>
          <w:lang w:val="en-US"/>
        </w:rPr>
        <w:t xml:space="preserve">a </w:t>
      </w:r>
      <w:r w:rsidRPr="00524CD7">
        <w:rPr>
          <w:rFonts w:cstheme="minorHAnsi"/>
          <w:noProof/>
          <w:lang w:val="en-US"/>
        </w:rPr>
        <w:t>polycarbonate</w:t>
      </w:r>
      <w:r w:rsidRPr="00524CD7">
        <w:rPr>
          <w:rFonts w:cstheme="minorHAnsi"/>
          <w:lang w:val="en-US"/>
        </w:rPr>
        <w:t xml:space="preserve"> membrane (0.22 </w:t>
      </w:r>
      <w:r w:rsidRPr="00524CD7">
        <w:rPr>
          <w:rFonts w:cstheme="minorHAnsi"/>
        </w:rPr>
        <w:t>μ</w:t>
      </w:r>
      <w:r w:rsidRPr="00524CD7">
        <w:rPr>
          <w:rFonts w:cstheme="minorHAnsi"/>
          <w:lang w:val="en-US"/>
        </w:rPr>
        <w:t xml:space="preserve">m) (). For each sampling time (T0, T1, and T3), we collected eight tanks per regime, two replicates per tank, and two filters (0.22 </w:t>
      </w:r>
      <w:r w:rsidRPr="00524CD7">
        <w:rPr>
          <w:rFonts w:cstheme="minorHAnsi"/>
        </w:rPr>
        <w:t>μ</w:t>
      </w:r>
      <w:r w:rsidRPr="00524CD7">
        <w:rPr>
          <w:rFonts w:cstheme="minorHAnsi"/>
          <w:lang w:val="en-US"/>
        </w:rPr>
        <w:t>m) per replicate. In total,</w:t>
      </w:r>
      <w:r w:rsidRPr="00524CD7">
        <w:rPr>
          <w:rFonts w:cstheme="minorHAnsi"/>
          <w:b/>
          <w:lang w:val="en-US"/>
        </w:rPr>
        <w:t xml:space="preserve"> </w:t>
      </w:r>
      <w:r w:rsidRPr="00524CD7">
        <w:rPr>
          <w:rFonts w:cstheme="minorHAnsi"/>
          <w:lang w:val="en-US"/>
        </w:rPr>
        <w:t xml:space="preserve">144 filters (3 times x 3 regimes x 8 tanks x 2 replicates) </w:t>
      </w:r>
      <w:r w:rsidRPr="00524CD7">
        <w:rPr>
          <w:rFonts w:cstheme="minorHAnsi"/>
          <w:noProof/>
          <w:lang w:val="en-US"/>
        </w:rPr>
        <w:t>were conserved</w:t>
      </w:r>
      <w:r w:rsidRPr="00524CD7">
        <w:rPr>
          <w:rFonts w:cstheme="minorHAnsi"/>
          <w:lang w:val="en-US"/>
        </w:rPr>
        <w:t xml:space="preserve"> from this study.</w:t>
      </w:r>
    </w:p>
    <w:p w14:paraId="203D68FB" w14:textId="77777777" w:rsidR="00E41547" w:rsidRDefault="00E41547" w:rsidP="002B492A">
      <w:pPr>
        <w:spacing w:line="480" w:lineRule="auto"/>
        <w:jc w:val="both"/>
        <w:rPr>
          <w:rFonts w:cstheme="minorHAnsi"/>
          <w:b/>
          <w:bCs/>
          <w:iCs/>
          <w:lang w:val="en-US"/>
        </w:rPr>
      </w:pPr>
    </w:p>
    <w:p w14:paraId="09337143" w14:textId="68E47A87" w:rsidR="003E5D31" w:rsidRPr="00524CD7" w:rsidRDefault="00C14F10" w:rsidP="002B492A">
      <w:pPr>
        <w:spacing w:line="480" w:lineRule="auto"/>
        <w:jc w:val="both"/>
        <w:rPr>
          <w:rFonts w:cstheme="minorHAnsi"/>
        </w:rPr>
      </w:pPr>
      <w:r w:rsidRPr="00524CD7">
        <w:rPr>
          <w:rFonts w:cstheme="minorHAnsi"/>
          <w:b/>
          <w:bCs/>
          <w:iCs/>
        </w:rPr>
        <w:t>DNA extraction</w:t>
      </w:r>
      <w:r w:rsidRPr="00524CD7">
        <w:rPr>
          <w:rFonts w:cstheme="minorHAnsi"/>
        </w:rPr>
        <w:t xml:space="preserve"> </w:t>
      </w:r>
    </w:p>
    <w:p w14:paraId="158CCD71" w14:textId="70C26CA2" w:rsidR="003E5D31" w:rsidRPr="00524CD7" w:rsidRDefault="00C14F10" w:rsidP="002B492A">
      <w:pPr>
        <w:spacing w:line="480" w:lineRule="auto"/>
        <w:jc w:val="both"/>
        <w:rPr>
          <w:rFonts w:cstheme="minorHAnsi"/>
          <w:lang w:val="en-US"/>
        </w:rPr>
      </w:pPr>
      <w:r w:rsidRPr="00524CD7">
        <w:rPr>
          <w:rFonts w:cstheme="minorHAnsi"/>
        </w:rPr>
        <w:lastRenderedPageBreak/>
        <w:t xml:space="preserve">The Extraction </w:t>
      </w:r>
      <w:r w:rsidRPr="00524CD7">
        <w:rPr>
          <w:rFonts w:cstheme="minorHAnsi"/>
          <w:noProof/>
        </w:rPr>
        <w:t>was performed</w:t>
      </w:r>
      <w:r w:rsidRPr="00524CD7">
        <w:rPr>
          <w:rFonts w:cstheme="minorHAnsi"/>
        </w:rPr>
        <w:t xml:space="preserve"> at the Institut de Biologie Intégrative et des Systèmes (IBIS), Université Laval (Québec, QC). </w:t>
      </w:r>
      <w:r w:rsidRPr="00524CD7">
        <w:rPr>
          <w:rFonts w:cstheme="minorHAnsi"/>
          <w:lang w:val="en-US"/>
        </w:rPr>
        <w:t xml:space="preserve">DNA </w:t>
      </w:r>
      <w:r w:rsidRPr="00524CD7">
        <w:rPr>
          <w:rFonts w:cstheme="minorHAnsi"/>
          <w:noProof/>
          <w:lang w:val="en-US"/>
        </w:rPr>
        <w:t>was extracted</w:t>
      </w:r>
      <w:r w:rsidRPr="00524CD7">
        <w:rPr>
          <w:rFonts w:cstheme="minorHAnsi"/>
          <w:lang w:val="en-US"/>
        </w:rPr>
        <w:t xml:space="preserve"> from all skin mucus and water using the Qiagen </w:t>
      </w:r>
      <w:proofErr w:type="spellStart"/>
      <w:r w:rsidRPr="00524CD7">
        <w:rPr>
          <w:rFonts w:cstheme="minorHAnsi"/>
          <w:lang w:val="en-US"/>
        </w:rPr>
        <w:t>DNeasy</w:t>
      </w:r>
      <w:proofErr w:type="spellEnd"/>
      <w:r w:rsidRPr="00524CD7">
        <w:rPr>
          <w:rFonts w:cstheme="minorHAnsi"/>
          <w:lang w:val="en-US"/>
        </w:rPr>
        <w:t xml:space="preserve"> </w:t>
      </w:r>
      <w:r w:rsidR="00AA361B">
        <w:rPr>
          <w:rFonts w:cstheme="minorHAnsi"/>
          <w:lang w:val="en-US"/>
        </w:rPr>
        <w:t>B</w:t>
      </w:r>
      <w:r w:rsidRPr="00524CD7">
        <w:rPr>
          <w:rFonts w:cstheme="minorHAnsi"/>
          <w:lang w:val="en-US"/>
        </w:rPr>
        <w:t xml:space="preserve">lood and </w:t>
      </w:r>
      <w:r w:rsidR="00AA361B">
        <w:rPr>
          <w:rFonts w:cstheme="minorHAnsi"/>
          <w:lang w:val="en-US"/>
        </w:rPr>
        <w:t>T</w:t>
      </w:r>
      <w:r w:rsidRPr="00524CD7">
        <w:rPr>
          <w:rFonts w:cstheme="minorHAnsi"/>
          <w:lang w:val="en-US"/>
        </w:rPr>
        <w:t xml:space="preserve">issue kit according to the manufacturer's instructions with slight adjustment by adding 40 µL lysozyme for proteins digestion and eight µL of </w:t>
      </w:r>
      <w:r w:rsidRPr="00524CD7">
        <w:rPr>
          <w:rFonts w:cstheme="minorHAnsi"/>
          <w:noProof/>
          <w:lang w:val="en-US"/>
        </w:rPr>
        <w:t>RN</w:t>
      </w:r>
      <w:r w:rsidR="002B492A" w:rsidRPr="00524CD7">
        <w:rPr>
          <w:rFonts w:cstheme="minorHAnsi"/>
          <w:noProof/>
          <w:lang w:val="en-US"/>
        </w:rPr>
        <w:t>a</w:t>
      </w:r>
      <w:r w:rsidRPr="00524CD7">
        <w:rPr>
          <w:rFonts w:cstheme="minorHAnsi"/>
          <w:noProof/>
          <w:lang w:val="en-US"/>
        </w:rPr>
        <w:t>se</w:t>
      </w:r>
      <w:r w:rsidRPr="00524CD7">
        <w:rPr>
          <w:rFonts w:cstheme="minorHAnsi"/>
          <w:lang w:val="en-US"/>
        </w:rPr>
        <w:t xml:space="preserve"> for RNA degradation. </w:t>
      </w:r>
      <w:r w:rsidR="002B492A" w:rsidRPr="00524CD7">
        <w:rPr>
          <w:rFonts w:cstheme="minorHAnsi"/>
          <w:noProof/>
          <w:lang w:val="en-US"/>
        </w:rPr>
        <w:t>Negative</w:t>
      </w:r>
      <w:r w:rsidR="002B492A" w:rsidRPr="00524CD7">
        <w:rPr>
          <w:rFonts w:cstheme="minorHAnsi"/>
          <w:lang w:val="en-US"/>
        </w:rPr>
        <w:t xml:space="preserve"> </w:t>
      </w:r>
      <w:r w:rsidRPr="00524CD7">
        <w:rPr>
          <w:rFonts w:cstheme="minorHAnsi"/>
          <w:lang w:val="en-US"/>
        </w:rPr>
        <w:t xml:space="preserve">DNA extraction was performed on a sterile swab and </w:t>
      </w:r>
      <w:r w:rsidRPr="00524CD7">
        <w:rPr>
          <w:rFonts w:cstheme="minorHAnsi"/>
          <w:noProof/>
          <w:lang w:val="en-US"/>
        </w:rPr>
        <w:t>ioni</w:t>
      </w:r>
      <w:r w:rsidR="002B492A" w:rsidRPr="00524CD7">
        <w:rPr>
          <w:rFonts w:cstheme="minorHAnsi"/>
          <w:noProof/>
          <w:lang w:val="en-US"/>
        </w:rPr>
        <w:t>s</w:t>
      </w:r>
      <w:r w:rsidRPr="00524CD7">
        <w:rPr>
          <w:rFonts w:cstheme="minorHAnsi"/>
          <w:noProof/>
          <w:lang w:val="en-US"/>
        </w:rPr>
        <w:t>ed</w:t>
      </w:r>
      <w:r w:rsidRPr="00524CD7">
        <w:rPr>
          <w:rFonts w:cstheme="minorHAnsi"/>
          <w:lang w:val="en-US"/>
        </w:rPr>
        <w:t xml:space="preserve"> water to discard any potential bias of contamination</w:t>
      </w:r>
      <w:r w:rsidR="002B492A" w:rsidRPr="00524CD7">
        <w:rPr>
          <w:rFonts w:cstheme="minorHAnsi"/>
          <w:noProof/>
          <w:lang w:val="en-US"/>
        </w:rPr>
        <w:t>;</w:t>
      </w:r>
      <w:r w:rsidRPr="00524CD7">
        <w:rPr>
          <w:rFonts w:cstheme="minorHAnsi"/>
          <w:noProof/>
          <w:lang w:val="en-US"/>
        </w:rPr>
        <w:t xml:space="preserve"> any</w:t>
      </w:r>
      <w:r w:rsidRPr="00524CD7">
        <w:rPr>
          <w:rFonts w:cstheme="minorHAnsi"/>
          <w:lang w:val="en-US"/>
        </w:rPr>
        <w:t xml:space="preserve"> significant concentration of DNA </w:t>
      </w:r>
      <w:r w:rsidRPr="00524CD7">
        <w:rPr>
          <w:rFonts w:cstheme="minorHAnsi"/>
          <w:noProof/>
          <w:lang w:val="en-US"/>
        </w:rPr>
        <w:t>was quantified</w:t>
      </w:r>
      <w:r w:rsidRPr="00524CD7">
        <w:rPr>
          <w:rFonts w:cstheme="minorHAnsi"/>
          <w:lang w:val="en-US"/>
        </w:rPr>
        <w:t xml:space="preserve"> from white extraction. For all intestine samples, after RNA extraction for a transcriptomic project, the DNA was extracted from </w:t>
      </w:r>
      <w:proofErr w:type="spellStart"/>
      <w:r w:rsidRPr="00524CD7">
        <w:rPr>
          <w:rFonts w:cstheme="minorHAnsi"/>
          <w:lang w:val="en-US"/>
        </w:rPr>
        <w:t>TRIzol</w:t>
      </w:r>
      <w:proofErr w:type="spellEnd"/>
      <w:r w:rsidRPr="00524CD7">
        <w:rPr>
          <w:rFonts w:cstheme="minorHAnsi"/>
          <w:lang w:val="en-US"/>
        </w:rPr>
        <w:t xml:space="preserve"> organic phase using BEB (back extraction buffer) and PCI (phenol/chloroform/</w:t>
      </w:r>
      <w:r w:rsidRPr="00524CD7">
        <w:rPr>
          <w:rFonts w:cstheme="minorHAnsi"/>
          <w:noProof/>
          <w:lang w:val="en-US"/>
        </w:rPr>
        <w:t>isoamyl</w:t>
      </w:r>
      <w:r w:rsidR="002B492A" w:rsidRPr="00524CD7">
        <w:rPr>
          <w:rFonts w:cstheme="minorHAnsi"/>
          <w:noProof/>
          <w:lang w:val="en-US"/>
        </w:rPr>
        <w:t xml:space="preserve"> </w:t>
      </w:r>
      <w:r w:rsidRPr="00524CD7">
        <w:rPr>
          <w:rFonts w:cstheme="minorHAnsi"/>
          <w:noProof/>
          <w:lang w:val="en-US"/>
        </w:rPr>
        <w:t>alcohol</w:t>
      </w:r>
      <w:r w:rsidRPr="00524CD7">
        <w:rPr>
          <w:rFonts w:cstheme="minorHAnsi"/>
          <w:lang w:val="en-US"/>
        </w:rPr>
        <w:t xml:space="preserve"> 25:24:1) solution (protocol available under request). </w:t>
      </w:r>
    </w:p>
    <w:p w14:paraId="2DAB9225" w14:textId="77777777" w:rsidR="003E5D31" w:rsidRPr="00524CD7" w:rsidRDefault="00C14F10" w:rsidP="002B492A">
      <w:pPr>
        <w:spacing w:line="480" w:lineRule="auto"/>
        <w:jc w:val="both"/>
        <w:rPr>
          <w:rFonts w:cstheme="minorHAnsi"/>
          <w:lang w:val="en-US"/>
        </w:rPr>
      </w:pPr>
      <w:r w:rsidRPr="00524CD7">
        <w:rPr>
          <w:rFonts w:cstheme="minorHAnsi"/>
          <w:b/>
          <w:bCs/>
          <w:iCs/>
          <w:lang w:val="en-US"/>
        </w:rPr>
        <w:t>Universal gene Amplification</w:t>
      </w:r>
      <w:r w:rsidRPr="00524CD7">
        <w:rPr>
          <w:rFonts w:cstheme="minorHAnsi"/>
          <w:lang w:val="en-US"/>
        </w:rPr>
        <w:t xml:space="preserve">. </w:t>
      </w:r>
    </w:p>
    <w:p w14:paraId="2A1270C8" w14:textId="77777777" w:rsidR="003E5D31" w:rsidRPr="00524CD7" w:rsidRDefault="00C14F10" w:rsidP="002B492A">
      <w:pPr>
        <w:spacing w:line="480" w:lineRule="auto"/>
        <w:jc w:val="both"/>
        <w:rPr>
          <w:rFonts w:cstheme="minorHAnsi"/>
          <w:lang w:val="en-US"/>
        </w:rPr>
      </w:pPr>
      <w:r w:rsidRPr="00524CD7">
        <w:rPr>
          <w:rFonts w:cstheme="minorHAnsi"/>
          <w:lang w:val="en-US"/>
        </w:rPr>
        <w:t xml:space="preserve">The DNA was amplified using universal primers specific to the V3-V4 </w:t>
      </w:r>
      <w:r w:rsidRPr="00524CD7">
        <w:rPr>
          <w:rFonts w:cstheme="minorHAnsi"/>
          <w:noProof/>
          <w:lang w:val="en-US"/>
        </w:rPr>
        <w:t>hypervariable</w:t>
      </w:r>
      <w:r w:rsidRPr="00524CD7">
        <w:rPr>
          <w:rFonts w:cstheme="minorHAnsi"/>
          <w:lang w:val="en-US"/>
        </w:rPr>
        <w:t xml:space="preserve"> region</w:t>
      </w:r>
      <w:r w:rsidR="00AD2A18" w:rsidRPr="00524CD7">
        <w:rPr>
          <w:rFonts w:cstheme="minorHAnsi"/>
          <w:lang w:val="en-US"/>
        </w:rPr>
        <w:t xml:space="preserve"> </w:t>
      </w:r>
      <w:r w:rsidRPr="00524CD7">
        <w:rPr>
          <w:rFonts w:cstheme="minorHAnsi"/>
          <w:lang w:val="en-US"/>
        </w:rPr>
        <w:t xml:space="preserve">of the rRNA 16S gene. Amplification </w:t>
      </w:r>
      <w:r w:rsidRPr="00524CD7">
        <w:rPr>
          <w:rFonts w:cstheme="minorHAnsi"/>
          <w:noProof/>
          <w:lang w:val="en-US"/>
        </w:rPr>
        <w:t>was</w:t>
      </w:r>
      <w:r w:rsidR="002B492A" w:rsidRPr="00524CD7">
        <w:rPr>
          <w:rFonts w:cstheme="minorHAnsi"/>
          <w:noProof/>
          <w:lang w:val="en-US"/>
        </w:rPr>
        <w:t xml:space="preserve"> </w:t>
      </w:r>
      <w:r w:rsidRPr="00524CD7">
        <w:rPr>
          <w:rFonts w:cstheme="minorHAnsi"/>
          <w:noProof/>
          <w:lang w:val="en-US"/>
        </w:rPr>
        <w:t>primed</w:t>
      </w:r>
      <w:r w:rsidRPr="00524CD7">
        <w:rPr>
          <w:rFonts w:cstheme="minorHAnsi"/>
          <w:lang w:val="en-US"/>
        </w:rPr>
        <w:t xml:space="preserve"> with </w:t>
      </w:r>
      <w:r w:rsidRPr="00524CD7">
        <w:rPr>
          <w:rFonts w:cstheme="minorHAnsi"/>
          <w:iCs/>
          <w:lang w:val="en-US"/>
        </w:rPr>
        <w:t>347_f 5′-</w:t>
      </w:r>
      <w:r w:rsidRPr="00524CD7">
        <w:rPr>
          <w:rFonts w:cstheme="minorHAnsi"/>
          <w:iCs/>
          <w:color w:val="000000" w:themeColor="text1"/>
          <w:lang w:val="en-US"/>
        </w:rPr>
        <w:t>ACACTCTTTCCCTACACGACGCTCTTCCGATCTGGAGGCAGCAGTRRGGAAT-3′</w:t>
      </w:r>
      <w:r w:rsidRPr="00524CD7">
        <w:rPr>
          <w:rFonts w:cstheme="minorHAnsi"/>
          <w:color w:val="000000" w:themeColor="text1"/>
          <w:lang w:val="en-US"/>
        </w:rPr>
        <w:t xml:space="preserve">, and </w:t>
      </w:r>
      <w:r w:rsidRPr="00524CD7">
        <w:rPr>
          <w:rFonts w:cstheme="minorHAnsi"/>
          <w:iCs/>
          <w:color w:val="000000" w:themeColor="text1"/>
          <w:lang w:val="en-US"/>
        </w:rPr>
        <w:t xml:space="preserve">805_r 5′-GTGACTGGAGTTCAGACGTGTGCTCTTCCGATCTCTACCRGGGTATCTAATCC-3′ </w:t>
      </w:r>
      <w:r w:rsidRPr="00524CD7">
        <w:rPr>
          <w:rFonts w:cstheme="minorHAnsi"/>
          <w:color w:val="000000" w:themeColor="text1"/>
          <w:lang w:val="en-US"/>
        </w:rPr>
        <w:t xml:space="preserve">primers using </w:t>
      </w:r>
      <w:r w:rsidRPr="00524CD7">
        <w:rPr>
          <w:rFonts w:cstheme="minorHAnsi"/>
          <w:lang w:val="en-US"/>
        </w:rPr>
        <w:t>Q5 High-Fidelity DNA polymerase (NEB). The PCR was carried out in a total volume of 50 µL that contains 10 µL of 5X buffer (NEB Q5 Kit), 10 µL of 5X GC enhancer (NEB Q5 Kit), 0.25 µM of each primer, 1 µL of dNTPs (200 µM), 25.5 µL of sterile ultra-pure water, 1 µL of Q5 High-Fidelity DNA polymerase (NEB) and 2 µL of template DNA. The PCR started with an initial denaturation at 98°C for 30 s followed by ten cycles of denaturation at 98°C for 10 s, annealing at 60°C for 10s, extension at 72°C for the 30s. An additional 25 cycles were as follows denaturation at 98°C for 10 s, annealing at 64°C for 10 s, extension at 72°C for the 30s followed by a final extension step at 72°C for 2 min. Amplified DNA was purified with beads (</w:t>
      </w:r>
      <w:proofErr w:type="spellStart"/>
      <w:r w:rsidRPr="00524CD7">
        <w:rPr>
          <w:rFonts w:cstheme="minorHAnsi"/>
          <w:noProof/>
          <w:lang w:val="en-US"/>
        </w:rPr>
        <w:t>Axygen</w:t>
      </w:r>
      <w:proofErr w:type="spellEnd"/>
      <w:r w:rsidRPr="00524CD7">
        <w:rPr>
          <w:rFonts w:cstheme="minorHAnsi"/>
          <w:lang w:val="en-US"/>
        </w:rPr>
        <w:t>) to eliminate primers, dimers and phenols (protocol available under request). DNA concentration and quality were verified by electrophoresis on 2% agarose gel and by Nanodrop 1000 (Thermo Fisher Scientific).</w:t>
      </w:r>
    </w:p>
    <w:p w14:paraId="207D6C3E" w14:textId="77777777" w:rsidR="003E5D31" w:rsidRPr="00524CD7" w:rsidRDefault="00C14F10" w:rsidP="002B492A">
      <w:pPr>
        <w:spacing w:line="480" w:lineRule="auto"/>
        <w:jc w:val="both"/>
        <w:rPr>
          <w:rFonts w:cstheme="minorHAnsi"/>
          <w:lang w:val="en-US"/>
        </w:rPr>
      </w:pPr>
      <w:r w:rsidRPr="00524CD7">
        <w:rPr>
          <w:rFonts w:cstheme="minorHAnsi"/>
          <w:b/>
          <w:bCs/>
          <w:iCs/>
          <w:lang w:val="en-US"/>
        </w:rPr>
        <w:lastRenderedPageBreak/>
        <w:t>Amplicons Libraries</w:t>
      </w:r>
      <w:r w:rsidRPr="00524CD7">
        <w:rPr>
          <w:rFonts w:cstheme="minorHAnsi"/>
          <w:lang w:val="en-US"/>
        </w:rPr>
        <w:t xml:space="preserve"> </w:t>
      </w:r>
    </w:p>
    <w:p w14:paraId="69C7EC0F" w14:textId="471EEC25" w:rsidR="003E5D31" w:rsidRPr="00524CD7" w:rsidRDefault="00C14F10" w:rsidP="002B492A">
      <w:pPr>
        <w:spacing w:line="480" w:lineRule="auto"/>
        <w:jc w:val="both"/>
        <w:rPr>
          <w:rFonts w:cstheme="minorHAnsi"/>
          <w:lang w:val="en-US"/>
        </w:rPr>
      </w:pPr>
      <w:r w:rsidRPr="00524CD7">
        <w:rPr>
          <w:rFonts w:cstheme="minorHAnsi"/>
          <w:lang w:val="en-US"/>
        </w:rPr>
        <w:t xml:space="preserve">The purified cDNA product </w:t>
      </w:r>
      <w:r w:rsidRPr="00524CD7">
        <w:rPr>
          <w:rFonts w:cstheme="minorHAnsi"/>
          <w:noProof/>
          <w:lang w:val="en-US"/>
        </w:rPr>
        <w:t>was used</w:t>
      </w:r>
      <w:r w:rsidRPr="00524CD7">
        <w:rPr>
          <w:rFonts w:cstheme="minorHAnsi"/>
          <w:lang w:val="en-US"/>
        </w:rPr>
        <w:t xml:space="preserve"> as a template for the library preparation. The second PCR was carried out in a total volume of 50 µL that contains 10 µL of 5X buffer (NEB Q5 Kit), 10 µL of 5X GC enhancer (NEB Q5 Kit), 3 µL of </w:t>
      </w:r>
      <w:r w:rsidR="00AA361B">
        <w:rPr>
          <w:rFonts w:cstheme="minorHAnsi"/>
          <w:lang w:val="en-US"/>
        </w:rPr>
        <w:t xml:space="preserve">the </w:t>
      </w:r>
      <w:r w:rsidRPr="00524CD7">
        <w:rPr>
          <w:rFonts w:cstheme="minorHAnsi"/>
          <w:lang w:val="en-US"/>
        </w:rPr>
        <w:t xml:space="preserve">forward library (1 µM), 3 µL of reverse library index (1 µM), 1 µL of dNTPs (200 µM), 20 µL of sterile ultra-pure water, 1 µL of Q5 High-Fidelity DNA polymerase (NEB) and 1 µL of template DNA. A combination of 768 indexes </w:t>
      </w:r>
      <w:r w:rsidRPr="00524CD7">
        <w:rPr>
          <w:rFonts w:cstheme="minorHAnsi"/>
          <w:noProof/>
          <w:lang w:val="en-US"/>
        </w:rPr>
        <w:t>was conceived</w:t>
      </w:r>
      <w:r w:rsidRPr="00524CD7">
        <w:rPr>
          <w:rFonts w:cstheme="minorHAnsi"/>
          <w:lang w:val="en-US"/>
        </w:rPr>
        <w:t xml:space="preserve"> for 768 samples. The PCR started with an initial denaturation at 98°C for 30 s followed by ten cycles of denaturation at 98°C for 10 s, annealing at 64°C for 10s, extension at 72°C for the 30s. An additional 25 cycles were as follows denaturation at 98°C for 10 s, annealing at 64°C for 10 s, extension at 72°C for the 30s followed by a final extension step at 72°C for 2 min. Amplified DNA </w:t>
      </w:r>
      <w:r w:rsidRPr="00524CD7">
        <w:rPr>
          <w:rFonts w:cstheme="minorHAnsi"/>
          <w:noProof/>
          <w:lang w:val="en-US"/>
        </w:rPr>
        <w:t>was purified</w:t>
      </w:r>
      <w:r w:rsidRPr="00524CD7">
        <w:rPr>
          <w:rFonts w:cstheme="minorHAnsi"/>
          <w:lang w:val="en-US"/>
        </w:rPr>
        <w:t xml:space="preserve"> with beads (</w:t>
      </w:r>
      <w:proofErr w:type="spellStart"/>
      <w:r w:rsidRPr="00524CD7">
        <w:rPr>
          <w:rFonts w:cstheme="minorHAnsi"/>
          <w:lang w:val="en-US"/>
        </w:rPr>
        <w:t>Axygen</w:t>
      </w:r>
      <w:proofErr w:type="spellEnd"/>
      <w:r w:rsidRPr="00524CD7">
        <w:rPr>
          <w:rFonts w:cstheme="minorHAnsi"/>
          <w:lang w:val="en-US"/>
        </w:rPr>
        <w:t xml:space="preserve">). Final amplified DNA was verified by electrophoresis on 2% agarose gel, and </w:t>
      </w:r>
      <w:r w:rsidRPr="00524CD7">
        <w:rPr>
          <w:rFonts w:cstheme="minorHAnsi"/>
          <w:noProof/>
          <w:lang w:val="en-US"/>
        </w:rPr>
        <w:t>double</w:t>
      </w:r>
      <w:r w:rsidR="002B492A" w:rsidRPr="00524CD7">
        <w:rPr>
          <w:rFonts w:cstheme="minorHAnsi"/>
          <w:noProof/>
          <w:lang w:val="en-US"/>
        </w:rPr>
        <w:t>-</w:t>
      </w:r>
      <w:r w:rsidRPr="00524CD7">
        <w:rPr>
          <w:rFonts w:cstheme="minorHAnsi"/>
          <w:noProof/>
          <w:lang w:val="en-US"/>
        </w:rPr>
        <w:t>strand</w:t>
      </w:r>
      <w:r w:rsidRPr="00524CD7">
        <w:rPr>
          <w:rFonts w:cstheme="minorHAnsi"/>
          <w:lang w:val="en-US"/>
        </w:rPr>
        <w:t xml:space="preserve"> DNA concentration was quantified by </w:t>
      </w:r>
      <w:r w:rsidRPr="00524CD7">
        <w:rPr>
          <w:rFonts w:cstheme="minorHAnsi"/>
          <w:noProof/>
          <w:lang w:val="en-US"/>
        </w:rPr>
        <w:t>fl</w:t>
      </w:r>
      <w:r w:rsidR="002B492A" w:rsidRPr="00524CD7">
        <w:rPr>
          <w:rFonts w:cstheme="minorHAnsi"/>
          <w:noProof/>
          <w:lang w:val="en-US"/>
        </w:rPr>
        <w:t>u</w:t>
      </w:r>
      <w:r w:rsidRPr="00524CD7">
        <w:rPr>
          <w:rFonts w:cstheme="minorHAnsi"/>
          <w:noProof/>
          <w:lang w:val="en-US"/>
        </w:rPr>
        <w:t>orescence</w:t>
      </w:r>
      <w:r w:rsidRPr="00524CD7">
        <w:rPr>
          <w:rFonts w:cstheme="minorHAnsi"/>
          <w:lang w:val="en-US"/>
        </w:rPr>
        <w:t xml:space="preserve"> using Quant-</w:t>
      </w:r>
      <w:proofErr w:type="spellStart"/>
      <w:r w:rsidRPr="00524CD7">
        <w:rPr>
          <w:rFonts w:cstheme="minorHAnsi"/>
          <w:lang w:val="en-US"/>
        </w:rPr>
        <w:t>iT</w:t>
      </w:r>
      <w:proofErr w:type="spellEnd"/>
      <w:r w:rsidRPr="00524CD7">
        <w:rPr>
          <w:rFonts w:cstheme="minorHAnsi"/>
          <w:lang w:val="en-US"/>
        </w:rPr>
        <w:t xml:space="preserve">™ </w:t>
      </w:r>
      <w:proofErr w:type="spellStart"/>
      <w:r w:rsidRPr="00524CD7">
        <w:rPr>
          <w:rFonts w:cstheme="minorHAnsi"/>
          <w:lang w:val="en-US"/>
        </w:rPr>
        <w:t>PicoGreen</w:t>
      </w:r>
      <w:proofErr w:type="spellEnd"/>
      <w:r w:rsidRPr="00524CD7">
        <w:rPr>
          <w:rFonts w:cstheme="minorHAnsi"/>
          <w:lang w:val="en-US"/>
        </w:rPr>
        <w:t>™ dsDNA Assay Kit (Thermo Fischer Scientific).</w:t>
      </w:r>
    </w:p>
    <w:p w14:paraId="2D430C0A" w14:textId="77777777" w:rsidR="00EA0DF2" w:rsidRDefault="00EA0DF2" w:rsidP="00524CD7">
      <w:pPr>
        <w:tabs>
          <w:tab w:val="left" w:pos="4091"/>
        </w:tabs>
        <w:spacing w:line="480" w:lineRule="auto"/>
        <w:jc w:val="both"/>
        <w:rPr>
          <w:rFonts w:cstheme="minorHAnsi"/>
          <w:b/>
          <w:bCs/>
          <w:color w:val="000000" w:themeColor="text1"/>
          <w:lang w:val="en-US"/>
        </w:rPr>
      </w:pPr>
    </w:p>
    <w:p w14:paraId="2372F279" w14:textId="29E0B9C2" w:rsidR="00A34DB3" w:rsidRPr="00524CD7" w:rsidRDefault="00A34DB3" w:rsidP="00524CD7">
      <w:pPr>
        <w:tabs>
          <w:tab w:val="left" w:pos="4091"/>
        </w:tabs>
        <w:spacing w:line="480" w:lineRule="auto"/>
        <w:jc w:val="both"/>
        <w:rPr>
          <w:rFonts w:cstheme="minorHAnsi"/>
          <w:b/>
          <w:bCs/>
          <w:color w:val="000000" w:themeColor="text1"/>
          <w:lang w:val="en-US"/>
        </w:rPr>
      </w:pPr>
      <w:r w:rsidRPr="00524CD7">
        <w:rPr>
          <w:rFonts w:cstheme="minorHAnsi"/>
          <w:b/>
          <w:bCs/>
          <w:color w:val="000000" w:themeColor="text1"/>
          <w:lang w:val="en-US"/>
        </w:rPr>
        <w:t xml:space="preserve">References </w:t>
      </w:r>
      <w:r w:rsidR="00524CD7" w:rsidRPr="00524CD7">
        <w:rPr>
          <w:rFonts w:cstheme="minorHAnsi"/>
          <w:b/>
          <w:bCs/>
          <w:color w:val="000000" w:themeColor="text1"/>
          <w:lang w:val="en-US"/>
        </w:rPr>
        <w:tab/>
      </w:r>
    </w:p>
    <w:p w14:paraId="7211794E" w14:textId="77777777" w:rsidR="001455AF" w:rsidRPr="001455AF" w:rsidRDefault="00A34DB3" w:rsidP="001455AF">
      <w:pPr>
        <w:pStyle w:val="Bibliography"/>
        <w:rPr>
          <w:rFonts w:ascii="Calibri" w:cs="Calibri"/>
          <w:lang w:val="en-US"/>
        </w:rPr>
      </w:pPr>
      <w:r w:rsidRPr="00524CD7">
        <w:rPr>
          <w:rFonts w:cstheme="minorHAnsi"/>
          <w:color w:val="000000" w:themeColor="text1"/>
          <w:lang w:val="en-US"/>
        </w:rPr>
        <w:fldChar w:fldCharType="begin"/>
      </w:r>
      <w:r w:rsidR="001455AF">
        <w:rPr>
          <w:rFonts w:cstheme="minorHAnsi"/>
          <w:color w:val="000000" w:themeColor="text1"/>
          <w:lang w:val="en-US"/>
        </w:rPr>
        <w:instrText xml:space="preserve"> ADDIN ZOTERO_BIBL {"uncited":[],"omitted":[],"custom":[]} CSL_BIBLIOGRAPHY </w:instrText>
      </w:r>
      <w:r w:rsidRPr="00524CD7">
        <w:rPr>
          <w:rFonts w:cstheme="minorHAnsi"/>
          <w:color w:val="000000" w:themeColor="text1"/>
          <w:lang w:val="en-US"/>
        </w:rPr>
        <w:fldChar w:fldCharType="separate"/>
      </w:r>
      <w:r w:rsidR="001455AF" w:rsidRPr="001455AF">
        <w:rPr>
          <w:rFonts w:ascii="Calibri" w:cs="Calibri"/>
          <w:lang w:val="en-US"/>
        </w:rPr>
        <w:t xml:space="preserve">1. </w:t>
      </w:r>
      <w:r w:rsidR="001455AF" w:rsidRPr="001455AF">
        <w:rPr>
          <w:rFonts w:ascii="Calibri" w:cs="Calibri"/>
          <w:lang w:val="en-US"/>
        </w:rPr>
        <w:tab/>
        <w:t xml:space="preserve">Borgmann U, Néron R, Norwood WP. Quantification of bioavailable nickel in sediments and toxic thresholds to Hyalella azteca. </w:t>
      </w:r>
      <w:r w:rsidR="001455AF" w:rsidRPr="001455AF">
        <w:rPr>
          <w:rFonts w:ascii="Calibri" w:cs="Calibri"/>
          <w:i/>
          <w:iCs/>
          <w:lang w:val="en-US"/>
        </w:rPr>
        <w:t>Environ Pollut</w:t>
      </w:r>
      <w:r w:rsidR="001455AF" w:rsidRPr="001455AF">
        <w:rPr>
          <w:rFonts w:ascii="Calibri" w:cs="Calibri"/>
          <w:lang w:val="en-US"/>
        </w:rPr>
        <w:t xml:space="preserve"> 2001; </w:t>
      </w:r>
      <w:r w:rsidR="001455AF" w:rsidRPr="001455AF">
        <w:rPr>
          <w:rFonts w:ascii="Calibri" w:cs="Calibri"/>
          <w:b/>
          <w:bCs/>
          <w:lang w:val="en-US"/>
        </w:rPr>
        <w:t>111</w:t>
      </w:r>
      <w:r w:rsidR="001455AF" w:rsidRPr="001455AF">
        <w:rPr>
          <w:rFonts w:ascii="Calibri" w:cs="Calibri"/>
          <w:lang w:val="en-US"/>
        </w:rPr>
        <w:t xml:space="preserve">: 189–198. </w:t>
      </w:r>
    </w:p>
    <w:p w14:paraId="236797AE" w14:textId="77777777" w:rsidR="001455AF" w:rsidRPr="001455AF" w:rsidRDefault="001455AF" w:rsidP="001455AF">
      <w:pPr>
        <w:pStyle w:val="Bibliography"/>
        <w:rPr>
          <w:rFonts w:ascii="Calibri" w:cs="Calibri"/>
          <w:lang w:val="en-US"/>
        </w:rPr>
      </w:pPr>
      <w:r w:rsidRPr="001455AF">
        <w:rPr>
          <w:rFonts w:ascii="Calibri" w:cs="Calibri"/>
          <w:lang w:val="en-US"/>
        </w:rPr>
        <w:t xml:space="preserve">2. </w:t>
      </w:r>
      <w:r w:rsidRPr="001455AF">
        <w:rPr>
          <w:rFonts w:ascii="Calibri" w:cs="Calibri"/>
          <w:lang w:val="en-US"/>
        </w:rPr>
        <w:tab/>
        <w:t xml:space="preserve">Pierron F, Bourret V, St-Cyr J, Campbell PGC, Bernatchez L, Couture P. Transcriptional responses to environmental metal exposure in wild yellow perch (Perca flavescens) collected in lakes with differing environmental metal concentrations (Cd, Cu, Ni). </w:t>
      </w:r>
      <w:r w:rsidRPr="001455AF">
        <w:rPr>
          <w:rFonts w:ascii="Calibri" w:cs="Calibri"/>
          <w:i/>
          <w:iCs/>
          <w:lang w:val="en-US"/>
        </w:rPr>
        <w:t>Ecotoxicology</w:t>
      </w:r>
      <w:r w:rsidRPr="001455AF">
        <w:rPr>
          <w:rFonts w:ascii="Calibri" w:cs="Calibri"/>
          <w:lang w:val="en-US"/>
        </w:rPr>
        <w:t xml:space="preserve"> 2009; </w:t>
      </w:r>
      <w:r w:rsidRPr="001455AF">
        <w:rPr>
          <w:rFonts w:ascii="Calibri" w:cs="Calibri"/>
          <w:b/>
          <w:bCs/>
          <w:lang w:val="en-US"/>
        </w:rPr>
        <w:t>18</w:t>
      </w:r>
      <w:r w:rsidRPr="001455AF">
        <w:rPr>
          <w:rFonts w:ascii="Calibri" w:cs="Calibri"/>
          <w:lang w:val="en-US"/>
        </w:rPr>
        <w:t xml:space="preserve">: 620–631. </w:t>
      </w:r>
    </w:p>
    <w:p w14:paraId="5832A8E1" w14:textId="77777777" w:rsidR="001455AF" w:rsidRPr="001455AF" w:rsidRDefault="001455AF" w:rsidP="001455AF">
      <w:pPr>
        <w:pStyle w:val="Bibliography"/>
        <w:rPr>
          <w:rFonts w:ascii="Calibri" w:cs="Calibri"/>
        </w:rPr>
      </w:pPr>
      <w:r w:rsidRPr="001455AF">
        <w:rPr>
          <w:rFonts w:ascii="Calibri" w:cs="Calibri"/>
          <w:lang w:val="en-US"/>
        </w:rPr>
        <w:t xml:space="preserve">3. </w:t>
      </w:r>
      <w:r w:rsidRPr="001455AF">
        <w:rPr>
          <w:rFonts w:ascii="Calibri" w:cs="Calibri"/>
          <w:lang w:val="en-US"/>
        </w:rPr>
        <w:tab/>
        <w:t xml:space="preserve">Couture P, Rajotte JW, Pyle G. Seasonal and regional variations in metal contamination and condition indicators in yellow perch (Perca flavescens) along two polymetallic gradients. </w:t>
      </w:r>
      <w:r w:rsidRPr="001455AF">
        <w:rPr>
          <w:rFonts w:ascii="Calibri" w:cs="Calibri"/>
        </w:rPr>
        <w:t xml:space="preserve">III. </w:t>
      </w:r>
      <w:proofErr w:type="spellStart"/>
      <w:r w:rsidRPr="001455AF">
        <w:rPr>
          <w:rFonts w:ascii="Calibri" w:cs="Calibri"/>
        </w:rPr>
        <w:t>Energetic</w:t>
      </w:r>
      <w:proofErr w:type="spellEnd"/>
      <w:r w:rsidRPr="001455AF">
        <w:rPr>
          <w:rFonts w:ascii="Calibri" w:cs="Calibri"/>
        </w:rPr>
        <w:t xml:space="preserve"> and </w:t>
      </w:r>
      <w:proofErr w:type="spellStart"/>
      <w:r w:rsidRPr="001455AF">
        <w:rPr>
          <w:rFonts w:ascii="Calibri" w:cs="Calibri"/>
        </w:rPr>
        <w:t>physiological</w:t>
      </w:r>
      <w:proofErr w:type="spellEnd"/>
      <w:r w:rsidRPr="001455AF">
        <w:rPr>
          <w:rFonts w:ascii="Calibri" w:cs="Calibri"/>
        </w:rPr>
        <w:t xml:space="preserve"> </w:t>
      </w:r>
      <w:proofErr w:type="spellStart"/>
      <w:r w:rsidRPr="001455AF">
        <w:rPr>
          <w:rFonts w:ascii="Calibri" w:cs="Calibri"/>
        </w:rPr>
        <w:t>indicators</w:t>
      </w:r>
      <w:proofErr w:type="spellEnd"/>
      <w:r w:rsidRPr="001455AF">
        <w:rPr>
          <w:rFonts w:ascii="Calibri" w:cs="Calibri"/>
        </w:rPr>
        <w:t xml:space="preserve">. 2008. </w:t>
      </w:r>
    </w:p>
    <w:p w14:paraId="0E06F36A" w14:textId="63AC2590" w:rsidR="003E5D31" w:rsidRPr="00524CD7" w:rsidRDefault="00A34DB3" w:rsidP="002B492A">
      <w:pPr>
        <w:spacing w:line="480" w:lineRule="auto"/>
        <w:jc w:val="both"/>
        <w:rPr>
          <w:rFonts w:cstheme="minorHAnsi"/>
          <w:color w:val="000000" w:themeColor="text1"/>
          <w:lang w:val="en-US"/>
        </w:rPr>
      </w:pPr>
      <w:r w:rsidRPr="00524CD7">
        <w:rPr>
          <w:rFonts w:cstheme="minorHAnsi"/>
          <w:color w:val="000000" w:themeColor="text1"/>
          <w:lang w:val="en-US"/>
        </w:rPr>
        <w:fldChar w:fldCharType="end"/>
      </w:r>
    </w:p>
    <w:sectPr w:rsidR="003E5D31" w:rsidRPr="00524CD7">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Liberation Sans">
    <w:altName w:val="Arial"/>
    <w:charset w:val="01"/>
    <w:family w:val="roman"/>
    <w:pitch w:val="variable"/>
  </w:font>
  <w:font w:name="Source Han Sans CN Regular">
    <w:panose1 w:val="00000000000000000000"/>
    <w:charset w:val="00"/>
    <w:family w:val="roman"/>
    <w:notTrueType/>
    <w:pitch w:val="default"/>
  </w:font>
  <w:font w:name="Lohit Devanagari">
    <w:altName w:val="Calibri"/>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MyNLewMDAxNDUwtbBU0lEKTi0uzszPAykwqwUAqhHwAywAAAA="/>
  </w:docVars>
  <w:rsids>
    <w:rsidRoot w:val="003E5D31"/>
    <w:rsid w:val="001455AF"/>
    <w:rsid w:val="0020006B"/>
    <w:rsid w:val="002B492A"/>
    <w:rsid w:val="002F1113"/>
    <w:rsid w:val="003B322F"/>
    <w:rsid w:val="003E5D31"/>
    <w:rsid w:val="004A48BD"/>
    <w:rsid w:val="00524CD7"/>
    <w:rsid w:val="005811BF"/>
    <w:rsid w:val="005F5DB3"/>
    <w:rsid w:val="006B3C6A"/>
    <w:rsid w:val="007C310B"/>
    <w:rsid w:val="007D045C"/>
    <w:rsid w:val="009249D3"/>
    <w:rsid w:val="00950741"/>
    <w:rsid w:val="00A2433C"/>
    <w:rsid w:val="00A34DB3"/>
    <w:rsid w:val="00AA361B"/>
    <w:rsid w:val="00AD2A18"/>
    <w:rsid w:val="00BA5217"/>
    <w:rsid w:val="00C14F10"/>
    <w:rsid w:val="00C22ED6"/>
    <w:rsid w:val="00D23A64"/>
    <w:rsid w:val="00D36660"/>
    <w:rsid w:val="00E41547"/>
    <w:rsid w:val="00E5327D"/>
    <w:rsid w:val="00EA0DF2"/>
  </w:rsids>
  <m:mathPr>
    <m:mathFont m:val="Cambria Math"/>
    <m:brkBin m:val="before"/>
    <m:brkBinSub m:val="--"/>
    <m:smallFrac m:val="0"/>
    <m:dispDef/>
    <m:lMargin m:val="0"/>
    <m:rMargin m:val="0"/>
    <m:defJc m:val="centerGroup"/>
    <m:wrapIndent m:val="1440"/>
    <m:intLim m:val="subSup"/>
    <m:naryLim m:val="undOvr"/>
  </m:mathPr>
  <w:themeFontLang w:val="en-US" w:eastAsia="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AD41A"/>
  <w15:docId w15:val="{D926D761-9AC7-4FFD-8B9F-529FDA80A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Calibri" w:cs="Times New Roman"/>
        <w:sz w:val="22"/>
        <w:szCs w:val="22"/>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67252F"/>
    <w:rPr>
      <w:i/>
      <w:iCs/>
    </w:rPr>
  </w:style>
  <w:style w:type="character" w:customStyle="1" w:styleId="BalloonTextChar">
    <w:name w:val="Balloon Text Char"/>
    <w:basedOn w:val="DefaultParagraphFont"/>
    <w:link w:val="BalloonText"/>
    <w:uiPriority w:val="99"/>
    <w:semiHidden/>
    <w:qFormat/>
    <w:rsid w:val="0092163B"/>
    <w:rPr>
      <w:rFonts w:ascii="Segoe UI" w:hAnsi="Segoe UI" w:cs="Segoe UI"/>
      <w:sz w:val="18"/>
      <w:szCs w:val="18"/>
    </w:rPr>
  </w:style>
  <w:style w:type="paragraph" w:customStyle="1" w:styleId="Heading">
    <w:name w:val="Heading"/>
    <w:basedOn w:val="Normal"/>
    <w:next w:val="BodyText"/>
    <w:qFormat/>
    <w:pPr>
      <w:keepNext/>
      <w:spacing w:before="240" w:after="120"/>
    </w:pPr>
    <w:rPr>
      <w:rFonts w:ascii="Liberation Sans" w:eastAsia="Source Han Sans CN Regular"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BalloonText">
    <w:name w:val="Balloon Text"/>
    <w:basedOn w:val="Normal"/>
    <w:link w:val="BalloonTextChar"/>
    <w:uiPriority w:val="99"/>
    <w:semiHidden/>
    <w:unhideWhenUsed/>
    <w:qFormat/>
    <w:rsid w:val="0092163B"/>
    <w:pPr>
      <w:spacing w:after="0" w:line="240" w:lineRule="auto"/>
    </w:pPr>
    <w:rPr>
      <w:rFonts w:ascii="Segoe UI" w:hAnsi="Segoe UI" w:cs="Segoe UI"/>
      <w:sz w:val="18"/>
      <w:szCs w:val="18"/>
    </w:rPr>
  </w:style>
  <w:style w:type="paragraph" w:styleId="Bibliography">
    <w:name w:val="Bibliography"/>
    <w:basedOn w:val="Normal"/>
    <w:next w:val="Normal"/>
    <w:uiPriority w:val="37"/>
    <w:unhideWhenUsed/>
    <w:rsid w:val="00A34DB3"/>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2325</Words>
  <Characters>13256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Bachar</dc:creator>
  <dc:description/>
  <cp:lastModifiedBy>Bachar Cheaib</cp:lastModifiedBy>
  <cp:revision>39</cp:revision>
  <dcterms:created xsi:type="dcterms:W3CDTF">2018-10-06T20:46:00Z</dcterms:created>
  <dcterms:modified xsi:type="dcterms:W3CDTF">2020-10-20T15:15:00Z</dcterms:modified>
  <dc:language>en-CA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ZOTERO_PREF_1">
    <vt:lpwstr>&lt;data data-version="3" zotero-version="5.0.92"&gt;&lt;session id="iozgzkXb"/&gt;&lt;style id="http://www.zotero.org/styles/the-isme-journal" hasBibliography="1" bibliographyStyleHasBeenSet="1"/&gt;&lt;prefs&gt;&lt;pref name="fieldType" value="Field"/&gt;&lt;/prefs&gt;&lt;/data&gt;</vt:lpwstr>
  </property>
</Properties>
</file>