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1E16F2" w14:textId="77777777" w:rsidR="00147232" w:rsidRDefault="00147232">
      <w:pPr>
        <w:spacing w:line="360" w:lineRule="auto"/>
        <w:rPr>
          <w:rFonts w:ascii="Times New Roman" w:hAnsi="Times New Roman" w:cs="Times New Roman"/>
          <w:b/>
          <w:bCs/>
          <w:sz w:val="24"/>
        </w:rPr>
      </w:pPr>
    </w:p>
    <w:p w14:paraId="3C62FC22"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t>Supplementary Fig.</w:t>
      </w:r>
      <w:r>
        <w:rPr>
          <w:rFonts w:ascii="Times New Roman" w:hAnsi="Times New Roman" w:cs="Times New Roman"/>
          <w:b/>
          <w:bCs/>
          <w:sz w:val="24"/>
        </w:rPr>
        <w:t xml:space="preserve"> S1</w:t>
      </w:r>
      <w:r>
        <w:rPr>
          <w:rFonts w:ascii="Times New Roman" w:hAnsi="Times New Roman" w:cs="Times New Roman" w:hint="eastAsia"/>
          <w:b/>
          <w:bCs/>
          <w:sz w:val="24"/>
        </w:rPr>
        <w:t xml:space="preserve">: </w:t>
      </w:r>
      <w:r>
        <w:rPr>
          <w:rFonts w:ascii="Times New Roman" w:hAnsi="Times New Roman" w:cs="Times New Roman"/>
          <w:b/>
          <w:bCs/>
          <w:sz w:val="24"/>
        </w:rPr>
        <w:t>Quality control and cell annotation. (</w:t>
      </w:r>
      <w:r>
        <w:rPr>
          <w:rFonts w:ascii="Times New Roman" w:hAnsi="Times New Roman" w:cs="Times New Roman" w:hint="eastAsia"/>
          <w:sz w:val="24"/>
        </w:rPr>
        <w:t>A</w:t>
      </w:r>
      <w:r>
        <w:rPr>
          <w:rFonts w:ascii="Times New Roman" w:hAnsi="Times New Roman" w:cs="Times New Roman"/>
          <w:sz w:val="24"/>
        </w:rPr>
        <w:t>)</w:t>
      </w:r>
      <w:r>
        <w:rPr>
          <w:rFonts w:ascii="Times New Roman" w:hAnsi="Times New Roman" w:cs="Times New Roman" w:hint="eastAsia"/>
          <w:sz w:val="24"/>
        </w:rPr>
        <w:t xml:space="preserve">. Corneal wound healing model. </w:t>
      </w:r>
      <w:r>
        <w:rPr>
          <w:rFonts w:ascii="Times New Roman" w:hAnsi="Times New Roman" w:cs="Times New Roman"/>
          <w:sz w:val="24"/>
        </w:rPr>
        <w:t>(</w:t>
      </w:r>
      <w:r>
        <w:rPr>
          <w:rFonts w:ascii="Times New Roman" w:hAnsi="Times New Roman" w:cs="Times New Roman" w:hint="eastAsia"/>
          <w:sz w:val="24"/>
        </w:rPr>
        <w:t>B-C</w:t>
      </w:r>
      <w:r>
        <w:rPr>
          <w:rFonts w:ascii="Times New Roman" w:hAnsi="Times New Roman" w:cs="Times New Roman"/>
          <w:sz w:val="24"/>
        </w:rPr>
        <w:t>)</w:t>
      </w:r>
      <w:r>
        <w:rPr>
          <w:rFonts w:ascii="Times New Roman" w:hAnsi="Times New Roman" w:cs="Times New Roman" w:hint="eastAsia"/>
          <w:sz w:val="24"/>
        </w:rPr>
        <w:t>. Boxplots showing the distribution of nFeature_RNA and nCount_RNA across all cells in each sample, both at the gene (B) and isoform (C) levels. D-E. At the gene level (D) and isoform level (E), clustering trees (left) show clusterings at different resolutions; UMAP plots (middle) display clustering results; and heatmaps (right) illustrate the expression of the top 50 features in each cluster.</w:t>
      </w:r>
    </w:p>
    <w:p w14:paraId="3C6F835C" w14:textId="77777777" w:rsidR="00147232" w:rsidRDefault="00147232">
      <w:pPr>
        <w:spacing w:line="360" w:lineRule="auto"/>
        <w:rPr>
          <w:rFonts w:ascii="Times New Roman" w:hAnsi="Times New Roman" w:cs="Times New Roman"/>
          <w:sz w:val="24"/>
        </w:rPr>
      </w:pPr>
    </w:p>
    <w:p w14:paraId="1D0F468D"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t>Supplementary Fig. S2: Feature plot of marker genes.</w:t>
      </w:r>
      <w:r>
        <w:rPr>
          <w:rFonts w:ascii="Times New Roman" w:hAnsi="Times New Roman" w:cs="Times New Roman" w:hint="eastAsia"/>
          <w:sz w:val="24"/>
        </w:rPr>
        <w:t xml:space="preserve"> </w:t>
      </w:r>
      <w:r>
        <w:rPr>
          <w:rFonts w:ascii="Times New Roman" w:hAnsi="Times New Roman" w:cs="Times New Roman"/>
          <w:sz w:val="24"/>
        </w:rPr>
        <w:t>(</w:t>
      </w:r>
      <w:r>
        <w:rPr>
          <w:rFonts w:ascii="Times New Roman" w:hAnsi="Times New Roman" w:cs="Times New Roman" w:hint="eastAsia"/>
          <w:sz w:val="24"/>
        </w:rPr>
        <w:t>A-B</w:t>
      </w:r>
      <w:r>
        <w:rPr>
          <w:rFonts w:ascii="Times New Roman" w:hAnsi="Times New Roman" w:cs="Times New Roman"/>
          <w:sz w:val="24"/>
        </w:rPr>
        <w:t>)</w:t>
      </w:r>
      <w:r>
        <w:rPr>
          <w:rFonts w:ascii="Times New Roman" w:hAnsi="Times New Roman" w:cs="Times New Roman" w:hint="eastAsia"/>
          <w:sz w:val="24"/>
        </w:rPr>
        <w:t>. At the gene level (A) and isoform level (B), expression levels of well-known representative cell markers across clusters.</w:t>
      </w:r>
    </w:p>
    <w:p w14:paraId="6E1258CD" w14:textId="77777777" w:rsidR="00147232" w:rsidRDefault="00147232">
      <w:pPr>
        <w:spacing w:line="360" w:lineRule="auto"/>
        <w:rPr>
          <w:rFonts w:ascii="Times New Roman" w:hAnsi="Times New Roman" w:cs="Times New Roman"/>
          <w:b/>
          <w:bCs/>
          <w:sz w:val="24"/>
        </w:rPr>
      </w:pPr>
    </w:p>
    <w:p w14:paraId="50E5988C"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t xml:space="preserve">Supplementary Fig. S3: </w:t>
      </w:r>
      <w:r>
        <w:rPr>
          <w:rFonts w:ascii="Times New Roman" w:hAnsi="Times New Roman" w:cs="Times New Roman"/>
          <w:b/>
          <w:bCs/>
          <w:sz w:val="24"/>
        </w:rPr>
        <w:t>UMAP Visualization of Batch Effects</w:t>
      </w:r>
      <w:r>
        <w:rPr>
          <w:rFonts w:ascii="Times New Roman" w:hAnsi="Times New Roman" w:cs="Times New Roman" w:hint="eastAsia"/>
          <w:b/>
          <w:bCs/>
          <w:sz w:val="24"/>
        </w:rPr>
        <w:t>.</w:t>
      </w:r>
      <w:r>
        <w:rPr>
          <w:rFonts w:ascii="Times New Roman" w:hAnsi="Times New Roman" w:cs="Times New Roman" w:hint="eastAsia"/>
          <w:sz w:val="24"/>
        </w:rPr>
        <w:t xml:space="preserve"> </w:t>
      </w:r>
      <w:r>
        <w:rPr>
          <w:rFonts w:ascii="Times New Roman" w:hAnsi="Times New Roman" w:cs="Times New Roman"/>
          <w:sz w:val="24"/>
        </w:rPr>
        <w:t>(</w:t>
      </w:r>
      <w:r>
        <w:rPr>
          <w:rFonts w:ascii="Times New Roman" w:hAnsi="Times New Roman" w:cs="Times New Roman" w:hint="eastAsia"/>
          <w:sz w:val="24"/>
        </w:rPr>
        <w:t>A-B</w:t>
      </w:r>
      <w:r>
        <w:rPr>
          <w:rFonts w:ascii="Times New Roman" w:hAnsi="Times New Roman" w:cs="Times New Roman"/>
          <w:sz w:val="24"/>
        </w:rPr>
        <w:t>)</w:t>
      </w:r>
      <w:r>
        <w:rPr>
          <w:rFonts w:ascii="Times New Roman" w:hAnsi="Times New Roman" w:cs="Times New Roman" w:hint="eastAsia"/>
          <w:sz w:val="24"/>
        </w:rPr>
        <w:t>. UMAP plots showing the distribution of cells from different samples.</w:t>
      </w:r>
    </w:p>
    <w:p w14:paraId="131A183E" w14:textId="77777777" w:rsidR="00147232" w:rsidRDefault="00147232">
      <w:pPr>
        <w:spacing w:line="360" w:lineRule="auto"/>
        <w:rPr>
          <w:rFonts w:ascii="Times New Roman" w:hAnsi="Times New Roman" w:cs="Times New Roman"/>
          <w:sz w:val="24"/>
        </w:rPr>
      </w:pPr>
    </w:p>
    <w:p w14:paraId="6B20ACC8"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t xml:space="preserve">Supplementary Fig. S4: </w:t>
      </w:r>
      <w:r>
        <w:rPr>
          <w:rFonts w:ascii="Times New Roman" w:hAnsi="Times New Roman" w:cs="Times New Roman"/>
          <w:b/>
          <w:bCs/>
          <w:sz w:val="24"/>
        </w:rPr>
        <w:t>Differentially Expressed Genes</w:t>
      </w:r>
      <w:r>
        <w:rPr>
          <w:rFonts w:ascii="Times New Roman" w:hAnsi="Times New Roman" w:cs="Times New Roman" w:hint="eastAsia"/>
          <w:b/>
          <w:bCs/>
          <w:sz w:val="24"/>
        </w:rPr>
        <w:t>.</w:t>
      </w:r>
      <w:r>
        <w:rPr>
          <w:rFonts w:ascii="Times New Roman" w:hAnsi="Times New Roman" w:cs="Times New Roman" w:hint="eastAsia"/>
          <w:sz w:val="24"/>
        </w:rPr>
        <w:t xml:space="preserve"> </w:t>
      </w:r>
      <w:r>
        <w:rPr>
          <w:rFonts w:ascii="Times New Roman" w:hAnsi="Times New Roman" w:cs="Times New Roman"/>
          <w:sz w:val="24"/>
        </w:rPr>
        <w:t>(</w:t>
      </w:r>
      <w:r>
        <w:rPr>
          <w:rFonts w:ascii="Times New Roman" w:hAnsi="Times New Roman" w:cs="Times New Roman" w:hint="eastAsia"/>
          <w:sz w:val="24"/>
        </w:rPr>
        <w:t>A</w:t>
      </w:r>
      <w:r>
        <w:rPr>
          <w:rFonts w:ascii="Times New Roman" w:hAnsi="Times New Roman" w:cs="Times New Roman"/>
          <w:sz w:val="24"/>
        </w:rPr>
        <w:t>)</w:t>
      </w:r>
      <w:r>
        <w:rPr>
          <w:rFonts w:ascii="Times New Roman" w:hAnsi="Times New Roman" w:cs="Times New Roman" w:hint="eastAsia"/>
          <w:sz w:val="24"/>
        </w:rPr>
        <w:t xml:space="preserve">. Distribution of differentially expressed genes between pairs of time points across different cell types. </w:t>
      </w:r>
      <w:r>
        <w:rPr>
          <w:rFonts w:ascii="Times New Roman" w:hAnsi="Times New Roman" w:cs="Times New Roman"/>
          <w:sz w:val="24"/>
        </w:rPr>
        <w:t>(</w:t>
      </w:r>
      <w:r>
        <w:rPr>
          <w:rFonts w:ascii="Times New Roman" w:hAnsi="Times New Roman" w:cs="Times New Roman" w:hint="eastAsia"/>
          <w:sz w:val="24"/>
        </w:rPr>
        <w:t>B</w:t>
      </w:r>
      <w:r>
        <w:rPr>
          <w:rFonts w:ascii="Times New Roman" w:hAnsi="Times New Roman" w:cs="Times New Roman"/>
          <w:sz w:val="24"/>
        </w:rPr>
        <w:t>)</w:t>
      </w:r>
      <w:r>
        <w:rPr>
          <w:rFonts w:ascii="Times New Roman" w:hAnsi="Times New Roman" w:cs="Times New Roman" w:hint="eastAsia"/>
          <w:sz w:val="24"/>
        </w:rPr>
        <w:t>. KEGG pathway enrichment analysis of differentially expressed genes across various cell types.</w:t>
      </w:r>
    </w:p>
    <w:p w14:paraId="5F915F94" w14:textId="77777777" w:rsidR="00147232" w:rsidRDefault="00147232">
      <w:pPr>
        <w:spacing w:line="360" w:lineRule="auto"/>
        <w:rPr>
          <w:rFonts w:ascii="Times New Roman" w:hAnsi="Times New Roman" w:cs="Times New Roman"/>
          <w:sz w:val="24"/>
        </w:rPr>
      </w:pPr>
    </w:p>
    <w:p w14:paraId="670C9265"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t xml:space="preserve">Supplementary </w:t>
      </w:r>
      <w:r>
        <w:rPr>
          <w:rFonts w:ascii="Times New Roman" w:hAnsi="Times New Roman" w:cs="Times New Roman"/>
          <w:b/>
          <w:bCs/>
          <w:sz w:val="24"/>
        </w:rPr>
        <w:t>Fig. S</w:t>
      </w:r>
      <w:r>
        <w:rPr>
          <w:rFonts w:ascii="Times New Roman" w:hAnsi="Times New Roman" w:cs="Times New Roman" w:hint="eastAsia"/>
          <w:b/>
          <w:bCs/>
          <w:sz w:val="24"/>
        </w:rPr>
        <w:t>5:</w:t>
      </w:r>
      <w:r>
        <w:rPr>
          <w:rFonts w:ascii="Times New Roman" w:hAnsi="Times New Roman" w:cs="Times New Roman"/>
          <w:b/>
          <w:bCs/>
          <w:sz w:val="24"/>
        </w:rPr>
        <w:t xml:space="preserve"> Cell migration-related genes</w:t>
      </w:r>
      <w:r>
        <w:rPr>
          <w:rFonts w:ascii="Times New Roman" w:hAnsi="Times New Roman" w:cs="Times New Roman"/>
          <w:b/>
          <w:sz w:val="24"/>
        </w:rPr>
        <w:t>.</w:t>
      </w:r>
      <w:r>
        <w:rPr>
          <w:rFonts w:ascii="Times New Roman" w:hAnsi="Times New Roman" w:cs="Times New Roman"/>
          <w:sz w:val="24"/>
        </w:rPr>
        <w:t xml:space="preserve"> (</w:t>
      </w:r>
      <w:r>
        <w:rPr>
          <w:rFonts w:ascii="Times New Roman" w:hAnsi="Times New Roman" w:cs="Times New Roman" w:hint="eastAsia"/>
          <w:sz w:val="24"/>
        </w:rPr>
        <w:t>A</w:t>
      </w:r>
      <w:r>
        <w:rPr>
          <w:rFonts w:ascii="Times New Roman" w:hAnsi="Times New Roman" w:cs="Times New Roman"/>
          <w:sz w:val="24"/>
        </w:rPr>
        <w:t>)</w:t>
      </w:r>
      <w:r>
        <w:rPr>
          <w:rFonts w:ascii="Times New Roman" w:hAnsi="Times New Roman" w:cs="Times New Roman" w:hint="eastAsia"/>
          <w:sz w:val="24"/>
        </w:rPr>
        <w:t xml:space="preserve">. Expression levels of the MMP family at three time points in LSC and BC. </w:t>
      </w:r>
      <w:r>
        <w:rPr>
          <w:rFonts w:ascii="Times New Roman" w:hAnsi="Times New Roman" w:cs="Times New Roman"/>
          <w:sz w:val="24"/>
        </w:rPr>
        <w:t>(</w:t>
      </w:r>
      <w:r>
        <w:rPr>
          <w:rFonts w:ascii="Times New Roman" w:hAnsi="Times New Roman" w:cs="Times New Roman" w:hint="eastAsia"/>
          <w:sz w:val="24"/>
        </w:rPr>
        <w:t>B</w:t>
      </w:r>
      <w:r>
        <w:rPr>
          <w:rFonts w:ascii="Times New Roman" w:hAnsi="Times New Roman" w:cs="Times New Roman"/>
          <w:sz w:val="24"/>
        </w:rPr>
        <w:t>)</w:t>
      </w:r>
      <w:r>
        <w:rPr>
          <w:rFonts w:ascii="Times New Roman" w:hAnsi="Times New Roman" w:cs="Times New Roman" w:hint="eastAsia"/>
          <w:sz w:val="24"/>
        </w:rPr>
        <w:t xml:space="preserve">. Distribution of differentially expressed genes across various gene modules. </w:t>
      </w:r>
      <w:r>
        <w:rPr>
          <w:rFonts w:ascii="Times New Roman" w:hAnsi="Times New Roman" w:cs="Times New Roman"/>
          <w:sz w:val="24"/>
        </w:rPr>
        <w:t>(</w:t>
      </w:r>
      <w:r>
        <w:rPr>
          <w:rFonts w:ascii="Times New Roman" w:hAnsi="Times New Roman" w:cs="Times New Roman" w:hint="eastAsia"/>
          <w:sz w:val="24"/>
        </w:rPr>
        <w:t>C</w:t>
      </w:r>
      <w:r>
        <w:rPr>
          <w:rFonts w:ascii="Times New Roman" w:hAnsi="Times New Roman" w:cs="Times New Roman"/>
          <w:sz w:val="24"/>
        </w:rPr>
        <w:t>)</w:t>
      </w:r>
      <w:r>
        <w:rPr>
          <w:rFonts w:ascii="Times New Roman" w:hAnsi="Times New Roman" w:cs="Times New Roman" w:hint="eastAsia"/>
          <w:sz w:val="24"/>
        </w:rPr>
        <w:t xml:space="preserve">. GO term enrichment analysis of different gene modules. </w:t>
      </w:r>
      <w:r>
        <w:rPr>
          <w:rFonts w:ascii="Times New Roman" w:hAnsi="Times New Roman" w:cs="Times New Roman"/>
          <w:sz w:val="24"/>
        </w:rPr>
        <w:t>(</w:t>
      </w:r>
      <w:r>
        <w:rPr>
          <w:rFonts w:ascii="Times New Roman" w:hAnsi="Times New Roman" w:cs="Times New Roman" w:hint="eastAsia"/>
          <w:sz w:val="24"/>
        </w:rPr>
        <w:t>D</w:t>
      </w:r>
      <w:r>
        <w:rPr>
          <w:rFonts w:ascii="Times New Roman" w:hAnsi="Times New Roman" w:cs="Times New Roman"/>
          <w:sz w:val="24"/>
        </w:rPr>
        <w:t>)</w:t>
      </w:r>
      <w:r>
        <w:rPr>
          <w:rFonts w:ascii="Times New Roman" w:hAnsi="Times New Roman" w:cs="Times New Roman" w:hint="eastAsia"/>
          <w:sz w:val="24"/>
        </w:rPr>
        <w:t xml:space="preserve">. GO term enrichment analysis of functional genes related to cell migration in LSC and BC. </w:t>
      </w:r>
      <w:r>
        <w:rPr>
          <w:rFonts w:ascii="Times New Roman" w:hAnsi="Times New Roman" w:cs="Times New Roman"/>
          <w:sz w:val="24"/>
        </w:rPr>
        <w:t>(</w:t>
      </w:r>
      <w:r>
        <w:rPr>
          <w:rFonts w:ascii="Times New Roman" w:hAnsi="Times New Roman" w:cs="Times New Roman" w:hint="eastAsia"/>
          <w:sz w:val="24"/>
        </w:rPr>
        <w:t>E</w:t>
      </w:r>
      <w:r>
        <w:rPr>
          <w:rFonts w:ascii="Times New Roman" w:hAnsi="Times New Roman" w:cs="Times New Roman"/>
          <w:sz w:val="24"/>
        </w:rPr>
        <w:t>)</w:t>
      </w:r>
      <w:r>
        <w:rPr>
          <w:rFonts w:ascii="Times New Roman" w:hAnsi="Times New Roman" w:cs="Times New Roman" w:hint="eastAsia"/>
          <w:sz w:val="24"/>
        </w:rPr>
        <w:t>. Expression trends of corresponding isoforms of cell migration-related genes.</w:t>
      </w:r>
    </w:p>
    <w:p w14:paraId="68592087" w14:textId="77777777" w:rsidR="00147232" w:rsidRDefault="00147232">
      <w:pPr>
        <w:spacing w:line="360" w:lineRule="auto"/>
        <w:rPr>
          <w:rFonts w:ascii="Times New Roman" w:hAnsi="Times New Roman" w:cs="Times New Roman"/>
          <w:sz w:val="24"/>
        </w:rPr>
      </w:pPr>
    </w:p>
    <w:p w14:paraId="3E41D434"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t xml:space="preserve">Supplementary </w:t>
      </w:r>
      <w:r>
        <w:rPr>
          <w:rFonts w:ascii="Times New Roman" w:hAnsi="Times New Roman" w:cs="Times New Roman"/>
          <w:b/>
          <w:bCs/>
          <w:sz w:val="24"/>
        </w:rPr>
        <w:t>Fig. S</w:t>
      </w:r>
      <w:r>
        <w:rPr>
          <w:rFonts w:ascii="Times New Roman" w:hAnsi="Times New Roman" w:cs="Times New Roman" w:hint="eastAsia"/>
          <w:b/>
          <w:bCs/>
          <w:sz w:val="24"/>
        </w:rPr>
        <w:t xml:space="preserve">6: </w:t>
      </w:r>
      <w:r>
        <w:rPr>
          <w:rFonts w:ascii="Times New Roman" w:hAnsi="Times New Roman" w:cs="Times New Roman"/>
          <w:b/>
          <w:i/>
          <w:sz w:val="24"/>
        </w:rPr>
        <w:t>PLAU</w:t>
      </w:r>
      <w:r>
        <w:rPr>
          <w:rFonts w:ascii="Times New Roman" w:hAnsi="Times New Roman" w:cs="Times New Roman"/>
          <w:b/>
          <w:sz w:val="24"/>
        </w:rPr>
        <w:t xml:space="preserve"> Sequence and Protein Structure</w:t>
      </w:r>
      <w:r>
        <w:rPr>
          <w:rFonts w:ascii="Times New Roman" w:hAnsi="Times New Roman" w:cs="Times New Roman" w:hint="eastAsia"/>
          <w:b/>
          <w:sz w:val="24"/>
        </w:rPr>
        <w:t>.</w:t>
      </w:r>
      <w:r>
        <w:rPr>
          <w:rFonts w:ascii="Times New Roman" w:hAnsi="Times New Roman" w:cs="Times New Roman" w:hint="eastAsia"/>
          <w:sz w:val="24"/>
        </w:rPr>
        <w:t xml:space="preserve"> </w:t>
      </w:r>
      <w:r>
        <w:rPr>
          <w:rFonts w:ascii="Times New Roman" w:hAnsi="Times New Roman" w:cs="Times New Roman"/>
          <w:sz w:val="24"/>
        </w:rPr>
        <w:t>(</w:t>
      </w:r>
      <w:r>
        <w:rPr>
          <w:rFonts w:ascii="Times New Roman" w:hAnsi="Times New Roman" w:cs="Times New Roman" w:hint="eastAsia"/>
          <w:sz w:val="24"/>
        </w:rPr>
        <w:t>A</w:t>
      </w:r>
      <w:r>
        <w:rPr>
          <w:rFonts w:ascii="Times New Roman" w:hAnsi="Times New Roman" w:cs="Times New Roman"/>
          <w:sz w:val="24"/>
        </w:rPr>
        <w:t>)</w:t>
      </w:r>
      <w:r>
        <w:rPr>
          <w:rFonts w:ascii="Times New Roman" w:hAnsi="Times New Roman" w:cs="Times New Roman" w:hint="eastAsia"/>
          <w:sz w:val="24"/>
        </w:rPr>
        <w:t xml:space="preserve">. Multiple sequence alignment of the protein sequences corresponding to </w:t>
      </w:r>
      <w:r>
        <w:rPr>
          <w:rFonts w:ascii="Times New Roman" w:hAnsi="Times New Roman" w:cs="Times New Roman" w:hint="eastAsia"/>
          <w:i/>
          <w:sz w:val="24"/>
        </w:rPr>
        <w:t>PLAU</w:t>
      </w:r>
      <w:r>
        <w:rPr>
          <w:rFonts w:ascii="Times New Roman" w:hAnsi="Times New Roman" w:cs="Times New Roman" w:hint="eastAsia"/>
          <w:sz w:val="24"/>
        </w:rPr>
        <w:t xml:space="preserve"> isoforms. </w:t>
      </w:r>
      <w:r>
        <w:rPr>
          <w:rFonts w:ascii="Times New Roman" w:hAnsi="Times New Roman" w:cs="Times New Roman"/>
          <w:sz w:val="24"/>
        </w:rPr>
        <w:t>(</w:t>
      </w:r>
      <w:r>
        <w:rPr>
          <w:rFonts w:ascii="Times New Roman" w:hAnsi="Times New Roman" w:cs="Times New Roman" w:hint="eastAsia"/>
          <w:sz w:val="24"/>
        </w:rPr>
        <w:t>B</w:t>
      </w:r>
      <w:r>
        <w:rPr>
          <w:rFonts w:ascii="Times New Roman" w:hAnsi="Times New Roman" w:cs="Times New Roman"/>
          <w:sz w:val="24"/>
        </w:rPr>
        <w:t>)</w:t>
      </w:r>
      <w:r>
        <w:rPr>
          <w:rFonts w:ascii="Times New Roman" w:hAnsi="Times New Roman" w:cs="Times New Roman" w:hint="eastAsia"/>
          <w:sz w:val="24"/>
        </w:rPr>
        <w:t>. Protein structures of PB.62488.521(</w:t>
      </w:r>
      <w:r>
        <w:rPr>
          <w:rFonts w:ascii="Times New Roman" w:hAnsi="Times New Roman" w:cs="Times New Roman" w:hint="eastAsia"/>
          <w:i/>
          <w:sz w:val="24"/>
        </w:rPr>
        <w:t>PLAU</w:t>
      </w:r>
      <w:r>
        <w:rPr>
          <w:rFonts w:ascii="Times New Roman" w:hAnsi="Times New Roman" w:cs="Times New Roman" w:hint="eastAsia"/>
          <w:sz w:val="24"/>
        </w:rPr>
        <w:t>~NIC) and PB.62488.875(</w:t>
      </w:r>
      <w:r>
        <w:rPr>
          <w:rFonts w:ascii="Times New Roman" w:hAnsi="Times New Roman" w:cs="Times New Roman" w:hint="eastAsia"/>
          <w:i/>
          <w:sz w:val="24"/>
        </w:rPr>
        <w:t>PLAU</w:t>
      </w:r>
      <w:r>
        <w:rPr>
          <w:rFonts w:ascii="Times New Roman" w:hAnsi="Times New Roman" w:cs="Times New Roman" w:hint="eastAsia"/>
          <w:sz w:val="24"/>
        </w:rPr>
        <w:t>~NIC).</w:t>
      </w:r>
    </w:p>
    <w:p w14:paraId="7E769DB6" w14:textId="77777777" w:rsidR="00147232" w:rsidRDefault="00147232">
      <w:pPr>
        <w:spacing w:line="360" w:lineRule="auto"/>
        <w:rPr>
          <w:rFonts w:ascii="Times New Roman" w:hAnsi="Times New Roman" w:cs="Times New Roman"/>
          <w:sz w:val="24"/>
        </w:rPr>
      </w:pPr>
    </w:p>
    <w:p w14:paraId="278D529E"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t xml:space="preserve">Supplementary </w:t>
      </w:r>
      <w:r>
        <w:rPr>
          <w:rFonts w:ascii="Times New Roman" w:hAnsi="Times New Roman" w:cs="Times New Roman"/>
          <w:b/>
          <w:bCs/>
          <w:sz w:val="24"/>
        </w:rPr>
        <w:t>Fig. S</w:t>
      </w:r>
      <w:r>
        <w:rPr>
          <w:rFonts w:ascii="Times New Roman" w:hAnsi="Times New Roman" w:cs="Times New Roman" w:hint="eastAsia"/>
          <w:b/>
          <w:bCs/>
          <w:sz w:val="24"/>
        </w:rPr>
        <w:t>7:</w:t>
      </w:r>
      <w:r>
        <w:rPr>
          <w:rFonts w:ascii="Times New Roman" w:hAnsi="Times New Roman" w:cs="Times New Roman"/>
          <w:b/>
          <w:bCs/>
          <w:sz w:val="24"/>
        </w:rPr>
        <w:t xml:space="preserve"> Cell proliferation-related genes.</w:t>
      </w:r>
      <w:r>
        <w:rPr>
          <w:rFonts w:ascii="Times New Roman" w:hAnsi="Times New Roman" w:cs="Times New Roman"/>
          <w:sz w:val="24"/>
        </w:rPr>
        <w:t xml:space="preserve"> </w:t>
      </w:r>
      <w:r>
        <w:rPr>
          <w:rFonts w:ascii="Times New Roman" w:hAnsi="Times New Roman" w:cs="Times New Roman" w:hint="eastAsia"/>
          <w:sz w:val="24"/>
        </w:rPr>
        <w:t>MKI67 and CENPF expression violin plots (left), isoform expression trend fold plots (middle), and isoform structure plots (right).</w:t>
      </w:r>
    </w:p>
    <w:p w14:paraId="73A748D8" w14:textId="77777777" w:rsidR="00147232" w:rsidRDefault="00147232">
      <w:pPr>
        <w:spacing w:line="360" w:lineRule="auto"/>
        <w:rPr>
          <w:rFonts w:ascii="Times New Roman" w:hAnsi="Times New Roman" w:cs="Times New Roman"/>
          <w:sz w:val="24"/>
        </w:rPr>
      </w:pPr>
    </w:p>
    <w:p w14:paraId="73A27150"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t xml:space="preserve">Supplementary </w:t>
      </w:r>
      <w:r>
        <w:rPr>
          <w:rFonts w:ascii="Times New Roman" w:hAnsi="Times New Roman" w:cs="Times New Roman"/>
          <w:b/>
          <w:bCs/>
          <w:sz w:val="24"/>
        </w:rPr>
        <w:t>Fig. S</w:t>
      </w:r>
      <w:r>
        <w:rPr>
          <w:rFonts w:ascii="Times New Roman" w:hAnsi="Times New Roman" w:cs="Times New Roman" w:hint="eastAsia"/>
          <w:b/>
          <w:bCs/>
          <w:sz w:val="24"/>
        </w:rPr>
        <w:t>8:</w:t>
      </w:r>
      <w:r>
        <w:rPr>
          <w:rFonts w:ascii="Times New Roman" w:hAnsi="Times New Roman" w:cs="Times New Roman"/>
          <w:b/>
          <w:bCs/>
          <w:sz w:val="24"/>
        </w:rPr>
        <w:t xml:space="preserve"> </w:t>
      </w:r>
      <w:r>
        <w:rPr>
          <w:rFonts w:ascii="Times New Roman" w:hAnsi="Times New Roman" w:cs="Times New Roman"/>
          <w:b/>
          <w:sz w:val="24"/>
        </w:rPr>
        <w:t>Cell differentiation-related genes.</w:t>
      </w:r>
      <w:r>
        <w:rPr>
          <w:rFonts w:ascii="Times New Roman" w:hAnsi="Times New Roman" w:cs="Times New Roman" w:hint="eastAsia"/>
          <w:sz w:val="24"/>
        </w:rPr>
        <w:t xml:space="preserve"> </w:t>
      </w:r>
      <w:r>
        <w:rPr>
          <w:rFonts w:ascii="Times New Roman" w:hAnsi="Times New Roman" w:cs="Times New Roman"/>
          <w:sz w:val="24"/>
        </w:rPr>
        <w:t>(</w:t>
      </w:r>
      <w:r>
        <w:rPr>
          <w:rFonts w:ascii="Times New Roman" w:hAnsi="Times New Roman" w:cs="Times New Roman" w:hint="eastAsia"/>
          <w:sz w:val="24"/>
        </w:rPr>
        <w:t>A</w:t>
      </w:r>
      <w:r>
        <w:rPr>
          <w:rFonts w:ascii="Times New Roman" w:hAnsi="Times New Roman" w:cs="Times New Roman"/>
          <w:sz w:val="24"/>
        </w:rPr>
        <w:t>)</w:t>
      </w:r>
      <w:r>
        <w:rPr>
          <w:rFonts w:ascii="Times New Roman" w:hAnsi="Times New Roman" w:cs="Times New Roman" w:hint="eastAsia"/>
          <w:sz w:val="24"/>
        </w:rPr>
        <w:t xml:space="preserve">. Distribution of different cell types along the differentiation trajectory at both gene and isoform levels. </w:t>
      </w:r>
      <w:r>
        <w:rPr>
          <w:rFonts w:ascii="Times New Roman" w:hAnsi="Times New Roman" w:cs="Times New Roman"/>
          <w:sz w:val="24"/>
        </w:rPr>
        <w:t>(</w:t>
      </w:r>
      <w:r>
        <w:rPr>
          <w:rFonts w:ascii="Times New Roman" w:hAnsi="Times New Roman" w:cs="Times New Roman" w:hint="eastAsia"/>
          <w:sz w:val="24"/>
        </w:rPr>
        <w:t>B</w:t>
      </w:r>
      <w:r>
        <w:rPr>
          <w:rFonts w:ascii="Times New Roman" w:hAnsi="Times New Roman" w:cs="Times New Roman"/>
          <w:sz w:val="24"/>
        </w:rPr>
        <w:t>)</w:t>
      </w:r>
      <w:r>
        <w:rPr>
          <w:rFonts w:ascii="Times New Roman" w:hAnsi="Times New Roman" w:cs="Times New Roman" w:hint="eastAsia"/>
          <w:sz w:val="24"/>
        </w:rPr>
        <w:t xml:space="preserve">. At the isoform level, heatmap showing the expression of differentially expressed genes (vertical columns) sorted by pseudotime (horizontal columns) that may be key genes driving cell differentiation. The right panel displays GO annotation entries for the corresponding clusters. </w:t>
      </w:r>
      <w:r>
        <w:rPr>
          <w:rFonts w:ascii="Times New Roman" w:hAnsi="Times New Roman" w:cs="Times New Roman"/>
          <w:sz w:val="24"/>
        </w:rPr>
        <w:t>(</w:t>
      </w:r>
      <w:r>
        <w:rPr>
          <w:rFonts w:ascii="Times New Roman" w:hAnsi="Times New Roman" w:cs="Times New Roman" w:hint="eastAsia"/>
          <w:sz w:val="24"/>
        </w:rPr>
        <w:t>C</w:t>
      </w:r>
      <w:r>
        <w:rPr>
          <w:rFonts w:ascii="Times New Roman" w:hAnsi="Times New Roman" w:cs="Times New Roman"/>
          <w:sz w:val="24"/>
        </w:rPr>
        <w:t>)</w:t>
      </w:r>
      <w:r>
        <w:rPr>
          <w:rFonts w:ascii="Times New Roman" w:hAnsi="Times New Roman" w:cs="Times New Roman" w:hint="eastAsia"/>
          <w:sz w:val="24"/>
        </w:rPr>
        <w:t>. Expression violin plots of cell differentiation-related genes (left), isoform expression trend fold plots (middle), and isoform structure plots (right).</w:t>
      </w:r>
    </w:p>
    <w:p w14:paraId="39E20B2A" w14:textId="77777777" w:rsidR="00147232" w:rsidRDefault="00147232">
      <w:pPr>
        <w:spacing w:line="360" w:lineRule="auto"/>
        <w:rPr>
          <w:rFonts w:ascii="Times New Roman" w:hAnsi="Times New Roman" w:cs="Times New Roman"/>
          <w:sz w:val="24"/>
        </w:rPr>
      </w:pPr>
    </w:p>
    <w:p w14:paraId="2FD322E6" w14:textId="77777777" w:rsidR="00147232" w:rsidRDefault="00000000">
      <w:pPr>
        <w:spacing w:line="360" w:lineRule="auto"/>
        <w:rPr>
          <w:rFonts w:ascii="Times New Roman" w:hAnsi="Times New Roman" w:cs="Times New Roman"/>
          <w:sz w:val="24"/>
        </w:rPr>
      </w:pPr>
      <w:r>
        <w:rPr>
          <w:rFonts w:ascii="Times New Roman" w:hAnsi="Times New Roman" w:cs="Times New Roman"/>
          <w:b/>
          <w:bCs/>
          <w:sz w:val="24"/>
        </w:rPr>
        <w:t>Supplementary Table 1:</w:t>
      </w:r>
      <w:r>
        <w:rPr>
          <w:rFonts w:ascii="Times New Roman" w:hAnsi="Times New Roman" w:cs="Times New Roman" w:hint="eastAsia"/>
          <w:sz w:val="24"/>
        </w:rPr>
        <w:t xml:space="preserve"> Quality control reports for CCS reads from the HIT-scISOseq dataset.</w:t>
      </w:r>
    </w:p>
    <w:p w14:paraId="51EEA6D3" w14:textId="77777777" w:rsidR="00147232" w:rsidRDefault="00000000">
      <w:pPr>
        <w:spacing w:line="360" w:lineRule="auto"/>
        <w:rPr>
          <w:rFonts w:ascii="Times New Roman" w:hAnsi="Times New Roman" w:cs="Times New Roman"/>
          <w:sz w:val="24"/>
        </w:rPr>
      </w:pPr>
      <w:r>
        <w:rPr>
          <w:rFonts w:ascii="Times New Roman" w:hAnsi="Times New Roman" w:cs="Times New Roman"/>
          <w:b/>
          <w:bCs/>
          <w:sz w:val="24"/>
        </w:rPr>
        <w:t>Supplementary Table 2</w:t>
      </w:r>
      <w:r>
        <w:rPr>
          <w:rFonts w:ascii="Times New Roman" w:hAnsi="Times New Roman" w:cs="Times New Roman" w:hint="eastAsia"/>
          <w:b/>
          <w:bCs/>
          <w:sz w:val="24"/>
        </w:rPr>
        <w:t>:</w:t>
      </w:r>
      <w:r>
        <w:rPr>
          <w:rFonts w:ascii="Times New Roman" w:hAnsi="Times New Roman" w:cs="Times New Roman" w:hint="eastAsia"/>
          <w:sz w:val="24"/>
        </w:rPr>
        <w:t xml:space="preserve"> Quality control reports for FLNC reads from the HIT-scISOseq dataset.</w:t>
      </w:r>
    </w:p>
    <w:p w14:paraId="4B82BB40" w14:textId="77777777" w:rsidR="00147232" w:rsidRDefault="00000000">
      <w:pPr>
        <w:spacing w:line="360" w:lineRule="auto"/>
        <w:rPr>
          <w:rFonts w:ascii="Times New Roman" w:hAnsi="Times New Roman" w:cs="Times New Roman"/>
          <w:sz w:val="24"/>
        </w:rPr>
      </w:pPr>
      <w:r>
        <w:rPr>
          <w:rFonts w:ascii="Times New Roman" w:hAnsi="Times New Roman" w:cs="Times New Roman"/>
          <w:b/>
          <w:bCs/>
          <w:sz w:val="24"/>
        </w:rPr>
        <w:t>Supplementary Table 3</w:t>
      </w:r>
      <w:r>
        <w:rPr>
          <w:rFonts w:ascii="Times New Roman" w:hAnsi="Times New Roman" w:cs="Times New Roman" w:hint="eastAsia"/>
          <w:b/>
          <w:bCs/>
          <w:sz w:val="24"/>
        </w:rPr>
        <w:t>:</w:t>
      </w:r>
      <w:r>
        <w:rPr>
          <w:rFonts w:ascii="Times New Roman" w:hAnsi="Times New Roman" w:cs="Times New Roman" w:hint="eastAsia"/>
          <w:sz w:val="24"/>
        </w:rPr>
        <w:t xml:space="preserve"> Quality control reports for genome mapping of FLNC reads from the HIT-scISOseq dataset.</w:t>
      </w:r>
    </w:p>
    <w:p w14:paraId="715674D7" w14:textId="77777777" w:rsidR="00147232" w:rsidRDefault="00000000">
      <w:pPr>
        <w:spacing w:line="360" w:lineRule="auto"/>
        <w:rPr>
          <w:rFonts w:ascii="Times New Roman" w:hAnsi="Times New Roman" w:cs="Times New Roman"/>
          <w:sz w:val="24"/>
        </w:rPr>
      </w:pPr>
      <w:r>
        <w:rPr>
          <w:rFonts w:ascii="Times New Roman" w:hAnsi="Times New Roman" w:cs="Times New Roman"/>
          <w:b/>
          <w:bCs/>
          <w:sz w:val="24"/>
        </w:rPr>
        <w:t>Supplementary Table 4</w:t>
      </w:r>
      <w:r>
        <w:rPr>
          <w:rFonts w:ascii="Times New Roman" w:hAnsi="Times New Roman" w:cs="Times New Roman" w:hint="eastAsia"/>
          <w:b/>
          <w:bCs/>
          <w:sz w:val="24"/>
        </w:rPr>
        <w:t>:</w:t>
      </w:r>
      <w:r>
        <w:rPr>
          <w:rFonts w:ascii="Times New Roman" w:hAnsi="Times New Roman" w:cs="Times New Roman" w:hint="eastAsia"/>
          <w:sz w:val="24"/>
        </w:rPr>
        <w:t xml:space="preserve"> Reports on cell barcode and UMI corrections from the HIT-scISOseq dataset.</w:t>
      </w:r>
    </w:p>
    <w:p w14:paraId="1CCD6035" w14:textId="77777777" w:rsidR="00147232" w:rsidRDefault="00000000">
      <w:pPr>
        <w:spacing w:line="360" w:lineRule="auto"/>
        <w:rPr>
          <w:rFonts w:ascii="Times New Roman" w:hAnsi="Times New Roman" w:cs="Times New Roman"/>
          <w:sz w:val="24"/>
        </w:rPr>
      </w:pPr>
      <w:r>
        <w:rPr>
          <w:rFonts w:ascii="Times New Roman" w:hAnsi="Times New Roman" w:cs="Times New Roman"/>
          <w:b/>
          <w:bCs/>
          <w:sz w:val="24"/>
        </w:rPr>
        <w:t>Supplementary Table 5</w:t>
      </w:r>
      <w:r>
        <w:rPr>
          <w:rFonts w:ascii="Times New Roman" w:hAnsi="Times New Roman" w:cs="Times New Roman" w:hint="eastAsia"/>
          <w:b/>
          <w:bCs/>
          <w:sz w:val="24"/>
        </w:rPr>
        <w:t>:</w:t>
      </w:r>
      <w:r>
        <w:rPr>
          <w:rFonts w:ascii="Times New Roman" w:hAnsi="Times New Roman" w:cs="Times New Roman" w:hint="eastAsia"/>
          <w:sz w:val="24"/>
        </w:rPr>
        <w:t xml:space="preserve"> The gene and UMI count in HIT-scISOseq dataset.</w:t>
      </w:r>
    </w:p>
    <w:p w14:paraId="0DF08DB9" w14:textId="77777777" w:rsidR="00147232" w:rsidRDefault="00000000">
      <w:pPr>
        <w:spacing w:line="360" w:lineRule="auto"/>
        <w:rPr>
          <w:rFonts w:ascii="Times New Roman" w:hAnsi="Times New Roman" w:cs="Times New Roman"/>
          <w:sz w:val="24"/>
        </w:rPr>
      </w:pPr>
      <w:r>
        <w:rPr>
          <w:rFonts w:ascii="Times New Roman" w:hAnsi="Times New Roman" w:cs="Times New Roman"/>
          <w:b/>
          <w:bCs/>
          <w:sz w:val="24"/>
        </w:rPr>
        <w:t>Supplementary Table 6</w:t>
      </w:r>
      <w:r>
        <w:rPr>
          <w:rFonts w:ascii="Times New Roman" w:hAnsi="Times New Roman" w:cs="Times New Roman" w:hint="eastAsia"/>
          <w:b/>
          <w:bCs/>
          <w:sz w:val="24"/>
        </w:rPr>
        <w:t xml:space="preserve">: </w:t>
      </w:r>
      <w:r>
        <w:rPr>
          <w:rFonts w:ascii="Times New Roman" w:hAnsi="Times New Roman" w:cs="Times New Roman" w:hint="eastAsia"/>
          <w:sz w:val="24"/>
        </w:rPr>
        <w:t>The isoform and UMI count in HIT-scISOseq dataset.</w:t>
      </w:r>
    </w:p>
    <w:p w14:paraId="6079BC16" w14:textId="77777777" w:rsidR="00147232" w:rsidRDefault="00147232">
      <w:pPr>
        <w:spacing w:line="360" w:lineRule="auto"/>
        <w:rPr>
          <w:rFonts w:ascii="Times New Roman" w:hAnsi="Times New Roman" w:cs="Times New Roman"/>
          <w:sz w:val="24"/>
        </w:rPr>
      </w:pPr>
    </w:p>
    <w:p w14:paraId="39317594" w14:textId="77777777" w:rsidR="00147232" w:rsidRDefault="00000000">
      <w:pPr>
        <w:spacing w:line="360" w:lineRule="auto"/>
        <w:rPr>
          <w:rFonts w:ascii="Times New Roman" w:hAnsi="Times New Roman" w:cs="Times New Roman"/>
          <w:sz w:val="24"/>
        </w:rPr>
      </w:pPr>
      <w:r>
        <w:rPr>
          <w:rFonts w:ascii="Times New Roman" w:hAnsi="Times New Roman" w:cs="Times New Roman"/>
          <w:b/>
          <w:sz w:val="24"/>
        </w:rPr>
        <w:t xml:space="preserve">Supplementary Data1: </w:t>
      </w:r>
      <w:r>
        <w:rPr>
          <w:rFonts w:ascii="Times New Roman" w:hAnsi="Times New Roman" w:cs="Times New Roman"/>
          <w:sz w:val="24"/>
        </w:rPr>
        <w:t>Cell type annotation.</w:t>
      </w:r>
    </w:p>
    <w:p w14:paraId="39788396"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t>Supplementary Data</w:t>
      </w:r>
      <w:r>
        <w:rPr>
          <w:rFonts w:ascii="Times New Roman" w:hAnsi="Times New Roman" w:cs="Times New Roman"/>
          <w:b/>
          <w:bCs/>
          <w:sz w:val="24"/>
        </w:rPr>
        <w:t>2</w:t>
      </w:r>
      <w:r>
        <w:rPr>
          <w:rFonts w:ascii="Times New Roman" w:hAnsi="Times New Roman" w:cs="Times New Roman" w:hint="eastAsia"/>
          <w:b/>
          <w:bCs/>
          <w:sz w:val="24"/>
        </w:rPr>
        <w:t xml:space="preserve">: </w:t>
      </w:r>
      <w:r>
        <w:rPr>
          <w:rFonts w:ascii="Times New Roman" w:hAnsi="Times New Roman" w:cs="Times New Roman"/>
          <w:sz w:val="24"/>
        </w:rPr>
        <w:t>Marker genes.</w:t>
      </w:r>
    </w:p>
    <w:p w14:paraId="5F5CDCA5"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t>Supplementary Data</w:t>
      </w:r>
      <w:r>
        <w:rPr>
          <w:rFonts w:ascii="Times New Roman" w:hAnsi="Times New Roman" w:cs="Times New Roman"/>
          <w:b/>
          <w:bCs/>
          <w:sz w:val="24"/>
        </w:rPr>
        <w:t>3</w:t>
      </w:r>
      <w:r>
        <w:rPr>
          <w:rFonts w:ascii="Times New Roman" w:hAnsi="Times New Roman" w:cs="Times New Roman" w:hint="eastAsia"/>
          <w:b/>
          <w:bCs/>
          <w:sz w:val="24"/>
        </w:rPr>
        <w:t>:</w:t>
      </w:r>
      <w:r>
        <w:rPr>
          <w:rFonts w:ascii="Times New Roman" w:hAnsi="Times New Roman" w:cs="Times New Roman"/>
          <w:sz w:val="24"/>
        </w:rPr>
        <w:t xml:space="preserve"> DEGs for each cell type in different time.</w:t>
      </w:r>
    </w:p>
    <w:p w14:paraId="088986E7"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t>Supplementary Data</w:t>
      </w:r>
      <w:r>
        <w:rPr>
          <w:rFonts w:ascii="Times New Roman" w:hAnsi="Times New Roman" w:cs="Times New Roman"/>
          <w:b/>
          <w:bCs/>
          <w:sz w:val="24"/>
        </w:rPr>
        <w:t>4</w:t>
      </w:r>
      <w:r>
        <w:rPr>
          <w:rFonts w:ascii="Times New Roman" w:hAnsi="Times New Roman" w:cs="Times New Roman" w:hint="eastAsia"/>
          <w:b/>
          <w:bCs/>
          <w:sz w:val="24"/>
        </w:rPr>
        <w:t>:</w:t>
      </w:r>
      <w:r>
        <w:rPr>
          <w:rFonts w:ascii="Times New Roman" w:hAnsi="Times New Roman" w:cs="Times New Roman"/>
          <w:sz w:val="24"/>
        </w:rPr>
        <w:t xml:space="preserve"> GO and KEGG analysis of DEGs.</w:t>
      </w:r>
    </w:p>
    <w:p w14:paraId="1F09010B"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t>Supplementary Data</w:t>
      </w:r>
      <w:r>
        <w:rPr>
          <w:rFonts w:ascii="Times New Roman" w:hAnsi="Times New Roman" w:cs="Times New Roman"/>
          <w:b/>
          <w:bCs/>
          <w:sz w:val="24"/>
        </w:rPr>
        <w:t>5</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sz w:val="24"/>
        </w:rPr>
        <w:t>Actin-associated genes.</w:t>
      </w:r>
    </w:p>
    <w:p w14:paraId="3779D485"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lastRenderedPageBreak/>
        <w:t>Supplementary Data</w:t>
      </w:r>
      <w:r>
        <w:rPr>
          <w:rFonts w:ascii="Times New Roman" w:hAnsi="Times New Roman" w:cs="Times New Roman"/>
          <w:b/>
          <w:bCs/>
          <w:sz w:val="24"/>
        </w:rPr>
        <w:t>6</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sz w:val="24"/>
        </w:rPr>
        <w:t>Extracellular matrix-related genes.</w:t>
      </w:r>
    </w:p>
    <w:p w14:paraId="57DABDC5"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t>Supplementary Data</w:t>
      </w:r>
      <w:r>
        <w:rPr>
          <w:rFonts w:ascii="Times New Roman" w:hAnsi="Times New Roman" w:cs="Times New Roman"/>
          <w:b/>
          <w:bCs/>
          <w:sz w:val="24"/>
        </w:rPr>
        <w:t>7</w:t>
      </w:r>
      <w:r>
        <w:rPr>
          <w:rFonts w:ascii="Times New Roman" w:hAnsi="Times New Roman" w:cs="Times New Roman" w:hint="eastAsia"/>
          <w:b/>
          <w:bCs/>
          <w:sz w:val="24"/>
        </w:rPr>
        <w:t>:</w:t>
      </w:r>
      <w:r>
        <w:rPr>
          <w:rFonts w:ascii="Times New Roman" w:hAnsi="Times New Roman" w:cs="Times New Roman"/>
          <w:sz w:val="24"/>
        </w:rPr>
        <w:t xml:space="preserve"> ITG genes.</w:t>
      </w:r>
    </w:p>
    <w:p w14:paraId="7DAF0508"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t>Supplementary Data</w:t>
      </w:r>
      <w:r>
        <w:rPr>
          <w:rFonts w:ascii="Times New Roman" w:hAnsi="Times New Roman" w:cs="Times New Roman"/>
          <w:b/>
          <w:bCs/>
          <w:sz w:val="24"/>
        </w:rPr>
        <w:t>8</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sz w:val="24"/>
        </w:rPr>
        <w:t>MMP family genes.</w:t>
      </w:r>
    </w:p>
    <w:p w14:paraId="3E60F546"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t>Supplementary Data</w:t>
      </w:r>
      <w:r>
        <w:rPr>
          <w:rFonts w:ascii="Times New Roman" w:hAnsi="Times New Roman" w:cs="Times New Roman"/>
          <w:b/>
          <w:bCs/>
          <w:sz w:val="24"/>
        </w:rPr>
        <w:t>9</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sz w:val="24"/>
        </w:rPr>
        <w:t>hdWGCNA module assignment table.</w:t>
      </w:r>
    </w:p>
    <w:p w14:paraId="28AE5187"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t>Supplementary Data</w:t>
      </w:r>
      <w:r>
        <w:rPr>
          <w:rFonts w:ascii="Times New Roman" w:hAnsi="Times New Roman" w:cs="Times New Roman"/>
          <w:b/>
          <w:bCs/>
          <w:sz w:val="24"/>
        </w:rPr>
        <w:t>10</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sz w:val="24"/>
        </w:rPr>
        <w:t>GO analysis of hdWGCNA module gene.</w:t>
      </w:r>
    </w:p>
    <w:p w14:paraId="427A6C61"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t>Supplementary Data</w:t>
      </w:r>
      <w:r>
        <w:rPr>
          <w:rFonts w:ascii="Times New Roman" w:hAnsi="Times New Roman" w:cs="Times New Roman"/>
          <w:b/>
          <w:bCs/>
          <w:sz w:val="24"/>
        </w:rPr>
        <w:t>11</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sz w:val="24"/>
        </w:rPr>
        <w:t>LSC and BC functional gene interactions.</w:t>
      </w:r>
    </w:p>
    <w:p w14:paraId="6D9C91E3"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t>Supplementary Data</w:t>
      </w:r>
      <w:r>
        <w:rPr>
          <w:rFonts w:ascii="Times New Roman" w:hAnsi="Times New Roman" w:cs="Times New Roman"/>
          <w:b/>
          <w:bCs/>
          <w:sz w:val="24"/>
        </w:rPr>
        <w:t>12</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sz w:val="24"/>
        </w:rPr>
        <w:t>KEGG analysis of LSC and BC function gene.</w:t>
      </w:r>
    </w:p>
    <w:p w14:paraId="2A95AAB3" w14:textId="77777777" w:rsidR="00147232" w:rsidRDefault="00000000">
      <w:pPr>
        <w:spacing w:line="360" w:lineRule="auto"/>
        <w:rPr>
          <w:rFonts w:ascii="Times New Roman" w:hAnsi="Times New Roman" w:cs="Times New Roman"/>
          <w:sz w:val="24"/>
        </w:rPr>
      </w:pPr>
      <w:r>
        <w:rPr>
          <w:rFonts w:ascii="Times New Roman" w:hAnsi="Times New Roman" w:cs="Times New Roman" w:hint="eastAsia"/>
          <w:b/>
          <w:bCs/>
          <w:sz w:val="24"/>
        </w:rPr>
        <w:t>Supplementary Data</w:t>
      </w:r>
      <w:r>
        <w:rPr>
          <w:rFonts w:ascii="Times New Roman" w:hAnsi="Times New Roman" w:cs="Times New Roman"/>
          <w:b/>
          <w:bCs/>
          <w:sz w:val="24"/>
        </w:rPr>
        <w:t>13</w:t>
      </w:r>
      <w:r>
        <w:rPr>
          <w:rFonts w:ascii="Times New Roman" w:hAnsi="Times New Roman" w:cs="Times New Roman" w:hint="eastAsia"/>
          <w:b/>
          <w:bCs/>
          <w:sz w:val="24"/>
        </w:rPr>
        <w:t>:</w:t>
      </w:r>
      <w:r>
        <w:rPr>
          <w:rFonts w:ascii="Times New Roman" w:hAnsi="Times New Roman" w:cs="Times New Roman"/>
          <w:sz w:val="24"/>
        </w:rPr>
        <w:t xml:space="preserve"> Pseudotime-dependent differential gene.</w:t>
      </w:r>
    </w:p>
    <w:p w14:paraId="4AC26AF8" w14:textId="77777777" w:rsidR="00147232" w:rsidRDefault="00000000">
      <w:pPr>
        <w:widowControl/>
        <w:spacing w:line="360" w:lineRule="auto"/>
        <w:jc w:val="left"/>
        <w:rPr>
          <w:rFonts w:ascii="Times New Roman" w:hAnsi="Times New Roman" w:cs="Times New Roman"/>
          <w:sz w:val="24"/>
        </w:rPr>
      </w:pPr>
      <w:r>
        <w:rPr>
          <w:rFonts w:ascii="Times New Roman" w:hAnsi="Times New Roman" w:cs="Times New Roman" w:hint="eastAsia"/>
          <w:b/>
          <w:bCs/>
          <w:sz w:val="24"/>
        </w:rPr>
        <w:t>Supplementary Data</w:t>
      </w:r>
      <w:r>
        <w:rPr>
          <w:rFonts w:ascii="Times New Roman" w:hAnsi="Times New Roman" w:cs="Times New Roman"/>
          <w:b/>
          <w:bCs/>
          <w:sz w:val="24"/>
        </w:rPr>
        <w:t>14</w:t>
      </w:r>
      <w:r>
        <w:rPr>
          <w:rFonts w:ascii="Times New Roman" w:hAnsi="Times New Roman" w:cs="Times New Roman" w:hint="eastAsia"/>
          <w:b/>
          <w:bCs/>
          <w:sz w:val="24"/>
        </w:rPr>
        <w:t>:</w:t>
      </w:r>
      <w:r>
        <w:rPr>
          <w:rFonts w:ascii="Times New Roman" w:hAnsi="Times New Roman" w:cs="Times New Roman"/>
          <w:sz w:val="24"/>
        </w:rPr>
        <w:t xml:space="preserve"> Keratinization-associated genes.</w:t>
      </w:r>
    </w:p>
    <w:p w14:paraId="1F8E930C" w14:textId="77777777" w:rsidR="00147232" w:rsidRDefault="00147232">
      <w:pPr>
        <w:widowControl/>
        <w:spacing w:line="360" w:lineRule="auto"/>
        <w:jc w:val="left"/>
        <w:rPr>
          <w:rFonts w:ascii="Times New Roman" w:hAnsi="Times New Roman" w:cs="Times New Roman"/>
          <w:bCs/>
          <w:iCs/>
          <w:sz w:val="24"/>
        </w:rPr>
      </w:pPr>
    </w:p>
    <w:p w14:paraId="1F32F698" w14:textId="19A368F7" w:rsidR="00147232" w:rsidRDefault="00147232">
      <w:pPr>
        <w:spacing w:line="360" w:lineRule="auto"/>
        <w:rPr>
          <w:rFonts w:ascii="Times New Roman" w:hAnsi="Times New Roman" w:cs="Times New Roman"/>
          <w:bCs/>
          <w:iCs/>
          <w:sz w:val="24"/>
        </w:rPr>
      </w:pPr>
    </w:p>
    <w:sectPr w:rsidR="00147232">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embedSystemFonts/>
  <w:bordersDoNotSurroundHeader/>
  <w:bordersDoNotSurroundFooter/>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zE5MTVkOTg0MDIzMDU0MTMwYjU4OGM2NTIwNzk1OGQifQ=="/>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rrvdrr955z2dre059w5eae0swewsw0df2ew&quot;&gt;My EndNote Library&lt;record-ids&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1&lt;/item&gt;&lt;item&gt;32&lt;/item&gt;&lt;item&gt;33&lt;/item&gt;&lt;item&gt;34&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57&lt;/item&gt;&lt;item&gt;58&lt;/item&gt;&lt;item&gt;59&lt;/item&gt;&lt;item&gt;60&lt;/item&gt;&lt;item&gt;61&lt;/item&gt;&lt;item&gt;62&lt;/item&gt;&lt;item&gt;63&lt;/item&gt;&lt;item&gt;64&lt;/item&gt;&lt;item&gt;65&lt;/item&gt;&lt;item&gt;66&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3&lt;/item&gt;&lt;item&gt;84&lt;/item&gt;&lt;item&gt;85&lt;/item&gt;&lt;item&gt;102&lt;/item&gt;&lt;item&gt;103&lt;/item&gt;&lt;item&gt;104&lt;/item&gt;&lt;item&gt;105&lt;/item&gt;&lt;item&gt;106&lt;/item&gt;&lt;item&gt;107&lt;/item&gt;&lt;item&gt;108&lt;/item&gt;&lt;item&gt;109&lt;/item&gt;&lt;item&gt;110&lt;/item&gt;&lt;item&gt;111&lt;/item&gt;&lt;item&gt;112&lt;/item&gt;&lt;item&gt;113&lt;/item&gt;&lt;item&gt;114&lt;/item&gt;&lt;item&gt;115&lt;/item&gt;&lt;/record-ids&gt;&lt;/item&gt;&lt;/Libraries&gt;"/>
  </w:docVars>
  <w:rsids>
    <w:rsidRoot w:val="00377AEC"/>
    <w:rsid w:val="00002AC8"/>
    <w:rsid w:val="0001716E"/>
    <w:rsid w:val="00037DEC"/>
    <w:rsid w:val="00045907"/>
    <w:rsid w:val="00046CA9"/>
    <w:rsid w:val="00046DAB"/>
    <w:rsid w:val="000736FF"/>
    <w:rsid w:val="000822F6"/>
    <w:rsid w:val="000843E9"/>
    <w:rsid w:val="000939E5"/>
    <w:rsid w:val="00097EFE"/>
    <w:rsid w:val="000A0C3D"/>
    <w:rsid w:val="000A3DC0"/>
    <w:rsid w:val="000A4E2B"/>
    <w:rsid w:val="000C6E86"/>
    <w:rsid w:val="000F00E8"/>
    <w:rsid w:val="000F5645"/>
    <w:rsid w:val="001009C9"/>
    <w:rsid w:val="001150CA"/>
    <w:rsid w:val="00115F22"/>
    <w:rsid w:val="00126A57"/>
    <w:rsid w:val="00130B91"/>
    <w:rsid w:val="00146B77"/>
    <w:rsid w:val="00147232"/>
    <w:rsid w:val="00151DD9"/>
    <w:rsid w:val="00153B21"/>
    <w:rsid w:val="00177928"/>
    <w:rsid w:val="00182CCE"/>
    <w:rsid w:val="0018329F"/>
    <w:rsid w:val="001978E6"/>
    <w:rsid w:val="001C7836"/>
    <w:rsid w:val="001E1B51"/>
    <w:rsid w:val="001E6982"/>
    <w:rsid w:val="001F2EEC"/>
    <w:rsid w:val="00230CA5"/>
    <w:rsid w:val="00240B66"/>
    <w:rsid w:val="0024346D"/>
    <w:rsid w:val="00263AA4"/>
    <w:rsid w:val="00283360"/>
    <w:rsid w:val="00290428"/>
    <w:rsid w:val="0029196A"/>
    <w:rsid w:val="00294E8E"/>
    <w:rsid w:val="002A6F82"/>
    <w:rsid w:val="002C15E1"/>
    <w:rsid w:val="002C36B0"/>
    <w:rsid w:val="002D159C"/>
    <w:rsid w:val="002D73A5"/>
    <w:rsid w:val="002E053D"/>
    <w:rsid w:val="00315F31"/>
    <w:rsid w:val="003239F0"/>
    <w:rsid w:val="0033600F"/>
    <w:rsid w:val="003405FE"/>
    <w:rsid w:val="00345FC9"/>
    <w:rsid w:val="00354ACC"/>
    <w:rsid w:val="00360C3D"/>
    <w:rsid w:val="00377AEC"/>
    <w:rsid w:val="00390F6D"/>
    <w:rsid w:val="003A1C21"/>
    <w:rsid w:val="003A1F8D"/>
    <w:rsid w:val="003E0CC4"/>
    <w:rsid w:val="003F4B5A"/>
    <w:rsid w:val="003F54FC"/>
    <w:rsid w:val="003F590C"/>
    <w:rsid w:val="00401C2F"/>
    <w:rsid w:val="004071C6"/>
    <w:rsid w:val="00426805"/>
    <w:rsid w:val="00467ABA"/>
    <w:rsid w:val="0048431E"/>
    <w:rsid w:val="00485D09"/>
    <w:rsid w:val="00490B57"/>
    <w:rsid w:val="00494CA5"/>
    <w:rsid w:val="004A1A2F"/>
    <w:rsid w:val="004A60DA"/>
    <w:rsid w:val="004C0E9B"/>
    <w:rsid w:val="004C4693"/>
    <w:rsid w:val="004D0866"/>
    <w:rsid w:val="004D298B"/>
    <w:rsid w:val="004F32FA"/>
    <w:rsid w:val="00502F18"/>
    <w:rsid w:val="005101F5"/>
    <w:rsid w:val="00512C62"/>
    <w:rsid w:val="005131BA"/>
    <w:rsid w:val="0052309B"/>
    <w:rsid w:val="005624B6"/>
    <w:rsid w:val="005728D2"/>
    <w:rsid w:val="00573F75"/>
    <w:rsid w:val="005872D2"/>
    <w:rsid w:val="0059206B"/>
    <w:rsid w:val="005B0260"/>
    <w:rsid w:val="005D7792"/>
    <w:rsid w:val="005E47BC"/>
    <w:rsid w:val="005E7302"/>
    <w:rsid w:val="005F6387"/>
    <w:rsid w:val="00606776"/>
    <w:rsid w:val="0061240B"/>
    <w:rsid w:val="006150B7"/>
    <w:rsid w:val="00621034"/>
    <w:rsid w:val="00627471"/>
    <w:rsid w:val="00636535"/>
    <w:rsid w:val="00647578"/>
    <w:rsid w:val="00662B17"/>
    <w:rsid w:val="0066323A"/>
    <w:rsid w:val="00673FB4"/>
    <w:rsid w:val="00674B48"/>
    <w:rsid w:val="0068678D"/>
    <w:rsid w:val="006A2FD7"/>
    <w:rsid w:val="006A5CAE"/>
    <w:rsid w:val="006A5F7D"/>
    <w:rsid w:val="006B5A34"/>
    <w:rsid w:val="006D0D61"/>
    <w:rsid w:val="006E33F4"/>
    <w:rsid w:val="00707721"/>
    <w:rsid w:val="00746BDE"/>
    <w:rsid w:val="00746F3C"/>
    <w:rsid w:val="0075364D"/>
    <w:rsid w:val="0077520D"/>
    <w:rsid w:val="007A74C4"/>
    <w:rsid w:val="007D6A53"/>
    <w:rsid w:val="007E170E"/>
    <w:rsid w:val="00812B04"/>
    <w:rsid w:val="0082547A"/>
    <w:rsid w:val="008317B3"/>
    <w:rsid w:val="0084111B"/>
    <w:rsid w:val="008640D2"/>
    <w:rsid w:val="008D560F"/>
    <w:rsid w:val="008E2558"/>
    <w:rsid w:val="008F6322"/>
    <w:rsid w:val="00911CEB"/>
    <w:rsid w:val="009157D6"/>
    <w:rsid w:val="009368E8"/>
    <w:rsid w:val="00941274"/>
    <w:rsid w:val="00944249"/>
    <w:rsid w:val="00955780"/>
    <w:rsid w:val="00966EFB"/>
    <w:rsid w:val="00982C7A"/>
    <w:rsid w:val="0098465E"/>
    <w:rsid w:val="009861AC"/>
    <w:rsid w:val="009A0E66"/>
    <w:rsid w:val="009C7ECC"/>
    <w:rsid w:val="009E7FC6"/>
    <w:rsid w:val="009F2A99"/>
    <w:rsid w:val="009F2D3B"/>
    <w:rsid w:val="00A07B42"/>
    <w:rsid w:val="00A3396B"/>
    <w:rsid w:val="00A37CD7"/>
    <w:rsid w:val="00A84DEC"/>
    <w:rsid w:val="00A941E8"/>
    <w:rsid w:val="00AA2982"/>
    <w:rsid w:val="00AC1E63"/>
    <w:rsid w:val="00AC4A11"/>
    <w:rsid w:val="00AF215C"/>
    <w:rsid w:val="00AF2669"/>
    <w:rsid w:val="00B01E93"/>
    <w:rsid w:val="00B25EAF"/>
    <w:rsid w:val="00B27990"/>
    <w:rsid w:val="00B42971"/>
    <w:rsid w:val="00B44953"/>
    <w:rsid w:val="00B45F96"/>
    <w:rsid w:val="00B47170"/>
    <w:rsid w:val="00B624DD"/>
    <w:rsid w:val="00B7315C"/>
    <w:rsid w:val="00B9157E"/>
    <w:rsid w:val="00BA07E6"/>
    <w:rsid w:val="00BB6EF2"/>
    <w:rsid w:val="00BD1C4B"/>
    <w:rsid w:val="00BF668A"/>
    <w:rsid w:val="00C03EAE"/>
    <w:rsid w:val="00C31780"/>
    <w:rsid w:val="00C40379"/>
    <w:rsid w:val="00C4414B"/>
    <w:rsid w:val="00C532E6"/>
    <w:rsid w:val="00C54FD4"/>
    <w:rsid w:val="00C6238A"/>
    <w:rsid w:val="00C97557"/>
    <w:rsid w:val="00CB5B20"/>
    <w:rsid w:val="00CC79DB"/>
    <w:rsid w:val="00CE0D4A"/>
    <w:rsid w:val="00CE4A96"/>
    <w:rsid w:val="00CE7E17"/>
    <w:rsid w:val="00D157FE"/>
    <w:rsid w:val="00D1598D"/>
    <w:rsid w:val="00D16725"/>
    <w:rsid w:val="00D24575"/>
    <w:rsid w:val="00D24955"/>
    <w:rsid w:val="00D500C0"/>
    <w:rsid w:val="00D727A5"/>
    <w:rsid w:val="00D90743"/>
    <w:rsid w:val="00D90BF4"/>
    <w:rsid w:val="00DA4383"/>
    <w:rsid w:val="00DB5845"/>
    <w:rsid w:val="00DF33BB"/>
    <w:rsid w:val="00DF535E"/>
    <w:rsid w:val="00E26C83"/>
    <w:rsid w:val="00E41E41"/>
    <w:rsid w:val="00E63D4D"/>
    <w:rsid w:val="00EB4C58"/>
    <w:rsid w:val="00EC5630"/>
    <w:rsid w:val="00F02606"/>
    <w:rsid w:val="00F0616D"/>
    <w:rsid w:val="00F1487B"/>
    <w:rsid w:val="00F33F93"/>
    <w:rsid w:val="00F400D8"/>
    <w:rsid w:val="00F441B6"/>
    <w:rsid w:val="00F51233"/>
    <w:rsid w:val="00F629BC"/>
    <w:rsid w:val="00F87928"/>
    <w:rsid w:val="00F925FA"/>
    <w:rsid w:val="00F935EC"/>
    <w:rsid w:val="00FB2106"/>
    <w:rsid w:val="00FD1D48"/>
    <w:rsid w:val="00FF54CB"/>
    <w:rsid w:val="015E0632"/>
    <w:rsid w:val="017B7436"/>
    <w:rsid w:val="01891FB8"/>
    <w:rsid w:val="01D44B0E"/>
    <w:rsid w:val="01E943A0"/>
    <w:rsid w:val="02566493"/>
    <w:rsid w:val="02C571CF"/>
    <w:rsid w:val="02D0730E"/>
    <w:rsid w:val="034675D0"/>
    <w:rsid w:val="036E7A14"/>
    <w:rsid w:val="03A367D0"/>
    <w:rsid w:val="03AC7D7B"/>
    <w:rsid w:val="03AF1619"/>
    <w:rsid w:val="03B86720"/>
    <w:rsid w:val="045A77D7"/>
    <w:rsid w:val="04801084"/>
    <w:rsid w:val="04BB5274"/>
    <w:rsid w:val="050B6BE1"/>
    <w:rsid w:val="051E7C51"/>
    <w:rsid w:val="054B5371"/>
    <w:rsid w:val="05760640"/>
    <w:rsid w:val="05B86E05"/>
    <w:rsid w:val="05C73D11"/>
    <w:rsid w:val="060C3CF3"/>
    <w:rsid w:val="0633208D"/>
    <w:rsid w:val="06530982"/>
    <w:rsid w:val="0656395B"/>
    <w:rsid w:val="06734B80"/>
    <w:rsid w:val="069864CC"/>
    <w:rsid w:val="06AB091A"/>
    <w:rsid w:val="06C70A28"/>
    <w:rsid w:val="06D51397"/>
    <w:rsid w:val="07034156"/>
    <w:rsid w:val="07C03DF5"/>
    <w:rsid w:val="07CD4764"/>
    <w:rsid w:val="07F615C4"/>
    <w:rsid w:val="080C0DE8"/>
    <w:rsid w:val="08206641"/>
    <w:rsid w:val="085207C5"/>
    <w:rsid w:val="08602EE2"/>
    <w:rsid w:val="087552AA"/>
    <w:rsid w:val="08850B9A"/>
    <w:rsid w:val="089821BA"/>
    <w:rsid w:val="08F825FF"/>
    <w:rsid w:val="094E5430"/>
    <w:rsid w:val="095E1B17"/>
    <w:rsid w:val="098466CC"/>
    <w:rsid w:val="09CB082F"/>
    <w:rsid w:val="09D92B49"/>
    <w:rsid w:val="0A5831D6"/>
    <w:rsid w:val="0AC7549A"/>
    <w:rsid w:val="0B310B66"/>
    <w:rsid w:val="0BB612E3"/>
    <w:rsid w:val="0BCC77CE"/>
    <w:rsid w:val="0C564D28"/>
    <w:rsid w:val="0C656D19"/>
    <w:rsid w:val="0C774C9E"/>
    <w:rsid w:val="0CE00A95"/>
    <w:rsid w:val="0CFA1B57"/>
    <w:rsid w:val="0D153726"/>
    <w:rsid w:val="0D330BC5"/>
    <w:rsid w:val="0D4E7778"/>
    <w:rsid w:val="0D884323"/>
    <w:rsid w:val="0DD423A8"/>
    <w:rsid w:val="0DFE5677"/>
    <w:rsid w:val="0E0D7668"/>
    <w:rsid w:val="0E2350DD"/>
    <w:rsid w:val="0E364E11"/>
    <w:rsid w:val="0E6D6359"/>
    <w:rsid w:val="0E975183"/>
    <w:rsid w:val="0EB51B86"/>
    <w:rsid w:val="0EDA6F1D"/>
    <w:rsid w:val="0EDF7256"/>
    <w:rsid w:val="0EE71797"/>
    <w:rsid w:val="0F276507"/>
    <w:rsid w:val="0F8C280E"/>
    <w:rsid w:val="0F9C6EF5"/>
    <w:rsid w:val="0FAE09D7"/>
    <w:rsid w:val="0FF54858"/>
    <w:rsid w:val="100A6657"/>
    <w:rsid w:val="10260EB5"/>
    <w:rsid w:val="10C04E65"/>
    <w:rsid w:val="10D10E21"/>
    <w:rsid w:val="10D40911"/>
    <w:rsid w:val="10E548CC"/>
    <w:rsid w:val="110501B9"/>
    <w:rsid w:val="115B6585"/>
    <w:rsid w:val="11630F44"/>
    <w:rsid w:val="1178129C"/>
    <w:rsid w:val="11823EC9"/>
    <w:rsid w:val="11902A8A"/>
    <w:rsid w:val="11B322D4"/>
    <w:rsid w:val="11D706B9"/>
    <w:rsid w:val="11E06E41"/>
    <w:rsid w:val="11F101D1"/>
    <w:rsid w:val="11F12DFD"/>
    <w:rsid w:val="11F36B75"/>
    <w:rsid w:val="11FE3E97"/>
    <w:rsid w:val="12014A86"/>
    <w:rsid w:val="120A31E6"/>
    <w:rsid w:val="121B7678"/>
    <w:rsid w:val="124141DD"/>
    <w:rsid w:val="127C6B6A"/>
    <w:rsid w:val="129A3494"/>
    <w:rsid w:val="12A10CC7"/>
    <w:rsid w:val="12A45254"/>
    <w:rsid w:val="12BC340B"/>
    <w:rsid w:val="12D20E80"/>
    <w:rsid w:val="12D237A9"/>
    <w:rsid w:val="12D83402"/>
    <w:rsid w:val="13001549"/>
    <w:rsid w:val="13066640"/>
    <w:rsid w:val="130F1A8C"/>
    <w:rsid w:val="13421B62"/>
    <w:rsid w:val="135A334F"/>
    <w:rsid w:val="13B30CB1"/>
    <w:rsid w:val="13C24A51"/>
    <w:rsid w:val="13EB21F9"/>
    <w:rsid w:val="140C2170"/>
    <w:rsid w:val="141A2ADF"/>
    <w:rsid w:val="14227B7D"/>
    <w:rsid w:val="14587163"/>
    <w:rsid w:val="14922675"/>
    <w:rsid w:val="14EF5D19"/>
    <w:rsid w:val="15451DDD"/>
    <w:rsid w:val="15485AA9"/>
    <w:rsid w:val="15F35395"/>
    <w:rsid w:val="15FB249C"/>
    <w:rsid w:val="161377E5"/>
    <w:rsid w:val="16754338"/>
    <w:rsid w:val="16785E3E"/>
    <w:rsid w:val="167A1613"/>
    <w:rsid w:val="169A1CB5"/>
    <w:rsid w:val="169C77DB"/>
    <w:rsid w:val="16DB3641"/>
    <w:rsid w:val="16E851D2"/>
    <w:rsid w:val="17CA022B"/>
    <w:rsid w:val="17E8421C"/>
    <w:rsid w:val="1844012A"/>
    <w:rsid w:val="18503995"/>
    <w:rsid w:val="190873AA"/>
    <w:rsid w:val="192F4936"/>
    <w:rsid w:val="193C792E"/>
    <w:rsid w:val="195645B9"/>
    <w:rsid w:val="195A572B"/>
    <w:rsid w:val="19687E48"/>
    <w:rsid w:val="19742C91"/>
    <w:rsid w:val="19985DAA"/>
    <w:rsid w:val="1A141D7E"/>
    <w:rsid w:val="1A277D03"/>
    <w:rsid w:val="1A50725A"/>
    <w:rsid w:val="1A677D8F"/>
    <w:rsid w:val="1AE259D8"/>
    <w:rsid w:val="1AE6196C"/>
    <w:rsid w:val="1B1D6279"/>
    <w:rsid w:val="1B3F2E2B"/>
    <w:rsid w:val="1B60335E"/>
    <w:rsid w:val="1B6B1E72"/>
    <w:rsid w:val="1B966EEF"/>
    <w:rsid w:val="1B9F38C9"/>
    <w:rsid w:val="1BB11F7A"/>
    <w:rsid w:val="1BB27AA1"/>
    <w:rsid w:val="1C1F5628"/>
    <w:rsid w:val="1C2C1601"/>
    <w:rsid w:val="1C5D17BA"/>
    <w:rsid w:val="1CDD6D9F"/>
    <w:rsid w:val="1CFA16FF"/>
    <w:rsid w:val="1D4B1F5B"/>
    <w:rsid w:val="1D826FAB"/>
    <w:rsid w:val="1E28404A"/>
    <w:rsid w:val="1E2F7187"/>
    <w:rsid w:val="1E480248"/>
    <w:rsid w:val="1E555448"/>
    <w:rsid w:val="1E6264C2"/>
    <w:rsid w:val="1EA21288"/>
    <w:rsid w:val="1F022AED"/>
    <w:rsid w:val="1F0E4FEE"/>
    <w:rsid w:val="1F262338"/>
    <w:rsid w:val="1F707048"/>
    <w:rsid w:val="1F777037"/>
    <w:rsid w:val="1FAA11BB"/>
    <w:rsid w:val="203E1903"/>
    <w:rsid w:val="20763520"/>
    <w:rsid w:val="20A93B49"/>
    <w:rsid w:val="21333432"/>
    <w:rsid w:val="215D400B"/>
    <w:rsid w:val="2178420C"/>
    <w:rsid w:val="21A954A2"/>
    <w:rsid w:val="222A213F"/>
    <w:rsid w:val="225936CC"/>
    <w:rsid w:val="22775051"/>
    <w:rsid w:val="227D2BB6"/>
    <w:rsid w:val="231E77CA"/>
    <w:rsid w:val="23353491"/>
    <w:rsid w:val="23543D8C"/>
    <w:rsid w:val="238668B1"/>
    <w:rsid w:val="240C33C4"/>
    <w:rsid w:val="24561911"/>
    <w:rsid w:val="247C0C4C"/>
    <w:rsid w:val="247C270B"/>
    <w:rsid w:val="24B02758"/>
    <w:rsid w:val="254726B1"/>
    <w:rsid w:val="255A0F8D"/>
    <w:rsid w:val="25755DC7"/>
    <w:rsid w:val="25947049"/>
    <w:rsid w:val="25EF3DCB"/>
    <w:rsid w:val="25FF7D86"/>
    <w:rsid w:val="260B2287"/>
    <w:rsid w:val="26306192"/>
    <w:rsid w:val="263E08AF"/>
    <w:rsid w:val="26551754"/>
    <w:rsid w:val="266B71CA"/>
    <w:rsid w:val="266F0A68"/>
    <w:rsid w:val="26B648E9"/>
    <w:rsid w:val="26C37006"/>
    <w:rsid w:val="270311B0"/>
    <w:rsid w:val="271B6B2B"/>
    <w:rsid w:val="278C324C"/>
    <w:rsid w:val="27B64475"/>
    <w:rsid w:val="2816665B"/>
    <w:rsid w:val="288822B5"/>
    <w:rsid w:val="28A40771"/>
    <w:rsid w:val="28E84B02"/>
    <w:rsid w:val="28FE4325"/>
    <w:rsid w:val="292D0766"/>
    <w:rsid w:val="294066EC"/>
    <w:rsid w:val="298011DE"/>
    <w:rsid w:val="29BF3AB4"/>
    <w:rsid w:val="29F23E8A"/>
    <w:rsid w:val="2A187669"/>
    <w:rsid w:val="2A6E7289"/>
    <w:rsid w:val="2A9A1E2C"/>
    <w:rsid w:val="2AAE0CC1"/>
    <w:rsid w:val="2B116592"/>
    <w:rsid w:val="2B153458"/>
    <w:rsid w:val="2B195446"/>
    <w:rsid w:val="2B2A7653"/>
    <w:rsid w:val="2B824D9A"/>
    <w:rsid w:val="2B8463A9"/>
    <w:rsid w:val="2C1D2D14"/>
    <w:rsid w:val="2C4B7881"/>
    <w:rsid w:val="2C680433"/>
    <w:rsid w:val="2C732934"/>
    <w:rsid w:val="2C9A4FFC"/>
    <w:rsid w:val="2CE83322"/>
    <w:rsid w:val="2CE870C1"/>
    <w:rsid w:val="2CEE2C8A"/>
    <w:rsid w:val="2D6E1381"/>
    <w:rsid w:val="2DC0604D"/>
    <w:rsid w:val="2DDB2E87"/>
    <w:rsid w:val="2DDC7D02"/>
    <w:rsid w:val="2E6F1528"/>
    <w:rsid w:val="2E876B6B"/>
    <w:rsid w:val="2EC57C94"/>
    <w:rsid w:val="2EEF6BEA"/>
    <w:rsid w:val="2F131F39"/>
    <w:rsid w:val="2F1877C3"/>
    <w:rsid w:val="2F55775B"/>
    <w:rsid w:val="2FB67708"/>
    <w:rsid w:val="2FEF6776"/>
    <w:rsid w:val="300C011D"/>
    <w:rsid w:val="303012CA"/>
    <w:rsid w:val="306E3B3E"/>
    <w:rsid w:val="31010E56"/>
    <w:rsid w:val="313E5C07"/>
    <w:rsid w:val="314E5956"/>
    <w:rsid w:val="31955410"/>
    <w:rsid w:val="31DB16A7"/>
    <w:rsid w:val="325146EE"/>
    <w:rsid w:val="328E745E"/>
    <w:rsid w:val="32957AA8"/>
    <w:rsid w:val="33813B3B"/>
    <w:rsid w:val="33826186"/>
    <w:rsid w:val="33BE64BF"/>
    <w:rsid w:val="33C53223"/>
    <w:rsid w:val="33CF6FEA"/>
    <w:rsid w:val="34433534"/>
    <w:rsid w:val="34584A72"/>
    <w:rsid w:val="347D6A46"/>
    <w:rsid w:val="34E150FD"/>
    <w:rsid w:val="34EC5EF2"/>
    <w:rsid w:val="34FA0097"/>
    <w:rsid w:val="350C1B78"/>
    <w:rsid w:val="350E42CE"/>
    <w:rsid w:val="350E769E"/>
    <w:rsid w:val="352E5F92"/>
    <w:rsid w:val="35301D0A"/>
    <w:rsid w:val="354E3F3E"/>
    <w:rsid w:val="355F614C"/>
    <w:rsid w:val="359E747E"/>
    <w:rsid w:val="35BA15D4"/>
    <w:rsid w:val="35C42453"/>
    <w:rsid w:val="35D8231E"/>
    <w:rsid w:val="360B2EED"/>
    <w:rsid w:val="36323860"/>
    <w:rsid w:val="36617CA1"/>
    <w:rsid w:val="3699568D"/>
    <w:rsid w:val="36E20DE2"/>
    <w:rsid w:val="36F32FEF"/>
    <w:rsid w:val="3772660A"/>
    <w:rsid w:val="37A4078E"/>
    <w:rsid w:val="37B02C8E"/>
    <w:rsid w:val="37C74F70"/>
    <w:rsid w:val="37CB5D1A"/>
    <w:rsid w:val="37D368BE"/>
    <w:rsid w:val="3801798E"/>
    <w:rsid w:val="38172D0E"/>
    <w:rsid w:val="385E26EA"/>
    <w:rsid w:val="38F1355F"/>
    <w:rsid w:val="3925145A"/>
    <w:rsid w:val="393F42CA"/>
    <w:rsid w:val="39452BCE"/>
    <w:rsid w:val="394B7480"/>
    <w:rsid w:val="394C69E7"/>
    <w:rsid w:val="39BC591B"/>
    <w:rsid w:val="39DE5BCC"/>
    <w:rsid w:val="39E430C3"/>
    <w:rsid w:val="39ED01CA"/>
    <w:rsid w:val="3A0151DE"/>
    <w:rsid w:val="3A584624"/>
    <w:rsid w:val="3AB331C1"/>
    <w:rsid w:val="3AB761C2"/>
    <w:rsid w:val="3ABC194A"/>
    <w:rsid w:val="3AF076CD"/>
    <w:rsid w:val="3AFD61EB"/>
    <w:rsid w:val="3B131EB2"/>
    <w:rsid w:val="3B4007CD"/>
    <w:rsid w:val="3B810E4E"/>
    <w:rsid w:val="3C0C16CC"/>
    <w:rsid w:val="3C577B7C"/>
    <w:rsid w:val="3C7C5835"/>
    <w:rsid w:val="3C912D90"/>
    <w:rsid w:val="3CA408E8"/>
    <w:rsid w:val="3CD1792F"/>
    <w:rsid w:val="3D12626B"/>
    <w:rsid w:val="3D5B298A"/>
    <w:rsid w:val="3D87623F"/>
    <w:rsid w:val="3D913562"/>
    <w:rsid w:val="3DBA485E"/>
    <w:rsid w:val="3DD1395F"/>
    <w:rsid w:val="3E063608"/>
    <w:rsid w:val="3E706024"/>
    <w:rsid w:val="3E8B1D5F"/>
    <w:rsid w:val="3E9377E2"/>
    <w:rsid w:val="3EB43064"/>
    <w:rsid w:val="3EB45004"/>
    <w:rsid w:val="3EB70DA6"/>
    <w:rsid w:val="3EEF22EE"/>
    <w:rsid w:val="3EFE4C27"/>
    <w:rsid w:val="3F0E1833"/>
    <w:rsid w:val="3F274AF2"/>
    <w:rsid w:val="3F6820A1"/>
    <w:rsid w:val="3F6C393F"/>
    <w:rsid w:val="3FDA4D4C"/>
    <w:rsid w:val="401D22D1"/>
    <w:rsid w:val="406B780E"/>
    <w:rsid w:val="40E02836"/>
    <w:rsid w:val="4101356D"/>
    <w:rsid w:val="41594397"/>
    <w:rsid w:val="41A76EB0"/>
    <w:rsid w:val="41BD6276"/>
    <w:rsid w:val="41CE6B33"/>
    <w:rsid w:val="424E1A22"/>
    <w:rsid w:val="4283412A"/>
    <w:rsid w:val="42AC04F6"/>
    <w:rsid w:val="42D73F8A"/>
    <w:rsid w:val="43016A94"/>
    <w:rsid w:val="433B01F8"/>
    <w:rsid w:val="433D3531"/>
    <w:rsid w:val="4359067E"/>
    <w:rsid w:val="43654FAA"/>
    <w:rsid w:val="437B7DBF"/>
    <w:rsid w:val="4382126B"/>
    <w:rsid w:val="443469F5"/>
    <w:rsid w:val="443A225E"/>
    <w:rsid w:val="444906F3"/>
    <w:rsid w:val="446B68BB"/>
    <w:rsid w:val="44801C3A"/>
    <w:rsid w:val="4557347D"/>
    <w:rsid w:val="45576E3F"/>
    <w:rsid w:val="45943BEF"/>
    <w:rsid w:val="45D24718"/>
    <w:rsid w:val="45D264C6"/>
    <w:rsid w:val="45E561F9"/>
    <w:rsid w:val="469F0A9E"/>
    <w:rsid w:val="46AC4423"/>
    <w:rsid w:val="46AE0CE1"/>
    <w:rsid w:val="46AE2A8F"/>
    <w:rsid w:val="46B1257F"/>
    <w:rsid w:val="46B75DE7"/>
    <w:rsid w:val="46D83FB0"/>
    <w:rsid w:val="47163A10"/>
    <w:rsid w:val="472114B3"/>
    <w:rsid w:val="47280A93"/>
    <w:rsid w:val="47290367"/>
    <w:rsid w:val="47305B9A"/>
    <w:rsid w:val="477C0DDF"/>
    <w:rsid w:val="4783216D"/>
    <w:rsid w:val="478B5513"/>
    <w:rsid w:val="47B17527"/>
    <w:rsid w:val="47F72214"/>
    <w:rsid w:val="4800731A"/>
    <w:rsid w:val="486A6E89"/>
    <w:rsid w:val="486E51E2"/>
    <w:rsid w:val="48837C57"/>
    <w:rsid w:val="48B545A9"/>
    <w:rsid w:val="48B63E7D"/>
    <w:rsid w:val="48BE6505"/>
    <w:rsid w:val="48C35C15"/>
    <w:rsid w:val="48CE7089"/>
    <w:rsid w:val="48F749C5"/>
    <w:rsid w:val="490177EE"/>
    <w:rsid w:val="490964A8"/>
    <w:rsid w:val="49172B6D"/>
    <w:rsid w:val="491A08B0"/>
    <w:rsid w:val="492E7EB7"/>
    <w:rsid w:val="49301E81"/>
    <w:rsid w:val="49533784"/>
    <w:rsid w:val="49C425C9"/>
    <w:rsid w:val="49DC3DB7"/>
    <w:rsid w:val="4A003601"/>
    <w:rsid w:val="4A314103"/>
    <w:rsid w:val="4A34774F"/>
    <w:rsid w:val="4A473705"/>
    <w:rsid w:val="4A4D5346"/>
    <w:rsid w:val="4A730277"/>
    <w:rsid w:val="4A802994"/>
    <w:rsid w:val="4A914BA1"/>
    <w:rsid w:val="4A995804"/>
    <w:rsid w:val="4AB83EDC"/>
    <w:rsid w:val="4AF02F65"/>
    <w:rsid w:val="4AF62C56"/>
    <w:rsid w:val="4B6C4CC7"/>
    <w:rsid w:val="4B811DDE"/>
    <w:rsid w:val="4C03562B"/>
    <w:rsid w:val="4C2B5371"/>
    <w:rsid w:val="4C365A00"/>
    <w:rsid w:val="4C8469F2"/>
    <w:rsid w:val="4CC36B68"/>
    <w:rsid w:val="4D1F6494"/>
    <w:rsid w:val="4D2B68DC"/>
    <w:rsid w:val="4D814A59"/>
    <w:rsid w:val="4D8D78A2"/>
    <w:rsid w:val="4DB7491F"/>
    <w:rsid w:val="4DC86B2C"/>
    <w:rsid w:val="4DD839F9"/>
    <w:rsid w:val="4DDA23BB"/>
    <w:rsid w:val="4DE17BEE"/>
    <w:rsid w:val="4DE50322"/>
    <w:rsid w:val="4DEC5AC4"/>
    <w:rsid w:val="4E102281"/>
    <w:rsid w:val="4E265601"/>
    <w:rsid w:val="4E2B0E69"/>
    <w:rsid w:val="4E4A6C49"/>
    <w:rsid w:val="4E4F2DA9"/>
    <w:rsid w:val="4E551C15"/>
    <w:rsid w:val="4E5B5992"/>
    <w:rsid w:val="4E5D049D"/>
    <w:rsid w:val="4E661EA1"/>
    <w:rsid w:val="4E7B3B9E"/>
    <w:rsid w:val="4E9E788D"/>
    <w:rsid w:val="4F147B4F"/>
    <w:rsid w:val="4F2A7373"/>
    <w:rsid w:val="4FCC21D8"/>
    <w:rsid w:val="4FD03A76"/>
    <w:rsid w:val="4FED287A"/>
    <w:rsid w:val="4FF57980"/>
    <w:rsid w:val="504001F7"/>
    <w:rsid w:val="505E5526"/>
    <w:rsid w:val="50E512B9"/>
    <w:rsid w:val="51167BAE"/>
    <w:rsid w:val="5151508A"/>
    <w:rsid w:val="517B5C63"/>
    <w:rsid w:val="518014CC"/>
    <w:rsid w:val="51B829C2"/>
    <w:rsid w:val="52097713"/>
    <w:rsid w:val="520A5BE6"/>
    <w:rsid w:val="520D0FB1"/>
    <w:rsid w:val="5244074B"/>
    <w:rsid w:val="52500E9E"/>
    <w:rsid w:val="525E3225"/>
    <w:rsid w:val="531719BC"/>
    <w:rsid w:val="532C5467"/>
    <w:rsid w:val="53310CD0"/>
    <w:rsid w:val="534F55FA"/>
    <w:rsid w:val="5351618A"/>
    <w:rsid w:val="5394300C"/>
    <w:rsid w:val="53C93674"/>
    <w:rsid w:val="53CC6C4A"/>
    <w:rsid w:val="53D15BE8"/>
    <w:rsid w:val="53FB308C"/>
    <w:rsid w:val="540D34EB"/>
    <w:rsid w:val="5422686A"/>
    <w:rsid w:val="547C5F7A"/>
    <w:rsid w:val="54842068"/>
    <w:rsid w:val="54E83610"/>
    <w:rsid w:val="54FC355F"/>
    <w:rsid w:val="550773D1"/>
    <w:rsid w:val="5540169E"/>
    <w:rsid w:val="554051FA"/>
    <w:rsid w:val="55D83684"/>
    <w:rsid w:val="55EF09CE"/>
    <w:rsid w:val="566B62A7"/>
    <w:rsid w:val="56AF6ADB"/>
    <w:rsid w:val="56B93ECD"/>
    <w:rsid w:val="57030BD5"/>
    <w:rsid w:val="574A05B2"/>
    <w:rsid w:val="57507DB8"/>
    <w:rsid w:val="57686C8A"/>
    <w:rsid w:val="579730CB"/>
    <w:rsid w:val="579B0E0D"/>
    <w:rsid w:val="57A74070"/>
    <w:rsid w:val="58161DCE"/>
    <w:rsid w:val="582726A1"/>
    <w:rsid w:val="589139E9"/>
    <w:rsid w:val="58962301"/>
    <w:rsid w:val="58FE1654"/>
    <w:rsid w:val="59521901"/>
    <w:rsid w:val="59706EFE"/>
    <w:rsid w:val="59965D30"/>
    <w:rsid w:val="59D6437F"/>
    <w:rsid w:val="59D800F7"/>
    <w:rsid w:val="59D81EA5"/>
    <w:rsid w:val="59F842F5"/>
    <w:rsid w:val="5A1B4488"/>
    <w:rsid w:val="5A56726E"/>
    <w:rsid w:val="5A6220B6"/>
    <w:rsid w:val="5AA06072"/>
    <w:rsid w:val="5AA24261"/>
    <w:rsid w:val="5AC32B55"/>
    <w:rsid w:val="5AC46ABB"/>
    <w:rsid w:val="5B001F98"/>
    <w:rsid w:val="5B1909C7"/>
    <w:rsid w:val="5B2A3B08"/>
    <w:rsid w:val="5B743803"/>
    <w:rsid w:val="5B8D3163"/>
    <w:rsid w:val="5BAD7361"/>
    <w:rsid w:val="5BE730AD"/>
    <w:rsid w:val="5C623BEA"/>
    <w:rsid w:val="5CBA1D36"/>
    <w:rsid w:val="5CC46711"/>
    <w:rsid w:val="5CEB1EEF"/>
    <w:rsid w:val="5CEB674E"/>
    <w:rsid w:val="5D137698"/>
    <w:rsid w:val="5D4A130C"/>
    <w:rsid w:val="5D740137"/>
    <w:rsid w:val="5DD22C6C"/>
    <w:rsid w:val="5DD24E5D"/>
    <w:rsid w:val="5E544E6C"/>
    <w:rsid w:val="5E710B1A"/>
    <w:rsid w:val="5E8545C5"/>
    <w:rsid w:val="5EC40C4A"/>
    <w:rsid w:val="5EF5428D"/>
    <w:rsid w:val="5F3343C3"/>
    <w:rsid w:val="5F4C7E5E"/>
    <w:rsid w:val="5F585836"/>
    <w:rsid w:val="5F622CC8"/>
    <w:rsid w:val="5F645F89"/>
    <w:rsid w:val="601B0D3D"/>
    <w:rsid w:val="6059463B"/>
    <w:rsid w:val="60B402EB"/>
    <w:rsid w:val="611069A9"/>
    <w:rsid w:val="61265503"/>
    <w:rsid w:val="6128670E"/>
    <w:rsid w:val="612E684E"/>
    <w:rsid w:val="61565DA5"/>
    <w:rsid w:val="615842F3"/>
    <w:rsid w:val="61860438"/>
    <w:rsid w:val="61970898"/>
    <w:rsid w:val="61A1089C"/>
    <w:rsid w:val="61AB7E9F"/>
    <w:rsid w:val="61DE0274"/>
    <w:rsid w:val="61F745E3"/>
    <w:rsid w:val="620677CB"/>
    <w:rsid w:val="624A590A"/>
    <w:rsid w:val="62B15989"/>
    <w:rsid w:val="62E80C7F"/>
    <w:rsid w:val="62F31CCA"/>
    <w:rsid w:val="62FA10DE"/>
    <w:rsid w:val="635C3B47"/>
    <w:rsid w:val="63E97E2C"/>
    <w:rsid w:val="63EA25AE"/>
    <w:rsid w:val="641E68E9"/>
    <w:rsid w:val="64686FC5"/>
    <w:rsid w:val="64754794"/>
    <w:rsid w:val="648D1ADE"/>
    <w:rsid w:val="64DD0CB7"/>
    <w:rsid w:val="64E57B6C"/>
    <w:rsid w:val="64E67A77"/>
    <w:rsid w:val="6502427A"/>
    <w:rsid w:val="65474383"/>
    <w:rsid w:val="65950E75"/>
    <w:rsid w:val="659A2704"/>
    <w:rsid w:val="65FD2C93"/>
    <w:rsid w:val="660202AA"/>
    <w:rsid w:val="66B15F58"/>
    <w:rsid w:val="66C31D1E"/>
    <w:rsid w:val="66D35A5D"/>
    <w:rsid w:val="674C3ED2"/>
    <w:rsid w:val="67530DBD"/>
    <w:rsid w:val="678C42CF"/>
    <w:rsid w:val="679533D3"/>
    <w:rsid w:val="67A535E2"/>
    <w:rsid w:val="67B17F47"/>
    <w:rsid w:val="67C27CF0"/>
    <w:rsid w:val="67DF08A2"/>
    <w:rsid w:val="67ED1B94"/>
    <w:rsid w:val="68112A26"/>
    <w:rsid w:val="68B66349"/>
    <w:rsid w:val="690A5DF3"/>
    <w:rsid w:val="693B0EED"/>
    <w:rsid w:val="696279DD"/>
    <w:rsid w:val="69935DE8"/>
    <w:rsid w:val="69DA57C5"/>
    <w:rsid w:val="6A06480C"/>
    <w:rsid w:val="6A617C95"/>
    <w:rsid w:val="6A631AF6"/>
    <w:rsid w:val="6A786D8C"/>
    <w:rsid w:val="6AB73D58"/>
    <w:rsid w:val="6ACE4BFE"/>
    <w:rsid w:val="6B2B575B"/>
    <w:rsid w:val="6BA77929"/>
    <w:rsid w:val="6C132CAA"/>
    <w:rsid w:val="6C3D203B"/>
    <w:rsid w:val="6CCD1611"/>
    <w:rsid w:val="6CDE737B"/>
    <w:rsid w:val="6D25144D"/>
    <w:rsid w:val="6D400035"/>
    <w:rsid w:val="6D480C98"/>
    <w:rsid w:val="6D5E04BB"/>
    <w:rsid w:val="6D7101EF"/>
    <w:rsid w:val="6D7234B1"/>
    <w:rsid w:val="6D741A8D"/>
    <w:rsid w:val="6DA30AB4"/>
    <w:rsid w:val="6DB14A8F"/>
    <w:rsid w:val="6DF83766"/>
    <w:rsid w:val="6E184B0E"/>
    <w:rsid w:val="6E4678CD"/>
    <w:rsid w:val="6E49116B"/>
    <w:rsid w:val="6E4B4EE4"/>
    <w:rsid w:val="6E4C47B8"/>
    <w:rsid w:val="6E9C0E28"/>
    <w:rsid w:val="6E9C74ED"/>
    <w:rsid w:val="6F207D5D"/>
    <w:rsid w:val="6F4A519B"/>
    <w:rsid w:val="6F5778B8"/>
    <w:rsid w:val="6FA83AAB"/>
    <w:rsid w:val="6FC22F83"/>
    <w:rsid w:val="6FF772BF"/>
    <w:rsid w:val="700D7F77"/>
    <w:rsid w:val="70251764"/>
    <w:rsid w:val="708010DE"/>
    <w:rsid w:val="70BA3C5B"/>
    <w:rsid w:val="70CB0A85"/>
    <w:rsid w:val="70CE3BAA"/>
    <w:rsid w:val="70DD442F"/>
    <w:rsid w:val="70F17F20"/>
    <w:rsid w:val="711517D9"/>
    <w:rsid w:val="719170B1"/>
    <w:rsid w:val="71C50B09"/>
    <w:rsid w:val="721110E9"/>
    <w:rsid w:val="72395053"/>
    <w:rsid w:val="73025D8D"/>
    <w:rsid w:val="73076EFF"/>
    <w:rsid w:val="7309711B"/>
    <w:rsid w:val="73247AB1"/>
    <w:rsid w:val="73463ECB"/>
    <w:rsid w:val="734737A0"/>
    <w:rsid w:val="738E13CF"/>
    <w:rsid w:val="739E1612"/>
    <w:rsid w:val="73A34E7A"/>
    <w:rsid w:val="73A6496A"/>
    <w:rsid w:val="73C51294"/>
    <w:rsid w:val="73FE47A6"/>
    <w:rsid w:val="74454183"/>
    <w:rsid w:val="7451208D"/>
    <w:rsid w:val="747B333A"/>
    <w:rsid w:val="74AD0B16"/>
    <w:rsid w:val="74B24F2D"/>
    <w:rsid w:val="74E4574A"/>
    <w:rsid w:val="75C111CC"/>
    <w:rsid w:val="75D94B83"/>
    <w:rsid w:val="760140DA"/>
    <w:rsid w:val="763C5112"/>
    <w:rsid w:val="76465F91"/>
    <w:rsid w:val="76515061"/>
    <w:rsid w:val="76650B0D"/>
    <w:rsid w:val="76A41635"/>
    <w:rsid w:val="76F1414E"/>
    <w:rsid w:val="770245AD"/>
    <w:rsid w:val="77040325"/>
    <w:rsid w:val="7749538B"/>
    <w:rsid w:val="7757013E"/>
    <w:rsid w:val="777A461D"/>
    <w:rsid w:val="78713799"/>
    <w:rsid w:val="78767001"/>
    <w:rsid w:val="78931D02"/>
    <w:rsid w:val="78A85E7C"/>
    <w:rsid w:val="78E55F35"/>
    <w:rsid w:val="78EA354B"/>
    <w:rsid w:val="78EF0B61"/>
    <w:rsid w:val="78F46618"/>
    <w:rsid w:val="795B7FA5"/>
    <w:rsid w:val="79825532"/>
    <w:rsid w:val="79B80F53"/>
    <w:rsid w:val="79F71A7C"/>
    <w:rsid w:val="7A356A48"/>
    <w:rsid w:val="7A601D17"/>
    <w:rsid w:val="7A677FD2"/>
    <w:rsid w:val="7A985EAF"/>
    <w:rsid w:val="7A990D85"/>
    <w:rsid w:val="7AA55C68"/>
    <w:rsid w:val="7ACC115A"/>
    <w:rsid w:val="7AD87AFF"/>
    <w:rsid w:val="7AF4420D"/>
    <w:rsid w:val="7B205002"/>
    <w:rsid w:val="7BA23C69"/>
    <w:rsid w:val="7BB57E40"/>
    <w:rsid w:val="7BF02C26"/>
    <w:rsid w:val="7C0E57A2"/>
    <w:rsid w:val="7C217284"/>
    <w:rsid w:val="7C43369E"/>
    <w:rsid w:val="7C7E130E"/>
    <w:rsid w:val="7C921F30"/>
    <w:rsid w:val="7CAD4FBB"/>
    <w:rsid w:val="7CCD11BA"/>
    <w:rsid w:val="7D112C1E"/>
    <w:rsid w:val="7D1868D9"/>
    <w:rsid w:val="7D4C20DE"/>
    <w:rsid w:val="7D4C6582"/>
    <w:rsid w:val="7D5176F5"/>
    <w:rsid w:val="7D845D1C"/>
    <w:rsid w:val="7D8F0DAF"/>
    <w:rsid w:val="7D8F2B88"/>
    <w:rsid w:val="7DDC5181"/>
    <w:rsid w:val="7DE44A0D"/>
    <w:rsid w:val="7E053829"/>
    <w:rsid w:val="7E417769"/>
    <w:rsid w:val="7E8B30DA"/>
    <w:rsid w:val="7E9C4D02"/>
    <w:rsid w:val="7ECB2DD6"/>
    <w:rsid w:val="7ECE4A5B"/>
    <w:rsid w:val="7F2E1CD5"/>
    <w:rsid w:val="7F343772"/>
    <w:rsid w:val="7F4F4108"/>
    <w:rsid w:val="7F547970"/>
    <w:rsid w:val="7F6079CC"/>
    <w:rsid w:val="7F8042C1"/>
    <w:rsid w:val="7FB36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73B890"/>
  <w15:docId w15:val="{D2521434-D500-4311-A997-1ADE3AE4A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line number" w:qFormat="1"/>
    <w:lsdException w:name="Title" w:qFormat="1"/>
    <w:lsdException w:name="Default Paragraph Font"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qFormat/>
    <w:pPr>
      <w:jc w:val="left"/>
    </w:pPr>
  </w:style>
  <w:style w:type="paragraph" w:styleId="BalloonText">
    <w:name w:val="Balloon Text"/>
    <w:basedOn w:val="Normal"/>
    <w:link w:val="BalloonTextChar"/>
    <w:qFormat/>
    <w:rPr>
      <w:sz w:val="18"/>
      <w:szCs w:val="18"/>
    </w:rPr>
  </w:style>
  <w:style w:type="paragraph" w:styleId="Footer">
    <w:name w:val="footer"/>
    <w:basedOn w:val="Normal"/>
    <w:link w:val="FooterChar"/>
    <w:qFormat/>
    <w:pPr>
      <w:tabs>
        <w:tab w:val="center" w:pos="4153"/>
        <w:tab w:val="right" w:pos="8306"/>
      </w:tabs>
      <w:snapToGrid w:val="0"/>
      <w:jc w:val="left"/>
    </w:pPr>
    <w:rPr>
      <w:sz w:val="18"/>
      <w:szCs w:val="18"/>
    </w:rPr>
  </w:style>
  <w:style w:type="paragraph" w:styleId="Header">
    <w:name w:val="header"/>
    <w:basedOn w:val="Normal"/>
    <w:link w:val="HeaderChar"/>
    <w:qFormat/>
    <w:pPr>
      <w:pBdr>
        <w:bottom w:val="single" w:sz="6" w:space="1" w:color="auto"/>
      </w:pBdr>
      <w:tabs>
        <w:tab w:val="center" w:pos="4153"/>
        <w:tab w:val="right" w:pos="8306"/>
      </w:tabs>
      <w:snapToGrid w:val="0"/>
      <w:jc w:val="center"/>
    </w:pPr>
    <w:rPr>
      <w:sz w:val="18"/>
      <w:szCs w:val="18"/>
    </w:rPr>
  </w:style>
  <w:style w:type="paragraph" w:styleId="CommentSubject">
    <w:name w:val="annotation subject"/>
    <w:basedOn w:val="CommentText"/>
    <w:next w:val="CommentText"/>
    <w:link w:val="CommentSubjectChar"/>
    <w:qFormat/>
    <w:rPr>
      <w:b/>
      <w:bCs/>
    </w:rPr>
  </w:style>
  <w:style w:type="character" w:styleId="LineNumber">
    <w:name w:val="line number"/>
    <w:basedOn w:val="DefaultParagraphFont"/>
    <w:qFormat/>
  </w:style>
  <w:style w:type="character" w:styleId="Hyperlink">
    <w:name w:val="Hyperlink"/>
    <w:basedOn w:val="DefaultParagraphFont"/>
    <w:uiPriority w:val="99"/>
    <w:unhideWhenUsed/>
    <w:qFormat/>
    <w:rPr>
      <w:color w:val="0026E5" w:themeColor="hyperlink"/>
      <w:u w:val="single"/>
    </w:rPr>
  </w:style>
  <w:style w:type="character" w:styleId="CommentReference">
    <w:name w:val="annotation reference"/>
    <w:basedOn w:val="DefaultParagraphFont"/>
    <w:qFormat/>
    <w:rPr>
      <w:sz w:val="21"/>
      <w:szCs w:val="21"/>
    </w:rPr>
  </w:style>
  <w:style w:type="paragraph" w:customStyle="1" w:styleId="5">
    <w:name w:val="样式5"/>
    <w:basedOn w:val="Normal"/>
    <w:qFormat/>
    <w:pPr>
      <w:keepNext/>
      <w:keepLines/>
      <w:widowControl/>
      <w:spacing w:before="360" w:after="120" w:line="480" w:lineRule="auto"/>
      <w:jc w:val="left"/>
      <w:outlineLvl w:val="0"/>
    </w:pPr>
    <w:rPr>
      <w:rFonts w:cstheme="majorBidi"/>
      <w:b/>
      <w:kern w:val="0"/>
      <w:sz w:val="44"/>
      <w:szCs w:val="32"/>
    </w:rPr>
  </w:style>
  <w:style w:type="character" w:customStyle="1" w:styleId="HeaderChar">
    <w:name w:val="Header Char"/>
    <w:basedOn w:val="DefaultParagraphFont"/>
    <w:link w:val="Header"/>
    <w:qFormat/>
    <w:rPr>
      <w:rFonts w:asciiTheme="minorHAnsi" w:eastAsiaTheme="minorEastAsia" w:hAnsiTheme="minorHAnsi" w:cstheme="minorBidi"/>
      <w:kern w:val="2"/>
      <w:sz w:val="18"/>
      <w:szCs w:val="18"/>
    </w:rPr>
  </w:style>
  <w:style w:type="character" w:customStyle="1" w:styleId="FooterChar">
    <w:name w:val="Footer Char"/>
    <w:basedOn w:val="DefaultParagraphFont"/>
    <w:link w:val="Footer"/>
    <w:qFormat/>
    <w:rPr>
      <w:rFonts w:asciiTheme="minorHAnsi" w:eastAsiaTheme="minorEastAsia" w:hAnsiTheme="minorHAnsi" w:cstheme="minorBidi"/>
      <w:kern w:val="2"/>
      <w:sz w:val="18"/>
      <w:szCs w:val="18"/>
    </w:rPr>
  </w:style>
  <w:style w:type="character" w:customStyle="1" w:styleId="BalloonTextChar">
    <w:name w:val="Balloon Text Char"/>
    <w:basedOn w:val="DefaultParagraphFont"/>
    <w:link w:val="BalloonText"/>
    <w:qFormat/>
    <w:rPr>
      <w:rFonts w:asciiTheme="minorHAnsi" w:eastAsiaTheme="minorEastAsia" w:hAnsiTheme="minorHAnsi" w:cstheme="minorBidi"/>
      <w:kern w:val="2"/>
      <w:sz w:val="18"/>
      <w:szCs w:val="18"/>
    </w:rPr>
  </w:style>
  <w:style w:type="character" w:customStyle="1" w:styleId="CommentTextChar">
    <w:name w:val="Comment Text Char"/>
    <w:basedOn w:val="DefaultParagraphFont"/>
    <w:link w:val="CommentText"/>
    <w:qFormat/>
    <w:rPr>
      <w:rFonts w:asciiTheme="minorHAnsi" w:eastAsiaTheme="minorEastAsia" w:hAnsiTheme="minorHAnsi" w:cstheme="minorBidi"/>
      <w:kern w:val="2"/>
      <w:sz w:val="21"/>
      <w:szCs w:val="24"/>
    </w:rPr>
  </w:style>
  <w:style w:type="character" w:customStyle="1" w:styleId="CommentSubjectChar">
    <w:name w:val="Comment Subject Char"/>
    <w:basedOn w:val="CommentTextChar"/>
    <w:link w:val="CommentSubject"/>
    <w:qFormat/>
    <w:rPr>
      <w:rFonts w:asciiTheme="minorHAnsi" w:eastAsiaTheme="minorEastAsia" w:hAnsiTheme="minorHAnsi" w:cstheme="minorBidi"/>
      <w:b/>
      <w:bCs/>
      <w:kern w:val="2"/>
      <w:sz w:val="21"/>
      <w:szCs w:val="24"/>
    </w:rPr>
  </w:style>
  <w:style w:type="paragraph" w:customStyle="1" w:styleId="1">
    <w:name w:val="修订1"/>
    <w:hidden/>
    <w:uiPriority w:val="99"/>
    <w:semiHidden/>
    <w:qFormat/>
    <w:rPr>
      <w:rFonts w:asciiTheme="minorHAnsi" w:eastAsiaTheme="minorEastAsia" w:hAnsiTheme="minorHAnsi" w:cstheme="minorBidi"/>
      <w:kern w:val="2"/>
      <w:sz w:val="21"/>
      <w:szCs w:val="24"/>
      <w:lang w:eastAsia="zh-CN"/>
    </w:rPr>
  </w:style>
  <w:style w:type="paragraph" w:customStyle="1" w:styleId="EndNoteBibliographyTitle">
    <w:name w:val="EndNote Bibliography Title"/>
    <w:basedOn w:val="Normal"/>
    <w:link w:val="EndNoteBibliographyTitle0"/>
    <w:qFormat/>
    <w:pPr>
      <w:jc w:val="center"/>
    </w:pPr>
    <w:rPr>
      <w:rFonts w:ascii="Calibri" w:hAnsi="Calibri" w:cs="Calibri"/>
      <w:sz w:val="20"/>
    </w:rPr>
  </w:style>
  <w:style w:type="character" w:customStyle="1" w:styleId="EndNoteBibliographyTitle0">
    <w:name w:val="EndNote Bibliography Title 字符"/>
    <w:basedOn w:val="DefaultParagraphFont"/>
    <w:link w:val="EndNoteBibliographyTitle"/>
    <w:qFormat/>
    <w:rPr>
      <w:rFonts w:ascii="Calibri" w:eastAsiaTheme="minorEastAsia" w:hAnsi="Calibri" w:cs="Calibri"/>
      <w:kern w:val="2"/>
      <w:szCs w:val="24"/>
    </w:rPr>
  </w:style>
  <w:style w:type="paragraph" w:customStyle="1" w:styleId="EndNoteBibliography">
    <w:name w:val="EndNote Bibliography"/>
    <w:basedOn w:val="Normal"/>
    <w:link w:val="EndNoteBibliography0"/>
    <w:qFormat/>
    <w:rPr>
      <w:rFonts w:ascii="Calibri" w:hAnsi="Calibri" w:cs="Calibri"/>
      <w:sz w:val="20"/>
    </w:rPr>
  </w:style>
  <w:style w:type="character" w:customStyle="1" w:styleId="EndNoteBibliography0">
    <w:name w:val="EndNote Bibliography 字符"/>
    <w:basedOn w:val="DefaultParagraphFont"/>
    <w:link w:val="EndNoteBibliography"/>
    <w:qFormat/>
    <w:rPr>
      <w:rFonts w:ascii="Calibri" w:eastAsiaTheme="minorEastAsia" w:hAnsi="Calibri" w:cs="Calibri"/>
      <w:kern w:val="2"/>
      <w:szCs w:val="24"/>
    </w:rPr>
  </w:style>
  <w:style w:type="paragraph" w:customStyle="1" w:styleId="2">
    <w:name w:val="修订2"/>
    <w:hidden/>
    <w:uiPriority w:val="99"/>
    <w:unhideWhenUsed/>
    <w:qFormat/>
    <w:rPr>
      <w:rFonts w:asciiTheme="minorHAnsi" w:eastAsiaTheme="minorEastAsia" w:hAnsiTheme="minorHAnsi" w:cstheme="minorBidi"/>
      <w:kern w:val="2"/>
      <w:sz w:val="21"/>
      <w:szCs w:val="24"/>
      <w:lang w:eastAsia="zh-CN"/>
    </w:rPr>
  </w:style>
  <w:style w:type="paragraph" w:customStyle="1" w:styleId="3">
    <w:name w:val="修订3"/>
    <w:hidden/>
    <w:uiPriority w:val="99"/>
    <w:unhideWhenUsed/>
    <w:qFormat/>
    <w:rPr>
      <w:rFonts w:asciiTheme="minorHAnsi" w:eastAsiaTheme="minorEastAsia" w:hAnsiTheme="minorHAnsi" w:cstheme="minorBidi"/>
      <w:kern w:val="2"/>
      <w:sz w:val="21"/>
      <w:szCs w:val="24"/>
      <w:lang w:eastAsia="zh-CN"/>
    </w:rPr>
  </w:style>
  <w:style w:type="paragraph" w:customStyle="1" w:styleId="Revision1">
    <w:name w:val="Revision1"/>
    <w:hidden/>
    <w:uiPriority w:val="99"/>
    <w:unhideWhenUsed/>
    <w:qFormat/>
    <w:rPr>
      <w:rFonts w:asciiTheme="minorHAnsi" w:eastAsiaTheme="minorEastAsia" w:hAnsiTheme="minorHAnsi" w:cstheme="minorBidi"/>
      <w:kern w:val="2"/>
      <w:sz w:val="21"/>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3B8C04-7878-444E-AAB0-B962EA1CA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571</Words>
  <Characters>3257</Characters>
  <Application>Microsoft Office Word</Application>
  <DocSecurity>0</DocSecurity>
  <Lines>27</Lines>
  <Paragraphs>7</Paragraphs>
  <ScaleCrop>false</ScaleCrop>
  <Company>Springer Nature</Company>
  <LinksUpToDate>false</LinksUpToDate>
  <CharactersWithSpaces>3821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77579</dc:creator>
  <cp:lastModifiedBy>Trupti Sudge</cp:lastModifiedBy>
  <cp:revision>2</cp:revision>
  <dcterms:created xsi:type="dcterms:W3CDTF">2025-03-05T05:36:00Z</dcterms:created>
  <dcterms:modified xsi:type="dcterms:W3CDTF">2025-03-05T05:36:00Z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EEE155923AAF4F43853C89275A0A5F74_12</vt:lpwstr>
  </property>
  <property fmtid="{D5CDD505-2E9C-101B-9397-08002B2CF9AE}" pid="4" name="GrammarlyDocumentId">
    <vt:lpwstr>a0c04618af478a4b186e2cbe746e910268769ad37ef854e2ca13a1aa92bbe763</vt:lpwstr>
  </property>
</Properties>
</file>