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MDPI41threelinetable"/>
        <w:tblpPr w:leftFromText="180" w:rightFromText="180" w:horzAnchor="margin" w:tblpY="666"/>
        <w:tblW w:w="5047" w:type="pct"/>
        <w:jc w:val="left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332"/>
        <w:gridCol w:w="1800"/>
        <w:gridCol w:w="1039"/>
        <w:gridCol w:w="1410"/>
        <w:gridCol w:w="1502"/>
        <w:gridCol w:w="1502"/>
        <w:gridCol w:w="1497"/>
      </w:tblGrid>
      <w:tr w:rsidR="00096456" w:rsidRPr="00096456" w:rsidTr="000964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left"/>
        </w:trPr>
        <w:tc>
          <w:tcPr>
            <w:tcW w:w="1656" w:type="pct"/>
            <w:vMerge w:val="restar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Name and strain</w:t>
            </w:r>
          </w:p>
        </w:tc>
        <w:tc>
          <w:tcPr>
            <w:tcW w:w="688" w:type="pct"/>
            <w:vMerge w:val="restart"/>
            <w:tcBorders>
              <w:top w:val="single" w:sz="18" w:space="0" w:color="auto"/>
              <w:bottom w:val="single" w:sz="18" w:space="0" w:color="auto"/>
            </w:tcBorders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Abbreviation code</w:t>
            </w:r>
          </w:p>
        </w:tc>
        <w:tc>
          <w:tcPr>
            <w:tcW w:w="397" w:type="pct"/>
            <w:vMerge w:val="restar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KEGG</w:t>
            </w:r>
          </w:p>
        </w:tc>
        <w:tc>
          <w:tcPr>
            <w:tcW w:w="2259" w:type="pct"/>
            <w:gridSpan w:val="4"/>
            <w:tcBorders>
              <w:top w:val="single" w:sz="18" w:space="0" w:color="auto"/>
              <w:bottom w:val="single" w:sz="8" w:space="0" w:color="auto"/>
            </w:tcBorders>
            <w:noWrap/>
            <w:vAlign w:val="top"/>
            <w:hideMark/>
          </w:tcPr>
          <w:p w:rsidR="00096456" w:rsidRPr="00096456" w:rsidRDefault="00096456" w:rsidP="00096456">
            <w:pPr>
              <w:jc w:val="center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E-value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vMerge/>
            <w:tcBorders>
              <w:top w:val="nil"/>
              <w:bottom w:val="single" w:sz="18" w:space="0" w:color="auto"/>
            </w:tcBorders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</w:p>
        </w:tc>
        <w:tc>
          <w:tcPr>
            <w:tcW w:w="688" w:type="pct"/>
            <w:vMerge/>
            <w:tcBorders>
              <w:top w:val="nil"/>
              <w:bottom w:val="single" w:sz="18" w:space="0" w:color="auto"/>
            </w:tcBorders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</w:p>
        </w:tc>
        <w:tc>
          <w:tcPr>
            <w:tcW w:w="397" w:type="pct"/>
            <w:vMerge/>
            <w:tcBorders>
              <w:top w:val="nil"/>
              <w:bottom w:val="single" w:sz="18" w:space="0" w:color="auto"/>
            </w:tcBorders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</w:p>
        </w:tc>
        <w:tc>
          <w:tcPr>
            <w:tcW w:w="539" w:type="pct"/>
            <w:tcBorders>
              <w:top w:val="single" w:sz="8" w:space="0" w:color="auto"/>
              <w:bottom w:val="single" w:sz="18" w:space="0" w:color="auto"/>
            </w:tcBorders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1e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vertAlign w:val="superscript"/>
                <w:lang w:eastAsia="de-DE"/>
              </w:rPr>
              <w:t>-4</w:t>
            </w:r>
          </w:p>
        </w:tc>
        <w:tc>
          <w:tcPr>
            <w:tcW w:w="574" w:type="pct"/>
            <w:tcBorders>
              <w:top w:val="single" w:sz="8" w:space="0" w:color="auto"/>
              <w:bottom w:val="single" w:sz="18" w:space="0" w:color="auto"/>
            </w:tcBorders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1e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vertAlign w:val="superscript"/>
                <w:lang w:eastAsia="de-DE"/>
              </w:rPr>
              <w:t>-6</w:t>
            </w:r>
          </w:p>
        </w:tc>
        <w:tc>
          <w:tcPr>
            <w:tcW w:w="574" w:type="pct"/>
            <w:tcBorders>
              <w:top w:val="single" w:sz="8" w:space="0" w:color="auto"/>
              <w:bottom w:val="single" w:sz="18" w:space="0" w:color="auto"/>
            </w:tcBorders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1e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vertAlign w:val="superscript"/>
                <w:lang w:eastAsia="de-DE"/>
              </w:rPr>
              <w:t>-9</w:t>
            </w:r>
          </w:p>
        </w:tc>
        <w:tc>
          <w:tcPr>
            <w:tcW w:w="572" w:type="pct"/>
            <w:tcBorders>
              <w:top w:val="single" w:sz="8" w:space="0" w:color="auto"/>
              <w:bottom w:val="single" w:sz="18" w:space="0" w:color="auto"/>
            </w:tcBorders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1e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vertAlign w:val="superscript"/>
                <w:lang w:eastAsia="de-DE"/>
              </w:rPr>
              <w:t>-16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tcBorders>
              <w:top w:val="single" w:sz="18" w:space="0" w:color="auto"/>
            </w:tcBorders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Acinetobacter defluvii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WCHA30</w:t>
            </w:r>
          </w:p>
        </w:tc>
        <w:tc>
          <w:tcPr>
            <w:tcW w:w="688" w:type="pct"/>
            <w:tcBorders>
              <w:top w:val="single" w:sz="18" w:space="0" w:color="auto"/>
            </w:tcBorders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adv</w:t>
            </w:r>
          </w:p>
        </w:tc>
        <w:tc>
          <w:tcPr>
            <w:tcW w:w="397" w:type="pct"/>
            <w:tcBorders>
              <w:top w:val="single" w:sz="18" w:space="0" w:color="auto"/>
            </w:tcBorders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39" w:type="pct"/>
            <w:tcBorders>
              <w:top w:val="single" w:sz="18" w:space="0" w:color="auto"/>
            </w:tcBorders>
            <w:noWrap/>
            <w:vAlign w:val="top"/>
          </w:tcPr>
          <w:p w:rsidR="00096456" w:rsidRPr="00096456" w:rsidRDefault="00096456" w:rsidP="000964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tcBorders>
              <w:top w:val="single" w:sz="18" w:space="0" w:color="auto"/>
            </w:tcBorders>
          </w:tcPr>
          <w:p w:rsidR="00096456" w:rsidRPr="00096456" w:rsidRDefault="00096456" w:rsidP="000964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tcBorders>
              <w:top w:val="single" w:sz="18" w:space="0" w:color="auto"/>
            </w:tcBorders>
          </w:tcPr>
          <w:p w:rsidR="00096456" w:rsidRPr="00096456" w:rsidRDefault="00096456" w:rsidP="000964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2" w:type="pct"/>
            <w:tcBorders>
              <w:top w:val="single" w:sz="18" w:space="0" w:color="auto"/>
            </w:tcBorders>
          </w:tcPr>
          <w:p w:rsidR="00096456" w:rsidRPr="00096456" w:rsidRDefault="00096456" w:rsidP="000964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i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Arabidopsis thaliana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ath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72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Azoarcus sp.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KH32C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aza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P2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  <w:tc>
          <w:tcPr>
            <w:tcW w:w="572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Azoarcus sp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. DN11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azd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P2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2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Azoarcus sp.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CIB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azi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P2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P1,P2,P3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P1,P2,P3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P1,P2,P3</w:t>
            </w:r>
          </w:p>
        </w:tc>
        <w:tc>
          <w:tcPr>
            <w:tcW w:w="572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Burkholderia cepacia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DDS 7H-2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bced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2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Burkholderia vietnamiensis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G4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bvi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2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Cycloclasticus sp.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P1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cyq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2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Cycloclasticus zancles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78-ME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cza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2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Desulfosporosinus orientis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DSM 765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dor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72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Aromatoleum aromaticum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EbN1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eba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P2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  <w:tc>
          <w:tcPr>
            <w:tcW w:w="572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Latimeria chalumnae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(coelacanth)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lcm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74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72" w:type="pct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Magnetospirillum sp.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XM-1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magx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P2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  <w:tc>
          <w:tcPr>
            <w:tcW w:w="572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Paraburkholderia aromaticivorans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BN5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parb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2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Rhodococcus ruber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P14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rrz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2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Sulfuritalea hydrogenivorans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sk43H</w:t>
            </w:r>
          </w:p>
        </w:tc>
        <w:tc>
          <w:tcPr>
            <w:tcW w:w="688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shd</w:t>
            </w:r>
          </w:p>
        </w:tc>
        <w:tc>
          <w:tcPr>
            <w:tcW w:w="397" w:type="pct"/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P2</w:t>
            </w:r>
          </w:p>
        </w:tc>
        <w:tc>
          <w:tcPr>
            <w:tcW w:w="539" w:type="pct"/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  <w:tc>
          <w:tcPr>
            <w:tcW w:w="574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  <w:tc>
          <w:tcPr>
            <w:tcW w:w="572" w:type="pct"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P1,P2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tcBorders>
              <w:bottom w:val="nil"/>
            </w:tcBorders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Staphylococcus sciuri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FDAARGOS 285</w:t>
            </w:r>
          </w:p>
        </w:tc>
        <w:tc>
          <w:tcPr>
            <w:tcW w:w="688" w:type="pct"/>
            <w:tcBorders>
              <w:bottom w:val="nil"/>
            </w:tcBorders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sscu</w:t>
            </w:r>
          </w:p>
        </w:tc>
        <w:tc>
          <w:tcPr>
            <w:tcW w:w="397" w:type="pct"/>
            <w:tcBorders>
              <w:bottom w:val="nil"/>
            </w:tcBorders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39" w:type="pct"/>
            <w:tcBorders>
              <w:bottom w:val="nil"/>
            </w:tcBorders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74" w:type="pct"/>
            <w:tcBorders>
              <w:bottom w:val="nil"/>
            </w:tcBorders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74" w:type="pct"/>
            <w:tcBorders>
              <w:bottom w:val="nil"/>
            </w:tcBorders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572" w:type="pct"/>
            <w:tcBorders>
              <w:bottom w:val="nil"/>
            </w:tcBorders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-</w:t>
            </w:r>
          </w:p>
        </w:tc>
      </w:tr>
      <w:tr w:rsidR="00096456" w:rsidRPr="00096456" w:rsidTr="00096456">
        <w:trPr>
          <w:trHeight w:val="300"/>
          <w:jc w:val="left"/>
        </w:trPr>
        <w:tc>
          <w:tcPr>
            <w:tcW w:w="1656" w:type="pct"/>
            <w:tcBorders>
              <w:top w:val="nil"/>
              <w:bottom w:val="single" w:sz="18" w:space="0" w:color="auto"/>
            </w:tcBorders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  <w:lang w:eastAsia="de-DE"/>
              </w:rPr>
              <w:t>Thauera sp.</w:t>
            </w: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 xml:space="preserve"> MZ1T</w:t>
            </w:r>
          </w:p>
        </w:tc>
        <w:tc>
          <w:tcPr>
            <w:tcW w:w="688" w:type="pct"/>
            <w:tcBorders>
              <w:top w:val="nil"/>
              <w:bottom w:val="single" w:sz="18" w:space="0" w:color="auto"/>
            </w:tcBorders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tmz</w:t>
            </w:r>
          </w:p>
        </w:tc>
        <w:tc>
          <w:tcPr>
            <w:tcW w:w="397" w:type="pct"/>
            <w:tcBorders>
              <w:top w:val="nil"/>
              <w:bottom w:val="single" w:sz="18" w:space="0" w:color="auto"/>
            </w:tcBorders>
            <w:noWrap/>
            <w:vAlign w:val="top"/>
            <w:hideMark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P2, P3</w:t>
            </w:r>
          </w:p>
        </w:tc>
        <w:tc>
          <w:tcPr>
            <w:tcW w:w="539" w:type="pct"/>
            <w:tcBorders>
              <w:top w:val="nil"/>
              <w:bottom w:val="single" w:sz="18" w:space="0" w:color="auto"/>
            </w:tcBorders>
            <w:noWrap/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tcBorders>
              <w:top w:val="nil"/>
              <w:bottom w:val="single" w:sz="18" w:space="0" w:color="auto"/>
            </w:tcBorders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4" w:type="pct"/>
            <w:tcBorders>
              <w:top w:val="nil"/>
              <w:bottom w:val="single" w:sz="18" w:space="0" w:color="auto"/>
            </w:tcBorders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  <w:tc>
          <w:tcPr>
            <w:tcW w:w="572" w:type="pct"/>
            <w:tcBorders>
              <w:top w:val="nil"/>
              <w:bottom w:val="single" w:sz="18" w:space="0" w:color="auto"/>
            </w:tcBorders>
            <w:vAlign w:val="top"/>
          </w:tcPr>
          <w:p w:rsidR="00096456" w:rsidRPr="00096456" w:rsidRDefault="00096456" w:rsidP="00096456">
            <w:pPr>
              <w:jc w:val="left"/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</w:pPr>
            <w:r w:rsidRPr="00096456">
              <w:rPr>
                <w:rFonts w:ascii="Times New Roman" w:eastAsia="Times New Roman" w:hAnsi="Times New Roman"/>
                <w:color w:val="auto"/>
                <w:sz w:val="24"/>
                <w:szCs w:val="24"/>
                <w:lang w:eastAsia="de-DE"/>
              </w:rPr>
              <w:t>P3</w:t>
            </w:r>
          </w:p>
        </w:tc>
      </w:tr>
    </w:tbl>
    <w:p w:rsidR="00930853" w:rsidRPr="00096456" w:rsidRDefault="00096456">
      <w:pPr>
        <w:rPr>
          <w:rFonts w:ascii="Times New Roman" w:hAnsi="Times New Roman"/>
          <w:color w:val="auto"/>
          <w:sz w:val="24"/>
          <w:szCs w:val="24"/>
        </w:rPr>
      </w:pPr>
      <w:bookmarkStart w:id="0" w:name="_Ref70015275"/>
      <w:r w:rsidRPr="00096456">
        <w:rPr>
          <w:rFonts w:ascii="Times New Roman" w:hAnsi="Times New Roman"/>
          <w:color w:val="auto"/>
          <w:sz w:val="24"/>
          <w:szCs w:val="24"/>
        </w:rPr>
        <w:t xml:space="preserve">Table </w:t>
      </w:r>
      <w:bookmarkEnd w:id="0"/>
      <w:r w:rsidRPr="00096456">
        <w:rPr>
          <w:rFonts w:ascii="Times New Roman" w:hAnsi="Times New Roman"/>
          <w:iCs/>
          <w:color w:val="auto"/>
          <w:sz w:val="24"/>
          <w:szCs w:val="24"/>
        </w:rPr>
        <w:t>S15</w:t>
      </w:r>
      <w:r w:rsidRPr="00096456">
        <w:rPr>
          <w:rFonts w:ascii="Times New Roman" w:hAnsi="Times New Roman"/>
          <w:color w:val="auto"/>
          <w:sz w:val="24"/>
          <w:szCs w:val="24"/>
        </w:rPr>
        <w:t xml:space="preserve"> – OrtSuite identification of species from the </w:t>
      </w:r>
      <w:r w:rsidRPr="001B6F4D">
        <w:rPr>
          <w:rFonts w:ascii="Times New Roman" w:hAnsi="Times New Roman"/>
          <w:i/>
          <w:color w:val="auto"/>
          <w:sz w:val="24"/>
          <w:szCs w:val="24"/>
        </w:rPr>
        <w:t>Test_genome_set</w:t>
      </w:r>
      <w:r w:rsidRPr="00096456">
        <w:rPr>
          <w:rFonts w:ascii="Times New Roman" w:hAnsi="Times New Roman"/>
          <w:color w:val="auto"/>
          <w:sz w:val="24"/>
          <w:szCs w:val="24"/>
        </w:rPr>
        <w:t xml:space="preserve"> with the genomic potential to perform all reactions in each of the alternative benzoate to acetyl-CoA conversion pathways using different restrictive e-value cutoffs.</w:t>
      </w:r>
      <w:bookmarkStart w:id="1" w:name="_GoBack"/>
      <w:bookmarkEnd w:id="1"/>
    </w:p>
    <w:sectPr w:rsidR="00930853" w:rsidRPr="00096456" w:rsidSect="0009645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456"/>
    <w:rsid w:val="00096456"/>
    <w:rsid w:val="001B6F4D"/>
    <w:rsid w:val="00930853"/>
    <w:rsid w:val="00F6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DC65D2-4757-4355-A5BF-7DF00ECD4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6456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DPI41threelinetable">
    <w:name w:val="MDPI_4.1_three_line_table"/>
    <w:basedOn w:val="TableNormal"/>
    <w:uiPriority w:val="99"/>
    <w:rsid w:val="00096456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</dc:creator>
  <cp:keywords/>
  <dc:description/>
  <cp:lastModifiedBy>João Pedro Leonor Fernandes Saraiva</cp:lastModifiedBy>
  <cp:revision>2</cp:revision>
  <dcterms:created xsi:type="dcterms:W3CDTF">2021-05-12T14:45:00Z</dcterms:created>
  <dcterms:modified xsi:type="dcterms:W3CDTF">2021-05-13T15:20:00Z</dcterms:modified>
</cp:coreProperties>
</file>