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74A08" w14:textId="77777777" w:rsidR="008B5A94" w:rsidRPr="008B5A94" w:rsidRDefault="007F0B81" w:rsidP="00A62D1F">
      <w:pPr>
        <w:spacing w:line="360" w:lineRule="auto"/>
        <w:rPr>
          <w:b/>
          <w:bCs/>
          <w:sz w:val="28"/>
          <w:szCs w:val="28"/>
          <w:u w:val="single"/>
        </w:rPr>
      </w:pPr>
      <w:bookmarkStart w:id="0" w:name="_Hlk178780366"/>
      <w:bookmarkStart w:id="1" w:name="_Hlk178785173"/>
      <w:bookmarkEnd w:id="0"/>
      <w:proofErr w:type="spellStart"/>
      <w:r w:rsidRPr="008B5A94">
        <w:rPr>
          <w:b/>
          <w:bCs/>
          <w:sz w:val="28"/>
          <w:szCs w:val="28"/>
          <w:u w:val="single"/>
        </w:rPr>
        <w:t>Additional</w:t>
      </w:r>
      <w:proofErr w:type="spellEnd"/>
      <w:r w:rsidRPr="008B5A94">
        <w:rPr>
          <w:b/>
          <w:bCs/>
          <w:sz w:val="28"/>
          <w:szCs w:val="28"/>
          <w:u w:val="single"/>
        </w:rPr>
        <w:t xml:space="preserve"> file 1</w:t>
      </w:r>
    </w:p>
    <w:p w14:paraId="69012099" w14:textId="77777777" w:rsidR="008B5A94" w:rsidRPr="008222D4" w:rsidRDefault="008B5A94" w:rsidP="00A62D1F">
      <w:pPr>
        <w:spacing w:line="360" w:lineRule="auto"/>
        <w:rPr>
          <w:b/>
          <w:bCs/>
        </w:rPr>
      </w:pPr>
      <w:r w:rsidRPr="008222D4">
        <w:rPr>
          <w:b/>
          <w:bCs/>
          <w:sz w:val="28"/>
          <w:szCs w:val="28"/>
        </w:rPr>
        <w:t xml:space="preserve">Direct </w:t>
      </w:r>
      <w:proofErr w:type="spellStart"/>
      <w:r w:rsidRPr="008222D4">
        <w:rPr>
          <w:b/>
          <w:bCs/>
          <w:sz w:val="28"/>
          <w:szCs w:val="28"/>
        </w:rPr>
        <w:t>genetic</w:t>
      </w:r>
      <w:proofErr w:type="spellEnd"/>
      <w:r w:rsidRPr="008222D4">
        <w:rPr>
          <w:b/>
          <w:bCs/>
          <w:sz w:val="28"/>
          <w:szCs w:val="28"/>
        </w:rPr>
        <w:t xml:space="preserve"> </w:t>
      </w:r>
      <w:proofErr w:type="spellStart"/>
      <w:r w:rsidRPr="008222D4">
        <w:rPr>
          <w:b/>
          <w:bCs/>
          <w:sz w:val="28"/>
          <w:szCs w:val="28"/>
        </w:rPr>
        <w:t>effects</w:t>
      </w:r>
      <w:proofErr w:type="spellEnd"/>
      <w:r w:rsidRPr="008222D4">
        <w:rPr>
          <w:b/>
          <w:bCs/>
          <w:sz w:val="28"/>
          <w:szCs w:val="28"/>
        </w:rPr>
        <w:t xml:space="preserve"> (DGE) and indirect </w:t>
      </w:r>
      <w:proofErr w:type="spellStart"/>
      <w:r w:rsidRPr="008222D4">
        <w:rPr>
          <w:b/>
          <w:bCs/>
          <w:sz w:val="28"/>
          <w:szCs w:val="28"/>
        </w:rPr>
        <w:t>genetic</w:t>
      </w:r>
      <w:proofErr w:type="spellEnd"/>
      <w:r w:rsidRPr="008222D4">
        <w:rPr>
          <w:b/>
          <w:bCs/>
          <w:sz w:val="28"/>
          <w:szCs w:val="28"/>
        </w:rPr>
        <w:t xml:space="preserve"> </w:t>
      </w:r>
      <w:proofErr w:type="spellStart"/>
      <w:r w:rsidRPr="008222D4">
        <w:rPr>
          <w:b/>
          <w:bCs/>
          <w:sz w:val="28"/>
          <w:szCs w:val="28"/>
        </w:rPr>
        <w:t>effects</w:t>
      </w:r>
      <w:proofErr w:type="spellEnd"/>
      <w:r w:rsidRPr="008222D4">
        <w:rPr>
          <w:b/>
          <w:bCs/>
          <w:sz w:val="28"/>
          <w:szCs w:val="28"/>
        </w:rPr>
        <w:t xml:space="preserve"> (IGE)</w:t>
      </w:r>
    </w:p>
    <w:p w14:paraId="12B94928" w14:textId="55CC3441" w:rsidR="0075454D" w:rsidRPr="008222D4" w:rsidRDefault="008B5A94" w:rsidP="00A62D1F">
      <w:pPr>
        <w:spacing w:line="360" w:lineRule="auto"/>
        <w:rPr>
          <w:b/>
          <w:bCs/>
          <w:sz w:val="28"/>
          <w:szCs w:val="28"/>
        </w:rPr>
      </w:pPr>
      <w:proofErr w:type="spellStart"/>
      <w:r w:rsidRPr="008222D4">
        <w:rPr>
          <w:b/>
          <w:bCs/>
          <w:sz w:val="28"/>
          <w:szCs w:val="28"/>
        </w:rPr>
        <w:t>From</w:t>
      </w:r>
      <w:proofErr w:type="spellEnd"/>
      <w:r w:rsidRPr="008222D4">
        <w:rPr>
          <w:b/>
          <w:bCs/>
          <w:sz w:val="28"/>
          <w:szCs w:val="28"/>
        </w:rPr>
        <w:t xml:space="preserve"> Fig. S1 to S6</w:t>
      </w:r>
    </w:p>
    <w:p w14:paraId="15FD8977" w14:textId="55A35A62" w:rsidR="008B5A94" w:rsidRDefault="008B5A94" w:rsidP="00A62D1F">
      <w:pPr>
        <w:spacing w:line="360" w:lineRule="auto"/>
        <w:rPr>
          <w:b/>
          <w:bCs/>
          <w:sz w:val="28"/>
          <w:szCs w:val="28"/>
        </w:rPr>
      </w:pPr>
    </w:p>
    <w:p w14:paraId="76CF5537" w14:textId="0B05033D" w:rsidR="00FA595C" w:rsidRDefault="00FA595C" w:rsidP="00A62D1F">
      <w:pPr>
        <w:spacing w:line="360" w:lineRule="auto"/>
        <w:rPr>
          <w:b/>
          <w:bCs/>
          <w:sz w:val="28"/>
          <w:szCs w:val="28"/>
        </w:rPr>
      </w:pPr>
    </w:p>
    <w:p w14:paraId="5A59F022" w14:textId="475E324D" w:rsidR="00FA595C" w:rsidRDefault="00FA595C" w:rsidP="00A62D1F">
      <w:pPr>
        <w:spacing w:line="360" w:lineRule="auto"/>
        <w:rPr>
          <w:b/>
          <w:bCs/>
          <w:sz w:val="28"/>
          <w:szCs w:val="28"/>
        </w:rPr>
      </w:pPr>
    </w:p>
    <w:p w14:paraId="03BC87AC" w14:textId="72AD80D6" w:rsidR="00FA595C" w:rsidRDefault="00FA595C" w:rsidP="00A62D1F">
      <w:pPr>
        <w:spacing w:line="360" w:lineRule="auto"/>
        <w:rPr>
          <w:b/>
          <w:bCs/>
          <w:sz w:val="28"/>
          <w:szCs w:val="28"/>
        </w:rPr>
      </w:pPr>
    </w:p>
    <w:p w14:paraId="05348A28" w14:textId="4BA4D01C" w:rsidR="00FA595C" w:rsidRDefault="00FA595C" w:rsidP="00A62D1F">
      <w:pPr>
        <w:spacing w:line="360" w:lineRule="auto"/>
        <w:rPr>
          <w:b/>
          <w:bCs/>
          <w:sz w:val="28"/>
          <w:szCs w:val="28"/>
        </w:rPr>
      </w:pPr>
    </w:p>
    <w:p w14:paraId="0CD0A920" w14:textId="3BF4FA21" w:rsidR="00FA595C" w:rsidRDefault="00FA595C" w:rsidP="00A62D1F">
      <w:pPr>
        <w:spacing w:line="360" w:lineRule="auto"/>
        <w:rPr>
          <w:b/>
          <w:bCs/>
          <w:sz w:val="28"/>
          <w:szCs w:val="28"/>
        </w:rPr>
      </w:pPr>
    </w:p>
    <w:p w14:paraId="402CA518" w14:textId="0BC67325" w:rsidR="00FA595C" w:rsidRDefault="00FA595C" w:rsidP="00A62D1F">
      <w:pPr>
        <w:spacing w:line="360" w:lineRule="auto"/>
        <w:rPr>
          <w:b/>
          <w:bCs/>
          <w:sz w:val="28"/>
          <w:szCs w:val="28"/>
        </w:rPr>
      </w:pPr>
    </w:p>
    <w:p w14:paraId="573C1BB8" w14:textId="38005469" w:rsidR="00FA595C" w:rsidRDefault="00FA595C" w:rsidP="00A62D1F">
      <w:pPr>
        <w:spacing w:line="360" w:lineRule="auto"/>
        <w:rPr>
          <w:b/>
          <w:bCs/>
          <w:sz w:val="28"/>
          <w:szCs w:val="28"/>
        </w:rPr>
      </w:pPr>
    </w:p>
    <w:p w14:paraId="7FB30F91" w14:textId="13691C33" w:rsidR="00FA595C" w:rsidRDefault="00FA595C" w:rsidP="00A62D1F">
      <w:pPr>
        <w:spacing w:line="360" w:lineRule="auto"/>
        <w:rPr>
          <w:b/>
          <w:bCs/>
          <w:sz w:val="28"/>
          <w:szCs w:val="28"/>
        </w:rPr>
      </w:pPr>
    </w:p>
    <w:p w14:paraId="426B8102" w14:textId="3140F136" w:rsidR="00FA595C" w:rsidRDefault="00FA595C" w:rsidP="00A62D1F">
      <w:pPr>
        <w:spacing w:line="360" w:lineRule="auto"/>
        <w:rPr>
          <w:b/>
          <w:bCs/>
          <w:sz w:val="28"/>
          <w:szCs w:val="28"/>
        </w:rPr>
      </w:pPr>
    </w:p>
    <w:p w14:paraId="23726309" w14:textId="764E0F82" w:rsidR="00FA595C" w:rsidRDefault="00FA595C" w:rsidP="00A62D1F">
      <w:pPr>
        <w:spacing w:line="360" w:lineRule="auto"/>
        <w:rPr>
          <w:b/>
          <w:bCs/>
          <w:sz w:val="28"/>
          <w:szCs w:val="28"/>
        </w:rPr>
      </w:pPr>
    </w:p>
    <w:p w14:paraId="2BB5D3C2" w14:textId="798971BF" w:rsidR="00FA595C" w:rsidRDefault="00FA595C" w:rsidP="00A62D1F">
      <w:pPr>
        <w:spacing w:line="360" w:lineRule="auto"/>
        <w:rPr>
          <w:b/>
          <w:bCs/>
          <w:sz w:val="28"/>
          <w:szCs w:val="28"/>
        </w:rPr>
      </w:pPr>
    </w:p>
    <w:p w14:paraId="28DD960A" w14:textId="57D1B59A" w:rsidR="00FA595C" w:rsidRDefault="00FA595C" w:rsidP="00A62D1F">
      <w:pPr>
        <w:spacing w:line="360" w:lineRule="auto"/>
        <w:rPr>
          <w:b/>
          <w:bCs/>
          <w:sz w:val="28"/>
          <w:szCs w:val="28"/>
        </w:rPr>
      </w:pPr>
    </w:p>
    <w:p w14:paraId="2330C916" w14:textId="219F194D" w:rsidR="00FA595C" w:rsidRDefault="00FA595C" w:rsidP="00A62D1F">
      <w:pPr>
        <w:spacing w:line="360" w:lineRule="auto"/>
        <w:rPr>
          <w:b/>
          <w:bCs/>
          <w:sz w:val="28"/>
          <w:szCs w:val="28"/>
        </w:rPr>
      </w:pPr>
    </w:p>
    <w:p w14:paraId="6F9A5D4F" w14:textId="0FFAA4B3" w:rsidR="00FA595C" w:rsidRDefault="00FA595C" w:rsidP="00A62D1F">
      <w:pPr>
        <w:spacing w:line="360" w:lineRule="auto"/>
        <w:rPr>
          <w:b/>
          <w:bCs/>
          <w:sz w:val="28"/>
          <w:szCs w:val="28"/>
        </w:rPr>
      </w:pPr>
    </w:p>
    <w:p w14:paraId="1D8D2A64" w14:textId="4B9FFD1E" w:rsidR="00FA595C" w:rsidRDefault="00FA595C" w:rsidP="00A62D1F">
      <w:pPr>
        <w:spacing w:line="360" w:lineRule="auto"/>
        <w:rPr>
          <w:b/>
          <w:bCs/>
          <w:sz w:val="28"/>
          <w:szCs w:val="28"/>
        </w:rPr>
      </w:pPr>
    </w:p>
    <w:p w14:paraId="53BE49FB" w14:textId="4628F31B" w:rsidR="00FA595C" w:rsidRDefault="00FA595C" w:rsidP="00A62D1F">
      <w:pPr>
        <w:spacing w:line="360" w:lineRule="auto"/>
        <w:rPr>
          <w:b/>
          <w:bCs/>
          <w:sz w:val="28"/>
          <w:szCs w:val="28"/>
        </w:rPr>
      </w:pPr>
    </w:p>
    <w:p w14:paraId="32578F97" w14:textId="77777777" w:rsidR="00FA595C" w:rsidRPr="007F0B81" w:rsidRDefault="00FA595C" w:rsidP="00A62D1F">
      <w:pPr>
        <w:spacing w:line="360" w:lineRule="auto"/>
        <w:rPr>
          <w:b/>
          <w:bCs/>
          <w:sz w:val="28"/>
          <w:szCs w:val="28"/>
        </w:rPr>
      </w:pPr>
    </w:p>
    <w:p w14:paraId="27A71DD2" w14:textId="1B401FD2" w:rsidR="007F0B81" w:rsidRDefault="001536EC" w:rsidP="00A62D1F">
      <w:pPr>
        <w:spacing w:after="0" w:line="360" w:lineRule="auto"/>
        <w:jc w:val="both"/>
        <w:rPr>
          <w:b/>
          <w:bCs/>
          <w:lang w:val="en-US"/>
        </w:rPr>
      </w:pPr>
      <w:bookmarkStart w:id="2" w:name="_Hlk178778248"/>
      <w:bookmarkEnd w:id="2"/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E4825F4" wp14:editId="3C74612A">
            <wp:extent cx="5759450" cy="1746250"/>
            <wp:effectExtent l="0" t="0" r="0" b="635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96" b="18897"/>
                    <a:stretch/>
                  </pic:blipFill>
                  <pic:spPr bwMode="auto">
                    <a:xfrm>
                      <a:off x="0" y="0"/>
                      <a:ext cx="57594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DFB05" w14:textId="09B98738" w:rsidR="007F0B81" w:rsidRDefault="007F0B81" w:rsidP="00A62D1F">
      <w:pPr>
        <w:spacing w:after="0" w:line="360" w:lineRule="auto"/>
        <w:jc w:val="both"/>
        <w:rPr>
          <w:lang w:val="en-US"/>
        </w:rPr>
      </w:pPr>
      <w:r w:rsidRPr="004D64C2">
        <w:rPr>
          <w:b/>
          <w:bCs/>
          <w:lang w:val="en-US"/>
        </w:rPr>
        <w:t>Fig. S1.</w:t>
      </w:r>
      <w:r>
        <w:rPr>
          <w:lang w:val="en-US"/>
        </w:rPr>
        <w:t xml:space="preserve"> </w:t>
      </w:r>
      <w:r w:rsidR="001C18A8">
        <w:rPr>
          <w:lang w:val="en-US"/>
        </w:rPr>
        <w:t xml:space="preserve">Scheme of direct and indirect genetic effects (DGE/IGE) and associated GWAS to study these effects. DGE represents the effect of a genotype on its own phenotype, while IGE is the effect of a neighboring genotype on the phenotypes of focal plants. DGE:IGE interactions reflect the specific interaction between two genotypes affecting the phenotype of the focal genotype. In these models, DGE and IGE constitute the additive genetic component, while DGE:IGE interactions contribute to the non-additive genetic component. To identify the genetic determinants of these effects, classical GWAS / DGE-based GWAS associates the focal phenotype with focal SNPs to study DGE, IGE-based GWAS links the phenotype of focal genotypes with neighbor SNPs and co-GWAS reveals the genetic determinants of DGE:IGE interactions by associating the allelic focal SNP-by-neighbor SNP interaction with focal phenotype. This can be performed by testing allelic combination effects at the same SNP or all allelic combinations between different SNPs. </w:t>
      </w:r>
      <w:r>
        <w:rPr>
          <w:lang w:val="en-US"/>
        </w:rPr>
        <w:t>Created with BioRender.com under agreement #</w:t>
      </w:r>
      <w:r w:rsidRPr="007F0B81">
        <w:rPr>
          <w:lang w:val="en-US"/>
        </w:rPr>
        <w:t>YF27DKJKHP</w:t>
      </w:r>
      <w:r>
        <w:rPr>
          <w:lang w:val="en-US"/>
        </w:rPr>
        <w:t>.</w:t>
      </w:r>
    </w:p>
    <w:p w14:paraId="4CF3D638" w14:textId="2AC23978" w:rsidR="007F0B81" w:rsidRDefault="007F0B81" w:rsidP="00A62D1F">
      <w:pPr>
        <w:spacing w:after="0" w:line="360" w:lineRule="auto"/>
        <w:jc w:val="both"/>
        <w:rPr>
          <w:lang w:val="en-US"/>
        </w:rPr>
      </w:pPr>
    </w:p>
    <w:bookmarkEnd w:id="1"/>
    <w:p w14:paraId="7823879F" w14:textId="5D06276A" w:rsidR="007F0B81" w:rsidRDefault="00CD5B74" w:rsidP="00A62D1F">
      <w:pPr>
        <w:spacing w:after="0" w:line="360" w:lineRule="auto"/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D6E1FFE" wp14:editId="5DDF5D2B">
            <wp:extent cx="5760720" cy="5490210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9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DEF4C" w14:textId="3FC558EE" w:rsidR="007F0B81" w:rsidRDefault="007F0B81" w:rsidP="00A62D1F">
      <w:pPr>
        <w:spacing w:after="0" w:line="360" w:lineRule="auto"/>
        <w:jc w:val="both"/>
        <w:rPr>
          <w:lang w:val="en-US"/>
        </w:rPr>
      </w:pPr>
      <w:bookmarkStart w:id="3" w:name="_Hlk178785264"/>
      <w:r>
        <w:rPr>
          <w:b/>
          <w:bCs/>
          <w:lang w:val="en-US"/>
        </w:rPr>
        <w:t>Fig. S2.</w:t>
      </w:r>
      <w:r>
        <w:rPr>
          <w:lang w:val="en-US"/>
        </w:rPr>
        <w:t xml:space="preserve"> Direct genetic effect (DGE)-based GWAS results revealing focal loci modulating focal phenotypes. Focal </w:t>
      </w:r>
      <w:r w:rsidR="00036126">
        <w:rPr>
          <w:lang w:val="en-US"/>
        </w:rPr>
        <w:t>SNPs</w:t>
      </w:r>
      <w:r>
        <w:rPr>
          <w:lang w:val="en-US"/>
        </w:rPr>
        <w:t xml:space="preserve"> associated with modification in focal </w:t>
      </w:r>
      <w:r>
        <w:rPr>
          <w:b/>
          <w:bCs/>
          <w:lang w:val="en-US"/>
        </w:rPr>
        <w:t>A</w:t>
      </w:r>
      <w:r>
        <w:rPr>
          <w:lang w:val="en-US"/>
        </w:rPr>
        <w:t xml:space="preserve"> biomass, </w:t>
      </w:r>
      <w:r>
        <w:rPr>
          <w:b/>
          <w:bCs/>
          <w:lang w:val="en-US"/>
        </w:rPr>
        <w:t xml:space="preserve">B </w:t>
      </w:r>
      <w:r>
        <w:rPr>
          <w:lang w:val="en-US"/>
        </w:rPr>
        <w:t xml:space="preserve">necrosis, and </w:t>
      </w:r>
      <w:r>
        <w:rPr>
          <w:b/>
          <w:bCs/>
          <w:lang w:val="en-US"/>
        </w:rPr>
        <w:t>C</w:t>
      </w:r>
      <w:r>
        <w:rPr>
          <w:lang w:val="en-US"/>
        </w:rPr>
        <w:t xml:space="preserve"> pycnidia in durum wheat binary mixtures. Left panel: Manhattan plots reporting -log10 transformed </w:t>
      </w:r>
      <w:r w:rsidRPr="007F2949">
        <w:rPr>
          <w:i/>
          <w:iCs/>
          <w:lang w:val="en-US"/>
        </w:rPr>
        <w:t>p</w:t>
      </w:r>
      <w:r>
        <w:rPr>
          <w:lang w:val="en-US"/>
        </w:rPr>
        <w:t xml:space="preserve">-values for the association tests between focal phenotypic traits and focal SNPs across 43509 SNPs distributed along the durum wheat genome. The solid blue line represents the family-wise error rate (FWER) of 5% computed with the </w:t>
      </w:r>
      <w:proofErr w:type="spellStart"/>
      <w:r>
        <w:rPr>
          <w:lang w:val="en-US"/>
        </w:rPr>
        <w:t>Galwey</w:t>
      </w:r>
      <w:proofErr w:type="spellEnd"/>
      <w:r>
        <w:rPr>
          <w:lang w:val="en-US"/>
        </w:rPr>
        <w:t xml:space="preserve"> method. The significant SNPs are highlighted in green. Right panel: Quantile-quantile (q-q) plots of </w:t>
      </w:r>
      <w:r w:rsidRPr="007F2949">
        <w:rPr>
          <w:i/>
          <w:iCs/>
          <w:lang w:val="en-US"/>
        </w:rPr>
        <w:t>p</w:t>
      </w:r>
      <w:r>
        <w:rPr>
          <w:lang w:val="en-US"/>
        </w:rPr>
        <w:t>-value distributions. The red solid line shows the expected quantiles under the null hypothesis and the black lines indicate their 95% confidence interval.</w:t>
      </w:r>
    </w:p>
    <w:bookmarkEnd w:id="3"/>
    <w:p w14:paraId="3181FEFE" w14:textId="12289E28" w:rsidR="007F0B81" w:rsidRDefault="007F0B81" w:rsidP="00A62D1F">
      <w:pPr>
        <w:spacing w:after="0" w:line="360" w:lineRule="auto"/>
        <w:jc w:val="both"/>
        <w:rPr>
          <w:lang w:val="en-US"/>
        </w:rPr>
      </w:pPr>
    </w:p>
    <w:p w14:paraId="3B481FCD" w14:textId="22954491" w:rsidR="001C18A8" w:rsidRDefault="001924E4" w:rsidP="00A62D1F">
      <w:pPr>
        <w:spacing w:after="0" w:line="360" w:lineRule="auto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EE9ACE6" wp14:editId="7D4D8932">
            <wp:extent cx="2807970" cy="8881110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88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01B95" w14:textId="50A06869" w:rsidR="007F0B81" w:rsidRDefault="007F0B81" w:rsidP="00A62D1F">
      <w:pPr>
        <w:spacing w:after="0" w:line="360" w:lineRule="auto"/>
        <w:jc w:val="both"/>
        <w:rPr>
          <w:lang w:val="en-US"/>
        </w:rPr>
      </w:pPr>
      <w:bookmarkStart w:id="4" w:name="_Hlk178785360"/>
      <w:r>
        <w:rPr>
          <w:b/>
          <w:bCs/>
          <w:lang w:val="en-US"/>
        </w:rPr>
        <w:lastRenderedPageBreak/>
        <w:t xml:space="preserve">Fig. S3. </w:t>
      </w:r>
      <w:r>
        <w:rPr>
          <w:lang w:val="en-US"/>
        </w:rPr>
        <w:t xml:space="preserve">Significant focal genomic regions associated with focal phenotypic modifications in wheat binary mixtures. Left panel : Linkage disequilibrium (LD) in the focal genomic regions significantly associated with focal modifications in </w:t>
      </w:r>
      <w:r>
        <w:rPr>
          <w:b/>
          <w:bCs/>
          <w:lang w:val="en-US"/>
        </w:rPr>
        <w:t xml:space="preserve">A </w:t>
      </w:r>
      <w:r>
        <w:rPr>
          <w:lang w:val="en-US"/>
        </w:rPr>
        <w:t xml:space="preserve">biomass, </w:t>
      </w:r>
      <w:r>
        <w:rPr>
          <w:b/>
          <w:bCs/>
          <w:lang w:val="en-US"/>
        </w:rPr>
        <w:t>B</w:t>
      </w:r>
      <w:r>
        <w:rPr>
          <w:lang w:val="en-US"/>
        </w:rPr>
        <w:t xml:space="preserve"> necrosis and </w:t>
      </w:r>
      <w:r>
        <w:rPr>
          <w:b/>
          <w:bCs/>
          <w:lang w:val="en-US"/>
        </w:rPr>
        <w:t>C</w:t>
      </w:r>
      <w:r>
        <w:rPr>
          <w:lang w:val="en-US"/>
        </w:rPr>
        <w:t xml:space="preserve"> pycnidia. The upper part of each chart represents the -log10 transformed </w:t>
      </w:r>
      <w:r w:rsidRPr="007F2949">
        <w:rPr>
          <w:i/>
          <w:iCs/>
          <w:lang w:val="en-US"/>
        </w:rPr>
        <w:t>p</w:t>
      </w:r>
      <w:r>
        <w:rPr>
          <w:lang w:val="en-US"/>
        </w:rPr>
        <w:t xml:space="preserve">-values from the association test between the focal phenotype and the focal SNPs present in the region. The lower part depicts the LD (r²) between the different SNPs, with lighter squares representing low LD and red squares indicating high LD. SNP positions reflect their relative physical position on the chromosome. Right panel : Focal modification in </w:t>
      </w:r>
      <w:r>
        <w:rPr>
          <w:b/>
          <w:bCs/>
          <w:lang w:val="en-US"/>
        </w:rPr>
        <w:t>A</w:t>
      </w:r>
      <w:r>
        <w:rPr>
          <w:lang w:val="en-US"/>
        </w:rPr>
        <w:t xml:space="preserve"> biomass, </w:t>
      </w:r>
      <w:r>
        <w:rPr>
          <w:b/>
          <w:bCs/>
          <w:lang w:val="en-US"/>
        </w:rPr>
        <w:t xml:space="preserve">B </w:t>
      </w:r>
      <w:r>
        <w:rPr>
          <w:lang w:val="en-US"/>
        </w:rPr>
        <w:t xml:space="preserve">necrosis and </w:t>
      </w:r>
      <w:r>
        <w:rPr>
          <w:b/>
          <w:bCs/>
          <w:lang w:val="en-US"/>
        </w:rPr>
        <w:t xml:space="preserve">C </w:t>
      </w:r>
      <w:r>
        <w:rPr>
          <w:lang w:val="en-US"/>
        </w:rPr>
        <w:t xml:space="preserve">pycnidia across different alleles at the most significant SNP in the focal region. </w:t>
      </w:r>
    </w:p>
    <w:bookmarkEnd w:id="4"/>
    <w:p w14:paraId="34D260FB" w14:textId="77777777" w:rsidR="00CB73AA" w:rsidRDefault="00CB73AA" w:rsidP="00A62D1F">
      <w:pPr>
        <w:spacing w:after="0" w:line="360" w:lineRule="auto"/>
        <w:jc w:val="both"/>
        <w:rPr>
          <w:lang w:val="en-US"/>
        </w:rPr>
      </w:pPr>
    </w:p>
    <w:p w14:paraId="679DFC9B" w14:textId="3F58CAE2" w:rsidR="007F0B81" w:rsidRDefault="00D2768B" w:rsidP="00A62D1F">
      <w:pPr>
        <w:spacing w:after="0" w:line="360" w:lineRule="auto"/>
        <w:jc w:val="both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315BE299" wp14:editId="04A1697E">
            <wp:extent cx="5763260" cy="3073400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0BE45" w14:textId="16AE7128" w:rsidR="007F0B81" w:rsidRDefault="007F0B81" w:rsidP="00A62D1F">
      <w:pPr>
        <w:spacing w:after="0" w:line="360" w:lineRule="auto"/>
        <w:jc w:val="both"/>
        <w:rPr>
          <w:lang w:val="en-US"/>
        </w:rPr>
      </w:pPr>
      <w:r>
        <w:rPr>
          <w:b/>
          <w:bCs/>
          <w:lang w:val="en-US"/>
        </w:rPr>
        <w:t>Fig. S</w:t>
      </w:r>
      <w:r w:rsidR="00A75934">
        <w:rPr>
          <w:b/>
          <w:bCs/>
          <w:lang w:val="en-US"/>
        </w:rPr>
        <w:t>4</w:t>
      </w:r>
      <w:r>
        <w:rPr>
          <w:b/>
          <w:bCs/>
          <w:lang w:val="en-US"/>
        </w:rPr>
        <w:t xml:space="preserve">. </w:t>
      </w:r>
      <w:r>
        <w:rPr>
          <w:lang w:val="en-US"/>
        </w:rPr>
        <w:t xml:space="preserve">Percent of phenotypic variance explained by direct and indirect genetic effects (DGE/IGE) in wheat mixtures. The variance values represent the effect contributions to the total phenotypic variance. </w:t>
      </w:r>
    </w:p>
    <w:p w14:paraId="58C02F7D" w14:textId="2E50E48A" w:rsidR="007F0B81" w:rsidRDefault="007F0B81" w:rsidP="00A62D1F">
      <w:pPr>
        <w:spacing w:after="0" w:line="360" w:lineRule="auto"/>
        <w:jc w:val="both"/>
        <w:rPr>
          <w:lang w:val="en-US"/>
        </w:rPr>
      </w:pPr>
    </w:p>
    <w:p w14:paraId="705C5500" w14:textId="20779F58" w:rsidR="00CB73AA" w:rsidRDefault="001924E4" w:rsidP="00A62D1F">
      <w:pPr>
        <w:spacing w:after="0" w:line="360" w:lineRule="auto"/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BA4B3F3" wp14:editId="16C86281">
            <wp:extent cx="5760720" cy="5490210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9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AA0C1" w14:textId="3BEF928B" w:rsidR="007F0B81" w:rsidRDefault="007F0B81" w:rsidP="00A62D1F">
      <w:pPr>
        <w:spacing w:after="0" w:line="360" w:lineRule="auto"/>
        <w:jc w:val="both"/>
        <w:rPr>
          <w:lang w:val="en-US"/>
        </w:rPr>
      </w:pPr>
      <w:r>
        <w:rPr>
          <w:b/>
          <w:bCs/>
          <w:lang w:val="en-US"/>
        </w:rPr>
        <w:t>Fig. S</w:t>
      </w:r>
      <w:r w:rsidR="00A75934">
        <w:rPr>
          <w:b/>
          <w:bCs/>
          <w:lang w:val="en-US"/>
        </w:rPr>
        <w:t>5</w:t>
      </w:r>
      <w:r>
        <w:rPr>
          <w:b/>
          <w:bCs/>
          <w:lang w:val="en-US"/>
        </w:rPr>
        <w:t>.</w:t>
      </w:r>
      <w:r>
        <w:rPr>
          <w:lang w:val="en-US"/>
        </w:rPr>
        <w:t xml:space="preserve"> Indirect genetic effect (IGE)-based GWAS results revealing </w:t>
      </w:r>
      <w:r w:rsidR="00036126">
        <w:rPr>
          <w:lang w:val="en-US"/>
        </w:rPr>
        <w:t xml:space="preserve">a </w:t>
      </w:r>
      <w:r>
        <w:rPr>
          <w:lang w:val="en-US"/>
        </w:rPr>
        <w:t>neighbor loc</w:t>
      </w:r>
      <w:r w:rsidR="00036126">
        <w:rPr>
          <w:lang w:val="en-US"/>
        </w:rPr>
        <w:t>us</w:t>
      </w:r>
      <w:r>
        <w:rPr>
          <w:lang w:val="en-US"/>
        </w:rPr>
        <w:t xml:space="preserve"> associated with phenotypic modifications. Neighbor </w:t>
      </w:r>
      <w:r w:rsidR="00036126">
        <w:rPr>
          <w:lang w:val="en-US"/>
        </w:rPr>
        <w:t>SNPs</w:t>
      </w:r>
      <w:r>
        <w:rPr>
          <w:lang w:val="en-US"/>
        </w:rPr>
        <w:t xml:space="preserve"> associated with modification in focal </w:t>
      </w:r>
      <w:r>
        <w:rPr>
          <w:b/>
          <w:bCs/>
          <w:lang w:val="en-US"/>
        </w:rPr>
        <w:t>A</w:t>
      </w:r>
      <w:r>
        <w:rPr>
          <w:lang w:val="en-US"/>
        </w:rPr>
        <w:t xml:space="preserve"> biomass, </w:t>
      </w:r>
      <w:r>
        <w:rPr>
          <w:b/>
          <w:bCs/>
          <w:lang w:val="en-US"/>
        </w:rPr>
        <w:t xml:space="preserve">B </w:t>
      </w:r>
      <w:r>
        <w:rPr>
          <w:lang w:val="en-US"/>
        </w:rPr>
        <w:t xml:space="preserve">necrosis, and </w:t>
      </w:r>
      <w:r>
        <w:rPr>
          <w:b/>
          <w:bCs/>
          <w:lang w:val="en-US"/>
        </w:rPr>
        <w:t>C</w:t>
      </w:r>
      <w:r>
        <w:rPr>
          <w:lang w:val="en-US"/>
        </w:rPr>
        <w:t xml:space="preserve"> pycnidia in durum wheat binary mixtures. Left panel: Manhattan plots reporting -log10 transformed </w:t>
      </w:r>
      <w:r w:rsidRPr="007F2949">
        <w:rPr>
          <w:i/>
          <w:iCs/>
          <w:lang w:val="en-US"/>
        </w:rPr>
        <w:t>p</w:t>
      </w:r>
      <w:r>
        <w:rPr>
          <w:lang w:val="en-US"/>
        </w:rPr>
        <w:t xml:space="preserve">-values for the association tests between focal phenotypic traits and neighbor SNPs across 43509 SNPs distributed along the durum wheat genome. The solid blue line represents the family-wise error rate (FWER) of 5% computed with the </w:t>
      </w:r>
      <w:proofErr w:type="spellStart"/>
      <w:r>
        <w:rPr>
          <w:lang w:val="en-US"/>
        </w:rPr>
        <w:t>Galwey</w:t>
      </w:r>
      <w:proofErr w:type="spellEnd"/>
      <w:r>
        <w:rPr>
          <w:lang w:val="en-US"/>
        </w:rPr>
        <w:t xml:space="preserve"> method. The significant SNPs are highlighted in green. Right panel: Quantile-quantile (q-q) plots of </w:t>
      </w:r>
      <w:r w:rsidRPr="007F2949">
        <w:rPr>
          <w:i/>
          <w:iCs/>
          <w:lang w:val="en-US"/>
        </w:rPr>
        <w:t>p</w:t>
      </w:r>
      <w:r>
        <w:rPr>
          <w:lang w:val="en-US"/>
        </w:rPr>
        <w:t>-value distributions. The red solid line shows the expected quantiles under the null hypothesis and the black lines indicate their 95% confidence interval.</w:t>
      </w:r>
    </w:p>
    <w:p w14:paraId="4725FDDB" w14:textId="01D953E2" w:rsidR="007F0B81" w:rsidRDefault="00D2768B" w:rsidP="00A62D1F">
      <w:pPr>
        <w:spacing w:after="0" w:line="360" w:lineRule="auto"/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CB247E8" wp14:editId="1EE2E78A">
            <wp:extent cx="5747385" cy="4510405"/>
            <wp:effectExtent l="0" t="0" r="5715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51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044BC" w14:textId="2E725A9A" w:rsidR="007F0B81" w:rsidRDefault="007F0B81" w:rsidP="00A63AF9">
      <w:pPr>
        <w:spacing w:after="0" w:line="360" w:lineRule="auto"/>
        <w:jc w:val="both"/>
      </w:pPr>
      <w:r>
        <w:rPr>
          <w:b/>
          <w:bCs/>
          <w:lang w:val="en-US"/>
        </w:rPr>
        <w:t>Fig. S</w:t>
      </w:r>
      <w:r w:rsidR="00A75934">
        <w:rPr>
          <w:b/>
          <w:bCs/>
          <w:lang w:val="en-US"/>
        </w:rPr>
        <w:t>6</w:t>
      </w:r>
      <w:r>
        <w:rPr>
          <w:b/>
          <w:bCs/>
          <w:lang w:val="en-US"/>
        </w:rPr>
        <w:t xml:space="preserve">. </w:t>
      </w:r>
      <w:r>
        <w:rPr>
          <w:lang w:val="en-US"/>
        </w:rPr>
        <w:t xml:space="preserve">Significant neighbor genomic region associated with focal pycnidia modifications in wheat binary mixtures. Left panel : Linkage disequilibrium (LD) in the neighbor genomic regions significantly associated with focal modifications in pycnidia. The upper part of </w:t>
      </w:r>
      <w:r w:rsidR="00BA543A">
        <w:rPr>
          <w:lang w:val="en-US"/>
        </w:rPr>
        <w:t>the</w:t>
      </w:r>
      <w:r>
        <w:rPr>
          <w:lang w:val="en-US"/>
        </w:rPr>
        <w:t xml:space="preserve"> chart represents the -log10 transformed </w:t>
      </w:r>
      <w:r w:rsidRPr="007F2949">
        <w:rPr>
          <w:i/>
          <w:iCs/>
          <w:lang w:val="en-US"/>
        </w:rPr>
        <w:t>p</w:t>
      </w:r>
      <w:r>
        <w:rPr>
          <w:lang w:val="en-US"/>
        </w:rPr>
        <w:t xml:space="preserve">-values from the association test between the focal phenotype and the neighbor SNPs present in the region. The lower part depicts the LD (r²) between the different SNPs, with lighter squares representing low LD and red squares indicating high LD. SNP positions reflect their relative physical position on the chromosome. Right panel : Focal modification in pycnidia across different alleles at the most significant SNP in the neighbor region. </w:t>
      </w:r>
    </w:p>
    <w:p w14:paraId="7FA2BA27" w14:textId="77777777" w:rsidR="007F0B81" w:rsidRDefault="007F0B81" w:rsidP="00A62D1F">
      <w:pPr>
        <w:spacing w:line="360" w:lineRule="auto"/>
      </w:pPr>
    </w:p>
    <w:sectPr w:rsidR="007F0B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B81"/>
    <w:rsid w:val="00026222"/>
    <w:rsid w:val="00036126"/>
    <w:rsid w:val="000F7C4C"/>
    <w:rsid w:val="00101A78"/>
    <w:rsid w:val="001536EC"/>
    <w:rsid w:val="001924E4"/>
    <w:rsid w:val="001A5A57"/>
    <w:rsid w:val="001C18A8"/>
    <w:rsid w:val="001C6C9D"/>
    <w:rsid w:val="001F0170"/>
    <w:rsid w:val="002C4D2B"/>
    <w:rsid w:val="00305318"/>
    <w:rsid w:val="00367749"/>
    <w:rsid w:val="00451F7E"/>
    <w:rsid w:val="0045773A"/>
    <w:rsid w:val="004731AF"/>
    <w:rsid w:val="004778A4"/>
    <w:rsid w:val="00662C9E"/>
    <w:rsid w:val="00671794"/>
    <w:rsid w:val="0075454D"/>
    <w:rsid w:val="007D7E89"/>
    <w:rsid w:val="007F0B81"/>
    <w:rsid w:val="008222D4"/>
    <w:rsid w:val="008A7E69"/>
    <w:rsid w:val="008B5A94"/>
    <w:rsid w:val="009B5E86"/>
    <w:rsid w:val="009E774B"/>
    <w:rsid w:val="00A47ED4"/>
    <w:rsid w:val="00A62D1F"/>
    <w:rsid w:val="00A63AF9"/>
    <w:rsid w:val="00A75934"/>
    <w:rsid w:val="00A96C7F"/>
    <w:rsid w:val="00A97DF8"/>
    <w:rsid w:val="00AF6546"/>
    <w:rsid w:val="00B45A81"/>
    <w:rsid w:val="00B92D69"/>
    <w:rsid w:val="00BA543A"/>
    <w:rsid w:val="00C221C8"/>
    <w:rsid w:val="00C22DD4"/>
    <w:rsid w:val="00C536B2"/>
    <w:rsid w:val="00C9505C"/>
    <w:rsid w:val="00CA5B6C"/>
    <w:rsid w:val="00CB73AA"/>
    <w:rsid w:val="00CD1261"/>
    <w:rsid w:val="00CD5B74"/>
    <w:rsid w:val="00CE1FCF"/>
    <w:rsid w:val="00CF7594"/>
    <w:rsid w:val="00D2768B"/>
    <w:rsid w:val="00D93D24"/>
    <w:rsid w:val="00E103B0"/>
    <w:rsid w:val="00E47227"/>
    <w:rsid w:val="00E74C5A"/>
    <w:rsid w:val="00F0692F"/>
    <w:rsid w:val="00F35103"/>
    <w:rsid w:val="00F86101"/>
    <w:rsid w:val="00FA595C"/>
    <w:rsid w:val="00FC1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FBC75B5"/>
  <w14:defaultImageDpi w14:val="32767"/>
  <w15:chartTrackingRefBased/>
  <w15:docId w15:val="{62187888-FC6E-494B-B477-3832188DA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7</Pages>
  <Words>676</Words>
  <Characters>3907</Characters>
  <Application>Microsoft Office Word</Application>
  <DocSecurity>0</DocSecurity>
  <Lines>64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Cirad</Company>
  <LinksUpToDate>false</LinksUpToDate>
  <CharactersWithSpaces>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MATHIEU</dc:creator>
  <cp:keywords/>
  <dc:description/>
  <cp:lastModifiedBy>Laura MATHIEU</cp:lastModifiedBy>
  <cp:revision>36</cp:revision>
  <cp:lastPrinted>2024-10-02T16:31:00Z</cp:lastPrinted>
  <dcterms:created xsi:type="dcterms:W3CDTF">2024-10-02T10:03:00Z</dcterms:created>
  <dcterms:modified xsi:type="dcterms:W3CDTF">2024-10-02T17:35:00Z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99d6521f-3b2b-48e1-a5f2-7ab0196515da</vt:lpwstr>
  </property>
</Properties>
</file>