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1C42D5">
      <w:pPr>
        <w:snapToGrid w:val="0"/>
        <w:rPr>
          <w:rFonts w:ascii="Times New Roman" w:hAnsi="Times New Roman" w:eastAsia="宋体" w:cs="Times New Roman"/>
          <w:color w:val="000000"/>
          <w:sz w:val="20"/>
          <w:szCs w:val="20"/>
        </w:rPr>
      </w:pPr>
      <w:r>
        <w:rPr>
          <w:rFonts w:hint="eastAsia" w:ascii="Times New Roman" w:hAnsi="Times New Roman" w:eastAsia="宋体" w:cs="Times New Roman"/>
          <w:color w:val="000000"/>
          <w:sz w:val="20"/>
          <w:szCs w:val="20"/>
        </w:rPr>
        <w:t>Table 2 The result of laboratory tests of patient 1 in different time points</w:t>
      </w:r>
    </w:p>
    <w:tbl>
      <w:tblPr>
        <w:tblStyle w:val="2"/>
        <w:tblpPr w:leftFromText="180" w:rightFromText="180" w:vertAnchor="page" w:horzAnchor="page" w:tblpXSpec="center" w:tblpY="2163"/>
        <w:tblOverlap w:val="never"/>
        <w:tblW w:w="14741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0"/>
        <w:gridCol w:w="1223"/>
        <w:gridCol w:w="1027"/>
        <w:gridCol w:w="1379"/>
        <w:gridCol w:w="1304"/>
        <w:gridCol w:w="1679"/>
        <w:gridCol w:w="1017"/>
        <w:gridCol w:w="812"/>
        <w:gridCol w:w="1159"/>
        <w:gridCol w:w="2591"/>
      </w:tblGrid>
      <w:tr w14:paraId="231A27F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550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2ED60422">
            <w:pPr>
              <w:snapToGrid w:val="0"/>
              <w:jc w:val="right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  <w:p w14:paraId="0668D3AC">
            <w:pPr>
              <w:snapToGrid w:val="0"/>
              <w:jc w:val="right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Item</w:t>
            </w:r>
          </w:p>
          <w:p w14:paraId="258D1AE3">
            <w:pPr>
              <w:snapToGrid w:val="0"/>
              <w:jc w:val="right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  <w:p w14:paraId="1D22C97A">
            <w:pPr>
              <w:snapToGrid w:val="0"/>
              <w:jc w:val="right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  <w:p w14:paraId="30E97BEC">
            <w:pPr>
              <w:snapToGrid w:val="0"/>
              <w:jc w:val="both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time points</w:t>
            </w:r>
          </w:p>
        </w:tc>
        <w:tc>
          <w:tcPr>
            <w:tcW w:w="1223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2D688E2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AdvP7D09" w:cs="Times New Roman"/>
                <w:color w:val="231F20"/>
                <w:kern w:val="0"/>
                <w:sz w:val="20"/>
                <w:szCs w:val="20"/>
                <w:lang w:bidi="ar"/>
              </w:rPr>
              <w:t>Hemoglobin (g/L)</w:t>
            </w:r>
          </w:p>
        </w:tc>
        <w:tc>
          <w:tcPr>
            <w:tcW w:w="1027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4C6455B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Platelets (x 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10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vertAlign w:val="superscript"/>
                <w:lang w:bidi="ar"/>
              </w:rPr>
              <w:t>9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 xml:space="preserve"> /L)</w:t>
            </w:r>
          </w:p>
        </w:tc>
        <w:tc>
          <w:tcPr>
            <w:tcW w:w="1379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6D5EE2E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Lato-Regular" w:cs="Times New Roman"/>
                <w:color w:val="231F20"/>
                <w:kern w:val="0"/>
                <w:sz w:val="20"/>
                <w:szCs w:val="20"/>
                <w:lang w:bidi="ar"/>
              </w:rPr>
              <w:t>Serum creatinine (umol/L)</w:t>
            </w:r>
          </w:p>
        </w:tc>
        <w:tc>
          <w:tcPr>
            <w:tcW w:w="1304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04F4F68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24hUPro (g)</w:t>
            </w:r>
          </w:p>
        </w:tc>
        <w:tc>
          <w:tcPr>
            <w:tcW w:w="1679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7169079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Lactate dehydrogenase (U/L)</w:t>
            </w:r>
          </w:p>
        </w:tc>
        <w:tc>
          <w:tcPr>
            <w:tcW w:w="1017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37483E7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C3 (g/L)</w:t>
            </w:r>
          </w:p>
        </w:tc>
        <w:tc>
          <w:tcPr>
            <w:tcW w:w="812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04DC902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C4</w:t>
            </w:r>
          </w:p>
          <w:p w14:paraId="42A4B62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(g/L)</w:t>
            </w:r>
          </w:p>
        </w:tc>
        <w:tc>
          <w:tcPr>
            <w:tcW w:w="1159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6C63301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231F20"/>
                <w:sz w:val="20"/>
                <w:szCs w:val="20"/>
              </w:rPr>
            </w:pPr>
            <w:r>
              <w:rPr>
                <w:rStyle w:val="4"/>
                <w:rFonts w:eastAsia="宋体"/>
                <w:lang w:bidi="ar"/>
              </w:rPr>
              <w:t>Anti-dsDNA antibody</w:t>
            </w: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（</w:t>
            </w:r>
            <w:r>
              <w:rPr>
                <w:rStyle w:val="4"/>
                <w:rFonts w:eastAsia="宋体"/>
                <w:lang w:bidi="ar"/>
              </w:rPr>
              <w:t>IU/ml</w:t>
            </w: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）</w:t>
            </w:r>
          </w:p>
        </w:tc>
        <w:tc>
          <w:tcPr>
            <w:tcW w:w="2591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0993AD1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Treatment</w:t>
            </w:r>
          </w:p>
        </w:tc>
      </w:tr>
      <w:tr w14:paraId="42369DD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2550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23941EC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 baseline</w:t>
            </w:r>
          </w:p>
        </w:tc>
        <w:tc>
          <w:tcPr>
            <w:tcW w:w="1223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1627A40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62</w:t>
            </w:r>
          </w:p>
        </w:tc>
        <w:tc>
          <w:tcPr>
            <w:tcW w:w="1027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1F8CB9B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1379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63105D3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124</w:t>
            </w:r>
          </w:p>
        </w:tc>
        <w:tc>
          <w:tcPr>
            <w:tcW w:w="1304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63874DB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4.68</w:t>
            </w:r>
          </w:p>
        </w:tc>
        <w:tc>
          <w:tcPr>
            <w:tcW w:w="1679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3875DBB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936</w:t>
            </w:r>
          </w:p>
        </w:tc>
        <w:tc>
          <w:tcPr>
            <w:tcW w:w="1017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128EED4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0.2</w:t>
            </w:r>
          </w:p>
        </w:tc>
        <w:tc>
          <w:tcPr>
            <w:tcW w:w="812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786DC46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0.02</w:t>
            </w:r>
          </w:p>
        </w:tc>
        <w:tc>
          <w:tcPr>
            <w:tcW w:w="1159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459A41D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204.3</w:t>
            </w:r>
          </w:p>
        </w:tc>
        <w:tc>
          <w:tcPr>
            <w:tcW w:w="2591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28DC8E7A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 w14:paraId="0EA5F05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  <w:jc w:val="center"/>
        </w:trPr>
        <w:tc>
          <w:tcPr>
            <w:tcW w:w="2550" w:type="dxa"/>
            <w:shd w:val="clear" w:color="auto" w:fill="auto"/>
            <w:noWrap/>
            <w:vAlign w:val="center"/>
          </w:tcPr>
          <w:p w14:paraId="3CCA7D9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Day 10 of treatment</w:t>
            </w:r>
          </w:p>
        </w:tc>
        <w:tc>
          <w:tcPr>
            <w:tcW w:w="1223" w:type="dxa"/>
            <w:shd w:val="clear" w:color="auto" w:fill="auto"/>
            <w:noWrap/>
            <w:vAlign w:val="center"/>
          </w:tcPr>
          <w:p w14:paraId="7EA9FAC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99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70F08D4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208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6B71032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1304" w:type="dxa"/>
            <w:shd w:val="clear" w:color="auto" w:fill="auto"/>
            <w:noWrap/>
            <w:vAlign w:val="center"/>
          </w:tcPr>
          <w:p w14:paraId="4D13504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1679" w:type="dxa"/>
            <w:shd w:val="clear" w:color="auto" w:fill="auto"/>
            <w:noWrap/>
            <w:vAlign w:val="center"/>
          </w:tcPr>
          <w:p w14:paraId="4E9167A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633.1</w:t>
            </w:r>
          </w:p>
        </w:tc>
        <w:tc>
          <w:tcPr>
            <w:tcW w:w="1017" w:type="dxa"/>
            <w:shd w:val="clear" w:color="auto" w:fill="auto"/>
            <w:noWrap/>
            <w:vAlign w:val="center"/>
          </w:tcPr>
          <w:p w14:paraId="1A4642B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0.44</w:t>
            </w:r>
          </w:p>
        </w:tc>
        <w:tc>
          <w:tcPr>
            <w:tcW w:w="812" w:type="dxa"/>
            <w:shd w:val="clear" w:color="auto" w:fill="auto"/>
            <w:noWrap/>
            <w:vAlign w:val="center"/>
          </w:tcPr>
          <w:p w14:paraId="299C985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0.07</w:t>
            </w:r>
          </w:p>
        </w:tc>
        <w:tc>
          <w:tcPr>
            <w:tcW w:w="1159" w:type="dxa"/>
            <w:shd w:val="clear" w:color="auto" w:fill="auto"/>
            <w:noWrap/>
            <w:vAlign w:val="center"/>
          </w:tcPr>
          <w:p w14:paraId="1EE1F9D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65.54</w:t>
            </w:r>
          </w:p>
        </w:tc>
        <w:tc>
          <w:tcPr>
            <w:tcW w:w="2591" w:type="dxa"/>
            <w:shd w:val="clear" w:color="auto" w:fill="auto"/>
            <w:noWrap/>
            <w:vAlign w:val="center"/>
          </w:tcPr>
          <w:p w14:paraId="7F4C707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31F20"/>
                <w:sz w:val="20"/>
                <w:szCs w:val="20"/>
              </w:rPr>
            </w:pPr>
            <w:r>
              <w:rPr>
                <w:rStyle w:val="6"/>
                <w:rFonts w:eastAsia="宋体"/>
                <w:sz w:val="20"/>
                <w:szCs w:val="20"/>
                <w:lang w:bidi="ar"/>
              </w:rPr>
              <w:t>GC</w:t>
            </w:r>
            <w:r>
              <w:rPr>
                <w:rStyle w:val="6"/>
                <w:rFonts w:hint="eastAsia" w:eastAsia="宋体"/>
                <w:sz w:val="20"/>
                <w:szCs w:val="20"/>
                <w:lang w:bidi="ar"/>
              </w:rPr>
              <w:t xml:space="preserve"> </w:t>
            </w:r>
            <w:r>
              <w:rPr>
                <w:rStyle w:val="6"/>
                <w:rFonts w:eastAsia="宋体"/>
                <w:sz w:val="20"/>
                <w:szCs w:val="20"/>
                <w:lang w:bidi="ar"/>
              </w:rPr>
              <w:t>high-dose corticosteroids</w:t>
            </w:r>
            <w:r>
              <w:rPr>
                <w:rStyle w:val="6"/>
                <w:rFonts w:hint="eastAsia" w:eastAsia="宋体"/>
                <w:sz w:val="20"/>
                <w:szCs w:val="20"/>
                <w:lang w:bidi="ar"/>
              </w:rPr>
              <w:t xml:space="preserve"> </w:t>
            </w:r>
            <w:r>
              <w:rPr>
                <w:rStyle w:val="6"/>
                <w:rFonts w:eastAsia="宋体"/>
                <w:sz w:val="20"/>
                <w:szCs w:val="20"/>
                <w:lang w:bidi="ar"/>
              </w:rPr>
              <w:t>HCQ</w:t>
            </w:r>
          </w:p>
        </w:tc>
      </w:tr>
      <w:tr w14:paraId="025C1DD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550" w:type="dxa"/>
            <w:shd w:val="clear" w:color="auto" w:fill="auto"/>
            <w:noWrap/>
            <w:vAlign w:val="center"/>
          </w:tcPr>
          <w:p w14:paraId="36A1098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Day 20 of treantment</w:t>
            </w:r>
          </w:p>
        </w:tc>
        <w:tc>
          <w:tcPr>
            <w:tcW w:w="1223" w:type="dxa"/>
            <w:shd w:val="clear" w:color="auto" w:fill="auto"/>
            <w:noWrap/>
            <w:vAlign w:val="center"/>
          </w:tcPr>
          <w:p w14:paraId="1CA7DF8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90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5320DF2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63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199B924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184</w:t>
            </w:r>
          </w:p>
        </w:tc>
        <w:tc>
          <w:tcPr>
            <w:tcW w:w="1304" w:type="dxa"/>
            <w:shd w:val="clear" w:color="auto" w:fill="auto"/>
            <w:noWrap/>
            <w:vAlign w:val="center"/>
          </w:tcPr>
          <w:p w14:paraId="3FA5C51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6.45</w:t>
            </w:r>
          </w:p>
        </w:tc>
        <w:tc>
          <w:tcPr>
            <w:tcW w:w="1679" w:type="dxa"/>
            <w:shd w:val="clear" w:color="auto" w:fill="auto"/>
            <w:noWrap/>
            <w:vAlign w:val="center"/>
          </w:tcPr>
          <w:p w14:paraId="2C2E9CD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467.9</w:t>
            </w:r>
          </w:p>
        </w:tc>
        <w:tc>
          <w:tcPr>
            <w:tcW w:w="1017" w:type="dxa"/>
            <w:shd w:val="clear" w:color="auto" w:fill="auto"/>
            <w:noWrap/>
            <w:vAlign w:val="center"/>
          </w:tcPr>
          <w:p w14:paraId="51C27C6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812" w:type="dxa"/>
            <w:shd w:val="clear" w:color="auto" w:fill="auto"/>
            <w:noWrap/>
            <w:vAlign w:val="center"/>
          </w:tcPr>
          <w:p w14:paraId="1CCD2AC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1159" w:type="dxa"/>
            <w:shd w:val="clear" w:color="auto" w:fill="auto"/>
            <w:noWrap/>
            <w:vAlign w:val="center"/>
          </w:tcPr>
          <w:p w14:paraId="28E6EA3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2591" w:type="dxa"/>
            <w:shd w:val="clear" w:color="auto" w:fill="auto"/>
            <w:noWrap/>
            <w:vAlign w:val="center"/>
          </w:tcPr>
          <w:p w14:paraId="68B8B47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GC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6"/>
                <w:rFonts w:eastAsia="宋体"/>
                <w:sz w:val="20"/>
                <w:szCs w:val="20"/>
                <w:lang w:bidi="ar"/>
              </w:rPr>
              <w:t>high-dose corticosteroids</w:t>
            </w:r>
            <w:r>
              <w:rPr>
                <w:rStyle w:val="6"/>
                <w:rFonts w:hint="eastAsia" w:eastAsia="宋体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HCQ</w:t>
            </w:r>
          </w:p>
        </w:tc>
      </w:tr>
      <w:tr w14:paraId="1D7EA6D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550" w:type="dxa"/>
            <w:shd w:val="clear" w:color="auto" w:fill="auto"/>
            <w:noWrap/>
            <w:vAlign w:val="center"/>
          </w:tcPr>
          <w:p w14:paraId="0B90C20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Day30 of treatment</w:t>
            </w:r>
          </w:p>
        </w:tc>
        <w:tc>
          <w:tcPr>
            <w:tcW w:w="1223" w:type="dxa"/>
            <w:shd w:val="clear" w:color="auto" w:fill="auto"/>
            <w:noWrap/>
            <w:vAlign w:val="center"/>
          </w:tcPr>
          <w:p w14:paraId="3761034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71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5B9FD11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67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409C9CD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161</w:t>
            </w:r>
          </w:p>
        </w:tc>
        <w:tc>
          <w:tcPr>
            <w:tcW w:w="1304" w:type="dxa"/>
            <w:shd w:val="clear" w:color="auto" w:fill="auto"/>
            <w:noWrap/>
            <w:vAlign w:val="center"/>
          </w:tcPr>
          <w:p w14:paraId="2D6DC28D"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679" w:type="dxa"/>
            <w:shd w:val="clear" w:color="auto" w:fill="auto"/>
            <w:noWrap/>
            <w:vAlign w:val="center"/>
          </w:tcPr>
          <w:p w14:paraId="2B66F22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549.5</w:t>
            </w:r>
          </w:p>
        </w:tc>
        <w:tc>
          <w:tcPr>
            <w:tcW w:w="1017" w:type="dxa"/>
            <w:shd w:val="clear" w:color="auto" w:fill="auto"/>
            <w:noWrap/>
            <w:vAlign w:val="center"/>
          </w:tcPr>
          <w:p w14:paraId="4026344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1.02</w:t>
            </w:r>
          </w:p>
        </w:tc>
        <w:tc>
          <w:tcPr>
            <w:tcW w:w="812" w:type="dxa"/>
            <w:shd w:val="clear" w:color="auto" w:fill="auto"/>
            <w:noWrap/>
            <w:vAlign w:val="center"/>
          </w:tcPr>
          <w:p w14:paraId="25B6B65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0.14</w:t>
            </w:r>
          </w:p>
        </w:tc>
        <w:tc>
          <w:tcPr>
            <w:tcW w:w="1159" w:type="dxa"/>
            <w:shd w:val="clear" w:color="auto" w:fill="auto"/>
            <w:noWrap/>
            <w:vAlign w:val="center"/>
          </w:tcPr>
          <w:p w14:paraId="6148BF7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101.8</w:t>
            </w:r>
          </w:p>
        </w:tc>
        <w:tc>
          <w:tcPr>
            <w:tcW w:w="2591" w:type="dxa"/>
            <w:shd w:val="clear" w:color="auto" w:fill="auto"/>
            <w:noWrap/>
            <w:vAlign w:val="center"/>
          </w:tcPr>
          <w:p w14:paraId="0B8A065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GC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Style w:val="6"/>
                <w:rFonts w:eastAsia="宋体"/>
                <w:sz w:val="20"/>
                <w:szCs w:val="20"/>
                <w:lang w:bidi="ar"/>
              </w:rPr>
              <w:t>high-dose corticosteroids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  IVIG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HCQ</w:t>
            </w:r>
          </w:p>
        </w:tc>
      </w:tr>
      <w:tr w14:paraId="7186581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550" w:type="dxa"/>
            <w:shd w:val="clear" w:color="auto" w:fill="auto"/>
            <w:noWrap/>
            <w:vAlign w:val="center"/>
          </w:tcPr>
          <w:p w14:paraId="663B679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Day after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 PEX</w:t>
            </w:r>
          </w:p>
        </w:tc>
        <w:tc>
          <w:tcPr>
            <w:tcW w:w="1223" w:type="dxa"/>
            <w:shd w:val="clear" w:color="auto" w:fill="auto"/>
            <w:noWrap/>
            <w:vAlign w:val="center"/>
          </w:tcPr>
          <w:p w14:paraId="4DA848A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78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3C73BB1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68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0CF8BDC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138.8</w:t>
            </w:r>
          </w:p>
        </w:tc>
        <w:tc>
          <w:tcPr>
            <w:tcW w:w="1304" w:type="dxa"/>
            <w:shd w:val="clear" w:color="auto" w:fill="auto"/>
            <w:noWrap/>
            <w:vAlign w:val="center"/>
          </w:tcPr>
          <w:p w14:paraId="5B57945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7.24</w:t>
            </w:r>
          </w:p>
        </w:tc>
        <w:tc>
          <w:tcPr>
            <w:tcW w:w="1679" w:type="dxa"/>
            <w:shd w:val="clear" w:color="auto" w:fill="auto"/>
            <w:noWrap/>
            <w:vAlign w:val="center"/>
          </w:tcPr>
          <w:p w14:paraId="2D675FA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680.1</w:t>
            </w:r>
          </w:p>
        </w:tc>
        <w:tc>
          <w:tcPr>
            <w:tcW w:w="1017" w:type="dxa"/>
            <w:shd w:val="clear" w:color="auto" w:fill="auto"/>
            <w:noWrap/>
            <w:vAlign w:val="center"/>
          </w:tcPr>
          <w:p w14:paraId="59E2A2D6"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shd w:val="clear" w:color="auto" w:fill="auto"/>
            <w:noWrap/>
            <w:vAlign w:val="center"/>
          </w:tcPr>
          <w:p w14:paraId="15F59067"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59" w:type="dxa"/>
            <w:shd w:val="clear" w:color="auto" w:fill="auto"/>
            <w:noWrap/>
            <w:vAlign w:val="center"/>
          </w:tcPr>
          <w:p w14:paraId="12D35F53"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591" w:type="dxa"/>
            <w:shd w:val="clear" w:color="auto" w:fill="auto"/>
            <w:noWrap/>
            <w:vAlign w:val="center"/>
          </w:tcPr>
          <w:p w14:paraId="511309B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GC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HCQ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 PEX</w:t>
            </w:r>
          </w:p>
        </w:tc>
      </w:tr>
      <w:tr w14:paraId="2EE7DF6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550" w:type="dxa"/>
            <w:shd w:val="clear" w:color="auto" w:fill="auto"/>
            <w:noWrap/>
            <w:vAlign w:val="center"/>
          </w:tcPr>
          <w:p w14:paraId="0520789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Day of 1 week after first dose of RTX</w:t>
            </w:r>
          </w:p>
        </w:tc>
        <w:tc>
          <w:tcPr>
            <w:tcW w:w="1223" w:type="dxa"/>
            <w:shd w:val="clear" w:color="auto" w:fill="auto"/>
            <w:noWrap/>
            <w:vAlign w:val="center"/>
          </w:tcPr>
          <w:p w14:paraId="3D873F2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108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7A1819E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131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583E21C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91</w:t>
            </w:r>
          </w:p>
        </w:tc>
        <w:tc>
          <w:tcPr>
            <w:tcW w:w="1304" w:type="dxa"/>
            <w:shd w:val="clear" w:color="auto" w:fill="auto"/>
            <w:noWrap/>
            <w:vAlign w:val="center"/>
          </w:tcPr>
          <w:p w14:paraId="0743473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5.59</w:t>
            </w:r>
          </w:p>
        </w:tc>
        <w:tc>
          <w:tcPr>
            <w:tcW w:w="1679" w:type="dxa"/>
            <w:shd w:val="clear" w:color="auto" w:fill="auto"/>
            <w:noWrap/>
            <w:vAlign w:val="center"/>
          </w:tcPr>
          <w:p w14:paraId="19EBA8D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594.9</w:t>
            </w:r>
          </w:p>
        </w:tc>
        <w:tc>
          <w:tcPr>
            <w:tcW w:w="1017" w:type="dxa"/>
            <w:shd w:val="clear" w:color="auto" w:fill="auto"/>
            <w:noWrap/>
            <w:vAlign w:val="center"/>
          </w:tcPr>
          <w:p w14:paraId="1DC622B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1.03</w:t>
            </w:r>
          </w:p>
        </w:tc>
        <w:tc>
          <w:tcPr>
            <w:tcW w:w="812" w:type="dxa"/>
            <w:shd w:val="clear" w:color="auto" w:fill="auto"/>
            <w:noWrap/>
            <w:vAlign w:val="center"/>
          </w:tcPr>
          <w:p w14:paraId="61820A5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0.14</w:t>
            </w:r>
          </w:p>
        </w:tc>
        <w:tc>
          <w:tcPr>
            <w:tcW w:w="1159" w:type="dxa"/>
            <w:shd w:val="clear" w:color="auto" w:fill="auto"/>
            <w:noWrap/>
            <w:vAlign w:val="center"/>
          </w:tcPr>
          <w:p w14:paraId="33D447E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20.21</w:t>
            </w:r>
          </w:p>
        </w:tc>
        <w:tc>
          <w:tcPr>
            <w:tcW w:w="2591" w:type="dxa"/>
            <w:shd w:val="clear" w:color="auto" w:fill="auto"/>
            <w:noWrap/>
            <w:vAlign w:val="center"/>
          </w:tcPr>
          <w:p w14:paraId="456991B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GC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HCQ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 RTX</w:t>
            </w:r>
          </w:p>
        </w:tc>
      </w:tr>
      <w:tr w14:paraId="320A889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550" w:type="dxa"/>
            <w:shd w:val="clear" w:color="auto" w:fill="auto"/>
            <w:noWrap/>
            <w:vAlign w:val="center"/>
          </w:tcPr>
          <w:p w14:paraId="6F69287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Day of 1 week after second dose of RTX</w:t>
            </w:r>
          </w:p>
        </w:tc>
        <w:tc>
          <w:tcPr>
            <w:tcW w:w="1223" w:type="dxa"/>
            <w:shd w:val="clear" w:color="auto" w:fill="auto"/>
            <w:noWrap/>
            <w:vAlign w:val="center"/>
          </w:tcPr>
          <w:p w14:paraId="4A6F943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106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39E4A54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177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47AECE5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85.7</w:t>
            </w:r>
          </w:p>
        </w:tc>
        <w:tc>
          <w:tcPr>
            <w:tcW w:w="1304" w:type="dxa"/>
            <w:shd w:val="clear" w:color="auto" w:fill="auto"/>
            <w:noWrap/>
            <w:vAlign w:val="center"/>
          </w:tcPr>
          <w:p w14:paraId="3235B8F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1679" w:type="dxa"/>
            <w:shd w:val="clear" w:color="auto" w:fill="auto"/>
            <w:noWrap/>
            <w:vAlign w:val="center"/>
          </w:tcPr>
          <w:p w14:paraId="4FEF11B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527.8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</w:tc>
        <w:tc>
          <w:tcPr>
            <w:tcW w:w="1017" w:type="dxa"/>
            <w:shd w:val="clear" w:color="auto" w:fill="auto"/>
            <w:noWrap/>
            <w:vAlign w:val="center"/>
          </w:tcPr>
          <w:p w14:paraId="5D9D87D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1.18</w:t>
            </w:r>
          </w:p>
        </w:tc>
        <w:tc>
          <w:tcPr>
            <w:tcW w:w="812" w:type="dxa"/>
            <w:shd w:val="clear" w:color="auto" w:fill="auto"/>
            <w:noWrap/>
            <w:vAlign w:val="center"/>
          </w:tcPr>
          <w:p w14:paraId="335C5CA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0.18</w:t>
            </w:r>
          </w:p>
        </w:tc>
        <w:tc>
          <w:tcPr>
            <w:tcW w:w="1159" w:type="dxa"/>
            <w:shd w:val="clear" w:color="auto" w:fill="auto"/>
            <w:noWrap/>
            <w:vAlign w:val="center"/>
          </w:tcPr>
          <w:p w14:paraId="769694D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＜10</w:t>
            </w:r>
          </w:p>
        </w:tc>
        <w:tc>
          <w:tcPr>
            <w:tcW w:w="2591" w:type="dxa"/>
            <w:shd w:val="clear" w:color="auto" w:fill="auto"/>
            <w:noWrap/>
            <w:vAlign w:val="center"/>
          </w:tcPr>
          <w:p w14:paraId="02B8575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GC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HCQ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CTX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 RTX</w:t>
            </w:r>
          </w:p>
        </w:tc>
      </w:tr>
      <w:tr w14:paraId="3FD4A0A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  <w:jc w:val="center"/>
        </w:trPr>
        <w:tc>
          <w:tcPr>
            <w:tcW w:w="2550" w:type="dxa"/>
            <w:shd w:val="clear" w:color="auto" w:fill="auto"/>
            <w:noWrap/>
            <w:vAlign w:val="center"/>
          </w:tcPr>
          <w:p w14:paraId="71D342A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Day before the first dose of B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>EL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23" w:type="dxa"/>
            <w:shd w:val="clear" w:color="auto" w:fill="auto"/>
            <w:noWrap/>
            <w:vAlign w:val="center"/>
          </w:tcPr>
          <w:p w14:paraId="79249E5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108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1463C5D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215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35C308B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70.9</w:t>
            </w:r>
          </w:p>
        </w:tc>
        <w:tc>
          <w:tcPr>
            <w:tcW w:w="1304" w:type="dxa"/>
            <w:shd w:val="clear" w:color="auto" w:fill="auto"/>
            <w:noWrap/>
            <w:vAlign w:val="center"/>
          </w:tcPr>
          <w:p w14:paraId="58779E1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1.01</w:t>
            </w:r>
          </w:p>
        </w:tc>
        <w:tc>
          <w:tcPr>
            <w:tcW w:w="1679" w:type="dxa"/>
            <w:shd w:val="clear" w:color="auto" w:fill="auto"/>
            <w:noWrap/>
            <w:vAlign w:val="center"/>
          </w:tcPr>
          <w:p w14:paraId="34216F4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1017" w:type="dxa"/>
            <w:shd w:val="clear" w:color="auto" w:fill="auto"/>
            <w:noWrap/>
            <w:vAlign w:val="center"/>
          </w:tcPr>
          <w:p w14:paraId="434225D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1.29</w:t>
            </w:r>
          </w:p>
        </w:tc>
        <w:tc>
          <w:tcPr>
            <w:tcW w:w="812" w:type="dxa"/>
            <w:shd w:val="clear" w:color="auto" w:fill="auto"/>
            <w:noWrap/>
            <w:vAlign w:val="center"/>
          </w:tcPr>
          <w:p w14:paraId="5012ECD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0.25</w:t>
            </w:r>
          </w:p>
        </w:tc>
        <w:tc>
          <w:tcPr>
            <w:tcW w:w="1159" w:type="dxa"/>
            <w:shd w:val="clear" w:color="auto" w:fill="auto"/>
            <w:noWrap/>
            <w:vAlign w:val="center"/>
          </w:tcPr>
          <w:p w14:paraId="2C09480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＜10</w:t>
            </w:r>
          </w:p>
        </w:tc>
        <w:tc>
          <w:tcPr>
            <w:tcW w:w="2591" w:type="dxa"/>
            <w:shd w:val="clear" w:color="auto" w:fill="auto"/>
            <w:noWrap/>
            <w:vAlign w:val="center"/>
          </w:tcPr>
          <w:p w14:paraId="657C092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GC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MMF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HCQ</w:t>
            </w:r>
          </w:p>
        </w:tc>
      </w:tr>
      <w:tr w14:paraId="44E1AA8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2550" w:type="dxa"/>
            <w:shd w:val="clear" w:color="auto" w:fill="auto"/>
            <w:noWrap/>
            <w:vAlign w:val="center"/>
          </w:tcPr>
          <w:p w14:paraId="1273C79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 year follow-up</w:t>
            </w:r>
          </w:p>
        </w:tc>
        <w:tc>
          <w:tcPr>
            <w:tcW w:w="1223" w:type="dxa"/>
            <w:shd w:val="clear" w:color="auto" w:fill="auto"/>
            <w:noWrap/>
            <w:vAlign w:val="center"/>
          </w:tcPr>
          <w:p w14:paraId="2E850E4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126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7C87A20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227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66EDC13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75.4</w:t>
            </w:r>
          </w:p>
        </w:tc>
        <w:tc>
          <w:tcPr>
            <w:tcW w:w="1304" w:type="dxa"/>
            <w:shd w:val="clear" w:color="auto" w:fill="auto"/>
            <w:noWrap/>
            <w:vAlign w:val="center"/>
          </w:tcPr>
          <w:p w14:paraId="3318C33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0.81</w:t>
            </w:r>
          </w:p>
        </w:tc>
        <w:tc>
          <w:tcPr>
            <w:tcW w:w="1679" w:type="dxa"/>
            <w:shd w:val="clear" w:color="auto" w:fill="auto"/>
            <w:noWrap/>
            <w:vAlign w:val="center"/>
          </w:tcPr>
          <w:p w14:paraId="3853D50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394.3</w:t>
            </w:r>
          </w:p>
        </w:tc>
        <w:tc>
          <w:tcPr>
            <w:tcW w:w="1017" w:type="dxa"/>
            <w:shd w:val="clear" w:color="auto" w:fill="auto"/>
            <w:noWrap/>
            <w:vAlign w:val="center"/>
          </w:tcPr>
          <w:p w14:paraId="4E1FB70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1.25</w:t>
            </w:r>
          </w:p>
        </w:tc>
        <w:tc>
          <w:tcPr>
            <w:tcW w:w="812" w:type="dxa"/>
            <w:shd w:val="clear" w:color="auto" w:fill="auto"/>
            <w:noWrap/>
            <w:vAlign w:val="center"/>
          </w:tcPr>
          <w:p w14:paraId="3E57EFD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0.28</w:t>
            </w:r>
          </w:p>
        </w:tc>
        <w:tc>
          <w:tcPr>
            <w:tcW w:w="1159" w:type="dxa"/>
            <w:shd w:val="clear" w:color="auto" w:fill="auto"/>
            <w:noWrap/>
            <w:vAlign w:val="center"/>
          </w:tcPr>
          <w:p w14:paraId="0D9E717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＜10</w:t>
            </w:r>
          </w:p>
        </w:tc>
        <w:tc>
          <w:tcPr>
            <w:tcW w:w="2591" w:type="dxa"/>
            <w:shd w:val="clear" w:color="auto" w:fill="auto"/>
            <w:noWrap/>
            <w:vAlign w:val="center"/>
          </w:tcPr>
          <w:p w14:paraId="09B5D20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GC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MMF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HCQ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 BLE</w:t>
            </w:r>
          </w:p>
        </w:tc>
      </w:tr>
      <w:tr w14:paraId="6D43BE6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550" w:type="dxa"/>
            <w:shd w:val="clear" w:color="auto" w:fill="auto"/>
            <w:noWrap/>
            <w:vAlign w:val="center"/>
          </w:tcPr>
          <w:p w14:paraId="5285688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 year follow-up</w:t>
            </w:r>
          </w:p>
        </w:tc>
        <w:tc>
          <w:tcPr>
            <w:tcW w:w="1223" w:type="dxa"/>
            <w:shd w:val="clear" w:color="auto" w:fill="auto"/>
            <w:noWrap/>
            <w:vAlign w:val="center"/>
          </w:tcPr>
          <w:p w14:paraId="31983C8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132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552B726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224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1826BDB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69.7</w:t>
            </w:r>
          </w:p>
        </w:tc>
        <w:tc>
          <w:tcPr>
            <w:tcW w:w="1304" w:type="dxa"/>
            <w:shd w:val="clear" w:color="auto" w:fill="auto"/>
            <w:noWrap/>
            <w:vAlign w:val="center"/>
          </w:tcPr>
          <w:p w14:paraId="1C19323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0.15</w:t>
            </w:r>
          </w:p>
        </w:tc>
        <w:tc>
          <w:tcPr>
            <w:tcW w:w="1679" w:type="dxa"/>
            <w:shd w:val="clear" w:color="auto" w:fill="auto"/>
            <w:noWrap/>
            <w:vAlign w:val="center"/>
          </w:tcPr>
          <w:p w14:paraId="2EF3075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1017" w:type="dxa"/>
            <w:shd w:val="clear" w:color="auto" w:fill="auto"/>
            <w:noWrap/>
            <w:vAlign w:val="center"/>
          </w:tcPr>
          <w:p w14:paraId="3D9DDB2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1.11</w:t>
            </w:r>
          </w:p>
        </w:tc>
        <w:tc>
          <w:tcPr>
            <w:tcW w:w="812" w:type="dxa"/>
            <w:shd w:val="clear" w:color="auto" w:fill="auto"/>
            <w:noWrap/>
            <w:vAlign w:val="center"/>
          </w:tcPr>
          <w:p w14:paraId="092F7C6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0.29</w:t>
            </w:r>
          </w:p>
        </w:tc>
        <w:tc>
          <w:tcPr>
            <w:tcW w:w="1159" w:type="dxa"/>
            <w:shd w:val="clear" w:color="auto" w:fill="auto"/>
            <w:noWrap/>
            <w:vAlign w:val="center"/>
          </w:tcPr>
          <w:p w14:paraId="4C34E24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＜10</w:t>
            </w:r>
          </w:p>
        </w:tc>
        <w:tc>
          <w:tcPr>
            <w:tcW w:w="2591" w:type="dxa"/>
            <w:shd w:val="clear" w:color="auto" w:fill="auto"/>
            <w:noWrap/>
            <w:vAlign w:val="center"/>
          </w:tcPr>
          <w:p w14:paraId="14B5345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GC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MMF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HCQ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 BLE</w:t>
            </w:r>
          </w:p>
        </w:tc>
      </w:tr>
      <w:tr w14:paraId="14B5FF1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  <w:jc w:val="center"/>
        </w:trPr>
        <w:tc>
          <w:tcPr>
            <w:tcW w:w="2550" w:type="dxa"/>
            <w:shd w:val="clear" w:color="auto" w:fill="auto"/>
            <w:noWrap/>
            <w:vAlign w:val="center"/>
          </w:tcPr>
          <w:p w14:paraId="7C477A3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 year follow-up</w:t>
            </w:r>
          </w:p>
        </w:tc>
        <w:tc>
          <w:tcPr>
            <w:tcW w:w="1223" w:type="dxa"/>
            <w:shd w:val="clear" w:color="auto" w:fill="auto"/>
            <w:noWrap/>
            <w:vAlign w:val="center"/>
          </w:tcPr>
          <w:p w14:paraId="39995E0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136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2DDFE8C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221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177F114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68.6</w:t>
            </w:r>
          </w:p>
        </w:tc>
        <w:tc>
          <w:tcPr>
            <w:tcW w:w="1304" w:type="dxa"/>
            <w:shd w:val="clear" w:color="auto" w:fill="auto"/>
            <w:noWrap/>
            <w:vAlign w:val="center"/>
          </w:tcPr>
          <w:p w14:paraId="29828E2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0.14</w:t>
            </w:r>
          </w:p>
        </w:tc>
        <w:tc>
          <w:tcPr>
            <w:tcW w:w="1679" w:type="dxa"/>
            <w:shd w:val="clear" w:color="auto" w:fill="auto"/>
            <w:noWrap/>
            <w:vAlign w:val="center"/>
          </w:tcPr>
          <w:p w14:paraId="116025A6">
            <w:pP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17" w:type="dxa"/>
            <w:shd w:val="clear" w:color="auto" w:fill="auto"/>
            <w:noWrap/>
            <w:vAlign w:val="center"/>
          </w:tcPr>
          <w:p w14:paraId="0465E45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1.15</w:t>
            </w:r>
          </w:p>
        </w:tc>
        <w:tc>
          <w:tcPr>
            <w:tcW w:w="812" w:type="dxa"/>
            <w:shd w:val="clear" w:color="auto" w:fill="auto"/>
            <w:noWrap/>
            <w:vAlign w:val="center"/>
          </w:tcPr>
          <w:p w14:paraId="3E1418E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0.35</w:t>
            </w:r>
          </w:p>
        </w:tc>
        <w:tc>
          <w:tcPr>
            <w:tcW w:w="1159" w:type="dxa"/>
            <w:shd w:val="clear" w:color="auto" w:fill="auto"/>
            <w:noWrap/>
            <w:vAlign w:val="center"/>
          </w:tcPr>
          <w:p w14:paraId="46A7088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＜10</w:t>
            </w:r>
          </w:p>
        </w:tc>
        <w:tc>
          <w:tcPr>
            <w:tcW w:w="2591" w:type="dxa"/>
            <w:shd w:val="clear" w:color="auto" w:fill="auto"/>
            <w:noWrap/>
            <w:vAlign w:val="center"/>
          </w:tcPr>
          <w:p w14:paraId="1DF1C2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MMF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HCQ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 BLE</w:t>
            </w:r>
          </w:p>
        </w:tc>
      </w:tr>
    </w:tbl>
    <w:p w14:paraId="3CFD2D9A">
      <w:pPr>
        <w:spacing w:line="360" w:lineRule="auto"/>
        <w:jc w:val="left"/>
        <w:rPr>
          <w:rStyle w:val="6"/>
          <w:rFonts w:eastAsia="宋体"/>
          <w:color w:val="000000" w:themeColor="text1"/>
          <w:sz w:val="21"/>
          <w:szCs w:val="21"/>
          <w:lang w:bidi="ar"/>
          <w14:textFill>
            <w14:solidFill>
              <w14:schemeClr w14:val="tx1"/>
            </w14:solidFill>
          </w14:textFill>
        </w:rPr>
      </w:pPr>
      <w:r>
        <w:rPr>
          <w:rStyle w:val="6"/>
          <w:color w:val="000000" w:themeColor="text1"/>
          <w:sz w:val="21"/>
          <w:szCs w:val="21"/>
          <w:lang w:bidi="ar"/>
          <w14:textFill>
            <w14:solidFill>
              <w14:schemeClr w14:val="tx1"/>
            </w14:solidFill>
          </w14:textFill>
        </w:rPr>
        <w:t>Abbreviations: 24hUPro, 24-h urine protein;</w:t>
      </w:r>
      <w:r>
        <w:rPr>
          <w:rStyle w:val="6"/>
          <w:rFonts w:hint="eastAsia"/>
          <w:color w:val="000000" w:themeColor="text1"/>
          <w:sz w:val="21"/>
          <w:szCs w:val="21"/>
          <w:lang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Style w:val="6"/>
          <w:color w:val="000000" w:themeColor="text1"/>
          <w:sz w:val="21"/>
          <w:szCs w:val="21"/>
          <w:lang w:bidi="ar"/>
          <w14:textFill>
            <w14:solidFill>
              <w14:schemeClr w14:val="tx1"/>
            </w14:solidFill>
          </w14:textFill>
        </w:rPr>
        <w:t>C3, complement 3; C4, complement 4;</w:t>
      </w:r>
      <w:r>
        <w:rPr>
          <w:rStyle w:val="6"/>
          <w:rFonts w:hint="eastAsia"/>
          <w:color w:val="000000" w:themeColor="text1"/>
          <w:sz w:val="21"/>
          <w:szCs w:val="21"/>
          <w:lang w:bidi="ar"/>
          <w14:textFill>
            <w14:solidFill>
              <w14:schemeClr w14:val="tx1"/>
            </w14:solidFill>
          </w14:textFill>
        </w:rPr>
        <w:t xml:space="preserve"> PEX, </w:t>
      </w:r>
      <w:r>
        <w:rPr>
          <w:rStyle w:val="6"/>
          <w:rFonts w:hint="eastAsia" w:eastAsia="宋体"/>
          <w:color w:val="000000" w:themeColor="text1"/>
          <w:sz w:val="21"/>
          <w:szCs w:val="21"/>
          <w:lang w:bidi="ar"/>
          <w14:textFill>
            <w14:solidFill>
              <w14:schemeClr w14:val="tx1"/>
            </w14:solidFill>
          </w14:textFill>
        </w:rPr>
        <w:t xml:space="preserve">plasma exchange, </w:t>
      </w:r>
      <w:r>
        <w:rPr>
          <w:rStyle w:val="6"/>
          <w:rFonts w:eastAsia="宋体"/>
          <w:color w:val="000000" w:themeColor="text1"/>
          <w:sz w:val="21"/>
          <w:szCs w:val="21"/>
          <w:lang w:bidi="ar"/>
          <w14:textFill>
            <w14:solidFill>
              <w14:schemeClr w14:val="tx1"/>
            </w14:solidFill>
          </w14:textFill>
        </w:rPr>
        <w:t>RTX</w:t>
      </w:r>
      <w:r>
        <w:rPr>
          <w:rStyle w:val="6"/>
          <w:rFonts w:hint="eastAsia" w:eastAsia="宋体"/>
          <w:color w:val="000000" w:themeColor="text1"/>
          <w:sz w:val="21"/>
          <w:szCs w:val="21"/>
          <w:lang w:bidi="ar"/>
          <w14:textFill>
            <w14:solidFill>
              <w14:schemeClr w14:val="tx1"/>
            </w14:solidFill>
          </w14:textFill>
        </w:rPr>
        <w:t xml:space="preserve">, rituximab; </w:t>
      </w:r>
      <w:r>
        <w:rPr>
          <w:rStyle w:val="6"/>
          <w:rFonts w:eastAsia="宋体"/>
          <w:color w:val="000000" w:themeColor="text1"/>
          <w:sz w:val="21"/>
          <w:szCs w:val="21"/>
          <w:lang w:bidi="ar"/>
          <w14:textFill>
            <w14:solidFill>
              <w14:schemeClr w14:val="tx1"/>
            </w14:solidFill>
          </w14:textFill>
        </w:rPr>
        <w:t>B</w:t>
      </w:r>
      <w:r>
        <w:rPr>
          <w:rStyle w:val="6"/>
          <w:rFonts w:hint="eastAsia" w:eastAsia="宋体"/>
          <w:color w:val="000000" w:themeColor="text1"/>
          <w:sz w:val="21"/>
          <w:szCs w:val="21"/>
          <w:lang w:bidi="ar"/>
          <w14:textFill>
            <w14:solidFill>
              <w14:schemeClr w14:val="tx1"/>
            </w14:solidFill>
          </w14:textFill>
        </w:rPr>
        <w:t xml:space="preserve">EL, belimumab; GC, </w:t>
      </w:r>
      <w:r>
        <w:rPr>
          <w:rStyle w:val="6"/>
          <w:rFonts w:eastAsia="宋体"/>
          <w:color w:val="000000" w:themeColor="text1"/>
          <w:sz w:val="21"/>
          <w:szCs w:val="21"/>
          <w:lang w:bidi="ar"/>
          <w14:textFill>
            <w14:solidFill>
              <w14:schemeClr w14:val="tx1"/>
            </w14:solidFill>
          </w14:textFill>
        </w:rPr>
        <w:t>glucocorticoid</w:t>
      </w:r>
      <w:r>
        <w:rPr>
          <w:rStyle w:val="6"/>
          <w:rFonts w:hint="eastAsia" w:eastAsia="宋体"/>
          <w:color w:val="000000" w:themeColor="text1"/>
          <w:sz w:val="21"/>
          <w:szCs w:val="21"/>
          <w:lang w:bidi="ar"/>
          <w14:textFill>
            <w14:solidFill>
              <w14:schemeClr w14:val="tx1"/>
            </w14:solidFill>
          </w14:textFill>
        </w:rPr>
        <w:t xml:space="preserve">; </w:t>
      </w:r>
      <w:r>
        <w:rPr>
          <w:rStyle w:val="6"/>
          <w:rFonts w:eastAsia="宋体"/>
          <w:color w:val="000000" w:themeColor="text1"/>
          <w:sz w:val="21"/>
          <w:szCs w:val="21"/>
          <w:lang w:bidi="ar"/>
          <w14:textFill>
            <w14:solidFill>
              <w14:schemeClr w14:val="tx1"/>
            </w14:solidFill>
          </w14:textFill>
        </w:rPr>
        <w:t>HCQ</w:t>
      </w:r>
      <w:r>
        <w:rPr>
          <w:rStyle w:val="6"/>
          <w:rFonts w:hint="eastAsia" w:eastAsia="宋体"/>
          <w:color w:val="000000" w:themeColor="text1"/>
          <w:sz w:val="21"/>
          <w:szCs w:val="21"/>
          <w:lang w:bidi="ar"/>
          <w14:textFill>
            <w14:solidFill>
              <w14:schemeClr w14:val="tx1"/>
            </w14:solidFill>
          </w14:textFill>
        </w:rPr>
        <w:t xml:space="preserve">, </w:t>
      </w:r>
      <w:r>
        <w:rPr>
          <w:rStyle w:val="6"/>
          <w:rFonts w:eastAsia="宋体"/>
          <w:color w:val="000000" w:themeColor="text1"/>
          <w:sz w:val="21"/>
          <w:szCs w:val="21"/>
          <w:lang w:bidi="ar"/>
          <w14:textFill>
            <w14:solidFill>
              <w14:schemeClr w14:val="tx1"/>
            </w14:solidFill>
          </w14:textFill>
        </w:rPr>
        <w:t>hydroxychloroquine</w:t>
      </w:r>
      <w:r>
        <w:rPr>
          <w:rStyle w:val="6"/>
          <w:rFonts w:hint="eastAsia" w:eastAsia="宋体"/>
          <w:color w:val="000000" w:themeColor="text1"/>
          <w:sz w:val="21"/>
          <w:szCs w:val="21"/>
          <w:lang w:bidi="ar"/>
          <w14:textFill>
            <w14:solidFill>
              <w14:schemeClr w14:val="tx1"/>
            </w14:solidFill>
          </w14:textFill>
        </w:rPr>
        <w:t>; IVIG,</w:t>
      </w:r>
      <w:r>
        <w:rPr>
          <w:rStyle w:val="6"/>
          <w:rFonts w:eastAsia="宋体"/>
          <w:color w:val="000000" w:themeColor="text1"/>
          <w:szCs w:val="21"/>
          <w:lang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Style w:val="6"/>
          <w:rFonts w:eastAsia="宋体"/>
          <w:color w:val="000000" w:themeColor="text1"/>
          <w:sz w:val="21"/>
          <w:szCs w:val="21"/>
          <w:lang w:bidi="ar"/>
          <w14:textFill>
            <w14:solidFill>
              <w14:schemeClr w14:val="tx1"/>
            </w14:solidFill>
          </w14:textFill>
        </w:rPr>
        <w:t>intravenous immunoglobulin</w:t>
      </w:r>
      <w:r>
        <w:rPr>
          <w:rStyle w:val="6"/>
          <w:rFonts w:hint="eastAsia" w:eastAsia="宋体"/>
          <w:color w:val="000000" w:themeColor="text1"/>
          <w:sz w:val="21"/>
          <w:szCs w:val="21"/>
          <w:lang w:bidi="ar"/>
          <w14:textFill>
            <w14:solidFill>
              <w14:schemeClr w14:val="tx1"/>
            </w14:solidFill>
          </w14:textFill>
        </w:rPr>
        <w:t xml:space="preserve">; </w:t>
      </w:r>
      <w:r>
        <w:rPr>
          <w:rStyle w:val="6"/>
          <w:rFonts w:eastAsia="宋体"/>
          <w:color w:val="000000" w:themeColor="text1"/>
          <w:sz w:val="21"/>
          <w:szCs w:val="21"/>
          <w:lang w:bidi="ar"/>
          <w14:textFill>
            <w14:solidFill>
              <w14:schemeClr w14:val="tx1"/>
            </w14:solidFill>
          </w14:textFill>
        </w:rPr>
        <w:t>CTX</w:t>
      </w:r>
      <w:r>
        <w:rPr>
          <w:rStyle w:val="6"/>
          <w:rFonts w:hint="eastAsia" w:eastAsia="宋体"/>
          <w:color w:val="000000" w:themeColor="text1"/>
          <w:sz w:val="21"/>
          <w:szCs w:val="21"/>
          <w:lang w:bidi="ar"/>
          <w14:textFill>
            <w14:solidFill>
              <w14:schemeClr w14:val="tx1"/>
            </w14:solidFill>
          </w14:textFill>
        </w:rPr>
        <w:t xml:space="preserve">, </w:t>
      </w:r>
      <w:r>
        <w:rPr>
          <w:rStyle w:val="6"/>
          <w:rFonts w:eastAsia="宋体"/>
          <w:color w:val="000000" w:themeColor="text1"/>
          <w:sz w:val="21"/>
          <w:szCs w:val="21"/>
          <w:lang w:bidi="ar"/>
          <w14:textFill>
            <w14:solidFill>
              <w14:schemeClr w14:val="tx1"/>
            </w14:solidFill>
          </w14:textFill>
        </w:rPr>
        <w:t>cyclophosphamide</w:t>
      </w:r>
      <w:r>
        <w:rPr>
          <w:rStyle w:val="6"/>
          <w:rFonts w:hint="eastAsia" w:eastAsia="宋体"/>
          <w:color w:val="000000" w:themeColor="text1"/>
          <w:sz w:val="21"/>
          <w:szCs w:val="21"/>
          <w:lang w:bidi="ar"/>
          <w14:textFill>
            <w14:solidFill>
              <w14:schemeClr w14:val="tx1"/>
            </w14:solidFill>
          </w14:textFill>
        </w:rPr>
        <w:t xml:space="preserve">; </w:t>
      </w:r>
      <w:r>
        <w:rPr>
          <w:rStyle w:val="6"/>
          <w:rFonts w:eastAsia="宋体"/>
          <w:color w:val="000000" w:themeColor="text1"/>
          <w:sz w:val="21"/>
          <w:szCs w:val="21"/>
          <w:lang w:bidi="ar"/>
          <w14:textFill>
            <w14:solidFill>
              <w14:schemeClr w14:val="tx1"/>
            </w14:solidFill>
          </w14:textFill>
        </w:rPr>
        <w:t>MMF</w:t>
      </w:r>
      <w:r>
        <w:rPr>
          <w:rStyle w:val="6"/>
          <w:rFonts w:hint="eastAsia" w:eastAsia="宋体"/>
          <w:color w:val="000000" w:themeColor="text1"/>
          <w:sz w:val="21"/>
          <w:szCs w:val="21"/>
          <w:lang w:bidi="ar"/>
          <w14:textFill>
            <w14:solidFill>
              <w14:schemeClr w14:val="tx1"/>
            </w14:solidFill>
          </w14:textFill>
        </w:rPr>
        <w:t xml:space="preserve">, </w:t>
      </w:r>
      <w:r>
        <w:rPr>
          <w:rStyle w:val="6"/>
          <w:rFonts w:eastAsia="宋体"/>
          <w:color w:val="000000" w:themeColor="text1"/>
          <w:sz w:val="21"/>
          <w:szCs w:val="21"/>
          <w:lang w:bidi="ar"/>
          <w14:textFill>
            <w14:solidFill>
              <w14:schemeClr w14:val="tx1"/>
            </w14:solidFill>
          </w14:textFill>
        </w:rPr>
        <w:t>mycophenolate mofetil</w:t>
      </w:r>
      <w:r>
        <w:rPr>
          <w:rStyle w:val="6"/>
          <w:rFonts w:hint="eastAsia" w:eastAsia="宋体"/>
          <w:color w:val="000000" w:themeColor="text1"/>
          <w:sz w:val="21"/>
          <w:szCs w:val="21"/>
          <w:lang w:bidi="ar"/>
          <w14:textFill>
            <w14:solidFill>
              <w14:schemeClr w14:val="tx1"/>
            </w14:solidFill>
          </w14:textFill>
        </w:rPr>
        <w:t xml:space="preserve">; -, </w:t>
      </w:r>
      <w:r>
        <w:rPr>
          <w:rStyle w:val="6"/>
          <w:rFonts w:eastAsia="宋体"/>
          <w:color w:val="000000" w:themeColor="text1"/>
          <w:sz w:val="21"/>
          <w:szCs w:val="21"/>
          <w:lang w:bidi="ar"/>
          <w14:textFill>
            <w14:solidFill>
              <w14:schemeClr w14:val="tx1"/>
            </w14:solidFill>
          </w14:textFill>
        </w:rPr>
        <w:t>not performed</w:t>
      </w:r>
    </w:p>
    <w:tbl>
      <w:tblPr>
        <w:tblStyle w:val="2"/>
        <w:tblpPr w:leftFromText="180" w:rightFromText="180" w:vertAnchor="page" w:horzAnchor="page" w:tblpXSpec="center" w:tblpY="2194"/>
        <w:tblOverlap w:val="never"/>
        <w:tblW w:w="15092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0"/>
        <w:gridCol w:w="1223"/>
        <w:gridCol w:w="1027"/>
        <w:gridCol w:w="1379"/>
        <w:gridCol w:w="1304"/>
        <w:gridCol w:w="1679"/>
        <w:gridCol w:w="1017"/>
        <w:gridCol w:w="812"/>
        <w:gridCol w:w="1159"/>
        <w:gridCol w:w="2942"/>
      </w:tblGrid>
      <w:tr w14:paraId="4E36D45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550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3386908A"/>
          <w:p w14:paraId="6905A3C3">
            <w:pPr>
              <w:snapToGrid w:val="0"/>
              <w:jc w:val="right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Item</w:t>
            </w:r>
          </w:p>
          <w:p w14:paraId="79EF67AB">
            <w:pPr>
              <w:snapToGrid w:val="0"/>
              <w:jc w:val="right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  <w:p w14:paraId="6405B3E5">
            <w:pPr>
              <w:snapToGrid w:val="0"/>
              <w:jc w:val="right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  <w:p w14:paraId="2EAF17F4">
            <w:pPr>
              <w:snapToGrid w:val="0"/>
              <w:jc w:val="left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Time point</w:t>
            </w:r>
          </w:p>
        </w:tc>
        <w:tc>
          <w:tcPr>
            <w:tcW w:w="1223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6BF5A81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AdvP7D09" w:cs="Times New Roman"/>
                <w:color w:val="231F20"/>
                <w:kern w:val="0"/>
                <w:sz w:val="20"/>
                <w:szCs w:val="20"/>
                <w:lang w:bidi="ar"/>
              </w:rPr>
              <w:t>Haemoglobin (g/L)</w:t>
            </w:r>
          </w:p>
        </w:tc>
        <w:tc>
          <w:tcPr>
            <w:tcW w:w="1027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796EFC0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Platelets (x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10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vertAlign w:val="superscript"/>
                <w:lang w:bidi="ar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/L)</w:t>
            </w:r>
          </w:p>
        </w:tc>
        <w:tc>
          <w:tcPr>
            <w:tcW w:w="1379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774B7E9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Lato-Regular" w:cs="Times New Roman"/>
                <w:color w:val="231F20"/>
                <w:kern w:val="0"/>
                <w:sz w:val="20"/>
                <w:szCs w:val="20"/>
                <w:lang w:bidi="ar"/>
              </w:rPr>
              <w:t>Serum creatinine (umol/L)</w:t>
            </w:r>
          </w:p>
        </w:tc>
        <w:tc>
          <w:tcPr>
            <w:tcW w:w="1304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385C519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24hUPro (g)</w:t>
            </w:r>
          </w:p>
        </w:tc>
        <w:tc>
          <w:tcPr>
            <w:tcW w:w="1679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7C14D4B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Lactate dehydrogenase (U/L)</w:t>
            </w:r>
          </w:p>
        </w:tc>
        <w:tc>
          <w:tcPr>
            <w:tcW w:w="1017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5EDAA7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C3 (g/L)</w:t>
            </w:r>
          </w:p>
        </w:tc>
        <w:tc>
          <w:tcPr>
            <w:tcW w:w="812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6DE3BF6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C4</w:t>
            </w:r>
          </w:p>
          <w:p w14:paraId="6D12BF4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(g/L)</w:t>
            </w:r>
          </w:p>
        </w:tc>
        <w:tc>
          <w:tcPr>
            <w:tcW w:w="1159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7F58461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31F20"/>
                <w:sz w:val="20"/>
                <w:szCs w:val="20"/>
              </w:rPr>
            </w:pPr>
            <w:r>
              <w:rPr>
                <w:rStyle w:val="4"/>
                <w:rFonts w:eastAsia="宋体"/>
                <w:lang w:bidi="ar"/>
              </w:rPr>
              <w:t>Anti-dsDNA antibody</w:t>
            </w:r>
            <w:r>
              <w:rPr>
                <w:rStyle w:val="5"/>
                <w:rFonts w:hint="default"/>
              </w:rPr>
              <w:t>(</w:t>
            </w:r>
            <w:r>
              <w:rPr>
                <w:rStyle w:val="4"/>
                <w:rFonts w:eastAsia="宋体"/>
                <w:lang w:bidi="ar"/>
              </w:rPr>
              <w:t>IU/ml</w:t>
            </w: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)</w:t>
            </w:r>
          </w:p>
        </w:tc>
        <w:tc>
          <w:tcPr>
            <w:tcW w:w="2942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2F31FB4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Treatment</w:t>
            </w:r>
          </w:p>
        </w:tc>
      </w:tr>
      <w:tr w14:paraId="7A1359A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2550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2F31364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 Baseline</w:t>
            </w:r>
          </w:p>
        </w:tc>
        <w:tc>
          <w:tcPr>
            <w:tcW w:w="1223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5EEB5A4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80</w:t>
            </w:r>
          </w:p>
        </w:tc>
        <w:tc>
          <w:tcPr>
            <w:tcW w:w="1027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3883A69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108</w:t>
            </w:r>
          </w:p>
        </w:tc>
        <w:tc>
          <w:tcPr>
            <w:tcW w:w="1379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503D018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97</w:t>
            </w:r>
          </w:p>
        </w:tc>
        <w:tc>
          <w:tcPr>
            <w:tcW w:w="1304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6822442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9.8</w:t>
            </w:r>
          </w:p>
        </w:tc>
        <w:tc>
          <w:tcPr>
            <w:tcW w:w="1679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3C67CF3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526</w:t>
            </w:r>
          </w:p>
        </w:tc>
        <w:tc>
          <w:tcPr>
            <w:tcW w:w="1017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39E605B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0.2</w:t>
            </w:r>
          </w:p>
        </w:tc>
        <w:tc>
          <w:tcPr>
            <w:tcW w:w="812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5808443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0.06</w:t>
            </w:r>
          </w:p>
        </w:tc>
        <w:tc>
          <w:tcPr>
            <w:tcW w:w="1159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251945E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302.89</w:t>
            </w:r>
          </w:p>
        </w:tc>
        <w:tc>
          <w:tcPr>
            <w:tcW w:w="2942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3909D1CB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 w14:paraId="786153F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2550" w:type="dxa"/>
            <w:shd w:val="clear" w:color="auto" w:fill="auto"/>
            <w:noWrap/>
            <w:vAlign w:val="center"/>
          </w:tcPr>
          <w:p w14:paraId="024301B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Day 10 of treatment</w:t>
            </w:r>
          </w:p>
        </w:tc>
        <w:tc>
          <w:tcPr>
            <w:tcW w:w="1223" w:type="dxa"/>
            <w:shd w:val="clear" w:color="auto" w:fill="auto"/>
            <w:noWrap/>
            <w:vAlign w:val="center"/>
          </w:tcPr>
          <w:p w14:paraId="66DA5FD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79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6920A0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122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1427CE0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79.6</w:t>
            </w:r>
          </w:p>
        </w:tc>
        <w:tc>
          <w:tcPr>
            <w:tcW w:w="1304" w:type="dxa"/>
            <w:shd w:val="clear" w:color="auto" w:fill="auto"/>
            <w:noWrap/>
            <w:vAlign w:val="center"/>
          </w:tcPr>
          <w:p w14:paraId="0CEEFAC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1679" w:type="dxa"/>
            <w:shd w:val="clear" w:color="auto" w:fill="auto"/>
            <w:noWrap/>
            <w:vAlign w:val="center"/>
          </w:tcPr>
          <w:p w14:paraId="1A10910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414.7</w:t>
            </w:r>
          </w:p>
        </w:tc>
        <w:tc>
          <w:tcPr>
            <w:tcW w:w="1017" w:type="dxa"/>
            <w:shd w:val="clear" w:color="auto" w:fill="auto"/>
            <w:noWrap/>
            <w:vAlign w:val="center"/>
          </w:tcPr>
          <w:p w14:paraId="21CBD786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12" w:type="dxa"/>
            <w:shd w:val="clear" w:color="auto" w:fill="auto"/>
            <w:noWrap/>
            <w:vAlign w:val="center"/>
          </w:tcPr>
          <w:p w14:paraId="5B5E55BA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159" w:type="dxa"/>
            <w:shd w:val="clear" w:color="auto" w:fill="auto"/>
            <w:noWrap/>
            <w:vAlign w:val="center"/>
          </w:tcPr>
          <w:p w14:paraId="1553A15C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942" w:type="dxa"/>
            <w:shd w:val="clear" w:color="auto" w:fill="auto"/>
            <w:noWrap/>
            <w:vAlign w:val="center"/>
          </w:tcPr>
          <w:p w14:paraId="0C32A7E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31F20"/>
                <w:sz w:val="20"/>
                <w:szCs w:val="20"/>
              </w:rPr>
            </w:pPr>
            <w:r>
              <w:rPr>
                <w:rStyle w:val="6"/>
                <w:rFonts w:eastAsia="宋体"/>
                <w:sz w:val="20"/>
                <w:szCs w:val="20"/>
                <w:lang w:bidi="ar"/>
              </w:rPr>
              <w:t>GC high-dose corticosteroids HCQ</w:t>
            </w:r>
          </w:p>
        </w:tc>
      </w:tr>
      <w:tr w14:paraId="08F4545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2550" w:type="dxa"/>
            <w:shd w:val="clear" w:color="auto" w:fill="auto"/>
            <w:noWrap/>
            <w:vAlign w:val="center"/>
          </w:tcPr>
          <w:p w14:paraId="013A22B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Day 20 of treatment</w:t>
            </w:r>
          </w:p>
        </w:tc>
        <w:tc>
          <w:tcPr>
            <w:tcW w:w="1223" w:type="dxa"/>
            <w:shd w:val="clear" w:color="auto" w:fill="auto"/>
            <w:noWrap/>
            <w:vAlign w:val="center"/>
          </w:tcPr>
          <w:p w14:paraId="1DAF9A4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80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5A9D359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162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3BD2AA8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114.2</w:t>
            </w:r>
          </w:p>
        </w:tc>
        <w:tc>
          <w:tcPr>
            <w:tcW w:w="1304" w:type="dxa"/>
            <w:shd w:val="clear" w:color="auto" w:fill="auto"/>
            <w:noWrap/>
            <w:vAlign w:val="center"/>
          </w:tcPr>
          <w:p w14:paraId="30E61739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79" w:type="dxa"/>
            <w:shd w:val="clear" w:color="auto" w:fill="auto"/>
            <w:noWrap/>
            <w:vAlign w:val="center"/>
          </w:tcPr>
          <w:p w14:paraId="300A8C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679.8</w:t>
            </w:r>
          </w:p>
        </w:tc>
        <w:tc>
          <w:tcPr>
            <w:tcW w:w="1017" w:type="dxa"/>
            <w:shd w:val="clear" w:color="auto" w:fill="auto"/>
            <w:noWrap/>
            <w:vAlign w:val="center"/>
          </w:tcPr>
          <w:p w14:paraId="4BB7FC58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12" w:type="dxa"/>
            <w:shd w:val="clear" w:color="auto" w:fill="auto"/>
            <w:noWrap/>
            <w:vAlign w:val="center"/>
          </w:tcPr>
          <w:p w14:paraId="20194F3C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159" w:type="dxa"/>
            <w:shd w:val="clear" w:color="auto" w:fill="auto"/>
            <w:noWrap/>
            <w:vAlign w:val="center"/>
          </w:tcPr>
          <w:p w14:paraId="0308A6E6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942" w:type="dxa"/>
            <w:shd w:val="clear" w:color="auto" w:fill="auto"/>
            <w:noWrap/>
            <w:vAlign w:val="center"/>
          </w:tcPr>
          <w:p w14:paraId="119BB95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GC </w:t>
            </w:r>
            <w:r>
              <w:rPr>
                <w:rStyle w:val="6"/>
                <w:rFonts w:eastAsia="宋体"/>
                <w:sz w:val="20"/>
                <w:szCs w:val="20"/>
                <w:lang w:bidi="ar"/>
              </w:rPr>
              <w:t xml:space="preserve">high-dose corticosteroids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HCQ</w:t>
            </w:r>
          </w:p>
        </w:tc>
      </w:tr>
      <w:tr w14:paraId="4C6DF65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550" w:type="dxa"/>
            <w:shd w:val="clear" w:color="auto" w:fill="auto"/>
            <w:noWrap/>
            <w:vAlign w:val="center"/>
          </w:tcPr>
          <w:p w14:paraId="0FE729F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Day 30 of treatment</w:t>
            </w:r>
          </w:p>
        </w:tc>
        <w:tc>
          <w:tcPr>
            <w:tcW w:w="1223" w:type="dxa"/>
            <w:shd w:val="clear" w:color="auto" w:fill="auto"/>
            <w:noWrap/>
            <w:vAlign w:val="center"/>
          </w:tcPr>
          <w:p w14:paraId="1133B39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74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5393FDC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39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6144952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98.5</w:t>
            </w:r>
          </w:p>
        </w:tc>
        <w:tc>
          <w:tcPr>
            <w:tcW w:w="1304" w:type="dxa"/>
            <w:shd w:val="clear" w:color="auto" w:fill="auto"/>
            <w:noWrap/>
            <w:vAlign w:val="center"/>
          </w:tcPr>
          <w:p w14:paraId="22FD0594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79" w:type="dxa"/>
            <w:shd w:val="clear" w:color="auto" w:fill="auto"/>
            <w:noWrap/>
            <w:vAlign w:val="center"/>
          </w:tcPr>
          <w:p w14:paraId="44E3987D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17" w:type="dxa"/>
            <w:shd w:val="clear" w:color="auto" w:fill="auto"/>
            <w:noWrap/>
            <w:vAlign w:val="center"/>
          </w:tcPr>
          <w:p w14:paraId="15A229F4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12" w:type="dxa"/>
            <w:shd w:val="clear" w:color="auto" w:fill="auto"/>
            <w:noWrap/>
            <w:vAlign w:val="center"/>
          </w:tcPr>
          <w:p w14:paraId="7C05922A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159" w:type="dxa"/>
            <w:shd w:val="clear" w:color="auto" w:fill="auto"/>
            <w:noWrap/>
            <w:vAlign w:val="center"/>
          </w:tcPr>
          <w:p w14:paraId="129C81C1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942" w:type="dxa"/>
            <w:shd w:val="clear" w:color="auto" w:fill="auto"/>
            <w:noWrap/>
            <w:vAlign w:val="center"/>
          </w:tcPr>
          <w:p w14:paraId="2274569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GC </w:t>
            </w:r>
            <w:r>
              <w:rPr>
                <w:rStyle w:val="6"/>
                <w:rFonts w:eastAsia="宋体"/>
                <w:sz w:val="20"/>
                <w:szCs w:val="20"/>
                <w:lang w:bidi="ar"/>
              </w:rPr>
              <w:t>high-dose corticosteroids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  IVIG HCQ</w:t>
            </w:r>
          </w:p>
        </w:tc>
      </w:tr>
      <w:tr w14:paraId="2195EE3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550" w:type="dxa"/>
            <w:shd w:val="clear" w:color="auto" w:fill="auto"/>
            <w:noWrap/>
            <w:vAlign w:val="center"/>
          </w:tcPr>
          <w:p w14:paraId="7B2FD5C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Day after 5 PEX</w:t>
            </w:r>
          </w:p>
        </w:tc>
        <w:tc>
          <w:tcPr>
            <w:tcW w:w="1223" w:type="dxa"/>
            <w:shd w:val="clear" w:color="auto" w:fill="auto"/>
            <w:noWrap/>
            <w:vAlign w:val="center"/>
          </w:tcPr>
          <w:p w14:paraId="54566C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64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2623075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76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2C0FD90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82.6</w:t>
            </w:r>
          </w:p>
        </w:tc>
        <w:tc>
          <w:tcPr>
            <w:tcW w:w="1304" w:type="dxa"/>
            <w:shd w:val="clear" w:color="auto" w:fill="auto"/>
            <w:noWrap/>
            <w:vAlign w:val="center"/>
          </w:tcPr>
          <w:p w14:paraId="73EE0F5F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79" w:type="dxa"/>
            <w:shd w:val="clear" w:color="auto" w:fill="auto"/>
            <w:noWrap/>
            <w:vAlign w:val="center"/>
          </w:tcPr>
          <w:p w14:paraId="1D59972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416.2</w:t>
            </w:r>
          </w:p>
        </w:tc>
        <w:tc>
          <w:tcPr>
            <w:tcW w:w="1017" w:type="dxa"/>
            <w:shd w:val="clear" w:color="auto" w:fill="auto"/>
            <w:noWrap/>
            <w:vAlign w:val="center"/>
          </w:tcPr>
          <w:p w14:paraId="0D237618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12" w:type="dxa"/>
            <w:shd w:val="clear" w:color="auto" w:fill="auto"/>
            <w:noWrap/>
            <w:vAlign w:val="center"/>
          </w:tcPr>
          <w:p w14:paraId="053395F7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159" w:type="dxa"/>
            <w:shd w:val="clear" w:color="auto" w:fill="auto"/>
            <w:noWrap/>
            <w:vAlign w:val="center"/>
          </w:tcPr>
          <w:p w14:paraId="591FAE58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942" w:type="dxa"/>
            <w:shd w:val="clear" w:color="auto" w:fill="auto"/>
            <w:noWrap/>
            <w:vAlign w:val="center"/>
          </w:tcPr>
          <w:p w14:paraId="1D953F5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GC PEX HCQ</w:t>
            </w:r>
          </w:p>
        </w:tc>
      </w:tr>
      <w:tr w14:paraId="3082C78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550" w:type="dxa"/>
            <w:shd w:val="clear" w:color="auto" w:fill="auto"/>
            <w:noWrap/>
            <w:vAlign w:val="center"/>
          </w:tcPr>
          <w:p w14:paraId="48AAF72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Day of 1 week after first dose of RTX</w:t>
            </w:r>
          </w:p>
        </w:tc>
        <w:tc>
          <w:tcPr>
            <w:tcW w:w="1223" w:type="dxa"/>
            <w:shd w:val="clear" w:color="auto" w:fill="auto"/>
            <w:noWrap/>
            <w:vAlign w:val="center"/>
          </w:tcPr>
          <w:p w14:paraId="06EC127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79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2DEA27D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87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78BC281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81.4</w:t>
            </w:r>
          </w:p>
        </w:tc>
        <w:tc>
          <w:tcPr>
            <w:tcW w:w="1304" w:type="dxa"/>
            <w:shd w:val="clear" w:color="auto" w:fill="auto"/>
            <w:noWrap/>
            <w:vAlign w:val="center"/>
          </w:tcPr>
          <w:p w14:paraId="47A72B27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79" w:type="dxa"/>
            <w:shd w:val="clear" w:color="auto" w:fill="auto"/>
            <w:noWrap/>
            <w:vAlign w:val="center"/>
          </w:tcPr>
          <w:p w14:paraId="0892D23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344.8</w:t>
            </w:r>
          </w:p>
        </w:tc>
        <w:tc>
          <w:tcPr>
            <w:tcW w:w="1017" w:type="dxa"/>
            <w:shd w:val="clear" w:color="auto" w:fill="auto"/>
            <w:noWrap/>
            <w:vAlign w:val="center"/>
          </w:tcPr>
          <w:p w14:paraId="62554B3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0.61</w:t>
            </w:r>
          </w:p>
        </w:tc>
        <w:tc>
          <w:tcPr>
            <w:tcW w:w="812" w:type="dxa"/>
            <w:shd w:val="clear" w:color="auto" w:fill="auto"/>
            <w:noWrap/>
            <w:vAlign w:val="center"/>
          </w:tcPr>
          <w:p w14:paraId="5BD083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0.13</w:t>
            </w:r>
          </w:p>
        </w:tc>
        <w:tc>
          <w:tcPr>
            <w:tcW w:w="1159" w:type="dxa"/>
            <w:shd w:val="clear" w:color="auto" w:fill="auto"/>
            <w:noWrap/>
            <w:vAlign w:val="center"/>
          </w:tcPr>
          <w:p w14:paraId="393D8852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942" w:type="dxa"/>
            <w:shd w:val="clear" w:color="auto" w:fill="auto"/>
            <w:noWrap/>
            <w:vAlign w:val="center"/>
          </w:tcPr>
          <w:p w14:paraId="6C76C34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GC PEX RTX HCQ</w:t>
            </w:r>
          </w:p>
        </w:tc>
      </w:tr>
      <w:tr w14:paraId="6A8CB72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550" w:type="dxa"/>
            <w:shd w:val="clear" w:color="auto" w:fill="auto"/>
            <w:noWrap/>
            <w:vAlign w:val="center"/>
          </w:tcPr>
          <w:p w14:paraId="32B0076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Day of 1 week after second dose of RTX</w:t>
            </w:r>
          </w:p>
        </w:tc>
        <w:tc>
          <w:tcPr>
            <w:tcW w:w="1223" w:type="dxa"/>
            <w:shd w:val="clear" w:color="auto" w:fill="auto"/>
            <w:noWrap/>
            <w:vAlign w:val="center"/>
          </w:tcPr>
          <w:p w14:paraId="5E9B123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83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0D4F585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162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3CC78C8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79.9</w:t>
            </w:r>
          </w:p>
        </w:tc>
        <w:tc>
          <w:tcPr>
            <w:tcW w:w="1304" w:type="dxa"/>
            <w:shd w:val="clear" w:color="auto" w:fill="auto"/>
            <w:noWrap/>
            <w:vAlign w:val="center"/>
          </w:tcPr>
          <w:p w14:paraId="0D1AE2B6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79" w:type="dxa"/>
            <w:shd w:val="clear" w:color="auto" w:fill="auto"/>
            <w:noWrap/>
            <w:vAlign w:val="center"/>
          </w:tcPr>
          <w:p w14:paraId="6555A6F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480.3</w:t>
            </w:r>
          </w:p>
        </w:tc>
        <w:tc>
          <w:tcPr>
            <w:tcW w:w="1017" w:type="dxa"/>
            <w:shd w:val="clear" w:color="auto" w:fill="auto"/>
            <w:noWrap/>
            <w:vAlign w:val="center"/>
          </w:tcPr>
          <w:p w14:paraId="32AF6CC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0.85</w:t>
            </w:r>
          </w:p>
        </w:tc>
        <w:tc>
          <w:tcPr>
            <w:tcW w:w="812" w:type="dxa"/>
            <w:shd w:val="clear" w:color="auto" w:fill="auto"/>
            <w:noWrap/>
            <w:vAlign w:val="center"/>
          </w:tcPr>
          <w:p w14:paraId="4532FA1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0.18</w:t>
            </w:r>
          </w:p>
        </w:tc>
        <w:tc>
          <w:tcPr>
            <w:tcW w:w="1159" w:type="dxa"/>
            <w:shd w:val="clear" w:color="auto" w:fill="auto"/>
            <w:noWrap/>
            <w:vAlign w:val="center"/>
          </w:tcPr>
          <w:p w14:paraId="6169173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38.5</w:t>
            </w:r>
          </w:p>
        </w:tc>
        <w:tc>
          <w:tcPr>
            <w:tcW w:w="2942" w:type="dxa"/>
            <w:shd w:val="clear" w:color="auto" w:fill="auto"/>
            <w:noWrap/>
            <w:vAlign w:val="center"/>
          </w:tcPr>
          <w:p w14:paraId="151C2EB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GC HCQ CTX RTX</w:t>
            </w:r>
          </w:p>
        </w:tc>
      </w:tr>
      <w:tr w14:paraId="53279C1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550" w:type="dxa"/>
            <w:shd w:val="clear" w:color="auto" w:fill="auto"/>
            <w:noWrap/>
            <w:vAlign w:val="center"/>
          </w:tcPr>
          <w:p w14:paraId="393E65F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Day of 1 week after third dose of RTX</w:t>
            </w:r>
          </w:p>
        </w:tc>
        <w:tc>
          <w:tcPr>
            <w:tcW w:w="1223" w:type="dxa"/>
            <w:shd w:val="clear" w:color="auto" w:fill="auto"/>
            <w:noWrap/>
            <w:vAlign w:val="center"/>
          </w:tcPr>
          <w:p w14:paraId="303995C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100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64E24B5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129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6CED9B7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63.4</w:t>
            </w:r>
          </w:p>
        </w:tc>
        <w:tc>
          <w:tcPr>
            <w:tcW w:w="1304" w:type="dxa"/>
            <w:shd w:val="clear" w:color="auto" w:fill="auto"/>
            <w:noWrap/>
            <w:vAlign w:val="center"/>
          </w:tcPr>
          <w:p w14:paraId="4E9E7AB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2.87</w:t>
            </w:r>
          </w:p>
        </w:tc>
        <w:tc>
          <w:tcPr>
            <w:tcW w:w="1679" w:type="dxa"/>
            <w:shd w:val="clear" w:color="auto" w:fill="auto"/>
            <w:noWrap/>
            <w:vAlign w:val="center"/>
          </w:tcPr>
          <w:p w14:paraId="344EE14F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17" w:type="dxa"/>
            <w:shd w:val="clear" w:color="auto" w:fill="auto"/>
            <w:noWrap/>
            <w:vAlign w:val="center"/>
          </w:tcPr>
          <w:p w14:paraId="0DE522D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1.15</w:t>
            </w:r>
          </w:p>
        </w:tc>
        <w:tc>
          <w:tcPr>
            <w:tcW w:w="812" w:type="dxa"/>
            <w:shd w:val="clear" w:color="auto" w:fill="auto"/>
            <w:noWrap/>
            <w:vAlign w:val="center"/>
          </w:tcPr>
          <w:p w14:paraId="5AED881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0.25</w:t>
            </w:r>
          </w:p>
        </w:tc>
        <w:tc>
          <w:tcPr>
            <w:tcW w:w="1159" w:type="dxa"/>
            <w:shd w:val="clear" w:color="auto" w:fill="auto"/>
            <w:noWrap/>
            <w:vAlign w:val="center"/>
          </w:tcPr>
          <w:p w14:paraId="72888EF3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942" w:type="dxa"/>
            <w:shd w:val="clear" w:color="auto" w:fill="auto"/>
            <w:noWrap/>
            <w:vAlign w:val="center"/>
          </w:tcPr>
          <w:p w14:paraId="326D05C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GC MMF HCQ CTX RTX</w:t>
            </w:r>
          </w:p>
        </w:tc>
      </w:tr>
      <w:tr w14:paraId="60CC1C9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2550" w:type="dxa"/>
            <w:shd w:val="clear" w:color="auto" w:fill="auto"/>
            <w:noWrap/>
            <w:vAlign w:val="center"/>
          </w:tcPr>
          <w:p w14:paraId="3F8AC64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Day before the first dose of BLM</w:t>
            </w:r>
          </w:p>
        </w:tc>
        <w:tc>
          <w:tcPr>
            <w:tcW w:w="1223" w:type="dxa"/>
            <w:shd w:val="clear" w:color="auto" w:fill="auto"/>
            <w:noWrap/>
            <w:vAlign w:val="center"/>
          </w:tcPr>
          <w:p w14:paraId="42EE70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123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0825F53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235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0FADC0B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53.3</w:t>
            </w:r>
          </w:p>
        </w:tc>
        <w:tc>
          <w:tcPr>
            <w:tcW w:w="1304" w:type="dxa"/>
            <w:shd w:val="clear" w:color="auto" w:fill="auto"/>
            <w:noWrap/>
            <w:vAlign w:val="center"/>
          </w:tcPr>
          <w:p w14:paraId="4751C3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1.18</w:t>
            </w:r>
          </w:p>
        </w:tc>
        <w:tc>
          <w:tcPr>
            <w:tcW w:w="1679" w:type="dxa"/>
            <w:shd w:val="clear" w:color="auto" w:fill="auto"/>
            <w:noWrap/>
            <w:vAlign w:val="center"/>
          </w:tcPr>
          <w:p w14:paraId="2B6A94EF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17" w:type="dxa"/>
            <w:shd w:val="clear" w:color="auto" w:fill="auto"/>
            <w:noWrap/>
            <w:vAlign w:val="center"/>
          </w:tcPr>
          <w:p w14:paraId="085FDE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1,18</w:t>
            </w:r>
          </w:p>
        </w:tc>
        <w:tc>
          <w:tcPr>
            <w:tcW w:w="812" w:type="dxa"/>
            <w:shd w:val="clear" w:color="auto" w:fill="auto"/>
            <w:noWrap/>
            <w:vAlign w:val="center"/>
          </w:tcPr>
          <w:p w14:paraId="5799888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0.24</w:t>
            </w:r>
          </w:p>
        </w:tc>
        <w:tc>
          <w:tcPr>
            <w:tcW w:w="1159" w:type="dxa"/>
            <w:shd w:val="clear" w:color="auto" w:fill="auto"/>
            <w:noWrap/>
            <w:vAlign w:val="center"/>
          </w:tcPr>
          <w:p w14:paraId="7AAE3DD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＜10</w:t>
            </w:r>
          </w:p>
        </w:tc>
        <w:tc>
          <w:tcPr>
            <w:tcW w:w="2942" w:type="dxa"/>
            <w:shd w:val="clear" w:color="auto" w:fill="auto"/>
            <w:noWrap/>
            <w:vAlign w:val="center"/>
          </w:tcPr>
          <w:p w14:paraId="24DE8CF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GC MMF HCQ</w:t>
            </w:r>
          </w:p>
        </w:tc>
      </w:tr>
      <w:tr w14:paraId="46FFAD0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550" w:type="dxa"/>
            <w:shd w:val="clear" w:color="auto" w:fill="auto"/>
            <w:noWrap/>
            <w:vAlign w:val="center"/>
          </w:tcPr>
          <w:p w14:paraId="36F8398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 year follow-up</w:t>
            </w:r>
          </w:p>
        </w:tc>
        <w:tc>
          <w:tcPr>
            <w:tcW w:w="1223" w:type="dxa"/>
            <w:shd w:val="clear" w:color="auto" w:fill="auto"/>
            <w:noWrap/>
            <w:vAlign w:val="center"/>
          </w:tcPr>
          <w:p w14:paraId="66C5100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126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0FE3EF9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319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46DD8B8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61.8</w:t>
            </w:r>
          </w:p>
        </w:tc>
        <w:tc>
          <w:tcPr>
            <w:tcW w:w="1304" w:type="dxa"/>
            <w:shd w:val="clear" w:color="auto" w:fill="auto"/>
            <w:noWrap/>
            <w:vAlign w:val="center"/>
          </w:tcPr>
          <w:p w14:paraId="3175DFA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0.11</w:t>
            </w:r>
          </w:p>
        </w:tc>
        <w:tc>
          <w:tcPr>
            <w:tcW w:w="1679" w:type="dxa"/>
            <w:shd w:val="clear" w:color="auto" w:fill="auto"/>
            <w:noWrap/>
            <w:vAlign w:val="center"/>
          </w:tcPr>
          <w:p w14:paraId="0A63AA47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17" w:type="dxa"/>
            <w:shd w:val="clear" w:color="auto" w:fill="auto"/>
            <w:noWrap/>
            <w:vAlign w:val="center"/>
          </w:tcPr>
          <w:p w14:paraId="7B42545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1.23</w:t>
            </w:r>
          </w:p>
        </w:tc>
        <w:tc>
          <w:tcPr>
            <w:tcW w:w="812" w:type="dxa"/>
            <w:shd w:val="clear" w:color="auto" w:fill="auto"/>
            <w:noWrap/>
            <w:vAlign w:val="center"/>
          </w:tcPr>
          <w:p w14:paraId="3D8F18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0.29</w:t>
            </w:r>
          </w:p>
        </w:tc>
        <w:tc>
          <w:tcPr>
            <w:tcW w:w="1159" w:type="dxa"/>
            <w:shd w:val="clear" w:color="auto" w:fill="auto"/>
            <w:noWrap/>
            <w:vAlign w:val="center"/>
          </w:tcPr>
          <w:p w14:paraId="56C2D67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11.48</w:t>
            </w:r>
          </w:p>
        </w:tc>
        <w:tc>
          <w:tcPr>
            <w:tcW w:w="2942" w:type="dxa"/>
            <w:shd w:val="clear" w:color="auto" w:fill="auto"/>
            <w:noWrap/>
            <w:vAlign w:val="center"/>
          </w:tcPr>
          <w:p w14:paraId="4B218B3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GC MMF HCQ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BL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>E</w:t>
            </w:r>
          </w:p>
        </w:tc>
      </w:tr>
      <w:tr w14:paraId="14F2AC6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550" w:type="dxa"/>
            <w:shd w:val="clear" w:color="auto" w:fill="auto"/>
            <w:noWrap/>
            <w:vAlign w:val="center"/>
          </w:tcPr>
          <w:p w14:paraId="261464E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 year follow-up</w:t>
            </w:r>
          </w:p>
        </w:tc>
        <w:tc>
          <w:tcPr>
            <w:tcW w:w="1223" w:type="dxa"/>
            <w:shd w:val="clear" w:color="auto" w:fill="auto"/>
            <w:noWrap/>
            <w:vAlign w:val="center"/>
          </w:tcPr>
          <w:p w14:paraId="1D1B96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125</w:t>
            </w:r>
          </w:p>
        </w:tc>
        <w:tc>
          <w:tcPr>
            <w:tcW w:w="1027" w:type="dxa"/>
            <w:shd w:val="clear" w:color="auto" w:fill="auto"/>
            <w:noWrap/>
            <w:vAlign w:val="center"/>
          </w:tcPr>
          <w:p w14:paraId="6E5B98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324</w:t>
            </w: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1FE0FD8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56.3</w:t>
            </w:r>
          </w:p>
        </w:tc>
        <w:tc>
          <w:tcPr>
            <w:tcW w:w="1304" w:type="dxa"/>
            <w:shd w:val="clear" w:color="auto" w:fill="auto"/>
            <w:noWrap/>
            <w:vAlign w:val="center"/>
          </w:tcPr>
          <w:p w14:paraId="68A2C3B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0.08</w:t>
            </w:r>
          </w:p>
        </w:tc>
        <w:tc>
          <w:tcPr>
            <w:tcW w:w="1679" w:type="dxa"/>
            <w:shd w:val="clear" w:color="auto" w:fill="auto"/>
            <w:noWrap/>
            <w:vAlign w:val="center"/>
          </w:tcPr>
          <w:p w14:paraId="1C6309DE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17" w:type="dxa"/>
            <w:shd w:val="clear" w:color="auto" w:fill="auto"/>
            <w:noWrap/>
            <w:vAlign w:val="center"/>
          </w:tcPr>
          <w:p w14:paraId="45A771D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1.17</w:t>
            </w:r>
          </w:p>
        </w:tc>
        <w:tc>
          <w:tcPr>
            <w:tcW w:w="812" w:type="dxa"/>
            <w:shd w:val="clear" w:color="auto" w:fill="auto"/>
            <w:noWrap/>
            <w:vAlign w:val="center"/>
          </w:tcPr>
          <w:p w14:paraId="4DDBB5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0.3</w:t>
            </w:r>
          </w:p>
        </w:tc>
        <w:tc>
          <w:tcPr>
            <w:tcW w:w="1159" w:type="dxa"/>
            <w:shd w:val="clear" w:color="auto" w:fill="auto"/>
            <w:noWrap/>
            <w:vAlign w:val="center"/>
          </w:tcPr>
          <w:p w14:paraId="503BBE7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＜10</w:t>
            </w:r>
          </w:p>
        </w:tc>
        <w:tc>
          <w:tcPr>
            <w:tcW w:w="2942" w:type="dxa"/>
            <w:shd w:val="clear" w:color="auto" w:fill="auto"/>
            <w:noWrap/>
            <w:vAlign w:val="center"/>
          </w:tcPr>
          <w:p w14:paraId="42D26B3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MMF HCQ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BL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>E</w:t>
            </w:r>
          </w:p>
        </w:tc>
      </w:tr>
    </w:tbl>
    <w:p w14:paraId="5D21F55A">
      <w:pPr>
        <w:snapToGrid w:val="0"/>
        <w:rPr>
          <w:rFonts w:ascii="Times New Roman" w:hAnsi="Times New Roman" w:eastAsia="宋体" w:cs="Times New Roman"/>
          <w:color w:val="000000"/>
          <w:sz w:val="20"/>
          <w:szCs w:val="20"/>
        </w:rPr>
      </w:pPr>
      <w:r>
        <w:rPr>
          <w:rFonts w:hint="eastAsia" w:ascii="Times New Roman" w:hAnsi="Times New Roman" w:eastAsia="宋体" w:cs="Times New Roman"/>
          <w:color w:val="000000"/>
          <w:sz w:val="20"/>
          <w:szCs w:val="20"/>
        </w:rPr>
        <w:t xml:space="preserve">Table 3 </w:t>
      </w:r>
      <w:r>
        <w:rPr>
          <w:rFonts w:ascii="Times New Roman" w:hAnsi="Times New Roman" w:eastAsia="宋体" w:cs="Times New Roman"/>
          <w:color w:val="000000"/>
          <w:sz w:val="20"/>
          <w:szCs w:val="20"/>
        </w:rPr>
        <w:t>Laboratory test results for Patient 2 at</w:t>
      </w:r>
      <w:r>
        <w:rPr>
          <w:rFonts w:hint="eastAsia" w:ascii="Times New Roman" w:hAnsi="Times New Roman" w:eastAsia="宋体" w:cs="Times New Roman"/>
          <w:color w:val="000000"/>
          <w:sz w:val="20"/>
          <w:szCs w:val="20"/>
        </w:rPr>
        <w:t xml:space="preserve"> different time points</w:t>
      </w:r>
    </w:p>
    <w:p w14:paraId="4F954910">
      <w:pPr>
        <w:spacing w:line="360" w:lineRule="auto"/>
        <w:jc w:val="left"/>
        <w:rPr>
          <w:rStyle w:val="6"/>
          <w:rFonts w:eastAsia="宋体"/>
          <w:color w:val="000000" w:themeColor="text1"/>
          <w:sz w:val="21"/>
          <w:szCs w:val="21"/>
          <w:lang w:bidi="ar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Style w:val="6"/>
          <w:color w:val="000000" w:themeColor="text1"/>
          <w:sz w:val="21"/>
          <w:szCs w:val="21"/>
          <w:lang w:bidi="ar"/>
          <w14:textFill>
            <w14:solidFill>
              <w14:schemeClr w14:val="tx1"/>
            </w14:solidFill>
          </w14:textFill>
        </w:rPr>
        <w:t>Abbreviations: 24hUPro, 24-h urine protein;</w:t>
      </w:r>
      <w:r>
        <w:rPr>
          <w:rStyle w:val="6"/>
          <w:rFonts w:hint="eastAsia"/>
          <w:color w:val="000000" w:themeColor="text1"/>
          <w:sz w:val="21"/>
          <w:szCs w:val="21"/>
          <w:lang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Style w:val="6"/>
          <w:color w:val="000000" w:themeColor="text1"/>
          <w:sz w:val="21"/>
          <w:szCs w:val="21"/>
          <w:lang w:bidi="ar"/>
          <w14:textFill>
            <w14:solidFill>
              <w14:schemeClr w14:val="tx1"/>
            </w14:solidFill>
          </w14:textFill>
        </w:rPr>
        <w:t>C3, complement 3; C4, complement 4;</w:t>
      </w:r>
      <w:r>
        <w:rPr>
          <w:rStyle w:val="6"/>
          <w:rFonts w:hint="eastAsia"/>
          <w:color w:val="000000" w:themeColor="text1"/>
          <w:sz w:val="21"/>
          <w:szCs w:val="21"/>
          <w:lang w:bidi="ar"/>
          <w14:textFill>
            <w14:solidFill>
              <w14:schemeClr w14:val="tx1"/>
            </w14:solidFill>
          </w14:textFill>
        </w:rPr>
        <w:t xml:space="preserve"> PEX, </w:t>
      </w:r>
      <w:r>
        <w:rPr>
          <w:rStyle w:val="6"/>
          <w:rFonts w:hint="eastAsia" w:eastAsia="宋体"/>
          <w:color w:val="000000" w:themeColor="text1"/>
          <w:sz w:val="21"/>
          <w:szCs w:val="21"/>
          <w:lang w:bidi="ar"/>
          <w14:textFill>
            <w14:solidFill>
              <w14:schemeClr w14:val="tx1"/>
            </w14:solidFill>
          </w14:textFill>
        </w:rPr>
        <w:t xml:space="preserve">plasma exchange, </w:t>
      </w:r>
      <w:r>
        <w:rPr>
          <w:rStyle w:val="6"/>
          <w:rFonts w:eastAsia="宋体"/>
          <w:color w:val="000000" w:themeColor="text1"/>
          <w:sz w:val="21"/>
          <w:szCs w:val="21"/>
          <w:lang w:bidi="ar"/>
          <w14:textFill>
            <w14:solidFill>
              <w14:schemeClr w14:val="tx1"/>
            </w14:solidFill>
          </w14:textFill>
        </w:rPr>
        <w:t>RTX</w:t>
      </w:r>
      <w:r>
        <w:rPr>
          <w:rStyle w:val="6"/>
          <w:rFonts w:hint="eastAsia" w:eastAsia="宋体"/>
          <w:color w:val="000000" w:themeColor="text1"/>
          <w:sz w:val="21"/>
          <w:szCs w:val="21"/>
          <w:lang w:bidi="ar"/>
          <w14:textFill>
            <w14:solidFill>
              <w14:schemeClr w14:val="tx1"/>
            </w14:solidFill>
          </w14:textFill>
        </w:rPr>
        <w:t xml:space="preserve">, rituximab; </w:t>
      </w:r>
      <w:r>
        <w:rPr>
          <w:rStyle w:val="6"/>
          <w:rFonts w:eastAsia="宋体"/>
          <w:color w:val="000000" w:themeColor="text1"/>
          <w:sz w:val="21"/>
          <w:szCs w:val="21"/>
          <w:lang w:bidi="ar"/>
          <w14:textFill>
            <w14:solidFill>
              <w14:schemeClr w14:val="tx1"/>
            </w14:solidFill>
          </w14:textFill>
        </w:rPr>
        <w:t>B</w:t>
      </w:r>
      <w:r>
        <w:rPr>
          <w:rStyle w:val="6"/>
          <w:rFonts w:hint="eastAsia" w:eastAsia="宋体"/>
          <w:color w:val="000000" w:themeColor="text1"/>
          <w:sz w:val="21"/>
          <w:szCs w:val="21"/>
          <w:lang w:bidi="ar"/>
          <w14:textFill>
            <w14:solidFill>
              <w14:schemeClr w14:val="tx1"/>
            </w14:solidFill>
          </w14:textFill>
        </w:rPr>
        <w:t xml:space="preserve">EL, belimumab; GC, </w:t>
      </w:r>
      <w:r>
        <w:rPr>
          <w:rStyle w:val="6"/>
          <w:rFonts w:eastAsia="宋体"/>
          <w:color w:val="000000" w:themeColor="text1"/>
          <w:sz w:val="21"/>
          <w:szCs w:val="21"/>
          <w:lang w:bidi="ar"/>
          <w14:textFill>
            <w14:solidFill>
              <w14:schemeClr w14:val="tx1"/>
            </w14:solidFill>
          </w14:textFill>
        </w:rPr>
        <w:t>glucocorticoid</w:t>
      </w:r>
      <w:r>
        <w:rPr>
          <w:rStyle w:val="6"/>
          <w:rFonts w:hint="eastAsia" w:eastAsia="宋体"/>
          <w:color w:val="000000" w:themeColor="text1"/>
          <w:sz w:val="21"/>
          <w:szCs w:val="21"/>
          <w:lang w:bidi="ar"/>
          <w14:textFill>
            <w14:solidFill>
              <w14:schemeClr w14:val="tx1"/>
            </w14:solidFill>
          </w14:textFill>
        </w:rPr>
        <w:t xml:space="preserve">; </w:t>
      </w:r>
      <w:r>
        <w:rPr>
          <w:rStyle w:val="6"/>
          <w:rFonts w:eastAsia="宋体"/>
          <w:color w:val="000000" w:themeColor="text1"/>
          <w:sz w:val="21"/>
          <w:szCs w:val="21"/>
          <w:lang w:bidi="ar"/>
          <w14:textFill>
            <w14:solidFill>
              <w14:schemeClr w14:val="tx1"/>
            </w14:solidFill>
          </w14:textFill>
        </w:rPr>
        <w:t>HCQ</w:t>
      </w:r>
      <w:r>
        <w:rPr>
          <w:rStyle w:val="6"/>
          <w:rFonts w:hint="eastAsia" w:eastAsia="宋体"/>
          <w:color w:val="000000" w:themeColor="text1"/>
          <w:sz w:val="21"/>
          <w:szCs w:val="21"/>
          <w:lang w:bidi="ar"/>
          <w14:textFill>
            <w14:solidFill>
              <w14:schemeClr w14:val="tx1"/>
            </w14:solidFill>
          </w14:textFill>
        </w:rPr>
        <w:t xml:space="preserve">, </w:t>
      </w:r>
      <w:r>
        <w:rPr>
          <w:rStyle w:val="6"/>
          <w:rFonts w:eastAsia="宋体"/>
          <w:color w:val="000000" w:themeColor="text1"/>
          <w:sz w:val="21"/>
          <w:szCs w:val="21"/>
          <w:lang w:bidi="ar"/>
          <w14:textFill>
            <w14:solidFill>
              <w14:schemeClr w14:val="tx1"/>
            </w14:solidFill>
          </w14:textFill>
        </w:rPr>
        <w:t>hydroxychloroquine</w:t>
      </w:r>
      <w:r>
        <w:rPr>
          <w:rStyle w:val="6"/>
          <w:rFonts w:hint="eastAsia" w:eastAsia="宋体"/>
          <w:color w:val="000000" w:themeColor="text1"/>
          <w:sz w:val="21"/>
          <w:szCs w:val="21"/>
          <w:lang w:bidi="ar"/>
          <w14:textFill>
            <w14:solidFill>
              <w14:schemeClr w14:val="tx1"/>
            </w14:solidFill>
          </w14:textFill>
        </w:rPr>
        <w:t>; IVIG,</w:t>
      </w:r>
      <w:r>
        <w:rPr>
          <w:rStyle w:val="6"/>
          <w:rFonts w:eastAsia="宋体"/>
          <w:color w:val="000000" w:themeColor="text1"/>
          <w:szCs w:val="21"/>
          <w:lang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Style w:val="6"/>
          <w:rFonts w:eastAsia="宋体"/>
          <w:color w:val="000000" w:themeColor="text1"/>
          <w:sz w:val="21"/>
          <w:szCs w:val="21"/>
          <w:lang w:bidi="ar"/>
          <w14:textFill>
            <w14:solidFill>
              <w14:schemeClr w14:val="tx1"/>
            </w14:solidFill>
          </w14:textFill>
        </w:rPr>
        <w:t>intravenous immunoglobulin</w:t>
      </w:r>
      <w:r>
        <w:rPr>
          <w:rStyle w:val="6"/>
          <w:rFonts w:hint="eastAsia" w:eastAsia="宋体"/>
          <w:color w:val="000000" w:themeColor="text1"/>
          <w:sz w:val="21"/>
          <w:szCs w:val="21"/>
          <w:lang w:bidi="ar"/>
          <w14:textFill>
            <w14:solidFill>
              <w14:schemeClr w14:val="tx1"/>
            </w14:solidFill>
          </w14:textFill>
        </w:rPr>
        <w:t xml:space="preserve">; </w:t>
      </w:r>
      <w:r>
        <w:rPr>
          <w:rStyle w:val="6"/>
          <w:rFonts w:eastAsia="宋体"/>
          <w:color w:val="000000" w:themeColor="text1"/>
          <w:sz w:val="21"/>
          <w:szCs w:val="21"/>
          <w:lang w:bidi="ar"/>
          <w14:textFill>
            <w14:solidFill>
              <w14:schemeClr w14:val="tx1"/>
            </w14:solidFill>
          </w14:textFill>
        </w:rPr>
        <w:t>CTX</w:t>
      </w:r>
      <w:r>
        <w:rPr>
          <w:rStyle w:val="6"/>
          <w:rFonts w:hint="eastAsia" w:eastAsia="宋体"/>
          <w:color w:val="000000" w:themeColor="text1"/>
          <w:sz w:val="21"/>
          <w:szCs w:val="21"/>
          <w:lang w:bidi="ar"/>
          <w14:textFill>
            <w14:solidFill>
              <w14:schemeClr w14:val="tx1"/>
            </w14:solidFill>
          </w14:textFill>
        </w:rPr>
        <w:t xml:space="preserve">, </w:t>
      </w:r>
      <w:r>
        <w:rPr>
          <w:rStyle w:val="6"/>
          <w:rFonts w:eastAsia="宋体"/>
          <w:color w:val="000000" w:themeColor="text1"/>
          <w:sz w:val="21"/>
          <w:szCs w:val="21"/>
          <w:lang w:bidi="ar"/>
          <w14:textFill>
            <w14:solidFill>
              <w14:schemeClr w14:val="tx1"/>
            </w14:solidFill>
          </w14:textFill>
        </w:rPr>
        <w:t>cyclophosphamide</w:t>
      </w:r>
      <w:r>
        <w:rPr>
          <w:rStyle w:val="6"/>
          <w:rFonts w:hint="eastAsia" w:eastAsia="宋体"/>
          <w:color w:val="000000" w:themeColor="text1"/>
          <w:sz w:val="21"/>
          <w:szCs w:val="21"/>
          <w:lang w:bidi="ar"/>
          <w14:textFill>
            <w14:solidFill>
              <w14:schemeClr w14:val="tx1"/>
            </w14:solidFill>
          </w14:textFill>
        </w:rPr>
        <w:t xml:space="preserve">; </w:t>
      </w:r>
      <w:r>
        <w:rPr>
          <w:rStyle w:val="6"/>
          <w:rFonts w:eastAsia="宋体"/>
          <w:color w:val="000000" w:themeColor="text1"/>
          <w:sz w:val="21"/>
          <w:szCs w:val="21"/>
          <w:lang w:bidi="ar"/>
          <w14:textFill>
            <w14:solidFill>
              <w14:schemeClr w14:val="tx1"/>
            </w14:solidFill>
          </w14:textFill>
        </w:rPr>
        <w:t>MMF</w:t>
      </w:r>
      <w:r>
        <w:rPr>
          <w:rStyle w:val="6"/>
          <w:rFonts w:hint="eastAsia" w:eastAsia="宋体"/>
          <w:color w:val="000000" w:themeColor="text1"/>
          <w:sz w:val="21"/>
          <w:szCs w:val="21"/>
          <w:lang w:bidi="ar"/>
          <w14:textFill>
            <w14:solidFill>
              <w14:schemeClr w14:val="tx1"/>
            </w14:solidFill>
          </w14:textFill>
        </w:rPr>
        <w:t xml:space="preserve">, </w:t>
      </w:r>
      <w:r>
        <w:rPr>
          <w:rStyle w:val="6"/>
          <w:rFonts w:eastAsia="宋体"/>
          <w:color w:val="000000" w:themeColor="text1"/>
          <w:sz w:val="21"/>
          <w:szCs w:val="21"/>
          <w:lang w:bidi="ar"/>
          <w14:textFill>
            <w14:solidFill>
              <w14:schemeClr w14:val="tx1"/>
            </w14:solidFill>
          </w14:textFill>
        </w:rPr>
        <w:t>mycophenolate mofetil</w:t>
      </w:r>
      <w:r>
        <w:rPr>
          <w:rStyle w:val="6"/>
          <w:rFonts w:hint="eastAsia" w:eastAsia="宋体"/>
          <w:color w:val="000000" w:themeColor="text1"/>
          <w:sz w:val="21"/>
          <w:szCs w:val="21"/>
          <w:lang w:bidi="ar"/>
          <w14:textFill>
            <w14:solidFill>
              <w14:schemeClr w14:val="tx1"/>
            </w14:solidFill>
          </w14:textFill>
        </w:rPr>
        <w:t xml:space="preserve">; -, </w:t>
      </w:r>
      <w:r>
        <w:rPr>
          <w:rStyle w:val="6"/>
          <w:rFonts w:eastAsia="宋体"/>
          <w:color w:val="000000" w:themeColor="text1"/>
          <w:sz w:val="21"/>
          <w:szCs w:val="21"/>
          <w:lang w:bidi="ar"/>
          <w14:textFill>
            <w14:solidFill>
              <w14:schemeClr w14:val="tx1"/>
            </w14:solidFill>
          </w14:textFill>
        </w:rPr>
        <w:t>not performed</w:t>
      </w:r>
    </w:p>
    <w:bookmarkEnd w:id="0"/>
    <w:p w14:paraId="5D65F5F8">
      <w:pPr>
        <w:snapToGrid w:val="0"/>
        <w:rPr>
          <w:rFonts w:ascii="Times New Roman" w:hAnsi="Times New Roman" w:eastAsia="宋体" w:cs="Times New Roman"/>
          <w:color w:val="000000"/>
          <w:sz w:val="20"/>
          <w:szCs w:val="20"/>
        </w:rPr>
      </w:pPr>
    </w:p>
    <w:p w14:paraId="2F67DA9F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dvP7D09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Lato-Regular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iYzE5NmZiODdmNDhhNmMyOGY5MGUwYTFiZjkyMmYifQ=="/>
  </w:docVars>
  <w:rsids>
    <w:rsidRoot w:val="00000000"/>
    <w:rsid w:val="551E5E98"/>
    <w:rsid w:val="6E7D4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GB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autoRedefine/>
    <w:qFormat/>
    <w:uiPriority w:val="0"/>
    <w:rPr>
      <w:rFonts w:hint="default" w:ascii="Times New Roman" w:hAnsi="Times New Roman" w:cs="Times New Roman"/>
      <w:color w:val="231F20"/>
      <w:sz w:val="20"/>
      <w:szCs w:val="20"/>
      <w:u w:val="none"/>
    </w:rPr>
  </w:style>
  <w:style w:type="character" w:customStyle="1" w:styleId="5">
    <w:name w:val="font31"/>
    <w:basedOn w:val="3"/>
    <w:autoRedefine/>
    <w:qFormat/>
    <w:uiPriority w:val="0"/>
    <w:rPr>
      <w:rFonts w:hint="eastAsia" w:ascii="宋体" w:hAnsi="宋体" w:eastAsia="宋体" w:cs="宋体"/>
      <w:color w:val="231F20"/>
      <w:sz w:val="20"/>
      <w:szCs w:val="20"/>
      <w:u w:val="none"/>
    </w:rPr>
  </w:style>
  <w:style w:type="character" w:customStyle="1" w:styleId="6">
    <w:name w:val="font21"/>
    <w:basedOn w:val="3"/>
    <w:autoRedefine/>
    <w:qFormat/>
    <w:uiPriority w:val="0"/>
    <w:rPr>
      <w:rFonts w:hint="default" w:ascii="Times New Roman" w:hAnsi="Times New Roman" w:cs="Times New Roman"/>
      <w:color w:val="231F2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504</Words>
  <Characters>2173</Characters>
  <Lines>0</Lines>
  <Paragraphs>0</Paragraphs>
  <TotalTime>1</TotalTime>
  <ScaleCrop>false</ScaleCrop>
  <LinksUpToDate>false</LinksUpToDate>
  <CharactersWithSpaces>2430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2024-04-13T11:04:00Z</dcterms:created>
  <dc:creator>Lenovo</dc:creator>
  <cp:lastModifiedBy>杨振乐</cp:lastModifiedBy>
  <dcterms:modified xsi:type="dcterms:W3CDTF">2024-10-08T12:12:54Z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F9E8CB34448B43E1AD28488188B8B438_12</vt:lpwstr>
  </property>
</Properties>
</file>