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4400" w:type="dxa"/>
        <w:tblInd w:w="-635" w:type="dxa"/>
        <w:tblLook w:val="04A0" w:firstRow="1" w:lastRow="0" w:firstColumn="1" w:lastColumn="0" w:noHBand="0" w:noVBand="1"/>
      </w:tblPr>
      <w:tblGrid>
        <w:gridCol w:w="540"/>
        <w:gridCol w:w="3933"/>
        <w:gridCol w:w="1514"/>
        <w:gridCol w:w="1863"/>
        <w:gridCol w:w="6550"/>
      </w:tblGrid>
      <w:tr w:rsidR="00EB6E34" w:rsidRPr="001D2058" w14:paraId="60768DE7" w14:textId="77777777" w:rsidTr="00E7168A">
        <w:tc>
          <w:tcPr>
            <w:tcW w:w="540" w:type="dxa"/>
          </w:tcPr>
          <w:p w14:paraId="4AFC1DB8" w14:textId="66E1FACC" w:rsidR="00EB6E34" w:rsidRPr="001D2058" w:rsidRDefault="001D2058" w:rsidP="00F729CF">
            <w:pPr>
              <w:spacing w:line="360" w:lineRule="auto"/>
              <w:jc w:val="center"/>
              <w:rPr>
                <w:rFonts w:asciiTheme="majorBidi" w:hAnsiTheme="majorBidi" w:cstheme="majorBidi"/>
                <w:b/>
                <w:bCs/>
                <w:sz w:val="24"/>
                <w:szCs w:val="24"/>
              </w:rPr>
            </w:pPr>
            <w:proofErr w:type="spellStart"/>
            <w:proofErr w:type="gramStart"/>
            <w:r w:rsidRPr="001D2058">
              <w:rPr>
                <w:rFonts w:asciiTheme="majorBidi" w:hAnsiTheme="majorBidi" w:cstheme="majorBidi"/>
                <w:b/>
                <w:bCs/>
                <w:sz w:val="24"/>
                <w:szCs w:val="24"/>
              </w:rPr>
              <w:t>s.n</w:t>
            </w:r>
            <w:proofErr w:type="spellEnd"/>
            <w:proofErr w:type="gramEnd"/>
          </w:p>
        </w:tc>
        <w:tc>
          <w:tcPr>
            <w:tcW w:w="3933" w:type="dxa"/>
          </w:tcPr>
          <w:p w14:paraId="3C1189B1" w14:textId="14081F1B" w:rsidR="00EB6E34" w:rsidRPr="001D2058" w:rsidRDefault="00EB6E34" w:rsidP="00F729CF">
            <w:pPr>
              <w:spacing w:line="360" w:lineRule="auto"/>
              <w:jc w:val="center"/>
              <w:rPr>
                <w:rFonts w:asciiTheme="majorBidi" w:hAnsiTheme="majorBidi" w:cstheme="majorBidi"/>
                <w:b/>
                <w:bCs/>
                <w:sz w:val="24"/>
                <w:szCs w:val="24"/>
              </w:rPr>
            </w:pPr>
            <w:r w:rsidRPr="001D2058">
              <w:rPr>
                <w:rFonts w:asciiTheme="majorBidi" w:hAnsiTheme="majorBidi" w:cstheme="majorBidi"/>
                <w:b/>
                <w:bCs/>
                <w:sz w:val="24"/>
                <w:szCs w:val="24"/>
              </w:rPr>
              <w:t>Article title</w:t>
            </w:r>
          </w:p>
        </w:tc>
        <w:tc>
          <w:tcPr>
            <w:tcW w:w="1514" w:type="dxa"/>
          </w:tcPr>
          <w:p w14:paraId="07DC0FDD" w14:textId="169DFB18" w:rsidR="00EB6E34" w:rsidRPr="001D2058" w:rsidRDefault="00EB6E34" w:rsidP="00F729CF">
            <w:pPr>
              <w:spacing w:line="360" w:lineRule="auto"/>
              <w:jc w:val="center"/>
              <w:rPr>
                <w:rFonts w:asciiTheme="majorBidi" w:hAnsiTheme="majorBidi" w:cstheme="majorBidi"/>
                <w:b/>
                <w:bCs/>
                <w:sz w:val="24"/>
                <w:szCs w:val="24"/>
              </w:rPr>
            </w:pPr>
            <w:r w:rsidRPr="001D2058">
              <w:rPr>
                <w:rFonts w:asciiTheme="majorBidi" w:hAnsiTheme="majorBidi" w:cstheme="majorBidi"/>
                <w:b/>
                <w:bCs/>
                <w:sz w:val="24"/>
                <w:szCs w:val="24"/>
              </w:rPr>
              <w:t>Method</w:t>
            </w:r>
          </w:p>
        </w:tc>
        <w:tc>
          <w:tcPr>
            <w:tcW w:w="1863" w:type="dxa"/>
          </w:tcPr>
          <w:p w14:paraId="20594C7B" w14:textId="08F1AEEB" w:rsidR="00EB6E34" w:rsidRPr="001D2058" w:rsidRDefault="00EB6E34" w:rsidP="00F729CF">
            <w:pPr>
              <w:spacing w:line="360" w:lineRule="auto"/>
              <w:jc w:val="center"/>
              <w:rPr>
                <w:rFonts w:asciiTheme="majorBidi" w:hAnsiTheme="majorBidi" w:cstheme="majorBidi"/>
                <w:b/>
                <w:bCs/>
                <w:sz w:val="24"/>
                <w:szCs w:val="24"/>
              </w:rPr>
            </w:pPr>
            <w:r w:rsidRPr="001D2058">
              <w:rPr>
                <w:rFonts w:asciiTheme="majorBidi" w:hAnsiTheme="majorBidi" w:cstheme="majorBidi"/>
                <w:b/>
                <w:bCs/>
                <w:sz w:val="24"/>
                <w:szCs w:val="24"/>
              </w:rPr>
              <w:t>Study design</w:t>
            </w:r>
          </w:p>
        </w:tc>
        <w:tc>
          <w:tcPr>
            <w:tcW w:w="6550" w:type="dxa"/>
          </w:tcPr>
          <w:p w14:paraId="1CD7D132" w14:textId="45B6889B" w:rsidR="00EB6E34" w:rsidRPr="001D2058" w:rsidRDefault="00EB6E34" w:rsidP="00F729CF">
            <w:pPr>
              <w:spacing w:line="360" w:lineRule="auto"/>
              <w:jc w:val="center"/>
              <w:rPr>
                <w:rFonts w:asciiTheme="majorBidi" w:hAnsiTheme="majorBidi" w:cstheme="majorBidi"/>
                <w:b/>
                <w:bCs/>
                <w:sz w:val="24"/>
                <w:szCs w:val="24"/>
              </w:rPr>
            </w:pPr>
            <w:r w:rsidRPr="001D2058">
              <w:rPr>
                <w:rFonts w:asciiTheme="majorBidi" w:hAnsiTheme="majorBidi" w:cstheme="majorBidi"/>
                <w:b/>
                <w:bCs/>
                <w:sz w:val="24"/>
                <w:szCs w:val="24"/>
              </w:rPr>
              <w:t>Finding</w:t>
            </w:r>
          </w:p>
        </w:tc>
      </w:tr>
      <w:tr w:rsidR="00EB6E34" w:rsidRPr="001D2058" w14:paraId="1A37D46B" w14:textId="77777777" w:rsidTr="00E7168A">
        <w:tc>
          <w:tcPr>
            <w:tcW w:w="540" w:type="dxa"/>
          </w:tcPr>
          <w:p w14:paraId="1DA46777" w14:textId="3252A8F0"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1</w:t>
            </w:r>
          </w:p>
        </w:tc>
        <w:tc>
          <w:tcPr>
            <w:tcW w:w="3933" w:type="dxa"/>
          </w:tcPr>
          <w:p w14:paraId="3F2EBCE5" w14:textId="450CF875"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of Literatures on Community-Based Health Insurance: Experiences from Developing Countries</w:t>
            </w:r>
          </w:p>
        </w:tc>
        <w:tc>
          <w:tcPr>
            <w:tcW w:w="1514" w:type="dxa"/>
          </w:tcPr>
          <w:p w14:paraId="7F117F32" w14:textId="2F50E11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Qualitative (secondary sources0</w:t>
            </w:r>
          </w:p>
        </w:tc>
        <w:tc>
          <w:tcPr>
            <w:tcW w:w="1863" w:type="dxa"/>
          </w:tcPr>
          <w:p w14:paraId="5D49917B" w14:textId="5F59F180"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Systematic review </w:t>
            </w:r>
          </w:p>
        </w:tc>
        <w:tc>
          <w:tcPr>
            <w:tcW w:w="6550" w:type="dxa"/>
          </w:tcPr>
          <w:p w14:paraId="63A6EB47" w14:textId="7777777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major challenges of community-based health insurance (CBHI) schemes include adverse selection, limited risk pool, poor financial risk protection, lack of availability and quality of services, and lack of professional and standardized management.</w:t>
            </w:r>
          </w:p>
          <w:p w14:paraId="159CF4C3" w14:textId="7777777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CBHI schemes that have access to external/additional sources of finance are more effective in providing financial protection and expanding access to healthcare services, but less effective at reaching marginalized groups.</w:t>
            </w:r>
          </w:p>
          <w:p w14:paraId="6A5F004F" w14:textId="41669AE1"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CBHI schemes where the community plays a role in scheme design and implementation are better at ensuring access to healthcare and financial protection, regardless of the scheme type.</w:t>
            </w:r>
          </w:p>
        </w:tc>
      </w:tr>
      <w:tr w:rsidR="00EB6E34" w:rsidRPr="001D2058" w14:paraId="4C57F06B" w14:textId="77777777" w:rsidTr="00E7168A">
        <w:tc>
          <w:tcPr>
            <w:tcW w:w="540" w:type="dxa"/>
          </w:tcPr>
          <w:p w14:paraId="7CA35784" w14:textId="2827DD13"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2</w:t>
            </w:r>
          </w:p>
        </w:tc>
        <w:tc>
          <w:tcPr>
            <w:tcW w:w="3933" w:type="dxa"/>
          </w:tcPr>
          <w:p w14:paraId="6ADCD03B" w14:textId="4721F43B"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Impact of community-based health insurance in low- and middle-income countries: A systematic review and meta-analysis</w:t>
            </w:r>
          </w:p>
        </w:tc>
        <w:tc>
          <w:tcPr>
            <w:tcW w:w="1514" w:type="dxa"/>
          </w:tcPr>
          <w:p w14:paraId="342D4C96" w14:textId="7169F044"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48DFF8B9" w14:textId="7E6A396E"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RCT and quasi/Systematic and meta</w:t>
            </w:r>
          </w:p>
        </w:tc>
        <w:tc>
          <w:tcPr>
            <w:tcW w:w="6550" w:type="dxa"/>
          </w:tcPr>
          <w:p w14:paraId="2E725C9A" w14:textId="7777777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CBHI schemes in LMICs generally improve healthcare utilization, especially for outpatient services and health facility deliveries, but have inconsistent effects on financial risk protection.</w:t>
            </w:r>
          </w:p>
          <w:p w14:paraId="74574926" w14:textId="7777777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CBHI-</w:t>
            </w:r>
            <w:bookmarkStart w:id="0" w:name="_Hlk172799734"/>
            <w:r w:rsidRPr="001D2058">
              <w:rPr>
                <w:rFonts w:asciiTheme="majorBidi" w:hAnsiTheme="majorBidi" w:cstheme="majorBidi"/>
                <w:sz w:val="24"/>
                <w:szCs w:val="24"/>
              </w:rPr>
              <w:t>insured households have higher odds of overall healthcare utilization, outpatient service use, and health facility deliveries compared to uninsured households.</w:t>
            </w:r>
            <w:bookmarkEnd w:id="0"/>
          </w:p>
          <w:p w14:paraId="5355B011" w14:textId="539E226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 CBHI-insured households have lower out-of-pocket health expenditure and lower incidence of catastrophic health expenditure at different thresholds.</w:t>
            </w:r>
          </w:p>
        </w:tc>
      </w:tr>
      <w:tr w:rsidR="00EB6E34" w:rsidRPr="001D2058" w14:paraId="41B3222C" w14:textId="77777777" w:rsidTr="00E7168A">
        <w:tc>
          <w:tcPr>
            <w:tcW w:w="540" w:type="dxa"/>
          </w:tcPr>
          <w:p w14:paraId="3181978E" w14:textId="1C58EC3C"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3</w:t>
            </w:r>
          </w:p>
        </w:tc>
        <w:tc>
          <w:tcPr>
            <w:tcW w:w="3933" w:type="dxa"/>
          </w:tcPr>
          <w:p w14:paraId="64AF2537" w14:textId="21616C39"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The impact of community-based health insurance on universal health coverage in Ethiopia: a systematic review and meta-analysis</w:t>
            </w:r>
          </w:p>
        </w:tc>
        <w:tc>
          <w:tcPr>
            <w:tcW w:w="1514" w:type="dxa"/>
          </w:tcPr>
          <w:p w14:paraId="2E33A1D9" w14:textId="51FB09FC"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0DD4C6C5" w14:textId="548806AA"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w:t>
            </w:r>
          </w:p>
        </w:tc>
        <w:tc>
          <w:tcPr>
            <w:tcW w:w="6550" w:type="dxa"/>
          </w:tcPr>
          <w:p w14:paraId="48177287" w14:textId="7777777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community-based health insurance scheme in Ethiopia provided 45.6% universal health coverage, and being a member increased coverage by 24.8%.</w:t>
            </w:r>
          </w:p>
          <w:p w14:paraId="46918F71" w14:textId="7777777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scheme increased healthcare service utilization by 64.5% and reduced catastrophic health expenditure by 79.4%.</w:t>
            </w:r>
          </w:p>
          <w:p w14:paraId="36DA2B3D" w14:textId="5938B931"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scheme was perceived to have 92% health service quality and provided 63% health-related quality of life.</w:t>
            </w:r>
          </w:p>
        </w:tc>
      </w:tr>
      <w:tr w:rsidR="00EB6E34" w:rsidRPr="001D2058" w14:paraId="0DF037B2" w14:textId="77777777" w:rsidTr="00E7168A">
        <w:tc>
          <w:tcPr>
            <w:tcW w:w="540" w:type="dxa"/>
          </w:tcPr>
          <w:p w14:paraId="3B9553EB" w14:textId="1A6B7478"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4</w:t>
            </w:r>
          </w:p>
        </w:tc>
        <w:tc>
          <w:tcPr>
            <w:tcW w:w="3933" w:type="dxa"/>
          </w:tcPr>
          <w:p w14:paraId="1032B858" w14:textId="539FFC0D"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Factors affecting community-based health insurance utilization in Ethiopia: A systematic review</w:t>
            </w:r>
          </w:p>
        </w:tc>
        <w:tc>
          <w:tcPr>
            <w:tcW w:w="1514" w:type="dxa"/>
          </w:tcPr>
          <w:p w14:paraId="04D6D0F4" w14:textId="2EBA191E"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401AD0F8" w14:textId="346272C2"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w:t>
            </w:r>
          </w:p>
        </w:tc>
        <w:tc>
          <w:tcPr>
            <w:tcW w:w="6550" w:type="dxa"/>
          </w:tcPr>
          <w:p w14:paraId="5BD4F74D" w14:textId="1AC0D5AF"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main determinants of CBHI utilization in Ethiopia include both supply and demand side factors, which can be grouped into demographic/socioeconomic factors and health status/health service-related factors.</w:t>
            </w:r>
          </w:p>
          <w:p w14:paraId="14201958" w14:textId="7777777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Factors like income, education, community participation, marriage, occupation, family size, illness experience, benefit package, awareness, previous OOP expenditure, service quality and trust were positively related to CBHI utilization, while premium amount, self-rated health status, and bureaucratic complexity were negatively related.</w:t>
            </w:r>
          </w:p>
          <w:p w14:paraId="5FCF9A00" w14:textId="43107245"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 To achieve universal health coverage through CBHI, the paper recommends focusing on increasing income, raising awareness </w:t>
            </w:r>
            <w:r w:rsidRPr="001D2058">
              <w:rPr>
                <w:rFonts w:asciiTheme="majorBidi" w:hAnsiTheme="majorBidi" w:cstheme="majorBidi"/>
                <w:sz w:val="24"/>
                <w:szCs w:val="24"/>
              </w:rPr>
              <w:lastRenderedPageBreak/>
              <w:t>through education, promoting community participation, keeping families intact, 5addressing CBHI service based on family size, i6mproving benefit package and health service quality, e7nsuring affordable premiums, and improving go8vernance.</w:t>
            </w:r>
          </w:p>
        </w:tc>
      </w:tr>
      <w:tr w:rsidR="00EB6E34" w:rsidRPr="001D2058" w14:paraId="36A06841" w14:textId="77777777" w:rsidTr="00E7168A">
        <w:tc>
          <w:tcPr>
            <w:tcW w:w="540" w:type="dxa"/>
          </w:tcPr>
          <w:p w14:paraId="0EDBC0B8" w14:textId="3E3FA2E9"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5</w:t>
            </w:r>
          </w:p>
        </w:tc>
        <w:tc>
          <w:tcPr>
            <w:tcW w:w="3933" w:type="dxa"/>
          </w:tcPr>
          <w:p w14:paraId="539562B5" w14:textId="6AC12600"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Willingness to pay for community-based health insurance and associated factors in Ethiopia: A systematic review and meta-analysis</w:t>
            </w:r>
          </w:p>
        </w:tc>
        <w:tc>
          <w:tcPr>
            <w:tcW w:w="1514" w:type="dxa"/>
          </w:tcPr>
          <w:p w14:paraId="24F898B1" w14:textId="78ACAB4C"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70067718" w14:textId="61D0C58D"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6CB4AB26" w14:textId="5A31815C"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pooled prevalence of willingness to pay for community-based health insurance in Ethiopia is 78% (95% CI: 74-81%).</w:t>
            </w:r>
          </w:p>
          <w:p w14:paraId="6A16C1B8" w14:textId="77777777"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There is regional variation, with the lowest willingness in the Oromia region (76%, 95% CI: 68-84%) and the highest in the Amhara region (79%, 95% CI: 77-81%).</w:t>
            </w:r>
          </w:p>
          <w:p w14:paraId="4313C7C8" w14:textId="0612A5DC" w:rsidR="00EB6E34" w:rsidRPr="001D2058" w:rsidRDefault="00EB6E34"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Overall, nearly three in four households in Ethiopia are willing to pay for community-based health insurance.</w:t>
            </w:r>
          </w:p>
        </w:tc>
      </w:tr>
      <w:tr w:rsidR="00C30B52" w:rsidRPr="001D2058" w14:paraId="675BDFB9" w14:textId="77777777" w:rsidTr="00E7168A">
        <w:tc>
          <w:tcPr>
            <w:tcW w:w="540" w:type="dxa"/>
          </w:tcPr>
          <w:p w14:paraId="1AEF6363" w14:textId="2A5996C5"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6</w:t>
            </w:r>
          </w:p>
        </w:tc>
        <w:tc>
          <w:tcPr>
            <w:tcW w:w="3933" w:type="dxa"/>
          </w:tcPr>
          <w:p w14:paraId="3ED4B204" w14:textId="1F7D09D8"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The role of micro health insurance in providing financial risk protection in developing countries- a systematic review</w:t>
            </w:r>
          </w:p>
        </w:tc>
        <w:tc>
          <w:tcPr>
            <w:tcW w:w="1514" w:type="dxa"/>
          </w:tcPr>
          <w:p w14:paraId="00BE16B4" w14:textId="55B0A97E"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1779A34D" w14:textId="756329D3"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5D6840C7"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MHI has been found to contribute to financial protection of its beneficiaries by reducing out-of-pocket health expenditure, catastrophic health expenditure, total health expenditure, household borrowings, and poverty.</w:t>
            </w:r>
          </w:p>
          <w:p w14:paraId="0389F727"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MHI has had a positive safeguarding effect on household savings, assets, and consumption patterns.</w:t>
            </w:r>
          </w:p>
          <w:p w14:paraId="307A8562" w14:textId="5EDB3303"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MHI targeted at low-income households in Pakistan could help protect them from catastrophic health expenditures and impoverishment.</w:t>
            </w:r>
          </w:p>
        </w:tc>
      </w:tr>
      <w:tr w:rsidR="00C30B52" w:rsidRPr="001D2058" w14:paraId="3CC5DC5E" w14:textId="77777777" w:rsidTr="00E7168A">
        <w:tc>
          <w:tcPr>
            <w:tcW w:w="540" w:type="dxa"/>
          </w:tcPr>
          <w:p w14:paraId="492724BB" w14:textId="49F9BA0A"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7</w:t>
            </w:r>
          </w:p>
        </w:tc>
        <w:tc>
          <w:tcPr>
            <w:tcW w:w="3933" w:type="dxa"/>
          </w:tcPr>
          <w:p w14:paraId="1A4E611E" w14:textId="6CC47E1E"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Barriers to uptake of community-based health insurance in sub-Saharan Africa: a systematic review.</w:t>
            </w:r>
          </w:p>
        </w:tc>
        <w:tc>
          <w:tcPr>
            <w:tcW w:w="1514" w:type="dxa"/>
          </w:tcPr>
          <w:p w14:paraId="4BF07CA3" w14:textId="784888CC"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63EA50A7" w14:textId="11B4F1C6"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18F73F14"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Lack of awareness about the importance of health insurance is a key barrier to CBHI uptake in sub-Saharan Africa.</w:t>
            </w:r>
          </w:p>
          <w:p w14:paraId="603B93CB"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Socio-economic factors, health beliefs, and lack of trust in scheme management also limit CBHI enrollment and membership renewal.</w:t>
            </w:r>
          </w:p>
          <w:p w14:paraId="2F2515E6" w14:textId="68A1AF0E"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Poor quality of health services and limited health benefit entitlements are additional barriers to CBHI uptake in the region.</w:t>
            </w:r>
          </w:p>
        </w:tc>
      </w:tr>
      <w:tr w:rsidR="00C30B52" w:rsidRPr="001D2058" w14:paraId="0EF27CB2" w14:textId="77777777" w:rsidTr="00E7168A">
        <w:tc>
          <w:tcPr>
            <w:tcW w:w="540" w:type="dxa"/>
          </w:tcPr>
          <w:p w14:paraId="3D442F65" w14:textId="0C62ED80"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8</w:t>
            </w:r>
          </w:p>
        </w:tc>
        <w:tc>
          <w:tcPr>
            <w:tcW w:w="3933" w:type="dxa"/>
          </w:tcPr>
          <w:p w14:paraId="2A949229" w14:textId="61962580"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Factors affecting community-based health insurance utilization in Ethiopia: A systematic review</w:t>
            </w:r>
          </w:p>
        </w:tc>
        <w:tc>
          <w:tcPr>
            <w:tcW w:w="1514" w:type="dxa"/>
          </w:tcPr>
          <w:p w14:paraId="20B7F900" w14:textId="65ABEF8D"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4CD84120" w14:textId="1011DE06"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5652759A"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Demographic and socioeconomic factors like income, education, community participation, marriage, occupation, and family size were positively related to CBHI utilization, while gender and age showed inconsistent results.</w:t>
            </w:r>
          </w:p>
          <w:p w14:paraId="34767EBF"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Health-related factors like illness experience, benefit package, awareness, previous out-of-pocket expenditure, and health service quality were positively related to CBHI utilization, while premium amount, self-rated health status, and bureaucratic complexity were negative predictors.</w:t>
            </w:r>
          </w:p>
          <w:p w14:paraId="1F475772" w14:textId="40E92B25"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To achieve universal health coverage through CBHI, the authors recommend focusing on increasing income, education, community participation, keeping families intact, addressing family size, improving benefit packages and health service quality, and reducing bureaucratic complexity.</w:t>
            </w:r>
          </w:p>
        </w:tc>
      </w:tr>
      <w:tr w:rsidR="00C30B52" w:rsidRPr="001D2058" w14:paraId="7BA9F89C" w14:textId="77777777" w:rsidTr="00E7168A">
        <w:tc>
          <w:tcPr>
            <w:tcW w:w="540" w:type="dxa"/>
          </w:tcPr>
          <w:p w14:paraId="1A57CF77" w14:textId="4A3DEF23"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9</w:t>
            </w:r>
          </w:p>
        </w:tc>
        <w:tc>
          <w:tcPr>
            <w:tcW w:w="3933" w:type="dxa"/>
          </w:tcPr>
          <w:p w14:paraId="0A53F60B" w14:textId="7BDAF78D"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Pooled coverage of community-based health insurance scheme enrolment in Ethiopia, systematic review and meta-analysis, 2016–2020</w:t>
            </w:r>
          </w:p>
        </w:tc>
        <w:tc>
          <w:tcPr>
            <w:tcW w:w="1514" w:type="dxa"/>
          </w:tcPr>
          <w:p w14:paraId="5212C914" w14:textId="187F51F1"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35B8F03D" w14:textId="67774225"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34E22BFF"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overall pooled coverage of Community Based Health Insurance (CBHI) enrollment in Ethiopia was 45% (95% CI 35%, 55%).</w:t>
            </w:r>
          </w:p>
          <w:p w14:paraId="63BE9E51"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CBHI enrollment coverage was higher in earlier studies (2016-2017) at 55.97% (95%CI: 41.68, 69.77) compared to more recent studies (2018-2020) at 37.33% (95%CI: 24.82, 50.77), suggesting a declining trend over time.</w:t>
            </w:r>
          </w:p>
          <w:p w14:paraId="12E52430" w14:textId="22CC6A9C"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pooled coverage of CBHI enrollment is low compared to the national target of 80% set for 2020.</w:t>
            </w:r>
          </w:p>
        </w:tc>
      </w:tr>
      <w:tr w:rsidR="00C30B52" w:rsidRPr="001D2058" w14:paraId="5C3E5DC2" w14:textId="77777777" w:rsidTr="00E7168A">
        <w:tc>
          <w:tcPr>
            <w:tcW w:w="540" w:type="dxa"/>
          </w:tcPr>
          <w:p w14:paraId="7350481C" w14:textId="75D9D26F"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10</w:t>
            </w:r>
          </w:p>
        </w:tc>
        <w:tc>
          <w:tcPr>
            <w:tcW w:w="3933" w:type="dxa"/>
          </w:tcPr>
          <w:p w14:paraId="6F7DAE32" w14:textId="267AB78A"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A systematic review of factors that affect uptake of community-based health insurance in low-income and middle-income countries</w:t>
            </w:r>
          </w:p>
        </w:tc>
        <w:tc>
          <w:tcPr>
            <w:tcW w:w="1514" w:type="dxa"/>
          </w:tcPr>
          <w:p w14:paraId="4390B544" w14:textId="65317D1A"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2186CA58" w14:textId="36992B5B"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5B49FC1E"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Low income and lack of financial resources are major barriers to CBHI enrollment in LMICs.</w:t>
            </w:r>
          </w:p>
          <w:p w14:paraId="4059F90B"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Poor quality of healthcare services, including stock-outs, poor provider attitudes, and long wait times, is associated with low CBHI coverage.</w:t>
            </w:r>
          </w:p>
          <w:p w14:paraId="4B0D673D" w14:textId="56B3F549"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Lack of trust in CBHI schemes and healthcare providers also affects CBHI enrollment.</w:t>
            </w:r>
          </w:p>
        </w:tc>
      </w:tr>
      <w:tr w:rsidR="00C30B52" w:rsidRPr="001D2058" w14:paraId="7B2F2AB6" w14:textId="77777777" w:rsidTr="00E7168A">
        <w:tc>
          <w:tcPr>
            <w:tcW w:w="540" w:type="dxa"/>
          </w:tcPr>
          <w:p w14:paraId="03C63456" w14:textId="61E3DEA5"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11</w:t>
            </w:r>
          </w:p>
        </w:tc>
        <w:tc>
          <w:tcPr>
            <w:tcW w:w="3933" w:type="dxa"/>
          </w:tcPr>
          <w:p w14:paraId="7CE925B1" w14:textId="69EB526E"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Community-based health insurance in low-income countries: a systematic review of the evidence.</w:t>
            </w:r>
          </w:p>
        </w:tc>
        <w:tc>
          <w:tcPr>
            <w:tcW w:w="1514" w:type="dxa"/>
          </w:tcPr>
          <w:p w14:paraId="1757FA5A" w14:textId="2D2124E4"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252C1CB3" w14:textId="6B9108B5"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66D6B75D"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Community-based health insurance provides some financial protection by reducing out-of-pocket spending, but the effects are small and only reach a limited population.</w:t>
            </w:r>
          </w:p>
          <w:p w14:paraId="564550B0"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There is moderate evidence that such schemes improve cost-recovery, but weak or no evidence that they improve quality of care or efficiency.</w:t>
            </w:r>
          </w:p>
          <w:p w14:paraId="2855B5E0" w14:textId="3C354AFA"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 Community-based health insurance is at best a complementary approach to other more effective health financing systems.</w:t>
            </w:r>
          </w:p>
        </w:tc>
      </w:tr>
      <w:tr w:rsidR="00C30B52" w:rsidRPr="001D2058" w14:paraId="1995E3EF" w14:textId="77777777" w:rsidTr="00E7168A">
        <w:tc>
          <w:tcPr>
            <w:tcW w:w="540" w:type="dxa"/>
          </w:tcPr>
          <w:p w14:paraId="542E33DF" w14:textId="496BE609"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12</w:t>
            </w:r>
          </w:p>
        </w:tc>
        <w:tc>
          <w:tcPr>
            <w:tcW w:w="3933" w:type="dxa"/>
          </w:tcPr>
          <w:p w14:paraId="111794DB" w14:textId="534FB52E"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Community based health insurance schemes in Africa: The case of Rwanda</w:t>
            </w:r>
          </w:p>
        </w:tc>
        <w:tc>
          <w:tcPr>
            <w:tcW w:w="1514" w:type="dxa"/>
          </w:tcPr>
          <w:p w14:paraId="50B63E52" w14:textId="3607E55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7A81A26F" w14:textId="67F60F7F"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7C505C97"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 The </w:t>
            </w:r>
            <w:proofErr w:type="spellStart"/>
            <w:r w:rsidRPr="001D2058">
              <w:rPr>
                <w:rFonts w:asciiTheme="majorBidi" w:hAnsiTheme="majorBidi" w:cstheme="majorBidi"/>
                <w:sz w:val="24"/>
                <w:szCs w:val="24"/>
              </w:rPr>
              <w:t>Mutuelles</w:t>
            </w:r>
            <w:proofErr w:type="spellEnd"/>
            <w:r w:rsidRPr="001D2058">
              <w:rPr>
                <w:rFonts w:asciiTheme="majorBidi" w:hAnsiTheme="majorBidi" w:cstheme="majorBidi"/>
                <w:sz w:val="24"/>
                <w:szCs w:val="24"/>
              </w:rPr>
              <w:t xml:space="preserve"> community-based health insurance scheme in Rwanda has increased the utilization of modern healthcare services and reduced catastrophic health-related expenditures.</w:t>
            </w:r>
          </w:p>
          <w:p w14:paraId="31FD0D0F"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 The benefits of the </w:t>
            </w:r>
            <w:proofErr w:type="spellStart"/>
            <w:r w:rsidRPr="001D2058">
              <w:rPr>
                <w:rFonts w:asciiTheme="majorBidi" w:hAnsiTheme="majorBidi" w:cstheme="majorBidi"/>
                <w:sz w:val="24"/>
                <w:szCs w:val="24"/>
              </w:rPr>
              <w:t>Mutuelles</w:t>
            </w:r>
            <w:proofErr w:type="spellEnd"/>
            <w:r w:rsidRPr="001D2058">
              <w:rPr>
                <w:rFonts w:asciiTheme="majorBidi" w:hAnsiTheme="majorBidi" w:cstheme="majorBidi"/>
                <w:sz w:val="24"/>
                <w:szCs w:val="24"/>
              </w:rPr>
              <w:t xml:space="preserve"> scheme were greater for non-poor households compared to poor households in terms of increased healthcare utilization, though the effect on reducing catastrophic health expenditures was similar.</w:t>
            </w:r>
          </w:p>
          <w:p w14:paraId="5A416393" w14:textId="53EACA32"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 The </w:t>
            </w:r>
            <w:proofErr w:type="spellStart"/>
            <w:r w:rsidRPr="001D2058">
              <w:rPr>
                <w:rFonts w:asciiTheme="majorBidi" w:hAnsiTheme="majorBidi" w:cstheme="majorBidi"/>
                <w:sz w:val="24"/>
                <w:szCs w:val="24"/>
              </w:rPr>
              <w:t>Mutuelles</w:t>
            </w:r>
            <w:proofErr w:type="spellEnd"/>
            <w:r w:rsidRPr="001D2058">
              <w:rPr>
                <w:rFonts w:asciiTheme="majorBidi" w:hAnsiTheme="majorBidi" w:cstheme="majorBidi"/>
                <w:sz w:val="24"/>
                <w:szCs w:val="24"/>
              </w:rPr>
              <w:t xml:space="preserve"> scheme has an inherent inequity, where the non-poor benefit more in terms of increased healthcare utilization compared to the poor.</w:t>
            </w:r>
          </w:p>
        </w:tc>
      </w:tr>
      <w:tr w:rsidR="00C30B52" w:rsidRPr="001D2058" w14:paraId="2F5D40CD" w14:textId="77777777" w:rsidTr="00E7168A">
        <w:tc>
          <w:tcPr>
            <w:tcW w:w="540" w:type="dxa"/>
          </w:tcPr>
          <w:p w14:paraId="0C859591" w14:textId="68C5B31C"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13</w:t>
            </w:r>
          </w:p>
        </w:tc>
        <w:tc>
          <w:tcPr>
            <w:tcW w:w="3933" w:type="dxa"/>
          </w:tcPr>
          <w:p w14:paraId="7BC7913F" w14:textId="2FB41E7B"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Options for Scaling up Community-Based Health Insurance for Rural Communities in Armenia</w:t>
            </w:r>
          </w:p>
        </w:tc>
        <w:tc>
          <w:tcPr>
            <w:tcW w:w="1514" w:type="dxa"/>
          </w:tcPr>
          <w:p w14:paraId="321C1938" w14:textId="65BD739F"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7B005294" w14:textId="30097799"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68C3A98F"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The study provided recommendations for scaling up CBHI schemes in Armenia and for using CBHI as a tool for promoting pro-poor health system reform in low-resource settings more generally.</w:t>
            </w:r>
          </w:p>
          <w:p w14:paraId="566D04C8" w14:textId="354CC391"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study found that scaling up CBHI is a feasible approach for improving health coverage and access to care for the poor in Armenia.</w:t>
            </w:r>
          </w:p>
        </w:tc>
      </w:tr>
      <w:tr w:rsidR="00C30B52" w:rsidRPr="001D2058" w14:paraId="303EF1B7" w14:textId="77777777" w:rsidTr="00E7168A">
        <w:tc>
          <w:tcPr>
            <w:tcW w:w="540" w:type="dxa"/>
          </w:tcPr>
          <w:p w14:paraId="4683C6B6" w14:textId="4C763C3E"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14</w:t>
            </w:r>
          </w:p>
        </w:tc>
        <w:tc>
          <w:tcPr>
            <w:tcW w:w="3933" w:type="dxa"/>
          </w:tcPr>
          <w:p w14:paraId="486B1440" w14:textId="0A053DE9"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The impact of health insurance in Africa and Asia: a systematic review.</w:t>
            </w:r>
          </w:p>
        </w:tc>
        <w:tc>
          <w:tcPr>
            <w:tcW w:w="1514" w:type="dxa"/>
          </w:tcPr>
          <w:p w14:paraId="4EF4B6D0" w14:textId="763E0471"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1D16220E" w14:textId="443D576A"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3FCECE1E"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Main findings</w:t>
            </w:r>
          </w:p>
          <w:p w14:paraId="7BC63601"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Strong evidence shows that CBHI and SHI improve healthcare utilization and provide financial protection by reducing out-of-</w:t>
            </w:r>
            <w:r w:rsidRPr="001D2058">
              <w:rPr>
                <w:rFonts w:asciiTheme="majorBidi" w:hAnsiTheme="majorBidi" w:cstheme="majorBidi"/>
                <w:sz w:val="24"/>
                <w:szCs w:val="24"/>
              </w:rPr>
              <w:lastRenderedPageBreak/>
              <w:t>pocket costs for members, and that CBHI improves resource mobilization.</w:t>
            </w:r>
          </w:p>
          <w:p w14:paraId="7E12ADC9"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Weak evidence points to a positive effect of both SHI and CBHI on quality of care and social inclusion.</w:t>
            </w:r>
          </w:p>
          <w:p w14:paraId="75253A6A" w14:textId="2DA1E7BD"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effect of SHI and CBHI on community empowerment is inconclusive.</w:t>
            </w:r>
          </w:p>
        </w:tc>
      </w:tr>
      <w:tr w:rsidR="00C30B52" w:rsidRPr="001D2058" w14:paraId="79592CE0" w14:textId="77777777" w:rsidTr="00E7168A">
        <w:tc>
          <w:tcPr>
            <w:tcW w:w="540" w:type="dxa"/>
          </w:tcPr>
          <w:p w14:paraId="40B275EF" w14:textId="191980F8"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15</w:t>
            </w:r>
          </w:p>
        </w:tc>
        <w:tc>
          <w:tcPr>
            <w:tcW w:w="3933" w:type="dxa"/>
          </w:tcPr>
          <w:p w14:paraId="19631A48" w14:textId="64722C38"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Bridging community‐based health insurance and social protection for health care – a step in the direction of universal coverage?</w:t>
            </w:r>
          </w:p>
        </w:tc>
        <w:tc>
          <w:tcPr>
            <w:tcW w:w="1514" w:type="dxa"/>
          </w:tcPr>
          <w:p w14:paraId="09F40870" w14:textId="0E314B8C"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71F460B7" w14:textId="142BFEA6"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2976FB73"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CBHI schemes can help improve access to affordable healthcare and prevent catastrophic health expenditures in LMICs.</w:t>
            </w:r>
          </w:p>
          <w:p w14:paraId="549929F1"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Expansion of formal health insurance is challenging in LMICs due to the large informal sector and underdeveloped taxation systems, making universal health coverage difficult to achieve.</w:t>
            </w:r>
          </w:p>
          <w:p w14:paraId="472F36E1" w14:textId="12EAE11D"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CBHI schemes, where the community plays a key role in managing healthcare resources, can be a response to the challenge of providing insurance coverage for the informal sector in LMICs.</w:t>
            </w:r>
          </w:p>
        </w:tc>
      </w:tr>
      <w:tr w:rsidR="00C30B52" w:rsidRPr="001D2058" w14:paraId="3F8AF951" w14:textId="77777777" w:rsidTr="00E7168A">
        <w:tc>
          <w:tcPr>
            <w:tcW w:w="540" w:type="dxa"/>
          </w:tcPr>
          <w:p w14:paraId="219E8C4F" w14:textId="0ECFCB1E"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16</w:t>
            </w:r>
          </w:p>
        </w:tc>
        <w:tc>
          <w:tcPr>
            <w:tcW w:w="3933" w:type="dxa"/>
          </w:tcPr>
          <w:p w14:paraId="5A7979F4" w14:textId="14A72A4F"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The Role of Health Policy and Systems in the Uptake of Community-Based Health Insurance Schemes in Low- and Middle-Income Countries: A Narrative Review</w:t>
            </w:r>
          </w:p>
        </w:tc>
        <w:tc>
          <w:tcPr>
            <w:tcW w:w="1514" w:type="dxa"/>
          </w:tcPr>
          <w:p w14:paraId="01487BE2" w14:textId="76D4D009"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54C53257" w14:textId="5D3DF024"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039E2D49"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Government policies can promote voluntary uptake of CBHI schemes in LMICs by improving healthcare quality, providing a regulatory framework that integrates CBHIs, and leveraging administrative capacity to facilitate enrollment.</w:t>
            </w:r>
          </w:p>
          <w:p w14:paraId="2C291803" w14:textId="663C0E01"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Governments can extend social protection to marginalized populations by formulating supportive policies and provisions that enhance voluntary CBHI enrollment.</w:t>
            </w:r>
          </w:p>
        </w:tc>
      </w:tr>
      <w:tr w:rsidR="00C30B52" w:rsidRPr="001D2058" w14:paraId="721E6B52" w14:textId="77777777" w:rsidTr="00E7168A">
        <w:tc>
          <w:tcPr>
            <w:tcW w:w="540" w:type="dxa"/>
          </w:tcPr>
          <w:p w14:paraId="193451F5" w14:textId="7F8546BB"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lastRenderedPageBreak/>
              <w:t>17</w:t>
            </w:r>
          </w:p>
        </w:tc>
        <w:tc>
          <w:tcPr>
            <w:tcW w:w="3933" w:type="dxa"/>
          </w:tcPr>
          <w:p w14:paraId="0738F288" w14:textId="237D78A2"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Community-Based Health Insurance: An Evolutionary Approach to Achieving Universal Coverage in Low-Income Countries</w:t>
            </w:r>
          </w:p>
        </w:tc>
        <w:tc>
          <w:tcPr>
            <w:tcW w:w="1514" w:type="dxa"/>
          </w:tcPr>
          <w:p w14:paraId="2EBD0CAC" w14:textId="2C326D1F"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259BDDFB" w14:textId="25910226"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Systematic review and meta</w:t>
            </w:r>
          </w:p>
        </w:tc>
        <w:tc>
          <w:tcPr>
            <w:tcW w:w="6550" w:type="dxa"/>
          </w:tcPr>
          <w:p w14:paraId="0FC2B39D" w14:textId="77777777"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Community-based health insurance is a potential strategy to meet the urgent need for health financing in low-income countries.</w:t>
            </w:r>
          </w:p>
          <w:p w14:paraId="679FA233" w14:textId="3B714F86" w:rsidR="00C30B52" w:rsidRPr="001D2058" w:rsidRDefault="00C30B52"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An evolutionary approach of extending tax-based financing/social insurance characteristics to community-based health insurance schemes can help achieve universal coverage, if implemented carefully.</w:t>
            </w:r>
          </w:p>
        </w:tc>
      </w:tr>
      <w:tr w:rsidR="004A3E85" w:rsidRPr="001D2058" w14:paraId="305B1323" w14:textId="77777777" w:rsidTr="00E7168A">
        <w:tc>
          <w:tcPr>
            <w:tcW w:w="540" w:type="dxa"/>
          </w:tcPr>
          <w:p w14:paraId="563AA45B" w14:textId="3EDF1136" w:rsidR="004A3E85" w:rsidRPr="001D2058" w:rsidRDefault="00EC46CC"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18</w:t>
            </w:r>
          </w:p>
        </w:tc>
        <w:tc>
          <w:tcPr>
            <w:tcW w:w="3933" w:type="dxa"/>
          </w:tcPr>
          <w:p w14:paraId="22C0231B" w14:textId="1CD36D9A" w:rsidR="004A3E85" w:rsidRPr="001D2058" w:rsidRDefault="00EC46CC"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Community‐based health insurance in developing countries: a study of its contribution to the performance of health financing systems</w:t>
            </w:r>
          </w:p>
        </w:tc>
        <w:tc>
          <w:tcPr>
            <w:tcW w:w="1514" w:type="dxa"/>
          </w:tcPr>
          <w:p w14:paraId="400F99CD" w14:textId="3C15CE78" w:rsidR="004A3E85" w:rsidRPr="001D2058" w:rsidRDefault="00EB7C38"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Qualitative </w:t>
            </w:r>
          </w:p>
        </w:tc>
        <w:tc>
          <w:tcPr>
            <w:tcW w:w="1863" w:type="dxa"/>
          </w:tcPr>
          <w:p w14:paraId="318C22E4" w14:textId="3DF4860D" w:rsidR="004A3E85" w:rsidRPr="001D2058" w:rsidRDefault="00EB7C38"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xml:space="preserve">Evidence analysis </w:t>
            </w:r>
          </w:p>
        </w:tc>
        <w:tc>
          <w:tcPr>
            <w:tcW w:w="6550" w:type="dxa"/>
          </w:tcPr>
          <w:p w14:paraId="1991860F" w14:textId="77777777" w:rsidR="004B0F48" w:rsidRPr="001D2058" w:rsidRDefault="004B0F48"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main findings indicate that the performance of community-based health insurance (CHI) in developing countries has been modest so far, although many CHI schemes are still relatively young.</w:t>
            </w:r>
          </w:p>
          <w:p w14:paraId="7ED0B560" w14:textId="77777777" w:rsidR="004B0F48" w:rsidRPr="001D2058" w:rsidRDefault="004B0F48"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authors have identified key factors influencing CHI performance and proposed ways to improve it, including in the areas of healthcare demand and supply, the technical and institutional setup of CHI, and the use of subsidies.</w:t>
            </w:r>
          </w:p>
          <w:p w14:paraId="6823615D" w14:textId="27CB3277" w:rsidR="004A3E85" w:rsidRPr="001D2058" w:rsidRDefault="004B0F48" w:rsidP="00F729CF">
            <w:pPr>
              <w:spacing w:line="360" w:lineRule="auto"/>
              <w:rPr>
                <w:rFonts w:asciiTheme="majorBidi" w:hAnsiTheme="majorBidi" w:cstheme="majorBidi"/>
                <w:sz w:val="24"/>
                <w:szCs w:val="24"/>
              </w:rPr>
            </w:pPr>
            <w:r w:rsidRPr="001D2058">
              <w:rPr>
                <w:rFonts w:asciiTheme="majorBidi" w:hAnsiTheme="majorBidi" w:cstheme="majorBidi"/>
                <w:sz w:val="24"/>
                <w:szCs w:val="24"/>
              </w:rPr>
              <w:t>- The authors acknowledge that more time may be needed for many CHI schemes to fully develop and demonstrate their potential contribution to health financing systems.</w:t>
            </w:r>
          </w:p>
        </w:tc>
      </w:tr>
    </w:tbl>
    <w:p w14:paraId="76DBD081" w14:textId="77777777" w:rsidR="00FA61CE" w:rsidRDefault="00FA61CE" w:rsidP="00F729CF">
      <w:pPr>
        <w:spacing w:line="360" w:lineRule="auto"/>
      </w:pPr>
    </w:p>
    <w:sectPr w:rsidR="00FA61CE" w:rsidSect="00E7168A">
      <w:headerReference w:type="default" r:id="rId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E0C9BF" w14:textId="77777777" w:rsidR="001D2058" w:rsidRDefault="001D2058" w:rsidP="001D2058">
      <w:pPr>
        <w:spacing w:after="0" w:line="240" w:lineRule="auto"/>
      </w:pPr>
      <w:r>
        <w:separator/>
      </w:r>
    </w:p>
  </w:endnote>
  <w:endnote w:type="continuationSeparator" w:id="0">
    <w:p w14:paraId="0BBA53B2" w14:textId="77777777" w:rsidR="001D2058" w:rsidRDefault="001D2058" w:rsidP="001D20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CC1E05" w14:textId="77777777" w:rsidR="001D2058" w:rsidRDefault="001D2058" w:rsidP="001D2058">
      <w:pPr>
        <w:spacing w:after="0" w:line="240" w:lineRule="auto"/>
      </w:pPr>
      <w:r>
        <w:separator/>
      </w:r>
    </w:p>
  </w:footnote>
  <w:footnote w:type="continuationSeparator" w:id="0">
    <w:p w14:paraId="1FFAFDE2" w14:textId="77777777" w:rsidR="001D2058" w:rsidRDefault="001D2058" w:rsidP="001D20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81B803" w14:textId="21FCDC76" w:rsidR="001D2058" w:rsidRPr="00F729CF" w:rsidRDefault="001D2058" w:rsidP="00B7643C">
    <w:pPr>
      <w:pStyle w:val="Header"/>
      <w:jc w:val="center"/>
      <w:rPr>
        <w:rFonts w:asciiTheme="majorBidi" w:hAnsiTheme="majorBidi" w:cstheme="majorBidi"/>
        <w:sz w:val="24"/>
        <w:szCs w:val="24"/>
      </w:rPr>
    </w:pPr>
    <w:r w:rsidRPr="00F729CF">
      <w:rPr>
        <w:rFonts w:asciiTheme="majorBidi" w:hAnsiTheme="majorBidi" w:cstheme="majorBidi"/>
        <w:sz w:val="24"/>
        <w:szCs w:val="24"/>
      </w:rPr>
      <w:t>CBHI-Data ext</w:t>
    </w:r>
    <w:r w:rsidR="00B7643C" w:rsidRPr="00F729CF">
      <w:rPr>
        <w:rFonts w:asciiTheme="majorBidi" w:hAnsiTheme="majorBidi" w:cstheme="majorBidi"/>
        <w:sz w:val="24"/>
        <w:szCs w:val="24"/>
      </w:rPr>
      <w:t>raction table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022"/>
    <w:rsid w:val="00025AD0"/>
    <w:rsid w:val="00087022"/>
    <w:rsid w:val="000C39BA"/>
    <w:rsid w:val="00121B55"/>
    <w:rsid w:val="001529AD"/>
    <w:rsid w:val="001D2058"/>
    <w:rsid w:val="001E2554"/>
    <w:rsid w:val="0024153F"/>
    <w:rsid w:val="002A5977"/>
    <w:rsid w:val="002C3A8A"/>
    <w:rsid w:val="002D3E29"/>
    <w:rsid w:val="003320D7"/>
    <w:rsid w:val="003662B2"/>
    <w:rsid w:val="003B2AE7"/>
    <w:rsid w:val="00422438"/>
    <w:rsid w:val="00435D6D"/>
    <w:rsid w:val="004A3E85"/>
    <w:rsid w:val="004A4429"/>
    <w:rsid w:val="004B0F48"/>
    <w:rsid w:val="004B3BF8"/>
    <w:rsid w:val="004C5107"/>
    <w:rsid w:val="004E4C45"/>
    <w:rsid w:val="0053380A"/>
    <w:rsid w:val="00533E64"/>
    <w:rsid w:val="005362E0"/>
    <w:rsid w:val="0054387F"/>
    <w:rsid w:val="00683D67"/>
    <w:rsid w:val="006C2A6F"/>
    <w:rsid w:val="00766FEC"/>
    <w:rsid w:val="007959B1"/>
    <w:rsid w:val="007F5CBB"/>
    <w:rsid w:val="0083195F"/>
    <w:rsid w:val="008E3C33"/>
    <w:rsid w:val="0092441B"/>
    <w:rsid w:val="009A36BA"/>
    <w:rsid w:val="00A849CB"/>
    <w:rsid w:val="00A967E7"/>
    <w:rsid w:val="00AD12BF"/>
    <w:rsid w:val="00B7643C"/>
    <w:rsid w:val="00B964F2"/>
    <w:rsid w:val="00C30B52"/>
    <w:rsid w:val="00D44EEB"/>
    <w:rsid w:val="00D67B2E"/>
    <w:rsid w:val="00D97C46"/>
    <w:rsid w:val="00E52356"/>
    <w:rsid w:val="00E7168A"/>
    <w:rsid w:val="00EB6E34"/>
    <w:rsid w:val="00EB7C38"/>
    <w:rsid w:val="00EC46CC"/>
    <w:rsid w:val="00ED08B0"/>
    <w:rsid w:val="00EE29BC"/>
    <w:rsid w:val="00F104ED"/>
    <w:rsid w:val="00F16F84"/>
    <w:rsid w:val="00F51F31"/>
    <w:rsid w:val="00F729CF"/>
    <w:rsid w:val="00FA61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C27AA"/>
  <w15:chartTrackingRefBased/>
  <w15:docId w15:val="{E25E46E2-30E0-40E2-9972-3EEFEF84F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70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70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70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70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70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70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70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70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70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70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70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70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70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70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70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70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70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7022"/>
    <w:rPr>
      <w:rFonts w:eastAsiaTheme="majorEastAsia" w:cstheme="majorBidi"/>
      <w:color w:val="272727" w:themeColor="text1" w:themeTint="D8"/>
    </w:rPr>
  </w:style>
  <w:style w:type="paragraph" w:styleId="Title">
    <w:name w:val="Title"/>
    <w:basedOn w:val="Normal"/>
    <w:next w:val="Normal"/>
    <w:link w:val="TitleChar"/>
    <w:uiPriority w:val="10"/>
    <w:qFormat/>
    <w:rsid w:val="000870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70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70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70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7022"/>
    <w:pPr>
      <w:spacing w:before="160"/>
      <w:jc w:val="center"/>
    </w:pPr>
    <w:rPr>
      <w:i/>
      <w:iCs/>
      <w:color w:val="404040" w:themeColor="text1" w:themeTint="BF"/>
    </w:rPr>
  </w:style>
  <w:style w:type="character" w:customStyle="1" w:styleId="QuoteChar">
    <w:name w:val="Quote Char"/>
    <w:basedOn w:val="DefaultParagraphFont"/>
    <w:link w:val="Quote"/>
    <w:uiPriority w:val="29"/>
    <w:rsid w:val="00087022"/>
    <w:rPr>
      <w:i/>
      <w:iCs/>
      <w:color w:val="404040" w:themeColor="text1" w:themeTint="BF"/>
    </w:rPr>
  </w:style>
  <w:style w:type="paragraph" w:styleId="ListParagraph">
    <w:name w:val="List Paragraph"/>
    <w:basedOn w:val="Normal"/>
    <w:uiPriority w:val="34"/>
    <w:qFormat/>
    <w:rsid w:val="00087022"/>
    <w:pPr>
      <w:ind w:left="720"/>
      <w:contextualSpacing/>
    </w:pPr>
  </w:style>
  <w:style w:type="character" w:styleId="IntenseEmphasis">
    <w:name w:val="Intense Emphasis"/>
    <w:basedOn w:val="DefaultParagraphFont"/>
    <w:uiPriority w:val="21"/>
    <w:qFormat/>
    <w:rsid w:val="00087022"/>
    <w:rPr>
      <w:i/>
      <w:iCs/>
      <w:color w:val="0F4761" w:themeColor="accent1" w:themeShade="BF"/>
    </w:rPr>
  </w:style>
  <w:style w:type="paragraph" w:styleId="IntenseQuote">
    <w:name w:val="Intense Quote"/>
    <w:basedOn w:val="Normal"/>
    <w:next w:val="Normal"/>
    <w:link w:val="IntenseQuoteChar"/>
    <w:uiPriority w:val="30"/>
    <w:qFormat/>
    <w:rsid w:val="000870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7022"/>
    <w:rPr>
      <w:i/>
      <w:iCs/>
      <w:color w:val="0F4761" w:themeColor="accent1" w:themeShade="BF"/>
    </w:rPr>
  </w:style>
  <w:style w:type="character" w:styleId="IntenseReference">
    <w:name w:val="Intense Reference"/>
    <w:basedOn w:val="DefaultParagraphFont"/>
    <w:uiPriority w:val="32"/>
    <w:qFormat/>
    <w:rsid w:val="00087022"/>
    <w:rPr>
      <w:b/>
      <w:bCs/>
      <w:smallCaps/>
      <w:color w:val="0F4761" w:themeColor="accent1" w:themeShade="BF"/>
      <w:spacing w:val="5"/>
    </w:rPr>
  </w:style>
  <w:style w:type="table" w:styleId="TableGrid">
    <w:name w:val="Table Grid"/>
    <w:basedOn w:val="TableNormal"/>
    <w:uiPriority w:val="39"/>
    <w:rsid w:val="000870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D20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2058"/>
  </w:style>
  <w:style w:type="paragraph" w:styleId="Footer">
    <w:name w:val="footer"/>
    <w:basedOn w:val="Normal"/>
    <w:link w:val="FooterChar"/>
    <w:uiPriority w:val="99"/>
    <w:unhideWhenUsed/>
    <w:rsid w:val="001D20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2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8</Pages>
  <Words>1729</Words>
  <Characters>9856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International Rescue Committee</Company>
  <LinksUpToDate>false</LinksUpToDate>
  <CharactersWithSpaces>11562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Brhane Gebremariam Weldegerima</dc:creator>
  <cp:keywords/>
  <dc:description/>
  <cp:lastModifiedBy>Brhane Gebremariam Weldegerima</cp:lastModifiedBy>
  <cp:revision>47</cp:revision>
  <dcterms:created xsi:type="dcterms:W3CDTF">2024-07-24T14:34:00Z</dcterms:created>
  <dcterms:modified xsi:type="dcterms:W3CDTF">2024-07-25T09:30:00Z</dcterms:modified>
</cp:coreProperties>
</file>