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6E33D" w14:textId="781D9820" w:rsidR="00987259" w:rsidRDefault="008F3259" w:rsidP="00987259">
      <w:pPr>
        <w:spacing w:after="240"/>
        <w:rPr>
          <w:rFonts w:ascii="Times New Roman" w:hAnsi="Times New Roman" w:cs="Times New Roman"/>
          <w:sz w:val="22"/>
        </w:rPr>
      </w:pPr>
      <w:r w:rsidRPr="00067CC1">
        <w:rPr>
          <w:rFonts w:ascii="Times New Roman" w:hAnsi="Times New Roman" w:cs="Times New Roman"/>
          <w:b/>
          <w:sz w:val="22"/>
        </w:rPr>
        <w:t>Supplementa</w:t>
      </w:r>
      <w:r>
        <w:rPr>
          <w:rFonts w:ascii="Times New Roman" w:hAnsi="Times New Roman" w:cs="Times New Roman"/>
          <w:b/>
          <w:sz w:val="22"/>
        </w:rPr>
        <w:t>ry</w:t>
      </w:r>
      <w:r w:rsidRPr="0077732D">
        <w:rPr>
          <w:rFonts w:ascii="Times New Roman" w:hAnsi="Times New Roman" w:cs="Times New Roman"/>
          <w:b/>
          <w:sz w:val="22"/>
        </w:rPr>
        <w:t xml:space="preserve"> Table </w:t>
      </w:r>
      <w:r w:rsidR="00E3363F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1</w:t>
      </w:r>
      <w:r w:rsidRPr="0077732D">
        <w:rPr>
          <w:rFonts w:ascii="Times New Roman" w:hAnsi="Times New Roman" w:cs="Times New Roman"/>
          <w:b/>
          <w:sz w:val="22"/>
        </w:rPr>
        <w:t xml:space="preserve">. </w:t>
      </w:r>
      <w:r w:rsidR="00987259">
        <w:rPr>
          <w:rFonts w:ascii="Times New Roman" w:hAnsi="Times New Roman" w:cs="Times New Roman"/>
          <w:sz w:val="22"/>
        </w:rPr>
        <w:t>The quality of studies included in the final analysis, based on the Newcastle-Ottawa Scale</w:t>
      </w:r>
    </w:p>
    <w:tbl>
      <w:tblPr>
        <w:tblStyle w:val="a6"/>
        <w:tblW w:w="13701" w:type="dxa"/>
        <w:tblLayout w:type="fixed"/>
        <w:tblLook w:val="04A0" w:firstRow="1" w:lastRow="0" w:firstColumn="1" w:lastColumn="0" w:noHBand="0" w:noVBand="1"/>
      </w:tblPr>
      <w:tblGrid>
        <w:gridCol w:w="2024"/>
        <w:gridCol w:w="1245"/>
        <w:gridCol w:w="1245"/>
        <w:gridCol w:w="1089"/>
        <w:gridCol w:w="1248"/>
        <w:gridCol w:w="1868"/>
        <w:gridCol w:w="1245"/>
        <w:gridCol w:w="1401"/>
        <w:gridCol w:w="1403"/>
        <w:gridCol w:w="933"/>
      </w:tblGrid>
      <w:tr w:rsidR="00E3787A" w:rsidRPr="00510F01" w14:paraId="0039B838" w14:textId="77777777" w:rsidTr="007D262C">
        <w:trPr>
          <w:trHeight w:val="5"/>
        </w:trPr>
        <w:tc>
          <w:tcPr>
            <w:tcW w:w="2024" w:type="dxa"/>
            <w:vMerge w:val="restart"/>
            <w:vAlign w:val="center"/>
          </w:tcPr>
          <w:p w14:paraId="68D21673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/>
                <w:sz w:val="22"/>
              </w:rPr>
              <w:t>Study</w:t>
            </w:r>
          </w:p>
        </w:tc>
        <w:tc>
          <w:tcPr>
            <w:tcW w:w="4827" w:type="dxa"/>
            <w:gridSpan w:val="4"/>
            <w:vAlign w:val="center"/>
          </w:tcPr>
          <w:p w14:paraId="5EB41C28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/>
                <w:sz w:val="22"/>
              </w:rPr>
              <w:t>Selection</w:t>
            </w:r>
          </w:p>
        </w:tc>
        <w:tc>
          <w:tcPr>
            <w:tcW w:w="1868" w:type="dxa"/>
            <w:vAlign w:val="center"/>
          </w:tcPr>
          <w:p w14:paraId="3EA91754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 w:hint="eastAsia"/>
                <w:sz w:val="22"/>
              </w:rPr>
              <w:t>C</w:t>
            </w:r>
            <w:r w:rsidRPr="00510F01">
              <w:rPr>
                <w:rFonts w:cs="Times New Roman"/>
                <w:sz w:val="22"/>
              </w:rPr>
              <w:t>omparability</w:t>
            </w:r>
          </w:p>
        </w:tc>
        <w:tc>
          <w:tcPr>
            <w:tcW w:w="4049" w:type="dxa"/>
            <w:gridSpan w:val="3"/>
            <w:vAlign w:val="center"/>
          </w:tcPr>
          <w:p w14:paraId="77F0C176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 w:hint="eastAsia"/>
                <w:sz w:val="22"/>
              </w:rPr>
              <w:t>E</w:t>
            </w:r>
            <w:r w:rsidRPr="00510F01">
              <w:rPr>
                <w:rFonts w:cs="Times New Roman"/>
                <w:sz w:val="22"/>
              </w:rPr>
              <w:t>xposure</w:t>
            </w:r>
          </w:p>
        </w:tc>
        <w:tc>
          <w:tcPr>
            <w:tcW w:w="933" w:type="dxa"/>
            <w:vMerge w:val="restart"/>
          </w:tcPr>
          <w:p w14:paraId="6A3AC4CD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</w:p>
          <w:p w14:paraId="6B9CCCE7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</w:p>
          <w:p w14:paraId="796DB15A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 w:hint="eastAsia"/>
                <w:sz w:val="22"/>
              </w:rPr>
              <w:t>T</w:t>
            </w:r>
            <w:r w:rsidRPr="00510F01">
              <w:rPr>
                <w:rFonts w:cs="Times New Roman"/>
                <w:sz w:val="22"/>
              </w:rPr>
              <w:t>otal (0-9)</w:t>
            </w:r>
          </w:p>
        </w:tc>
      </w:tr>
      <w:tr w:rsidR="00E3787A" w:rsidRPr="00510F01" w14:paraId="0BBC85EA" w14:textId="77777777" w:rsidTr="007D262C">
        <w:trPr>
          <w:trHeight w:val="5"/>
        </w:trPr>
        <w:tc>
          <w:tcPr>
            <w:tcW w:w="2024" w:type="dxa"/>
            <w:vMerge/>
            <w:vAlign w:val="center"/>
          </w:tcPr>
          <w:p w14:paraId="415CECD3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vAlign w:val="center"/>
          </w:tcPr>
          <w:p w14:paraId="24F62223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/>
                <w:sz w:val="22"/>
              </w:rPr>
              <w:t>Adequate definition of cases</w:t>
            </w:r>
          </w:p>
        </w:tc>
        <w:tc>
          <w:tcPr>
            <w:tcW w:w="1245" w:type="dxa"/>
            <w:vAlign w:val="center"/>
          </w:tcPr>
          <w:p w14:paraId="11886585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 w:hint="eastAsia"/>
                <w:sz w:val="22"/>
              </w:rPr>
              <w:t>R</w:t>
            </w:r>
            <w:r w:rsidRPr="00510F01">
              <w:rPr>
                <w:rFonts w:cs="Times New Roman"/>
                <w:sz w:val="22"/>
              </w:rPr>
              <w:t>epresentativeness of cases</w:t>
            </w:r>
          </w:p>
        </w:tc>
        <w:tc>
          <w:tcPr>
            <w:tcW w:w="1089" w:type="dxa"/>
            <w:vAlign w:val="center"/>
          </w:tcPr>
          <w:p w14:paraId="38AB59C3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/>
                <w:sz w:val="22"/>
              </w:rPr>
              <w:t>Selection of controls</w:t>
            </w:r>
          </w:p>
        </w:tc>
        <w:tc>
          <w:tcPr>
            <w:tcW w:w="1248" w:type="dxa"/>
            <w:vAlign w:val="center"/>
          </w:tcPr>
          <w:p w14:paraId="209F5B65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 w:hint="eastAsia"/>
                <w:sz w:val="22"/>
              </w:rPr>
              <w:t>D</w:t>
            </w:r>
            <w:r w:rsidRPr="00510F01">
              <w:rPr>
                <w:rFonts w:cs="Times New Roman"/>
                <w:sz w:val="22"/>
              </w:rPr>
              <w:t>efinition of controls</w:t>
            </w:r>
          </w:p>
        </w:tc>
        <w:tc>
          <w:tcPr>
            <w:tcW w:w="1868" w:type="dxa"/>
            <w:vAlign w:val="center"/>
          </w:tcPr>
          <w:p w14:paraId="1C81E518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 w:hint="eastAsia"/>
                <w:sz w:val="22"/>
              </w:rPr>
              <w:t>C</w:t>
            </w:r>
            <w:r w:rsidRPr="00510F01">
              <w:rPr>
                <w:rFonts w:cs="Times New Roman"/>
                <w:sz w:val="22"/>
              </w:rPr>
              <w:t>ontrol for important factor or additional factor</w:t>
            </w:r>
          </w:p>
        </w:tc>
        <w:tc>
          <w:tcPr>
            <w:tcW w:w="1245" w:type="dxa"/>
            <w:vAlign w:val="center"/>
          </w:tcPr>
          <w:p w14:paraId="3E3E946C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 w:hint="eastAsia"/>
                <w:sz w:val="22"/>
              </w:rPr>
              <w:t>A</w:t>
            </w:r>
            <w:r w:rsidRPr="00510F01">
              <w:rPr>
                <w:rFonts w:cs="Times New Roman"/>
                <w:sz w:val="22"/>
              </w:rPr>
              <w:t>scertainment of exposure</w:t>
            </w:r>
          </w:p>
        </w:tc>
        <w:tc>
          <w:tcPr>
            <w:tcW w:w="1401" w:type="dxa"/>
            <w:vAlign w:val="center"/>
          </w:tcPr>
          <w:p w14:paraId="01D0D0C0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 w:hint="eastAsia"/>
                <w:sz w:val="22"/>
              </w:rPr>
              <w:t>S</w:t>
            </w:r>
            <w:r w:rsidRPr="00510F01">
              <w:rPr>
                <w:rFonts w:cs="Times New Roman"/>
                <w:sz w:val="22"/>
              </w:rPr>
              <w:t>ame method of ascertainment for cases and controls</w:t>
            </w:r>
          </w:p>
        </w:tc>
        <w:tc>
          <w:tcPr>
            <w:tcW w:w="1403" w:type="dxa"/>
            <w:vAlign w:val="center"/>
          </w:tcPr>
          <w:p w14:paraId="42E4FD3D" w14:textId="77777777" w:rsidR="00E3787A" w:rsidRPr="00510F01" w:rsidRDefault="00E3787A" w:rsidP="007D262C">
            <w:pPr>
              <w:spacing w:after="240"/>
              <w:jc w:val="center"/>
              <w:rPr>
                <w:rFonts w:cs="Times New Roman"/>
                <w:sz w:val="22"/>
              </w:rPr>
            </w:pPr>
            <w:r w:rsidRPr="00510F01">
              <w:rPr>
                <w:rFonts w:cs="Times New Roman"/>
                <w:sz w:val="22"/>
              </w:rPr>
              <w:t>Non-response rate</w:t>
            </w:r>
          </w:p>
        </w:tc>
        <w:tc>
          <w:tcPr>
            <w:tcW w:w="933" w:type="dxa"/>
            <w:vMerge/>
          </w:tcPr>
          <w:p w14:paraId="65D3DC6F" w14:textId="77777777" w:rsidR="00E3787A" w:rsidRPr="00510F01" w:rsidRDefault="00E3787A" w:rsidP="007D262C">
            <w:pPr>
              <w:spacing w:after="240"/>
              <w:rPr>
                <w:rFonts w:cs="Times New Roman"/>
                <w:sz w:val="22"/>
              </w:rPr>
            </w:pPr>
          </w:p>
        </w:tc>
      </w:tr>
      <w:tr w:rsidR="00E3787A" w:rsidRPr="00510F01" w14:paraId="13BCBA61" w14:textId="77777777" w:rsidTr="007D262C">
        <w:trPr>
          <w:trHeight w:val="5"/>
        </w:trPr>
        <w:tc>
          <w:tcPr>
            <w:tcW w:w="2024" w:type="dxa"/>
            <w:shd w:val="clear" w:color="auto" w:fill="auto"/>
          </w:tcPr>
          <w:p w14:paraId="5A6A1196" w14:textId="0DF59D49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De Pooter et al, 2021</w:t>
            </w:r>
            <w:r w:rsidRPr="001F2D3F">
              <w:rPr>
                <w:sz w:val="22"/>
                <w:vertAlign w:val="superscript"/>
              </w:rPr>
              <w:t>24</w:t>
            </w:r>
          </w:p>
        </w:tc>
        <w:tc>
          <w:tcPr>
            <w:tcW w:w="1245" w:type="dxa"/>
            <w:shd w:val="clear" w:color="auto" w:fill="auto"/>
          </w:tcPr>
          <w:p w14:paraId="32318E72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245" w:type="dxa"/>
            <w:shd w:val="clear" w:color="auto" w:fill="auto"/>
          </w:tcPr>
          <w:p w14:paraId="323274EB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089" w:type="dxa"/>
            <w:shd w:val="clear" w:color="auto" w:fill="auto"/>
          </w:tcPr>
          <w:p w14:paraId="54BC3C7A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248" w:type="dxa"/>
            <w:shd w:val="clear" w:color="auto" w:fill="auto"/>
          </w:tcPr>
          <w:p w14:paraId="5468FDBE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868" w:type="dxa"/>
            <w:shd w:val="clear" w:color="auto" w:fill="auto"/>
          </w:tcPr>
          <w:p w14:paraId="5ADB51AA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245" w:type="dxa"/>
            <w:shd w:val="clear" w:color="auto" w:fill="auto"/>
          </w:tcPr>
          <w:p w14:paraId="2AD8D953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401" w:type="dxa"/>
            <w:shd w:val="clear" w:color="auto" w:fill="auto"/>
          </w:tcPr>
          <w:p w14:paraId="5C161493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0</w:t>
            </w:r>
          </w:p>
        </w:tc>
        <w:tc>
          <w:tcPr>
            <w:tcW w:w="1403" w:type="dxa"/>
            <w:shd w:val="clear" w:color="auto" w:fill="auto"/>
          </w:tcPr>
          <w:p w14:paraId="562039EC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933" w:type="dxa"/>
            <w:shd w:val="clear" w:color="auto" w:fill="auto"/>
          </w:tcPr>
          <w:p w14:paraId="2D5AE981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5</w:t>
            </w:r>
          </w:p>
        </w:tc>
      </w:tr>
      <w:tr w:rsidR="00E3787A" w:rsidRPr="00510F01" w14:paraId="65774B88" w14:textId="77777777" w:rsidTr="007D262C">
        <w:trPr>
          <w:trHeight w:val="5"/>
        </w:trPr>
        <w:tc>
          <w:tcPr>
            <w:tcW w:w="2024" w:type="dxa"/>
          </w:tcPr>
          <w:p w14:paraId="4A46DDC6" w14:textId="64E74B59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Sun et al, 2022</w:t>
            </w:r>
            <w:r w:rsidRPr="001F2D3F">
              <w:rPr>
                <w:sz w:val="22"/>
                <w:vertAlign w:val="superscript"/>
              </w:rPr>
              <w:t>25</w:t>
            </w:r>
          </w:p>
        </w:tc>
        <w:tc>
          <w:tcPr>
            <w:tcW w:w="1245" w:type="dxa"/>
          </w:tcPr>
          <w:p w14:paraId="1BB6DA29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245" w:type="dxa"/>
          </w:tcPr>
          <w:p w14:paraId="50DC1994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089" w:type="dxa"/>
          </w:tcPr>
          <w:p w14:paraId="26CE35EF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0</w:t>
            </w:r>
          </w:p>
        </w:tc>
        <w:tc>
          <w:tcPr>
            <w:tcW w:w="1248" w:type="dxa"/>
          </w:tcPr>
          <w:p w14:paraId="4FF7CC45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868" w:type="dxa"/>
          </w:tcPr>
          <w:p w14:paraId="7064409D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245" w:type="dxa"/>
          </w:tcPr>
          <w:p w14:paraId="510FC729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401" w:type="dxa"/>
          </w:tcPr>
          <w:p w14:paraId="6558611C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403" w:type="dxa"/>
          </w:tcPr>
          <w:p w14:paraId="0A925A9F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933" w:type="dxa"/>
          </w:tcPr>
          <w:p w14:paraId="2BAB4B5F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3</w:t>
            </w:r>
          </w:p>
        </w:tc>
      </w:tr>
      <w:tr w:rsidR="00E3787A" w:rsidRPr="00510F01" w14:paraId="3EECDAF2" w14:textId="77777777" w:rsidTr="007D262C">
        <w:trPr>
          <w:trHeight w:val="5"/>
        </w:trPr>
        <w:tc>
          <w:tcPr>
            <w:tcW w:w="2024" w:type="dxa"/>
          </w:tcPr>
          <w:p w14:paraId="2C99A04F" w14:textId="29ED8219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Braunstein et al, 2023</w:t>
            </w:r>
            <w:r w:rsidRPr="001F2D3F">
              <w:rPr>
                <w:sz w:val="22"/>
                <w:vertAlign w:val="superscript"/>
              </w:rPr>
              <w:t>26</w:t>
            </w:r>
          </w:p>
        </w:tc>
        <w:tc>
          <w:tcPr>
            <w:tcW w:w="1245" w:type="dxa"/>
          </w:tcPr>
          <w:p w14:paraId="1CA7D2DD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245" w:type="dxa"/>
          </w:tcPr>
          <w:p w14:paraId="6D512BCB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089" w:type="dxa"/>
          </w:tcPr>
          <w:p w14:paraId="5E09FDD6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248" w:type="dxa"/>
          </w:tcPr>
          <w:p w14:paraId="405BD495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868" w:type="dxa"/>
          </w:tcPr>
          <w:p w14:paraId="1DF729CE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245" w:type="dxa"/>
          </w:tcPr>
          <w:p w14:paraId="2E0B76DD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401" w:type="dxa"/>
          </w:tcPr>
          <w:p w14:paraId="08DBCA84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0</w:t>
            </w:r>
          </w:p>
        </w:tc>
        <w:tc>
          <w:tcPr>
            <w:tcW w:w="1403" w:type="dxa"/>
          </w:tcPr>
          <w:p w14:paraId="72F4CF57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933" w:type="dxa"/>
          </w:tcPr>
          <w:p w14:paraId="34C32EF2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5</w:t>
            </w:r>
          </w:p>
        </w:tc>
      </w:tr>
      <w:tr w:rsidR="00E3787A" w:rsidRPr="00510F01" w14:paraId="537EEF72" w14:textId="77777777" w:rsidTr="007D262C">
        <w:trPr>
          <w:trHeight w:val="5"/>
        </w:trPr>
        <w:tc>
          <w:tcPr>
            <w:tcW w:w="2024" w:type="dxa"/>
          </w:tcPr>
          <w:p w14:paraId="1F98585F" w14:textId="2919FAF6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Daniels et al, 2023</w:t>
            </w:r>
            <w:r w:rsidRPr="001F2D3F">
              <w:rPr>
                <w:sz w:val="22"/>
                <w:vertAlign w:val="superscript"/>
              </w:rPr>
              <w:t>27</w:t>
            </w:r>
          </w:p>
        </w:tc>
        <w:tc>
          <w:tcPr>
            <w:tcW w:w="1245" w:type="dxa"/>
          </w:tcPr>
          <w:p w14:paraId="328301EA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245" w:type="dxa"/>
          </w:tcPr>
          <w:p w14:paraId="66ED39D5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089" w:type="dxa"/>
          </w:tcPr>
          <w:p w14:paraId="35D099B0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248" w:type="dxa"/>
          </w:tcPr>
          <w:p w14:paraId="1EA4D1B3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868" w:type="dxa"/>
          </w:tcPr>
          <w:p w14:paraId="340D94EC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245" w:type="dxa"/>
          </w:tcPr>
          <w:p w14:paraId="0816F3DC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401" w:type="dxa"/>
          </w:tcPr>
          <w:p w14:paraId="7395F564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403" w:type="dxa"/>
          </w:tcPr>
          <w:p w14:paraId="5AF3FF8D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933" w:type="dxa"/>
          </w:tcPr>
          <w:p w14:paraId="5D9FB8BC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5</w:t>
            </w:r>
          </w:p>
        </w:tc>
      </w:tr>
      <w:tr w:rsidR="00E3787A" w:rsidRPr="00510F01" w14:paraId="1B8BAA70" w14:textId="77777777" w:rsidTr="007D262C">
        <w:trPr>
          <w:trHeight w:val="5"/>
        </w:trPr>
        <w:tc>
          <w:tcPr>
            <w:tcW w:w="2024" w:type="dxa"/>
          </w:tcPr>
          <w:p w14:paraId="47B4B883" w14:textId="521DF7C7" w:rsidR="00E3787A" w:rsidRPr="00510F01" w:rsidRDefault="00E3787A" w:rsidP="007D262C">
            <w:pPr>
              <w:jc w:val="center"/>
              <w:rPr>
                <w:sz w:val="22"/>
              </w:rPr>
            </w:pPr>
            <w:proofErr w:type="spellStart"/>
            <w:r w:rsidRPr="00510F01">
              <w:rPr>
                <w:sz w:val="22"/>
              </w:rPr>
              <w:t>Miyajima</w:t>
            </w:r>
            <w:proofErr w:type="spellEnd"/>
            <w:r w:rsidRPr="00510F01">
              <w:rPr>
                <w:sz w:val="22"/>
              </w:rPr>
              <w:t xml:space="preserve"> et al, 2023</w:t>
            </w:r>
            <w:r w:rsidRPr="001F2D3F">
              <w:rPr>
                <w:sz w:val="22"/>
                <w:vertAlign w:val="superscript"/>
              </w:rPr>
              <w:t>28</w:t>
            </w:r>
          </w:p>
        </w:tc>
        <w:tc>
          <w:tcPr>
            <w:tcW w:w="1245" w:type="dxa"/>
          </w:tcPr>
          <w:p w14:paraId="7B175A18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245" w:type="dxa"/>
          </w:tcPr>
          <w:p w14:paraId="49E8491F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089" w:type="dxa"/>
          </w:tcPr>
          <w:p w14:paraId="6F4A1495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248" w:type="dxa"/>
          </w:tcPr>
          <w:p w14:paraId="08048EAB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868" w:type="dxa"/>
          </w:tcPr>
          <w:p w14:paraId="31E1F763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245" w:type="dxa"/>
          </w:tcPr>
          <w:p w14:paraId="44DC4C75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1</w:t>
            </w:r>
          </w:p>
        </w:tc>
        <w:tc>
          <w:tcPr>
            <w:tcW w:w="1401" w:type="dxa"/>
          </w:tcPr>
          <w:p w14:paraId="526E06E2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403" w:type="dxa"/>
          </w:tcPr>
          <w:p w14:paraId="620AF8E5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933" w:type="dxa"/>
          </w:tcPr>
          <w:p w14:paraId="59FB5F80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5</w:t>
            </w:r>
          </w:p>
        </w:tc>
      </w:tr>
      <w:tr w:rsidR="00E3787A" w:rsidRPr="00510F01" w14:paraId="17C206AE" w14:textId="77777777" w:rsidTr="007D262C">
        <w:trPr>
          <w:trHeight w:val="5"/>
        </w:trPr>
        <w:tc>
          <w:tcPr>
            <w:tcW w:w="2024" w:type="dxa"/>
          </w:tcPr>
          <w:p w14:paraId="5816449B" w14:textId="2F75669D" w:rsidR="00E3787A" w:rsidRPr="00510F01" w:rsidRDefault="00E3787A" w:rsidP="007D262C">
            <w:pPr>
              <w:jc w:val="center"/>
              <w:rPr>
                <w:sz w:val="22"/>
              </w:rPr>
            </w:pPr>
            <w:proofErr w:type="spellStart"/>
            <w:r w:rsidRPr="00510F01">
              <w:rPr>
                <w:sz w:val="22"/>
              </w:rPr>
              <w:t>Sritharan</w:t>
            </w:r>
            <w:proofErr w:type="spellEnd"/>
            <w:r w:rsidRPr="00510F01">
              <w:rPr>
                <w:sz w:val="22"/>
              </w:rPr>
              <w:t xml:space="preserve"> et al, 2023</w:t>
            </w:r>
            <w:r w:rsidRPr="001F2D3F">
              <w:rPr>
                <w:sz w:val="22"/>
                <w:vertAlign w:val="superscript"/>
              </w:rPr>
              <w:t>29</w:t>
            </w:r>
          </w:p>
        </w:tc>
        <w:tc>
          <w:tcPr>
            <w:tcW w:w="1245" w:type="dxa"/>
          </w:tcPr>
          <w:p w14:paraId="6952D7CE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245" w:type="dxa"/>
          </w:tcPr>
          <w:p w14:paraId="2A2DF073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0</w:t>
            </w:r>
          </w:p>
        </w:tc>
        <w:tc>
          <w:tcPr>
            <w:tcW w:w="1089" w:type="dxa"/>
          </w:tcPr>
          <w:p w14:paraId="3F6E33DC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0</w:t>
            </w:r>
          </w:p>
        </w:tc>
        <w:tc>
          <w:tcPr>
            <w:tcW w:w="1248" w:type="dxa"/>
          </w:tcPr>
          <w:p w14:paraId="01C84EBA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868" w:type="dxa"/>
          </w:tcPr>
          <w:p w14:paraId="7C80D3D7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245" w:type="dxa"/>
          </w:tcPr>
          <w:p w14:paraId="754BC7A1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401" w:type="dxa"/>
          </w:tcPr>
          <w:p w14:paraId="77366B3D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0</w:t>
            </w:r>
          </w:p>
        </w:tc>
        <w:tc>
          <w:tcPr>
            <w:tcW w:w="1403" w:type="dxa"/>
          </w:tcPr>
          <w:p w14:paraId="7DBCF7D2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933" w:type="dxa"/>
          </w:tcPr>
          <w:p w14:paraId="557C2C72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3</w:t>
            </w:r>
          </w:p>
        </w:tc>
      </w:tr>
      <w:tr w:rsidR="00E3787A" w:rsidRPr="00510F01" w14:paraId="49DFCCAC" w14:textId="77777777" w:rsidTr="007D262C">
        <w:trPr>
          <w:trHeight w:val="5"/>
        </w:trPr>
        <w:tc>
          <w:tcPr>
            <w:tcW w:w="2024" w:type="dxa"/>
          </w:tcPr>
          <w:p w14:paraId="0986FEF5" w14:textId="64D033B0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Cano et al, 2023</w:t>
            </w:r>
            <w:r w:rsidRPr="001F2D3F">
              <w:rPr>
                <w:sz w:val="22"/>
                <w:vertAlign w:val="superscript"/>
              </w:rPr>
              <w:t>30</w:t>
            </w:r>
          </w:p>
        </w:tc>
        <w:tc>
          <w:tcPr>
            <w:tcW w:w="1245" w:type="dxa"/>
          </w:tcPr>
          <w:p w14:paraId="1AEFA3E5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245" w:type="dxa"/>
          </w:tcPr>
          <w:p w14:paraId="766F4614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089" w:type="dxa"/>
          </w:tcPr>
          <w:p w14:paraId="25E06ED2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248" w:type="dxa"/>
          </w:tcPr>
          <w:p w14:paraId="2E082404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868" w:type="dxa"/>
          </w:tcPr>
          <w:p w14:paraId="095A6A00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1245" w:type="dxa"/>
          </w:tcPr>
          <w:p w14:paraId="6CA12C7B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1</w:t>
            </w:r>
          </w:p>
        </w:tc>
        <w:tc>
          <w:tcPr>
            <w:tcW w:w="1401" w:type="dxa"/>
          </w:tcPr>
          <w:p w14:paraId="7E346A82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sz w:val="22"/>
              </w:rPr>
              <w:t>0</w:t>
            </w:r>
          </w:p>
        </w:tc>
        <w:tc>
          <w:tcPr>
            <w:tcW w:w="1403" w:type="dxa"/>
          </w:tcPr>
          <w:p w14:paraId="3BE6F8EF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0</w:t>
            </w:r>
          </w:p>
        </w:tc>
        <w:tc>
          <w:tcPr>
            <w:tcW w:w="933" w:type="dxa"/>
          </w:tcPr>
          <w:p w14:paraId="26E8BE78" w14:textId="77777777" w:rsidR="00E3787A" w:rsidRPr="00510F01" w:rsidRDefault="00E3787A" w:rsidP="007D262C">
            <w:pPr>
              <w:jc w:val="center"/>
              <w:rPr>
                <w:sz w:val="22"/>
              </w:rPr>
            </w:pPr>
            <w:r w:rsidRPr="00510F01">
              <w:rPr>
                <w:rFonts w:hint="eastAsia"/>
                <w:sz w:val="22"/>
              </w:rPr>
              <w:t>5</w:t>
            </w:r>
          </w:p>
        </w:tc>
      </w:tr>
    </w:tbl>
    <w:p w14:paraId="326852F6" w14:textId="77777777" w:rsidR="00987259" w:rsidRPr="00E3787A" w:rsidRDefault="00987259" w:rsidP="00987259">
      <w:pPr>
        <w:rPr>
          <w:rFonts w:ascii="Times New Roman" w:hAnsi="Times New Roman" w:cs="Times New Roman"/>
          <w:sz w:val="22"/>
        </w:rPr>
      </w:pPr>
    </w:p>
    <w:p w14:paraId="67436A33" w14:textId="77777777" w:rsidR="00987259" w:rsidRDefault="00987259" w:rsidP="00987259">
      <w:pPr>
        <w:tabs>
          <w:tab w:val="left" w:pos="10980"/>
        </w:tabs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</w:p>
    <w:p w14:paraId="204E27A2" w14:textId="77777777" w:rsidR="00987259" w:rsidRDefault="00987259" w:rsidP="0098725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93BC2D1" w14:textId="62D185CD" w:rsidR="005961EC" w:rsidRDefault="005961EC" w:rsidP="00987259">
      <w:pPr>
        <w:spacing w:line="360" w:lineRule="auto"/>
        <w:rPr>
          <w:rFonts w:ascii="Times New Roman" w:hAnsi="Times New Roman" w:cs="Times New Roman"/>
          <w:sz w:val="22"/>
        </w:rPr>
        <w:sectPr w:rsidR="005961EC" w:rsidSect="005961EC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13B6AE4C" w14:textId="0961997C" w:rsidR="004D2352" w:rsidRPr="00544FE6" w:rsidRDefault="004D2352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bookmarkStart w:id="0" w:name="_Hlk132015993"/>
      <w:r w:rsidRPr="00067CC1">
        <w:rPr>
          <w:rFonts w:ascii="Times New Roman" w:hAnsi="Times New Roman" w:cs="Times New Roman"/>
          <w:b/>
          <w:sz w:val="22"/>
        </w:rPr>
        <w:lastRenderedPageBreak/>
        <w:t>Supplementa</w:t>
      </w:r>
      <w:r w:rsidR="00CF6FAE">
        <w:rPr>
          <w:rFonts w:ascii="Times New Roman" w:hAnsi="Times New Roman" w:cs="Times New Roman"/>
          <w:b/>
          <w:sz w:val="22"/>
        </w:rPr>
        <w:t>ry</w:t>
      </w:r>
      <w:r w:rsidRPr="00067CC1">
        <w:rPr>
          <w:rFonts w:ascii="Times New Roman" w:hAnsi="Times New Roman" w:cs="Times New Roman"/>
          <w:b/>
          <w:sz w:val="22"/>
        </w:rPr>
        <w:t xml:space="preserve"> </w:t>
      </w:r>
      <w:r w:rsidRPr="00067CC1">
        <w:rPr>
          <w:rFonts w:ascii="Times New Roman" w:hAnsi="Times New Roman" w:cs="Times New Roman" w:hint="eastAsia"/>
          <w:b/>
          <w:sz w:val="22"/>
        </w:rPr>
        <w:t>Figure</w:t>
      </w:r>
      <w:r w:rsidRPr="00067CC1">
        <w:rPr>
          <w:rFonts w:ascii="Times New Roman" w:hAnsi="Times New Roman" w:cs="Times New Roman"/>
          <w:b/>
          <w:sz w:val="22"/>
        </w:rPr>
        <w:t xml:space="preserve"> S</w:t>
      </w:r>
      <w:r>
        <w:rPr>
          <w:rFonts w:ascii="Times New Roman" w:hAnsi="Times New Roman" w:cs="Times New Roman"/>
          <w:b/>
          <w:sz w:val="22"/>
        </w:rPr>
        <w:t>1</w:t>
      </w:r>
      <w:bookmarkEnd w:id="0"/>
      <w:r w:rsidRPr="00DC317B">
        <w:rPr>
          <w:rFonts w:ascii="Times New Roman" w:hAnsi="Times New Roman" w:cs="Times New Roman"/>
          <w:b/>
          <w:sz w:val="22"/>
        </w:rPr>
        <w:t>.</w:t>
      </w:r>
      <w:r w:rsidR="00DC317B" w:rsidRPr="00DC317B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="00DC317B" w:rsidRPr="00544FE6">
        <w:rPr>
          <w:rFonts w:ascii="Times New Roman" w:hAnsi="Times New Roman" w:cs="Times New Roman"/>
          <w:sz w:val="22"/>
        </w:rPr>
        <w:t>Begg’s</w:t>
      </w:r>
      <w:proofErr w:type="spellEnd"/>
      <w:r w:rsidR="00DC317B" w:rsidRPr="00544FE6">
        <w:rPr>
          <w:rFonts w:ascii="Times New Roman" w:hAnsi="Times New Roman" w:cs="Times New Roman"/>
          <w:sz w:val="22"/>
        </w:rPr>
        <w:t xml:space="preserve"> funnel plots</w:t>
      </w:r>
      <w:bookmarkStart w:id="1" w:name="_GoBack"/>
      <w:bookmarkEnd w:id="1"/>
    </w:p>
    <w:p w14:paraId="624956F9" w14:textId="67BC75F2" w:rsidR="004D2352" w:rsidRDefault="003322EC">
      <w:pPr>
        <w:widowControl/>
        <w:wordWrap/>
        <w:autoSpaceDE/>
        <w:autoSpaceDN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drawing>
          <wp:inline distT="0" distB="0" distL="0" distR="0" wp14:anchorId="5ED59FD4" wp14:editId="3811C257">
            <wp:extent cx="3867150" cy="2837626"/>
            <wp:effectExtent l="0" t="0" r="0" b="127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867" cy="284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CECFA" w14:textId="0AE43C6A" w:rsidR="00F849FA" w:rsidRPr="005961EC" w:rsidRDefault="00DC317B" w:rsidP="005961E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DC317B">
        <w:rPr>
          <w:rFonts w:ascii="Times New Roman" w:hAnsi="Times New Roman" w:cs="Times New Roman"/>
          <w:sz w:val="22"/>
        </w:rPr>
        <w:t>The plot demonstrating there was no obvious publication bias.</w:t>
      </w:r>
    </w:p>
    <w:sectPr w:rsidR="00F849FA" w:rsidRPr="005961E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1CC9A" w16cex:dateUtc="2022-11-18T03:49:00Z"/>
  <w16cex:commentExtensible w16cex:durableId="2721CCA7" w16cex:dateUtc="2022-11-18T03:49:00Z"/>
  <w16cex:commentExtensible w16cex:durableId="2721CCAE" w16cex:dateUtc="2022-11-18T03:49:00Z"/>
  <w16cex:commentExtensible w16cex:durableId="2721CCE7" w16cex:dateUtc="2022-11-18T03:50:00Z"/>
  <w16cex:commentExtensible w16cex:durableId="2721CD0B" w16cex:dateUtc="2022-11-18T03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2C1EC" w14:textId="77777777" w:rsidR="00D906FA" w:rsidRDefault="00D906FA" w:rsidP="00067CC1">
      <w:pPr>
        <w:spacing w:after="0" w:line="240" w:lineRule="auto"/>
      </w:pPr>
      <w:r>
        <w:separator/>
      </w:r>
    </w:p>
  </w:endnote>
  <w:endnote w:type="continuationSeparator" w:id="0">
    <w:p w14:paraId="21D8E8EB" w14:textId="77777777" w:rsidR="00D906FA" w:rsidRDefault="00D906FA" w:rsidP="0006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6177D" w14:textId="77777777" w:rsidR="00D906FA" w:rsidRDefault="00D906FA" w:rsidP="00067CC1">
      <w:pPr>
        <w:spacing w:after="0" w:line="240" w:lineRule="auto"/>
      </w:pPr>
      <w:r>
        <w:separator/>
      </w:r>
    </w:p>
  </w:footnote>
  <w:footnote w:type="continuationSeparator" w:id="0">
    <w:p w14:paraId="699875B0" w14:textId="77777777" w:rsidR="00D906FA" w:rsidRDefault="00D906FA" w:rsidP="00067C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6F0"/>
    <w:rsid w:val="00006E99"/>
    <w:rsid w:val="00012680"/>
    <w:rsid w:val="000517C3"/>
    <w:rsid w:val="00057E8B"/>
    <w:rsid w:val="00067CC1"/>
    <w:rsid w:val="001834EF"/>
    <w:rsid w:val="001A3AE7"/>
    <w:rsid w:val="002372E5"/>
    <w:rsid w:val="002A072F"/>
    <w:rsid w:val="002A35C5"/>
    <w:rsid w:val="002F00AA"/>
    <w:rsid w:val="003322EC"/>
    <w:rsid w:val="004C65E3"/>
    <w:rsid w:val="004D2247"/>
    <w:rsid w:val="004D2352"/>
    <w:rsid w:val="004E177F"/>
    <w:rsid w:val="0052093C"/>
    <w:rsid w:val="00544FE6"/>
    <w:rsid w:val="00553D8A"/>
    <w:rsid w:val="00585BEB"/>
    <w:rsid w:val="005961EC"/>
    <w:rsid w:val="005D1F3F"/>
    <w:rsid w:val="006935CB"/>
    <w:rsid w:val="006D1549"/>
    <w:rsid w:val="006F4690"/>
    <w:rsid w:val="00747A24"/>
    <w:rsid w:val="0077283C"/>
    <w:rsid w:val="007B008C"/>
    <w:rsid w:val="00832DF1"/>
    <w:rsid w:val="008E16F0"/>
    <w:rsid w:val="008F3259"/>
    <w:rsid w:val="009329F3"/>
    <w:rsid w:val="00981303"/>
    <w:rsid w:val="00987259"/>
    <w:rsid w:val="00994E9C"/>
    <w:rsid w:val="00A00B89"/>
    <w:rsid w:val="00A77F51"/>
    <w:rsid w:val="00A92563"/>
    <w:rsid w:val="00AD0F9E"/>
    <w:rsid w:val="00BF3927"/>
    <w:rsid w:val="00C52258"/>
    <w:rsid w:val="00C740FC"/>
    <w:rsid w:val="00C921A3"/>
    <w:rsid w:val="00C937DE"/>
    <w:rsid w:val="00CB345C"/>
    <w:rsid w:val="00CC2801"/>
    <w:rsid w:val="00CF6FAE"/>
    <w:rsid w:val="00D4492A"/>
    <w:rsid w:val="00D906FA"/>
    <w:rsid w:val="00D92AC2"/>
    <w:rsid w:val="00DA3ADB"/>
    <w:rsid w:val="00DC317B"/>
    <w:rsid w:val="00E3363F"/>
    <w:rsid w:val="00E3787A"/>
    <w:rsid w:val="00EA3579"/>
    <w:rsid w:val="00F15E9A"/>
    <w:rsid w:val="00F849FA"/>
    <w:rsid w:val="00FA62EF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59159"/>
  <w15:chartTrackingRefBased/>
  <w15:docId w15:val="{BA3BE15E-D275-4BAC-A8CB-816F47DB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16F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16F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067C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67CC1"/>
  </w:style>
  <w:style w:type="paragraph" w:styleId="a5">
    <w:name w:val="footer"/>
    <w:basedOn w:val="a"/>
    <w:link w:val="Char0"/>
    <w:uiPriority w:val="99"/>
    <w:unhideWhenUsed/>
    <w:rsid w:val="00067C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67CC1"/>
  </w:style>
  <w:style w:type="table" w:styleId="a6">
    <w:name w:val="Table Grid"/>
    <w:basedOn w:val="a1"/>
    <w:uiPriority w:val="39"/>
    <w:rsid w:val="008F325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553D8A"/>
    <w:rPr>
      <w:sz w:val="16"/>
      <w:szCs w:val="16"/>
    </w:rPr>
  </w:style>
  <w:style w:type="paragraph" w:styleId="a8">
    <w:name w:val="annotation text"/>
    <w:basedOn w:val="a"/>
    <w:link w:val="Char1"/>
    <w:uiPriority w:val="99"/>
    <w:unhideWhenUsed/>
    <w:rsid w:val="00553D8A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8"/>
    <w:uiPriority w:val="99"/>
    <w:rsid w:val="00553D8A"/>
    <w:rPr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553D8A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553D8A"/>
    <w:rPr>
      <w:b/>
      <w:bCs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553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553D8A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5D1F3F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69EAC-59CD-4F2D-8715-67F2B496B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유가인</dc:creator>
  <cp:keywords/>
  <dc:description/>
  <cp:lastModifiedBy>유가인</cp:lastModifiedBy>
  <cp:revision>33</cp:revision>
  <dcterms:created xsi:type="dcterms:W3CDTF">2022-05-30T02:36:00Z</dcterms:created>
  <dcterms:modified xsi:type="dcterms:W3CDTF">2024-09-13T08:53:00Z</dcterms:modified>
</cp:coreProperties>
</file>