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20BB58" w14:textId="77777777" w:rsidR="00280945" w:rsidRDefault="00280945" w:rsidP="00280945">
      <w:pPr>
        <w:pStyle w:val="a7"/>
        <w:spacing w:line="480" w:lineRule="auto"/>
        <w:jc w:val="left"/>
        <w:rPr>
          <w:b/>
          <w:noProof/>
          <w:color w:val="000000" w:themeColor="text1"/>
          <w:sz w:val="24"/>
          <w:szCs w:val="24"/>
        </w:rPr>
      </w:pPr>
      <w:bookmarkStart w:id="0" w:name="_Hlk73020554"/>
      <w:r w:rsidRPr="00C025B7">
        <w:rPr>
          <w:b/>
          <w:noProof/>
          <w:color w:val="000000" w:themeColor="text1"/>
          <w:sz w:val="24"/>
          <w:szCs w:val="24"/>
        </w:rPr>
        <w:t xml:space="preserve">Fe/N/C </w:t>
      </w:r>
      <w:r>
        <w:rPr>
          <w:b/>
          <w:noProof/>
          <w:color w:val="000000" w:themeColor="text1"/>
          <w:sz w:val="24"/>
          <w:szCs w:val="24"/>
        </w:rPr>
        <w:t>C</w:t>
      </w:r>
      <w:r w:rsidRPr="00C025B7">
        <w:rPr>
          <w:b/>
          <w:noProof/>
          <w:color w:val="000000" w:themeColor="text1"/>
          <w:sz w:val="24"/>
          <w:szCs w:val="24"/>
        </w:rPr>
        <w:t xml:space="preserve">atalysts with </w:t>
      </w:r>
      <w:r>
        <w:rPr>
          <w:b/>
          <w:noProof/>
          <w:color w:val="000000" w:themeColor="text1"/>
          <w:sz w:val="24"/>
          <w:szCs w:val="24"/>
        </w:rPr>
        <w:t>H</w:t>
      </w:r>
      <w:r w:rsidRPr="00C025B7">
        <w:rPr>
          <w:b/>
          <w:noProof/>
          <w:color w:val="000000" w:themeColor="text1"/>
          <w:sz w:val="24"/>
          <w:szCs w:val="24"/>
        </w:rPr>
        <w:t xml:space="preserve">ierarchical </w:t>
      </w:r>
      <w:r>
        <w:rPr>
          <w:b/>
          <w:noProof/>
          <w:color w:val="000000" w:themeColor="text1"/>
          <w:sz w:val="24"/>
          <w:szCs w:val="24"/>
        </w:rPr>
        <w:t>P</w:t>
      </w:r>
      <w:r w:rsidRPr="00C025B7">
        <w:rPr>
          <w:b/>
          <w:noProof/>
          <w:color w:val="000000" w:themeColor="text1"/>
          <w:sz w:val="24"/>
          <w:szCs w:val="24"/>
        </w:rPr>
        <w:t xml:space="preserve">orous </w:t>
      </w:r>
      <w:r>
        <w:rPr>
          <w:b/>
          <w:noProof/>
          <w:color w:val="000000" w:themeColor="text1"/>
          <w:sz w:val="24"/>
          <w:szCs w:val="24"/>
        </w:rPr>
        <w:t>S</w:t>
      </w:r>
      <w:r w:rsidRPr="00C025B7">
        <w:rPr>
          <w:b/>
          <w:noProof/>
          <w:color w:val="000000" w:themeColor="text1"/>
          <w:sz w:val="24"/>
          <w:szCs w:val="24"/>
        </w:rPr>
        <w:t xml:space="preserve">tructure </w:t>
      </w:r>
      <w:r>
        <w:rPr>
          <w:b/>
          <w:noProof/>
          <w:color w:val="000000" w:themeColor="text1"/>
          <w:sz w:val="24"/>
          <w:szCs w:val="24"/>
        </w:rPr>
        <w:t>D</w:t>
      </w:r>
      <w:r w:rsidRPr="00C025B7">
        <w:rPr>
          <w:b/>
          <w:noProof/>
          <w:color w:val="000000" w:themeColor="text1"/>
          <w:sz w:val="24"/>
          <w:szCs w:val="24"/>
        </w:rPr>
        <w:t>erived from Fe-doped ZIF-8</w:t>
      </w:r>
      <w:bookmarkEnd w:id="0"/>
      <w:r>
        <w:rPr>
          <w:b/>
          <w:noProof/>
          <w:color w:val="000000" w:themeColor="text1"/>
          <w:sz w:val="24"/>
          <w:szCs w:val="24"/>
        </w:rPr>
        <w:t xml:space="preserve"> for </w:t>
      </w:r>
      <w:r w:rsidRPr="00C025B7">
        <w:rPr>
          <w:b/>
          <w:noProof/>
          <w:color w:val="000000" w:themeColor="text1"/>
          <w:sz w:val="24"/>
          <w:szCs w:val="24"/>
        </w:rPr>
        <w:t xml:space="preserve">Accelerated ORR </w:t>
      </w:r>
      <w:r>
        <w:rPr>
          <w:b/>
          <w:noProof/>
          <w:color w:val="000000" w:themeColor="text1"/>
          <w:sz w:val="24"/>
          <w:szCs w:val="24"/>
        </w:rPr>
        <w:t>A</w:t>
      </w:r>
      <w:r w:rsidRPr="00C025B7">
        <w:rPr>
          <w:b/>
          <w:noProof/>
          <w:color w:val="000000" w:themeColor="text1"/>
          <w:sz w:val="24"/>
          <w:szCs w:val="24"/>
        </w:rPr>
        <w:t>ctivity</w:t>
      </w:r>
    </w:p>
    <w:p w14:paraId="4C4715CA" w14:textId="77777777" w:rsidR="000C76EE" w:rsidRDefault="000C76EE" w:rsidP="000C76EE">
      <w:pPr>
        <w:pStyle w:val="a7"/>
        <w:spacing w:line="480" w:lineRule="auto"/>
        <w:rPr>
          <w:rFonts w:eastAsiaTheme="minorEastAsia"/>
          <w:color w:val="000000" w:themeColor="text1"/>
          <w:kern w:val="0"/>
        </w:rPr>
      </w:pPr>
      <w:proofErr w:type="spellStart"/>
      <w:r w:rsidRPr="00050F85">
        <w:rPr>
          <w:rFonts w:eastAsiaTheme="minorEastAsia"/>
          <w:color w:val="000000" w:themeColor="text1"/>
          <w:kern w:val="0"/>
        </w:rPr>
        <w:t>Kaixiang</w:t>
      </w:r>
      <w:proofErr w:type="spellEnd"/>
      <w:r w:rsidRPr="00050F85">
        <w:rPr>
          <w:rFonts w:eastAsiaTheme="minorEastAsia"/>
          <w:color w:val="000000" w:themeColor="text1"/>
          <w:kern w:val="0"/>
        </w:rPr>
        <w:t xml:space="preserve"> Li</w:t>
      </w:r>
      <w:r w:rsidRPr="00050F85">
        <w:rPr>
          <w:rFonts w:eastAsiaTheme="minorEastAsia"/>
          <w:color w:val="000000" w:themeColor="text1"/>
          <w:kern w:val="0"/>
          <w:vertAlign w:val="superscript"/>
        </w:rPr>
        <w:t>a</w:t>
      </w:r>
      <w:r w:rsidRPr="00050F85">
        <w:rPr>
          <w:rFonts w:eastAsiaTheme="minorEastAsia"/>
          <w:color w:val="000000" w:themeColor="text1"/>
          <w:kern w:val="0"/>
        </w:rPr>
        <w:t xml:space="preserve">, Jinyu </w:t>
      </w:r>
      <w:proofErr w:type="spellStart"/>
      <w:r w:rsidRPr="00050F85">
        <w:rPr>
          <w:rFonts w:eastAsiaTheme="minorEastAsia"/>
          <w:color w:val="000000" w:themeColor="text1"/>
          <w:kern w:val="0"/>
        </w:rPr>
        <w:t>Zhao</w:t>
      </w:r>
      <w:r w:rsidRPr="00050F85">
        <w:rPr>
          <w:rFonts w:eastAsiaTheme="minorEastAsia"/>
          <w:color w:val="000000" w:themeColor="text1"/>
          <w:kern w:val="0"/>
          <w:vertAlign w:val="superscript"/>
        </w:rPr>
        <w:t>b</w:t>
      </w:r>
      <w:proofErr w:type="spellEnd"/>
      <w:r w:rsidRPr="00050F85">
        <w:rPr>
          <w:rFonts w:eastAsiaTheme="minorEastAsia"/>
          <w:color w:val="000000" w:themeColor="text1"/>
          <w:kern w:val="0"/>
        </w:rPr>
        <w:t xml:space="preserve">, </w:t>
      </w:r>
      <w:proofErr w:type="spellStart"/>
      <w:r w:rsidRPr="00050F85">
        <w:rPr>
          <w:rFonts w:eastAsiaTheme="minorEastAsia"/>
          <w:color w:val="000000" w:themeColor="text1"/>
          <w:kern w:val="0"/>
        </w:rPr>
        <w:t>Ruipeng</w:t>
      </w:r>
      <w:proofErr w:type="spellEnd"/>
      <w:r w:rsidRPr="00050F85">
        <w:rPr>
          <w:rFonts w:eastAsiaTheme="minorEastAsia"/>
          <w:color w:val="000000" w:themeColor="text1"/>
          <w:kern w:val="0"/>
        </w:rPr>
        <w:t xml:space="preserve"> </w:t>
      </w:r>
      <w:proofErr w:type="spellStart"/>
      <w:r w:rsidRPr="00050F85">
        <w:rPr>
          <w:rFonts w:eastAsiaTheme="minorEastAsia"/>
          <w:color w:val="000000" w:themeColor="text1"/>
          <w:kern w:val="0"/>
        </w:rPr>
        <w:t>Yuan</w:t>
      </w:r>
      <w:r w:rsidRPr="00050F85">
        <w:rPr>
          <w:rFonts w:eastAsiaTheme="minorEastAsia"/>
          <w:color w:val="000000" w:themeColor="text1"/>
          <w:kern w:val="0"/>
          <w:vertAlign w:val="superscript"/>
        </w:rPr>
        <w:t>b</w:t>
      </w:r>
      <w:proofErr w:type="spellEnd"/>
      <w:r w:rsidRPr="00050F85">
        <w:rPr>
          <w:rFonts w:eastAsiaTheme="minorEastAsia"/>
          <w:color w:val="000000" w:themeColor="text1"/>
          <w:kern w:val="0"/>
        </w:rPr>
        <w:t xml:space="preserve">, </w:t>
      </w:r>
      <w:r>
        <w:rPr>
          <w:rFonts w:eastAsiaTheme="minorEastAsia" w:hint="eastAsia"/>
          <w:color w:val="000000" w:themeColor="text1"/>
          <w:kern w:val="0"/>
        </w:rPr>
        <w:t>Jiajun Chen</w:t>
      </w:r>
      <w:r w:rsidRPr="00050F85">
        <w:rPr>
          <w:rFonts w:eastAsiaTheme="minorEastAsia"/>
          <w:color w:val="000000" w:themeColor="text1"/>
          <w:kern w:val="0"/>
          <w:vertAlign w:val="superscript"/>
        </w:rPr>
        <w:t>b</w:t>
      </w:r>
      <w:r>
        <w:rPr>
          <w:rFonts w:eastAsiaTheme="minorEastAsia" w:hint="eastAsia"/>
          <w:color w:val="000000" w:themeColor="text1"/>
          <w:kern w:val="0"/>
        </w:rPr>
        <w:t xml:space="preserve">, </w:t>
      </w:r>
      <w:proofErr w:type="spellStart"/>
      <w:r w:rsidRPr="00050F85">
        <w:rPr>
          <w:rFonts w:eastAsiaTheme="minorEastAsia"/>
          <w:color w:val="000000" w:themeColor="text1"/>
          <w:kern w:val="0"/>
        </w:rPr>
        <w:t>Huijun</w:t>
      </w:r>
      <w:proofErr w:type="spellEnd"/>
      <w:r w:rsidRPr="00050F85">
        <w:rPr>
          <w:rFonts w:eastAsiaTheme="minorEastAsia"/>
          <w:color w:val="000000" w:themeColor="text1"/>
          <w:kern w:val="0"/>
        </w:rPr>
        <w:t xml:space="preserve"> Li</w:t>
      </w:r>
      <w:r w:rsidRPr="00050F85">
        <w:rPr>
          <w:rFonts w:eastAsiaTheme="minorEastAsia"/>
          <w:color w:val="000000" w:themeColor="text1"/>
          <w:kern w:val="0"/>
          <w:vertAlign w:val="superscript"/>
        </w:rPr>
        <w:t>b</w:t>
      </w:r>
      <w:r w:rsidRPr="00050F85">
        <w:rPr>
          <w:rFonts w:eastAsiaTheme="minorEastAsia"/>
          <w:color w:val="000000" w:themeColor="text1"/>
          <w:kern w:val="0"/>
        </w:rPr>
        <w:t>, Xiaomin Wang</w:t>
      </w:r>
      <w:r w:rsidRPr="00050F85">
        <w:rPr>
          <w:rFonts w:eastAsiaTheme="minorEastAsia"/>
          <w:color w:val="000000" w:themeColor="text1"/>
          <w:kern w:val="0"/>
          <w:vertAlign w:val="superscript"/>
        </w:rPr>
        <w:t xml:space="preserve">b, </w:t>
      </w:r>
      <w:r w:rsidRPr="00050F85">
        <w:rPr>
          <w:rFonts w:eastAsiaTheme="minorEastAsia"/>
          <w:color w:val="000000" w:themeColor="text1"/>
          <w:kern w:val="0"/>
        </w:rPr>
        <w:t>*</w:t>
      </w:r>
    </w:p>
    <w:p w14:paraId="5E1BB3C8" w14:textId="77777777" w:rsidR="000C76EE" w:rsidRPr="00050F85" w:rsidRDefault="000C76EE" w:rsidP="000C76EE">
      <w:pPr>
        <w:pStyle w:val="a7"/>
        <w:spacing w:line="480" w:lineRule="auto"/>
        <w:jc w:val="both"/>
        <w:rPr>
          <w:rFonts w:eastAsiaTheme="minorEastAsia"/>
          <w:i/>
          <w:iCs/>
          <w:color w:val="000000" w:themeColor="text1"/>
          <w:kern w:val="0"/>
        </w:rPr>
      </w:pPr>
      <w:r w:rsidRPr="00050F85">
        <w:rPr>
          <w:i/>
          <w:iCs/>
        </w:rPr>
        <w:t>a</w:t>
      </w:r>
      <w:r w:rsidRPr="00050F85">
        <w:rPr>
          <w:rFonts w:eastAsiaTheme="minorEastAsia"/>
          <w:i/>
          <w:iCs/>
          <w:color w:val="000000" w:themeColor="text1"/>
          <w:kern w:val="0"/>
        </w:rPr>
        <w:t xml:space="preserve"> </w:t>
      </w:r>
      <w:bookmarkStart w:id="1" w:name="OLE_LINK3"/>
      <w:r w:rsidRPr="00050F85">
        <w:rPr>
          <w:rFonts w:eastAsiaTheme="minorEastAsia"/>
          <w:i/>
          <w:iCs/>
          <w:color w:val="000000" w:themeColor="text1"/>
          <w:kern w:val="0"/>
        </w:rPr>
        <w:t>GAC AION NEW ENERGY AUTOMOBILE Co. Ltd.</w:t>
      </w:r>
      <w:bookmarkEnd w:id="1"/>
      <w:r w:rsidRPr="00050F85">
        <w:rPr>
          <w:rFonts w:eastAsiaTheme="minorEastAsia"/>
          <w:i/>
          <w:iCs/>
          <w:color w:val="000000" w:themeColor="text1"/>
          <w:kern w:val="0"/>
        </w:rPr>
        <w:t xml:space="preserve"> 36 </w:t>
      </w:r>
      <w:proofErr w:type="spellStart"/>
      <w:r w:rsidRPr="00050F85">
        <w:rPr>
          <w:rFonts w:eastAsiaTheme="minorEastAsia"/>
          <w:i/>
          <w:iCs/>
          <w:color w:val="000000" w:themeColor="text1"/>
          <w:kern w:val="0"/>
        </w:rPr>
        <w:t>Longyin</w:t>
      </w:r>
      <w:proofErr w:type="spellEnd"/>
      <w:r w:rsidRPr="00050F85">
        <w:rPr>
          <w:rFonts w:eastAsiaTheme="minorEastAsia"/>
          <w:i/>
          <w:iCs/>
          <w:color w:val="000000" w:themeColor="text1"/>
          <w:kern w:val="0"/>
        </w:rPr>
        <w:t xml:space="preserve"> Road Guangzhou Guangdong, China, 511436</w:t>
      </w:r>
    </w:p>
    <w:p w14:paraId="67CCF1D8" w14:textId="77777777" w:rsidR="000C76EE" w:rsidRDefault="000C76EE" w:rsidP="000C76EE">
      <w:pPr>
        <w:spacing w:line="480" w:lineRule="auto"/>
        <w:rPr>
          <w:rFonts w:ascii="Times New Roman" w:hAnsi="Times New Roman" w:cs="Times New Roman"/>
          <w:i/>
          <w:iCs/>
        </w:rPr>
      </w:pPr>
      <w:r w:rsidRPr="00050F85">
        <w:rPr>
          <w:rFonts w:ascii="Times New Roman" w:hAnsi="Times New Roman" w:cs="Times New Roman"/>
          <w:i/>
          <w:iCs/>
        </w:rPr>
        <w:t xml:space="preserve">b </w:t>
      </w:r>
      <w:bookmarkStart w:id="2" w:name="OLE_LINK4"/>
      <w:r w:rsidRPr="00050F85">
        <w:rPr>
          <w:rFonts w:ascii="Times New Roman" w:hAnsi="Times New Roman" w:cs="Times New Roman"/>
          <w:i/>
          <w:iCs/>
        </w:rPr>
        <w:t>College of Materials Science and Engineering</w:t>
      </w:r>
      <w:bookmarkEnd w:id="2"/>
      <w:r w:rsidRPr="00050F85">
        <w:rPr>
          <w:rFonts w:ascii="Times New Roman" w:hAnsi="Times New Roman" w:cs="Times New Roman"/>
          <w:i/>
          <w:iCs/>
        </w:rPr>
        <w:t>, Taiyuan University of Technology, Taiyuan 030024, China</w:t>
      </w:r>
    </w:p>
    <w:p w14:paraId="3C66E4C7" w14:textId="77777777" w:rsidR="000C76EE" w:rsidRPr="006F71DD" w:rsidRDefault="000C76EE" w:rsidP="000C76EE">
      <w:pPr>
        <w:spacing w:line="480" w:lineRule="auto"/>
        <w:rPr>
          <w:rFonts w:ascii="Times New Roman" w:hAnsi="Times New Roman" w:cs="Times New Roman"/>
          <w:i/>
          <w:iCs/>
        </w:rPr>
      </w:pPr>
      <w:r w:rsidRPr="006F71DD">
        <w:rPr>
          <w:rFonts w:ascii="Times New Roman" w:hAnsi="Times New Roman" w:cs="Times New Roman" w:hint="eastAsia"/>
          <w:i/>
          <w:iCs/>
        </w:rPr>
        <w:t xml:space="preserve">Corresponding author: </w:t>
      </w:r>
      <w:r w:rsidRPr="006F71DD">
        <w:rPr>
          <w:rFonts w:ascii="Times New Roman" w:hAnsi="Times New Roman" w:cs="Times New Roman"/>
          <w:i/>
          <w:iCs/>
        </w:rPr>
        <w:t>Xiaomin Wang</w:t>
      </w:r>
      <w:r w:rsidRPr="006F71DD">
        <w:rPr>
          <w:rFonts w:ascii="Times New Roman" w:hAnsi="Times New Roman" w:cs="Times New Roman"/>
          <w:i/>
          <w:iCs/>
          <w:vertAlign w:val="superscript"/>
        </w:rPr>
        <w:t>b, *</w:t>
      </w:r>
    </w:p>
    <w:p w14:paraId="5263830E" w14:textId="77777777" w:rsidR="000C76EE" w:rsidRPr="006F71DD" w:rsidRDefault="000C76EE" w:rsidP="000C76EE">
      <w:pPr>
        <w:spacing w:line="480" w:lineRule="auto"/>
        <w:rPr>
          <w:rFonts w:ascii="Times New Roman" w:hAnsi="Times New Roman" w:cs="Times New Roman"/>
          <w:i/>
          <w:iCs/>
        </w:rPr>
      </w:pPr>
      <w:r w:rsidRPr="006F71DD">
        <w:rPr>
          <w:rFonts w:ascii="Times New Roman" w:hAnsi="Times New Roman" w:cs="Times New Roman" w:hint="eastAsia"/>
          <w:i/>
          <w:iCs/>
        </w:rPr>
        <w:t>E-mail address: wangxiaomin@tyut.edu.cn</w:t>
      </w:r>
      <w:r w:rsidRPr="006F71DD">
        <w:rPr>
          <w:rFonts w:ascii="Times New Roman" w:hAnsi="Times New Roman" w:cs="Times New Roman" w:hint="eastAsia"/>
          <w:i/>
          <w:iCs/>
        </w:rPr>
        <w:t>（</w:t>
      </w:r>
      <w:r w:rsidRPr="006F71DD">
        <w:rPr>
          <w:rFonts w:ascii="Times New Roman" w:hAnsi="Times New Roman" w:cs="Times New Roman" w:hint="eastAsia"/>
          <w:i/>
          <w:iCs/>
        </w:rPr>
        <w:t>X Wang</w:t>
      </w:r>
      <w:r w:rsidRPr="006F71DD">
        <w:rPr>
          <w:rFonts w:ascii="Times New Roman" w:hAnsi="Times New Roman" w:cs="Times New Roman" w:hint="eastAsia"/>
          <w:i/>
          <w:iCs/>
        </w:rPr>
        <w:t>）</w:t>
      </w:r>
    </w:p>
    <w:p w14:paraId="493CC204" w14:textId="28079525" w:rsidR="00420780" w:rsidRDefault="000631D7" w:rsidP="00D015D7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  <w:r w:rsidRPr="000631D7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5F16BC1" wp14:editId="2E39EE9A">
            <wp:extent cx="5274310" cy="2572385"/>
            <wp:effectExtent l="0" t="0" r="0" b="0"/>
            <wp:docPr id="8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59D424E2-3410-2F02-3D93-5C149F0701E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59D424E2-3410-2F02-3D93-5C149F0701E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0F3B8" w14:textId="27BCF69F" w:rsidR="000631D7" w:rsidRDefault="000631D7" w:rsidP="00D015D7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  <w:r w:rsidRPr="000631D7">
        <w:rPr>
          <w:rFonts w:ascii="Times New Roman" w:eastAsia="宋体" w:hAnsi="Times New Roman" w:cs="Times New Roman"/>
          <w:b/>
          <w:bCs/>
          <w:szCs w:val="21"/>
        </w:rPr>
        <w:t>Figure S1</w:t>
      </w:r>
      <w:r>
        <w:rPr>
          <w:rFonts w:ascii="Times New Roman" w:eastAsia="宋体" w:hAnsi="Times New Roman" w:cs="Times New Roman"/>
          <w:szCs w:val="21"/>
        </w:rPr>
        <w:t xml:space="preserve"> SEM image and </w:t>
      </w:r>
      <w:bookmarkStart w:id="3" w:name="_Hlk150765330"/>
      <w:r w:rsidRPr="005C4988">
        <w:rPr>
          <w:rFonts w:ascii="Times New Roman" w:eastAsia="宋体" w:hAnsi="Times New Roman" w:cs="Times New Roman"/>
          <w:szCs w:val="21"/>
        </w:rPr>
        <w:t>EDS images of Fe-N-C 1000</w:t>
      </w:r>
      <w:bookmarkEnd w:id="3"/>
    </w:p>
    <w:p w14:paraId="2334DD44" w14:textId="30A74F0B" w:rsidR="000631D7" w:rsidRDefault="00F401DF" w:rsidP="00D015D7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  <w:r w:rsidRPr="00F401DF"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1D9035FC" wp14:editId="5ACB65A1">
            <wp:extent cx="5274310" cy="2796540"/>
            <wp:effectExtent l="0" t="0" r="0" b="0"/>
            <wp:docPr id="14" name="图片 13">
              <a:extLst xmlns:a="http://schemas.openxmlformats.org/drawingml/2006/main">
                <a:ext uri="{FF2B5EF4-FFF2-40B4-BE49-F238E27FC236}">
                  <a16:creationId xmlns:a16="http://schemas.microsoft.com/office/drawing/2014/main" id="{8CB1980D-A950-A00F-9CAF-057A1130F70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>
                      <a:extLst>
                        <a:ext uri="{FF2B5EF4-FFF2-40B4-BE49-F238E27FC236}">
                          <a16:creationId xmlns:a16="http://schemas.microsoft.com/office/drawing/2014/main" id="{8CB1980D-A950-A00F-9CAF-057A1130F70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6C8CC" w14:textId="75329E85" w:rsidR="00D17D65" w:rsidRDefault="00D17D65" w:rsidP="00D17D65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  <w:r w:rsidRPr="00D17D65">
        <w:rPr>
          <w:rFonts w:ascii="Times New Roman" w:eastAsia="宋体" w:hAnsi="Times New Roman" w:cs="Times New Roman" w:hint="eastAsia"/>
          <w:b/>
          <w:bCs/>
          <w:szCs w:val="21"/>
        </w:rPr>
        <w:t>Figure</w:t>
      </w:r>
      <w:r w:rsidRPr="00D17D65">
        <w:rPr>
          <w:rFonts w:ascii="Times New Roman" w:eastAsia="宋体" w:hAnsi="Times New Roman" w:cs="Times New Roman"/>
          <w:b/>
          <w:bCs/>
          <w:szCs w:val="21"/>
        </w:rPr>
        <w:t xml:space="preserve"> S2</w:t>
      </w:r>
      <w:r>
        <w:rPr>
          <w:rFonts w:ascii="Times New Roman" w:eastAsia="宋体" w:hAnsi="Times New Roman" w:cs="Times New Roman"/>
          <w:szCs w:val="21"/>
        </w:rPr>
        <w:t xml:space="preserve"> XPS </w:t>
      </w:r>
      <w:r>
        <w:rPr>
          <w:rFonts w:ascii="Times New Roman" w:eastAsia="宋体" w:hAnsi="Times New Roman" w:cs="Times New Roman" w:hint="eastAsia"/>
          <w:szCs w:val="21"/>
        </w:rPr>
        <w:t>spectra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 xml:space="preserve">of </w:t>
      </w:r>
      <w:r>
        <w:rPr>
          <w:rFonts w:ascii="Times New Roman" w:eastAsia="宋体" w:hAnsi="Times New Roman" w:cs="Times New Roman"/>
          <w:szCs w:val="21"/>
        </w:rPr>
        <w:t>N 1</w:t>
      </w:r>
      <w:r>
        <w:rPr>
          <w:rFonts w:ascii="Times New Roman" w:eastAsia="宋体" w:hAnsi="Times New Roman" w:cs="Times New Roman" w:hint="eastAsia"/>
          <w:szCs w:val="21"/>
        </w:rPr>
        <w:t>s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and</w:t>
      </w:r>
      <w:r>
        <w:rPr>
          <w:rFonts w:ascii="Times New Roman" w:eastAsia="宋体" w:hAnsi="Times New Roman" w:cs="Times New Roman"/>
          <w:szCs w:val="21"/>
        </w:rPr>
        <w:t xml:space="preserve"> F</w:t>
      </w:r>
      <w:r>
        <w:rPr>
          <w:rFonts w:ascii="Times New Roman" w:eastAsia="宋体" w:hAnsi="Times New Roman" w:cs="Times New Roman" w:hint="eastAsia"/>
          <w:szCs w:val="21"/>
        </w:rPr>
        <w:t>e</w:t>
      </w:r>
      <w:r>
        <w:rPr>
          <w:rFonts w:ascii="Times New Roman" w:eastAsia="宋体" w:hAnsi="Times New Roman" w:cs="Times New Roman"/>
          <w:szCs w:val="21"/>
        </w:rPr>
        <w:t xml:space="preserve"> 2</w:t>
      </w:r>
      <w:r>
        <w:rPr>
          <w:rFonts w:ascii="Times New Roman" w:eastAsia="宋体" w:hAnsi="Times New Roman" w:cs="Times New Roman" w:hint="eastAsia"/>
          <w:szCs w:val="21"/>
        </w:rPr>
        <w:t>p</w:t>
      </w:r>
    </w:p>
    <w:p w14:paraId="073B7B2F" w14:textId="1F43EAA3" w:rsidR="00D17D65" w:rsidRDefault="00F81AB5" w:rsidP="00D17D65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  <w:r w:rsidRPr="005C498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B8D2863" wp14:editId="602FA456">
            <wp:extent cx="5196205" cy="3911600"/>
            <wp:effectExtent l="0" t="0" r="444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299"/>
                    <a:stretch/>
                  </pic:blipFill>
                  <pic:spPr bwMode="auto">
                    <a:xfrm>
                      <a:off x="0" y="0"/>
                      <a:ext cx="5227612" cy="3935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437208" w14:textId="5BA3CBF2" w:rsidR="00D17D65" w:rsidRPr="00F81AB5" w:rsidRDefault="00F81AB5" w:rsidP="00F81AB5">
      <w:pPr>
        <w:spacing w:afterLines="50" w:after="156"/>
        <w:jc w:val="center"/>
        <w:rPr>
          <w:rFonts w:ascii="Times New Roman" w:eastAsia="宋体" w:hAnsi="Times New Roman" w:cs="Times New Roman"/>
          <w:szCs w:val="21"/>
        </w:rPr>
      </w:pPr>
      <w:r w:rsidRPr="00F81AB5">
        <w:rPr>
          <w:rFonts w:ascii="Times New Roman" w:eastAsia="宋体" w:hAnsi="Times New Roman" w:cs="Times New Roman"/>
          <w:b/>
          <w:bCs/>
          <w:szCs w:val="21"/>
        </w:rPr>
        <w:t>Figure S3</w:t>
      </w:r>
      <w:r w:rsidRPr="005C4988">
        <w:rPr>
          <w:rFonts w:ascii="Times New Roman" w:eastAsia="宋体" w:hAnsi="Times New Roman" w:cs="Times New Roman"/>
          <w:szCs w:val="21"/>
        </w:rPr>
        <w:t xml:space="preserve"> (a-d) N</w:t>
      </w:r>
      <w:r w:rsidRPr="005C498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5C4988">
        <w:rPr>
          <w:rFonts w:ascii="Times New Roman" w:eastAsia="宋体" w:hAnsi="Times New Roman" w:cs="Times New Roman"/>
          <w:szCs w:val="21"/>
        </w:rPr>
        <w:t xml:space="preserve"> adsorption/desorption isotherms of Fe-N-C 700, Fe-N-C 800, Fe-N-C 900, Fe-N-C 1100 and corresponding aperture distribution</w:t>
      </w:r>
    </w:p>
    <w:p w14:paraId="0586C738" w14:textId="2EAC36CC" w:rsidR="00F81AB5" w:rsidRDefault="00AF76EE" w:rsidP="00D17D65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  <w:r w:rsidRPr="00F736BF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1FBF05E8" wp14:editId="59BB38D7">
            <wp:extent cx="5274310" cy="4196715"/>
            <wp:effectExtent l="0" t="0" r="2540" b="0"/>
            <wp:docPr id="19" name="图片 18">
              <a:extLst xmlns:a="http://schemas.openxmlformats.org/drawingml/2006/main">
                <a:ext uri="{FF2B5EF4-FFF2-40B4-BE49-F238E27FC236}">
                  <a16:creationId xmlns:a16="http://schemas.microsoft.com/office/drawing/2014/main" id="{DC8FFACE-EFA0-A3FF-30F6-059F82BE59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>
                      <a:extLst>
                        <a:ext uri="{FF2B5EF4-FFF2-40B4-BE49-F238E27FC236}">
                          <a16:creationId xmlns:a16="http://schemas.microsoft.com/office/drawing/2014/main" id="{DC8FFACE-EFA0-A3FF-30F6-059F82BE59B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5732" r="6617"/>
                    <a:stretch/>
                  </pic:blipFill>
                  <pic:spPr>
                    <a:xfrm>
                      <a:off x="0" y="0"/>
                      <a:ext cx="5274310" cy="419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2B3F4" w14:textId="7A660AED" w:rsidR="005827C0" w:rsidRDefault="005827C0" w:rsidP="00D015D7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  <w:r w:rsidRPr="00F81AB5">
        <w:rPr>
          <w:rFonts w:ascii="Times New Roman" w:eastAsia="宋体" w:hAnsi="Times New Roman" w:cs="Times New Roman"/>
          <w:b/>
          <w:bCs/>
          <w:szCs w:val="21"/>
        </w:rPr>
        <w:t>Figure S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4</w:t>
      </w:r>
      <w:r w:rsidRPr="005C4988">
        <w:rPr>
          <w:rFonts w:ascii="Times New Roman" w:eastAsia="宋体" w:hAnsi="Times New Roman" w:cs="Times New Roman"/>
          <w:szCs w:val="21"/>
        </w:rPr>
        <w:t xml:space="preserve"> </w:t>
      </w:r>
      <w:r w:rsidRPr="005827C0">
        <w:rPr>
          <w:rFonts w:ascii="Times New Roman" w:eastAsia="宋体" w:hAnsi="Times New Roman" w:cs="Times New Roman" w:hint="eastAsia"/>
          <w:szCs w:val="21"/>
        </w:rPr>
        <w:t>The morphology and structure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5827C0">
        <w:rPr>
          <w:rFonts w:ascii="Times New Roman" w:eastAsia="宋体" w:hAnsi="Times New Roman" w:cs="Times New Roman" w:hint="eastAsia"/>
          <w:szCs w:val="21"/>
        </w:rPr>
        <w:t>after stability test</w:t>
      </w:r>
      <w:r>
        <w:rPr>
          <w:rFonts w:ascii="Times New Roman" w:eastAsia="宋体" w:hAnsi="Times New Roman" w:cs="Times New Roman" w:hint="eastAsia"/>
          <w:szCs w:val="21"/>
        </w:rPr>
        <w:t xml:space="preserve"> of Fe-N-C 1000</w:t>
      </w:r>
    </w:p>
    <w:p w14:paraId="6ED55CB5" w14:textId="77777777" w:rsidR="00C472B8" w:rsidRDefault="00C472B8" w:rsidP="00D015D7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</w:p>
    <w:p w14:paraId="0B5320E4" w14:textId="77777777" w:rsidR="00C472B8" w:rsidRDefault="00C472B8" w:rsidP="00C472B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37C4">
        <w:rPr>
          <w:rFonts w:ascii="Times New Roman" w:hAnsi="Times New Roman" w:cs="Times New Roman"/>
          <w:sz w:val="24"/>
          <w:szCs w:val="24"/>
        </w:rPr>
        <w:object w:dxaOrig="8082" w:dyaOrig="6204" w14:anchorId="7F416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8.35pt;height:182.9pt" o:ole="">
            <v:imagedata r:id="rId10" o:title=""/>
          </v:shape>
          <o:OLEObject Type="Embed" ProgID="Origin95.Graph" ShapeID="_x0000_i1025" DrawAspect="Content" ObjectID="_1789042039" r:id="rId11"/>
        </w:object>
      </w:r>
    </w:p>
    <w:p w14:paraId="0F218068" w14:textId="1D61F7EB" w:rsidR="00C472B8" w:rsidRPr="001637C4" w:rsidRDefault="00C472B8" w:rsidP="00C472B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72B8">
        <w:rPr>
          <w:rFonts w:ascii="Times New Roman" w:eastAsia="宋体" w:hAnsi="Times New Roman" w:cs="Times New Roman"/>
          <w:b/>
          <w:bCs/>
          <w:szCs w:val="21"/>
          <w:highlight w:val="yellow"/>
        </w:rPr>
        <w:t>Figure S</w:t>
      </w:r>
      <w:r w:rsidRPr="00C472B8">
        <w:rPr>
          <w:rFonts w:ascii="Times New Roman" w:eastAsia="宋体" w:hAnsi="Times New Roman" w:cs="Times New Roman" w:hint="eastAsia"/>
          <w:b/>
          <w:bCs/>
          <w:szCs w:val="21"/>
          <w:highlight w:val="yellow"/>
        </w:rPr>
        <w:t>5</w:t>
      </w:r>
      <w:r w:rsidRPr="00C472B8">
        <w:rPr>
          <w:rFonts w:ascii="Times New Roman" w:hAnsi="Times New Roman" w:cs="Times New Roman" w:hint="eastAsia"/>
          <w:sz w:val="24"/>
          <w:szCs w:val="24"/>
          <w:highlight w:val="yellow"/>
        </w:rPr>
        <w:t xml:space="preserve"> LSV curves of FeNC-1000 and Pt/C catalysts in 0.1 M HClO</w:t>
      </w:r>
      <w:r w:rsidRPr="00C472B8">
        <w:rPr>
          <w:rFonts w:ascii="Times New Roman" w:hAnsi="Times New Roman" w:cs="Times New Roman" w:hint="eastAsia"/>
          <w:sz w:val="24"/>
          <w:szCs w:val="24"/>
          <w:highlight w:val="yellow"/>
          <w:vertAlign w:val="subscript"/>
        </w:rPr>
        <w:t>4</w:t>
      </w:r>
      <w:r w:rsidRPr="00C472B8">
        <w:rPr>
          <w:rFonts w:ascii="Times New Roman" w:hAnsi="Times New Roman" w:cs="Times New Roman" w:hint="eastAsia"/>
          <w:sz w:val="24"/>
          <w:szCs w:val="24"/>
          <w:highlight w:val="yellow"/>
        </w:rPr>
        <w:t>.</w:t>
      </w:r>
    </w:p>
    <w:p w14:paraId="1257C62D" w14:textId="77777777" w:rsidR="005827C0" w:rsidRPr="00C472B8" w:rsidRDefault="005827C0" w:rsidP="00D015D7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</w:p>
    <w:p w14:paraId="1985A223" w14:textId="77777777" w:rsidR="00C472B8" w:rsidRDefault="00C472B8" w:rsidP="00D015D7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</w:p>
    <w:p w14:paraId="2B86DFEA" w14:textId="77777777" w:rsidR="00C472B8" w:rsidRDefault="00C472B8" w:rsidP="00D015D7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</w:p>
    <w:p w14:paraId="3538F947" w14:textId="77777777" w:rsidR="00C472B8" w:rsidRDefault="00C472B8" w:rsidP="00D015D7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</w:p>
    <w:p w14:paraId="66B05649" w14:textId="0A5551E0" w:rsidR="00D015D7" w:rsidRPr="005C4988" w:rsidRDefault="00D015D7" w:rsidP="00D015D7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  <w:r w:rsidRPr="005C4988">
        <w:rPr>
          <w:rFonts w:ascii="Times New Roman" w:eastAsia="宋体" w:hAnsi="Times New Roman" w:cs="Times New Roman"/>
          <w:szCs w:val="21"/>
        </w:rPr>
        <w:lastRenderedPageBreak/>
        <w:t xml:space="preserve">Table </w:t>
      </w:r>
      <w:r>
        <w:rPr>
          <w:rFonts w:ascii="Times New Roman" w:eastAsia="宋体" w:hAnsi="Times New Roman" w:cs="Times New Roman"/>
          <w:szCs w:val="21"/>
        </w:rPr>
        <w:t>S1</w:t>
      </w:r>
      <w:r w:rsidRPr="005C4988">
        <w:rPr>
          <w:rFonts w:ascii="Times New Roman" w:eastAsia="宋体" w:hAnsi="Times New Roman" w:cs="Times New Roman"/>
          <w:szCs w:val="21"/>
        </w:rPr>
        <w:t xml:space="preserve"> Pore size analysis of Fe-N-C derived from Fe-ZIF-8 by a series of high temperature annealing treatments</w:t>
      </w:r>
    </w:p>
    <w:tbl>
      <w:tblPr>
        <w:tblpPr w:leftFromText="180" w:rightFromText="180" w:vertAnchor="text" w:horzAnchor="margin" w:tblpXSpec="center" w:tblpY="41"/>
        <w:tblW w:w="830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833"/>
        <w:gridCol w:w="863"/>
        <w:gridCol w:w="851"/>
        <w:gridCol w:w="850"/>
        <w:gridCol w:w="992"/>
        <w:gridCol w:w="851"/>
        <w:gridCol w:w="850"/>
        <w:gridCol w:w="940"/>
      </w:tblGrid>
      <w:tr w:rsidR="00D015D7" w:rsidRPr="005C4988" w14:paraId="2432C677" w14:textId="77777777" w:rsidTr="002A7651">
        <w:trPr>
          <w:trHeight w:val="397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EB1254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83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2AD1E4" w14:textId="77777777" w:rsidR="00D015D7" w:rsidRPr="005C4988" w:rsidRDefault="00D015D7" w:rsidP="002A7651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S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BET</w:t>
            </w:r>
          </w:p>
          <w:p w14:paraId="63C30C91" w14:textId="77777777" w:rsidR="00D015D7" w:rsidRPr="005C4988" w:rsidRDefault="00D015D7" w:rsidP="002A7651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(m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2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-1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6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C5F084" w14:textId="77777777" w:rsidR="00D015D7" w:rsidRPr="005C4988" w:rsidRDefault="00D015D7" w:rsidP="002A7651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V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t</w:t>
            </w:r>
          </w:p>
          <w:p w14:paraId="60A8C9A0" w14:textId="77777777" w:rsidR="00D015D7" w:rsidRPr="005C4988" w:rsidRDefault="00D015D7" w:rsidP="002A7651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(cm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3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-1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64BD884" w14:textId="77777777" w:rsidR="00D015D7" w:rsidRPr="005C4988" w:rsidRDefault="00D015D7" w:rsidP="002A7651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Pore Volume (cm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3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-1</w:t>
            </w: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4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BE0E2D" w14:textId="77777777" w:rsidR="00D015D7" w:rsidRPr="005C4988" w:rsidRDefault="00D015D7" w:rsidP="002A7651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Pore Volume (%)</w:t>
            </w:r>
          </w:p>
        </w:tc>
      </w:tr>
      <w:tr w:rsidR="00D015D7" w:rsidRPr="005C4988" w14:paraId="2A40F284" w14:textId="77777777" w:rsidTr="002A7651">
        <w:trPr>
          <w:trHeight w:hRule="exact" w:val="507"/>
        </w:trPr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AF48F35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3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326C523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165A43C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5A6770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</w:pPr>
            <w:proofErr w:type="spellStart"/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V</w:t>
            </w:r>
            <w:r w:rsidRPr="005C49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micro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3F2521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V</w:t>
            </w:r>
            <w:r w:rsidRPr="005C49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meso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803CFA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V</w:t>
            </w:r>
            <w:r w:rsidRPr="005C49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macro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B0226E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V</w:t>
            </w:r>
            <w:r w:rsidRPr="005C49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micro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25A71C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V</w:t>
            </w:r>
            <w:r w:rsidRPr="005C49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meso</w:t>
            </w:r>
            <w:proofErr w:type="spellEnd"/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88AC26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V</w:t>
            </w:r>
            <w:r w:rsidRPr="005C49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macro</w:t>
            </w:r>
            <w:proofErr w:type="spellEnd"/>
          </w:p>
        </w:tc>
      </w:tr>
      <w:tr w:rsidR="00D015D7" w:rsidRPr="005C4988" w14:paraId="302560F6" w14:textId="77777777" w:rsidTr="002A7651">
        <w:trPr>
          <w:trHeight w:hRule="exact" w:val="454"/>
        </w:trPr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8A47B16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Fe-N-C 700</w:t>
            </w: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912B941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44.49</w:t>
            </w:r>
          </w:p>
        </w:tc>
        <w:tc>
          <w:tcPr>
            <w:tcW w:w="86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E59F0A4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0.557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B71B180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0.00582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3B340E3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0.164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ECCFF95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0.349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975DD07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1.1%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9AD56F2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32%</w:t>
            </w:r>
          </w:p>
        </w:tc>
        <w:tc>
          <w:tcPr>
            <w:tcW w:w="94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9ED5010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66.9%</w:t>
            </w:r>
          </w:p>
        </w:tc>
      </w:tr>
      <w:tr w:rsidR="00D015D7" w:rsidRPr="005C4988" w14:paraId="1209CBC1" w14:textId="77777777" w:rsidTr="002A7651">
        <w:trPr>
          <w:trHeight w:hRule="exact" w:val="454"/>
        </w:trPr>
        <w:tc>
          <w:tcPr>
            <w:tcW w:w="1276" w:type="dxa"/>
            <w:tcBorders>
              <w:top w:val="nil"/>
            </w:tcBorders>
            <w:shd w:val="clear" w:color="auto" w:fill="auto"/>
          </w:tcPr>
          <w:p w14:paraId="25058D78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Fe-N-C 800</w:t>
            </w:r>
          </w:p>
        </w:tc>
        <w:tc>
          <w:tcPr>
            <w:tcW w:w="833" w:type="dxa"/>
            <w:tcBorders>
              <w:top w:val="nil"/>
            </w:tcBorders>
            <w:shd w:val="clear" w:color="auto" w:fill="auto"/>
          </w:tcPr>
          <w:p w14:paraId="6110EEBD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128.9152</w:t>
            </w:r>
          </w:p>
        </w:tc>
        <w:tc>
          <w:tcPr>
            <w:tcW w:w="863" w:type="dxa"/>
            <w:tcBorders>
              <w:top w:val="nil"/>
            </w:tcBorders>
            <w:shd w:val="clear" w:color="auto" w:fill="auto"/>
            <w:vAlign w:val="center"/>
          </w:tcPr>
          <w:p w14:paraId="61A3A0B3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0.617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5D58DD46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0.036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352DB600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0.254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</w:tcPr>
          <w:p w14:paraId="35ABE33C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0.308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center"/>
          </w:tcPr>
          <w:p w14:paraId="1E394858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6.0 %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16991FC1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42.5%</w:t>
            </w:r>
          </w:p>
        </w:tc>
        <w:tc>
          <w:tcPr>
            <w:tcW w:w="940" w:type="dxa"/>
            <w:tcBorders>
              <w:top w:val="nil"/>
            </w:tcBorders>
            <w:shd w:val="clear" w:color="auto" w:fill="auto"/>
            <w:vAlign w:val="center"/>
          </w:tcPr>
          <w:p w14:paraId="0B63E30B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51.5%</w:t>
            </w:r>
          </w:p>
        </w:tc>
      </w:tr>
      <w:tr w:rsidR="00D015D7" w:rsidRPr="005C4988" w14:paraId="3BDAE33B" w14:textId="77777777" w:rsidTr="002A7651">
        <w:trPr>
          <w:trHeight w:hRule="exact" w:val="454"/>
        </w:trPr>
        <w:tc>
          <w:tcPr>
            <w:tcW w:w="1276" w:type="dxa"/>
            <w:shd w:val="clear" w:color="auto" w:fill="auto"/>
          </w:tcPr>
          <w:p w14:paraId="1CDA6BC7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Fe-N-C 900</w:t>
            </w:r>
          </w:p>
        </w:tc>
        <w:tc>
          <w:tcPr>
            <w:tcW w:w="833" w:type="dxa"/>
            <w:shd w:val="clear" w:color="auto" w:fill="auto"/>
          </w:tcPr>
          <w:p w14:paraId="026581C5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271.0849</w:t>
            </w:r>
          </w:p>
        </w:tc>
        <w:tc>
          <w:tcPr>
            <w:tcW w:w="863" w:type="dxa"/>
            <w:shd w:val="clear" w:color="auto" w:fill="auto"/>
            <w:vAlign w:val="center"/>
          </w:tcPr>
          <w:p w14:paraId="0B301931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0.837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F43303D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0.087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F9E70E9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0.478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5E869D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0.802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15F2B6C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10.7%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B11A7C6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48.9%</w:t>
            </w:r>
          </w:p>
        </w:tc>
        <w:tc>
          <w:tcPr>
            <w:tcW w:w="940" w:type="dxa"/>
            <w:shd w:val="clear" w:color="auto" w:fill="auto"/>
            <w:vAlign w:val="center"/>
          </w:tcPr>
          <w:p w14:paraId="5F5E3317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40.4%</w:t>
            </w:r>
          </w:p>
        </w:tc>
      </w:tr>
      <w:tr w:rsidR="00D015D7" w:rsidRPr="005C4988" w14:paraId="0878C7AA" w14:textId="77777777" w:rsidTr="002A7651">
        <w:trPr>
          <w:trHeight w:hRule="exact" w:val="454"/>
        </w:trPr>
        <w:tc>
          <w:tcPr>
            <w:tcW w:w="1276" w:type="dxa"/>
            <w:shd w:val="clear" w:color="auto" w:fill="auto"/>
          </w:tcPr>
          <w:p w14:paraId="574C1B29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Fe-N-C 1000</w:t>
            </w:r>
          </w:p>
        </w:tc>
        <w:tc>
          <w:tcPr>
            <w:tcW w:w="833" w:type="dxa"/>
            <w:shd w:val="clear" w:color="auto" w:fill="auto"/>
          </w:tcPr>
          <w:p w14:paraId="1DBACDBC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572.1957</w:t>
            </w:r>
          </w:p>
        </w:tc>
        <w:tc>
          <w:tcPr>
            <w:tcW w:w="863" w:type="dxa"/>
            <w:shd w:val="clear" w:color="auto" w:fill="auto"/>
            <w:vAlign w:val="center"/>
          </w:tcPr>
          <w:p w14:paraId="227376F9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1.106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2A7E17C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0.205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D822046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0.882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1CE92F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1.055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42A7C0E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19.4%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CE5DF9C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64.1%</w:t>
            </w:r>
          </w:p>
        </w:tc>
        <w:tc>
          <w:tcPr>
            <w:tcW w:w="940" w:type="dxa"/>
            <w:shd w:val="clear" w:color="auto" w:fill="auto"/>
            <w:vAlign w:val="center"/>
          </w:tcPr>
          <w:p w14:paraId="69C011D3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16.2%</w:t>
            </w:r>
          </w:p>
        </w:tc>
      </w:tr>
      <w:tr w:rsidR="00D015D7" w:rsidRPr="005C4988" w14:paraId="4BE29339" w14:textId="77777777" w:rsidTr="002A7651">
        <w:trPr>
          <w:trHeight w:hRule="exact" w:val="454"/>
        </w:trPr>
        <w:tc>
          <w:tcPr>
            <w:tcW w:w="1276" w:type="dxa"/>
            <w:shd w:val="clear" w:color="auto" w:fill="auto"/>
          </w:tcPr>
          <w:p w14:paraId="1C90697A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Fe-N-C 1100</w:t>
            </w:r>
          </w:p>
        </w:tc>
        <w:tc>
          <w:tcPr>
            <w:tcW w:w="833" w:type="dxa"/>
            <w:shd w:val="clear" w:color="auto" w:fill="auto"/>
          </w:tcPr>
          <w:p w14:paraId="6B2B20F2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1162.2</w:t>
            </w:r>
          </w:p>
        </w:tc>
        <w:tc>
          <w:tcPr>
            <w:tcW w:w="863" w:type="dxa"/>
            <w:shd w:val="clear" w:color="auto" w:fill="auto"/>
            <w:vAlign w:val="center"/>
          </w:tcPr>
          <w:p w14:paraId="709BC385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1.749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2A8BCD4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E60E011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0.586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580B7DB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0.252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61A1191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35.4%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120CCAE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45%</w:t>
            </w:r>
          </w:p>
        </w:tc>
        <w:tc>
          <w:tcPr>
            <w:tcW w:w="940" w:type="dxa"/>
            <w:shd w:val="clear" w:color="auto" w:fill="auto"/>
            <w:vAlign w:val="center"/>
          </w:tcPr>
          <w:p w14:paraId="2259035C" w14:textId="77777777" w:rsidR="00D015D7" w:rsidRPr="005C4988" w:rsidRDefault="00D015D7" w:rsidP="002A7651">
            <w:pPr>
              <w:spacing w:afterLines="50" w:after="156"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4988">
              <w:rPr>
                <w:rFonts w:ascii="Times New Roman" w:eastAsia="宋体" w:hAnsi="Times New Roman" w:cs="Times New Roman"/>
                <w:sz w:val="18"/>
                <w:szCs w:val="18"/>
              </w:rPr>
              <w:t>19.4%</w:t>
            </w:r>
          </w:p>
        </w:tc>
      </w:tr>
    </w:tbl>
    <w:p w14:paraId="0054C9F7" w14:textId="77777777" w:rsidR="00F81AB5" w:rsidRPr="00411E9E" w:rsidRDefault="00F81AB5">
      <w:pPr>
        <w:rPr>
          <w:rFonts w:ascii="Times New Roman" w:hAnsi="Times New Roman" w:cs="Times New Roman"/>
          <w:highlight w:val="yellow"/>
        </w:rPr>
      </w:pPr>
      <w:proofErr w:type="spellStart"/>
      <w:r w:rsidRPr="00411E9E">
        <w:rPr>
          <w:rFonts w:ascii="Times New Roman" w:hAnsi="Times New Roman" w:cs="Times New Roman"/>
          <w:highlight w:val="yellow"/>
        </w:rPr>
        <w:t>a</w:t>
      </w:r>
      <w:proofErr w:type="spellEnd"/>
      <w:r w:rsidRPr="00411E9E">
        <w:rPr>
          <w:rFonts w:ascii="Times New Roman" w:hAnsi="Times New Roman" w:cs="Times New Roman"/>
          <w:highlight w:val="yellow"/>
        </w:rPr>
        <w:t xml:space="preserve"> The specific surface area (SSA) was calculated by BET method. </w:t>
      </w:r>
    </w:p>
    <w:p w14:paraId="2E0E9CE5" w14:textId="2E227C5E" w:rsidR="00F81AB5" w:rsidRPr="00411E9E" w:rsidRDefault="00F81AB5">
      <w:pPr>
        <w:rPr>
          <w:rFonts w:ascii="Times New Roman" w:hAnsi="Times New Roman" w:cs="Times New Roman"/>
          <w:highlight w:val="yellow"/>
        </w:rPr>
      </w:pPr>
      <w:r w:rsidRPr="00411E9E">
        <w:rPr>
          <w:rFonts w:ascii="Times New Roman" w:hAnsi="Times New Roman" w:cs="Times New Roman"/>
          <w:highlight w:val="yellow"/>
        </w:rPr>
        <w:t>b The total pore volume (TPV) was obtained at relative pressure p/p</w:t>
      </w:r>
      <w:r w:rsidRPr="00411E9E">
        <w:rPr>
          <w:rFonts w:ascii="Times New Roman" w:hAnsi="Times New Roman" w:cs="Times New Roman"/>
          <w:highlight w:val="yellow"/>
          <w:vertAlign w:val="subscript"/>
        </w:rPr>
        <w:t>0</w:t>
      </w:r>
      <w:r w:rsidRPr="00411E9E">
        <w:rPr>
          <w:rFonts w:ascii="Times New Roman" w:hAnsi="Times New Roman" w:cs="Times New Roman"/>
          <w:highlight w:val="yellow"/>
        </w:rPr>
        <w:t xml:space="preserve">=0.99. </w:t>
      </w:r>
    </w:p>
    <w:p w14:paraId="6BB59E9B" w14:textId="4FD4B41D" w:rsidR="00A46C7A" w:rsidRPr="00411E9E" w:rsidRDefault="00F81AB5">
      <w:pPr>
        <w:rPr>
          <w:rFonts w:ascii="Times New Roman" w:hAnsi="Times New Roman" w:cs="Times New Roman"/>
        </w:rPr>
      </w:pPr>
      <w:r w:rsidRPr="00411E9E">
        <w:rPr>
          <w:rFonts w:ascii="Times New Roman" w:hAnsi="Times New Roman" w:cs="Times New Roman"/>
          <w:highlight w:val="yellow"/>
        </w:rPr>
        <w:t>c The pore volume based on different pore size range was calculated by DFT model.</w:t>
      </w:r>
    </w:p>
    <w:p w14:paraId="3F0C31D4" w14:textId="21153C4B" w:rsidR="00D17D65" w:rsidRDefault="00D17D65">
      <w:pPr>
        <w:widowControl/>
        <w:jc w:val="left"/>
        <w:rPr>
          <w:rFonts w:hint="eastAsia"/>
        </w:rPr>
      </w:pPr>
      <w:r>
        <w:br w:type="page"/>
      </w:r>
    </w:p>
    <w:p w14:paraId="7908A2B0" w14:textId="77777777" w:rsidR="00D17D65" w:rsidRPr="00D17D65" w:rsidRDefault="00D17D65" w:rsidP="00D17D65">
      <w:pPr>
        <w:spacing w:line="360" w:lineRule="auto"/>
        <w:jc w:val="center"/>
        <w:textAlignment w:val="baseline"/>
        <w:rPr>
          <w:rFonts w:ascii="Times New Roman" w:eastAsia="宋体" w:hAnsi="Times New Roman" w:cs="Times New Roman"/>
          <w:szCs w:val="21"/>
        </w:rPr>
      </w:pPr>
      <w:r w:rsidRPr="00D17D65">
        <w:rPr>
          <w:rFonts w:ascii="Times New Roman" w:eastAsia="宋体" w:hAnsi="Times New Roman" w:cs="Times New Roman" w:hint="eastAsia"/>
          <w:szCs w:val="21"/>
        </w:rPr>
        <w:lastRenderedPageBreak/>
        <w:t>Table</w:t>
      </w:r>
      <w:r w:rsidRPr="00D17D65">
        <w:rPr>
          <w:rFonts w:ascii="Times New Roman" w:eastAsia="宋体" w:hAnsi="Times New Roman" w:cs="Times New Roman"/>
          <w:szCs w:val="21"/>
        </w:rPr>
        <w:t xml:space="preserve"> S2</w:t>
      </w:r>
      <w:r w:rsidRPr="00D17D65">
        <w:rPr>
          <w:rFonts w:ascii="Times New Roman" w:eastAsia="宋体" w:hAnsi="Times New Roman" w:cs="Times New Roman" w:hint="eastAsia"/>
          <w:szCs w:val="21"/>
        </w:rPr>
        <w:t xml:space="preserve"> Summary of obtained and other </w:t>
      </w:r>
      <w:proofErr w:type="spellStart"/>
      <w:r w:rsidRPr="00D17D65">
        <w:rPr>
          <w:rFonts w:ascii="Times New Roman" w:eastAsia="宋体" w:hAnsi="Times New Roman" w:cs="Times New Roman" w:hint="eastAsia"/>
          <w:szCs w:val="21"/>
        </w:rPr>
        <w:t>repored</w:t>
      </w:r>
      <w:proofErr w:type="spellEnd"/>
      <w:r w:rsidRPr="00D17D65">
        <w:rPr>
          <w:rFonts w:ascii="Times New Roman" w:eastAsia="宋体" w:hAnsi="Times New Roman" w:cs="Times New Roman" w:hint="eastAsia"/>
          <w:szCs w:val="21"/>
        </w:rPr>
        <w:t xml:space="preserve"> catalysts for ORR in acidic</w:t>
      </w:r>
    </w:p>
    <w:p w14:paraId="6C917267" w14:textId="1E378E10" w:rsidR="00D17D65" w:rsidRDefault="00D17D65" w:rsidP="00D17D65">
      <w:pPr>
        <w:spacing w:line="360" w:lineRule="auto"/>
        <w:jc w:val="center"/>
        <w:textAlignment w:val="baseline"/>
        <w:rPr>
          <w:rFonts w:ascii="Times New Roman" w:eastAsia="宋体" w:hAnsi="Times New Roman" w:cs="Times New Roman"/>
          <w:szCs w:val="21"/>
        </w:rPr>
      </w:pPr>
      <w:r w:rsidRPr="00D17D65">
        <w:rPr>
          <w:rFonts w:ascii="Times New Roman" w:eastAsia="宋体" w:hAnsi="Times New Roman" w:cs="Times New Roman"/>
          <w:szCs w:val="21"/>
        </w:rPr>
        <w:t>E</w:t>
      </w:r>
      <w:r w:rsidRPr="00D17D65">
        <w:rPr>
          <w:rFonts w:ascii="Times New Roman" w:eastAsia="宋体" w:hAnsi="Times New Roman" w:cs="Times New Roman" w:hint="eastAsia"/>
          <w:szCs w:val="21"/>
        </w:rPr>
        <w:t>lectrolytes</w:t>
      </w:r>
    </w:p>
    <w:p w14:paraId="159D215F" w14:textId="77777777" w:rsidR="00D17D65" w:rsidRDefault="00D17D65" w:rsidP="00D17D65">
      <w:pPr>
        <w:spacing w:line="360" w:lineRule="auto"/>
        <w:jc w:val="center"/>
        <w:textAlignment w:val="baseline"/>
        <w:rPr>
          <w:rFonts w:ascii="Times New Roman" w:eastAsia="宋体" w:hAnsi="Times New Roman" w:cs="Times New Roman"/>
          <w:szCs w:val="21"/>
        </w:rPr>
      </w:pPr>
    </w:p>
    <w:tbl>
      <w:tblPr>
        <w:tblpPr w:leftFromText="180" w:rightFromText="180" w:vertAnchor="page" w:horzAnchor="page" w:tblpXSpec="center" w:tblpY="2284"/>
        <w:tblOverlap w:val="never"/>
        <w:tblW w:w="7654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1417"/>
        <w:gridCol w:w="1701"/>
        <w:gridCol w:w="1701"/>
      </w:tblGrid>
      <w:tr w:rsidR="00D17D65" w:rsidRPr="00D17D65" w14:paraId="34A8185C" w14:textId="77777777" w:rsidTr="0017676B">
        <w:trPr>
          <w:trHeight w:val="303"/>
        </w:trPr>
        <w:tc>
          <w:tcPr>
            <w:tcW w:w="1134" w:type="dxa"/>
            <w:vAlign w:val="center"/>
          </w:tcPr>
          <w:p w14:paraId="149CDBE0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Catalyst</w:t>
            </w:r>
          </w:p>
        </w:tc>
        <w:tc>
          <w:tcPr>
            <w:tcW w:w="1701" w:type="dxa"/>
            <w:vAlign w:val="center"/>
          </w:tcPr>
          <w:p w14:paraId="60ABE0BD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D65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E</w:t>
            </w:r>
            <w:r w:rsidRPr="00D17D65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vertAlign w:val="subscript"/>
              </w:rPr>
              <w:t>1/2</w:t>
            </w:r>
            <w:r w:rsidRPr="00D17D6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（</w:t>
            </w:r>
            <w:r w:rsidRPr="00D17D6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</w:t>
            </w:r>
            <w:r w:rsidRPr="00D17D6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417" w:type="dxa"/>
            <w:vAlign w:val="center"/>
          </w:tcPr>
          <w:p w14:paraId="3CD98DA0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7D65">
              <w:rPr>
                <w:rFonts w:ascii="Times New Roman" w:eastAsia="宋体" w:hAnsi="Times New Roman" w:cs="Times New Roman"/>
                <w:sz w:val="24"/>
                <w:szCs w:val="24"/>
              </w:rPr>
              <w:t>J</w:t>
            </w:r>
            <w:r w:rsidRPr="00D17D65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K</w:t>
            </w:r>
            <w:r w:rsidRPr="00D17D65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 w14:paraId="011AFA3C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D65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D17D65">
              <w:rPr>
                <w:rFonts w:ascii="Times New Roman" w:eastAsia="宋体" w:hAnsi="Times New Roman" w:cs="Times New Roman"/>
                <w:sz w:val="24"/>
                <w:szCs w:val="24"/>
              </w:rPr>
              <w:t>mA cm</w:t>
            </w:r>
            <w:r w:rsidRPr="00D17D65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-2</w:t>
            </w:r>
            <w:r w:rsidRPr="00D17D65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701" w:type="dxa"/>
            <w:vAlign w:val="center"/>
          </w:tcPr>
          <w:p w14:paraId="02FE91BD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D65">
              <w:rPr>
                <w:rFonts w:ascii="Times New Roman" w:eastAsia="宋体" w:hAnsi="Times New Roman" w:cs="Times New Roman"/>
                <w:sz w:val="24"/>
                <w:szCs w:val="24"/>
              </w:rPr>
              <w:t>Tafel slopes</w:t>
            </w:r>
          </w:p>
          <w:p w14:paraId="7B29AD24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D65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17D65">
              <w:rPr>
                <w:rFonts w:ascii="Times New Roman" w:hAnsi="Times New Roman" w:cs="Times New Roman"/>
                <w:sz w:val="24"/>
                <w:szCs w:val="24"/>
              </w:rPr>
              <w:t>mv dec</w:t>
            </w:r>
            <w:r w:rsidRPr="00D17D6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D17D65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701" w:type="dxa"/>
            <w:vAlign w:val="center"/>
          </w:tcPr>
          <w:p w14:paraId="08E42D3C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eferences</w:t>
            </w:r>
          </w:p>
        </w:tc>
      </w:tr>
      <w:tr w:rsidR="00D17D65" w:rsidRPr="00D17D65" w14:paraId="5A30061E" w14:textId="77777777" w:rsidTr="0017676B">
        <w:trPr>
          <w:trHeight w:val="439"/>
        </w:trPr>
        <w:tc>
          <w:tcPr>
            <w:tcW w:w="1134" w:type="dxa"/>
            <w:vAlign w:val="center"/>
          </w:tcPr>
          <w:p w14:paraId="2FBB58CA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Fe-N-C 1000</w:t>
            </w:r>
          </w:p>
        </w:tc>
        <w:tc>
          <w:tcPr>
            <w:tcW w:w="1701" w:type="dxa"/>
            <w:vAlign w:val="center"/>
          </w:tcPr>
          <w:p w14:paraId="414A0F48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0.791</w:t>
            </w:r>
          </w:p>
        </w:tc>
        <w:tc>
          <w:tcPr>
            <w:tcW w:w="1417" w:type="dxa"/>
            <w:vAlign w:val="center"/>
          </w:tcPr>
          <w:p w14:paraId="51390516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 xml:space="preserve">10.1 </w:t>
            </w:r>
          </w:p>
        </w:tc>
        <w:tc>
          <w:tcPr>
            <w:tcW w:w="1701" w:type="dxa"/>
            <w:vAlign w:val="center"/>
          </w:tcPr>
          <w:p w14:paraId="13850538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701" w:type="dxa"/>
            <w:vAlign w:val="center"/>
          </w:tcPr>
          <w:p w14:paraId="71260238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D17D65">
              <w:rPr>
                <w:rFonts w:ascii="Times New Roman" w:hAnsi="Times New Roman" w:cs="Times New Roman"/>
                <w:b/>
                <w:bCs/>
                <w:kern w:val="0"/>
              </w:rPr>
              <w:t>This work</w:t>
            </w:r>
          </w:p>
        </w:tc>
      </w:tr>
      <w:tr w:rsidR="00D17D65" w:rsidRPr="00D17D65" w14:paraId="0E0D5479" w14:textId="77777777" w:rsidTr="0017676B">
        <w:trPr>
          <w:trHeight w:val="421"/>
        </w:trPr>
        <w:tc>
          <w:tcPr>
            <w:tcW w:w="1134" w:type="dxa"/>
            <w:vAlign w:val="center"/>
          </w:tcPr>
          <w:p w14:paraId="7F679CC3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Fe</w:t>
            </w:r>
            <w:r w:rsidRPr="00D17D65">
              <w:rPr>
                <w:rFonts w:ascii="Times New Roman" w:hAnsi="Times New Roman" w:cs="Times New Roman"/>
                <w:kern w:val="0"/>
                <w:vertAlign w:val="subscript"/>
              </w:rPr>
              <w:t>2</w:t>
            </w:r>
            <w:r w:rsidRPr="00D17D65">
              <w:rPr>
                <w:rFonts w:ascii="Times New Roman" w:hAnsi="Times New Roman" w:cs="Times New Roman"/>
                <w:kern w:val="0"/>
              </w:rPr>
              <w:t>-N-C</w:t>
            </w:r>
          </w:p>
        </w:tc>
        <w:tc>
          <w:tcPr>
            <w:tcW w:w="1701" w:type="dxa"/>
            <w:vAlign w:val="center"/>
          </w:tcPr>
          <w:p w14:paraId="44F5EC4F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1417" w:type="dxa"/>
            <w:vAlign w:val="center"/>
          </w:tcPr>
          <w:p w14:paraId="29777C20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16.4</w:t>
            </w:r>
          </w:p>
        </w:tc>
        <w:tc>
          <w:tcPr>
            <w:tcW w:w="1701" w:type="dxa"/>
            <w:vAlign w:val="center"/>
          </w:tcPr>
          <w:p w14:paraId="67E1A0E7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701" w:type="dxa"/>
            <w:vAlign w:val="center"/>
          </w:tcPr>
          <w:p w14:paraId="55E6B07B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begin"/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instrText xml:space="preserve"> ADDIN EN.CITE &lt;EndNote&gt;&lt;Cite&gt;&lt;Author&gt;Ye&lt;/Author&gt;&lt;Year&gt;2019&lt;/Year&gt;&lt;RecNum&gt;143&lt;/RecNum&gt;&lt;DisplayText&gt;&lt;style face="superscript"&gt;1&lt;/style&gt;&lt;/DisplayText&gt;&lt;record&gt;&lt;rec-number&gt;143&lt;/rec-number&gt;&lt;foreign-keys&gt;&lt;key app="EN" db-id="52fe9dzx2tfarmerfenvtzshexa02sf2dw2t" timestamp="1701146589"&gt;143&lt;/key&gt;&lt;/foreign-keys&gt;&lt;ref-type name="Journal Article"&gt;17&lt;/ref-type&gt;&lt;contributors&gt;&lt;authors&gt;&lt;author&gt;Ye, Wei&lt;/author&gt;&lt;author&gt;Chen, Shuangming&lt;/author&gt;&lt;author&gt;Lin, Yue&lt;/author&gt;&lt;author&gt;Yang, Li&lt;/author&gt;&lt;author&gt;Chen, Sijia&lt;/author&gt;&lt;author&gt;Zheng, Xusheng&lt;/author&gt;&lt;author&gt;Qi, Zeming&lt;/author&gt;&lt;author&gt;Wang, Chengming&lt;/author&gt;&lt;author&gt;Long, Ran&lt;/author&gt;&lt;author&gt;Chen, Meng&lt;/author&gt;&lt;author&gt;Zhu, Junfa&lt;/author&gt;&lt;author&gt;Gao, Peng&lt;/author&gt;&lt;author&gt;Song, Li&lt;/author&gt;&lt;author&gt;Jiang, Jun&lt;/author&gt;&lt;author&gt;Xiong, Yujie&lt;/author&gt;&lt;/authors&gt;&lt;/contributors&gt;&lt;titles&gt;&lt;title&gt;Precisely Tuning the Number of Fe Atoms in Clusters on N-Doped Carbon toward Acidic Oxygen Reduction Reaction&lt;/title&gt;&lt;secondary-title&gt;Chem&lt;/secondary-title&gt;&lt;/titles&gt;&lt;periodical&gt;&lt;full-title&gt;Chem&lt;/full-title&gt;&lt;/periodical&gt;&lt;pages&gt;2865-2878&lt;/pages&gt;&lt;volume&gt;5&lt;/volume&gt;&lt;number&gt;11&lt;/number&gt;&lt;keywords&gt;&lt;keyword&gt;SDG7: Affordable and clean energy&lt;/keyword&gt;&lt;keyword&gt;cluster&lt;/keyword&gt;&lt;keyword&gt;molecular adsorption&lt;/keyword&gt;&lt;keyword&gt;acidic&lt;/keyword&gt;&lt;keyword&gt;oxygen reduction reaction&lt;/keyword&gt;&lt;keyword&gt;nitrogen doping&lt;/keyword&gt;&lt;/keywords&gt;&lt;dates&gt;&lt;year&gt;2019&lt;/year&gt;&lt;pub-dates&gt;&lt;date&gt;2019/11/14/&lt;/date&gt;&lt;/pub-dates&gt;&lt;/dates&gt;&lt;isbn&gt;2451-9294&lt;/isbn&gt;&lt;urls&gt;&lt;related-urls&gt;&lt;url&gt;https://www.sciencedirect.com/science/article/pii/S2451929419303298&lt;/url&gt;&lt;/related-urls&gt;&lt;/urls&gt;&lt;electronic-resource-num&gt;https://doi.org/10.1016/j.chempr.2019.07.020&lt;/electronic-resource-num&gt;&lt;/record&gt;&lt;/Cite&gt;&lt;/EndNote&gt;</w:instrTex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separate"/>
            </w:r>
            <w:r w:rsidRPr="00D17D65">
              <w:rPr>
                <w:rFonts w:ascii="Times New Roman" w:eastAsia="宋体" w:hAnsi="Times New Roman" w:cs="Times New Roman"/>
                <w:kern w:val="0"/>
                <w:sz w:val="30"/>
                <w:szCs w:val="30"/>
                <w:vertAlign w:val="superscript"/>
              </w:rPr>
              <w:t>1</w: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end"/>
            </w:r>
          </w:p>
        </w:tc>
      </w:tr>
      <w:tr w:rsidR="00D17D65" w:rsidRPr="00D17D65" w14:paraId="43E46705" w14:textId="77777777" w:rsidTr="0017676B">
        <w:trPr>
          <w:trHeight w:val="439"/>
        </w:trPr>
        <w:tc>
          <w:tcPr>
            <w:tcW w:w="1134" w:type="dxa"/>
            <w:vAlign w:val="center"/>
          </w:tcPr>
          <w:p w14:paraId="306E6E1D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HP-FeN4</w:t>
            </w:r>
          </w:p>
        </w:tc>
        <w:tc>
          <w:tcPr>
            <w:tcW w:w="1701" w:type="dxa"/>
            <w:vAlign w:val="center"/>
          </w:tcPr>
          <w:p w14:paraId="1783254E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0.80</w:t>
            </w:r>
          </w:p>
        </w:tc>
        <w:tc>
          <w:tcPr>
            <w:tcW w:w="1417" w:type="dxa"/>
            <w:vAlign w:val="center"/>
          </w:tcPr>
          <w:p w14:paraId="1D3AE1DA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701" w:type="dxa"/>
            <w:vAlign w:val="center"/>
          </w:tcPr>
          <w:p w14:paraId="76F72ABB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72</w:t>
            </w:r>
          </w:p>
        </w:tc>
        <w:tc>
          <w:tcPr>
            <w:tcW w:w="1701" w:type="dxa"/>
            <w:vAlign w:val="center"/>
          </w:tcPr>
          <w:p w14:paraId="032F2D2A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begin"/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instrText xml:space="preserve"> ADDIN EN.CITE &lt;EndNote&gt;&lt;Cite&gt;&lt;Author&gt;Zhang&lt;/Author&gt;&lt;Year&gt;2020&lt;/Year&gt;&lt;RecNum&gt;145&lt;/RecNum&gt;&lt;DisplayText&gt;&lt;style face="superscript"&gt;2&lt;/style&gt;&lt;/DisplayText&gt;&lt;record&gt;&lt;rec-number&gt;145&lt;/rec-number&gt;&lt;foreign-keys&gt;&lt;key app="EN" db-id="52fe9dzx2tfarmerfenvtzshexa02sf2dw2t" timestamp="1701158114"&gt;145&lt;/key&gt;&lt;/foreign-keys&gt;&lt;ref-type name="Journal Article"&gt;17&lt;/ref-type&gt;&lt;contributors&gt;&lt;authors&gt;&lt;author&gt;Zhang, Nan&lt;/author&gt;&lt;author&gt;Zhou, Tianpei&lt;/author&gt;&lt;author&gt;Chen, Minglong&lt;/author&gt;&lt;author&gt;Feng, Hu&lt;/author&gt;&lt;author&gt;Yuan, Ruilin&lt;/author&gt;&lt;author&gt;Zhong, Cheng’an&lt;/author&gt;&lt;author&gt;Yan, Wensheng&lt;/author&gt;&lt;author&gt;Tian, Yangchao&lt;/author&gt;&lt;author&gt;Wu, Xiaojun&lt;/author&gt;&lt;author&gt;Chu, Wangsheng&lt;/author&gt;&lt;author&gt;Wu, Changzheng&lt;/author&gt;&lt;author&gt;Xie, Yi&lt;/author&gt;&lt;/authors&gt;&lt;/contributors&gt;&lt;titles&gt;&lt;title&gt;High-purity pyrrole-type FeN4 sites as a superior oxygen reduction electrocatalyst&lt;/title&gt;&lt;secondary-title&gt;Energy &amp;amp; Environmental Science&lt;/secondary-title&gt;&lt;/titles&gt;&lt;periodical&gt;&lt;full-title&gt;Energy &amp;amp; Environmental Science&lt;/full-title&gt;&lt;/periodical&gt;&lt;pages&gt;111-118&lt;/pages&gt;&lt;volume&gt;13&lt;/volume&gt;&lt;number&gt;1&lt;/number&gt;&lt;section&gt;111&lt;/section&gt;&lt;dates&gt;&lt;year&gt;2020&lt;/year&gt;&lt;/dates&gt;&lt;isbn&gt;1754-5692&amp;#xD;1754-5706&lt;/isbn&gt;&lt;urls&gt;&lt;/urls&gt;&lt;electronic-resource-num&gt;10.1039/c9ee03027a&lt;/electronic-resource-num&gt;&lt;/record&gt;&lt;/Cite&gt;&lt;/EndNote&gt;</w:instrTex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separate"/>
            </w:r>
            <w:r w:rsidRPr="00D17D65">
              <w:rPr>
                <w:rFonts w:ascii="Times New Roman" w:eastAsia="宋体" w:hAnsi="Times New Roman" w:cs="Times New Roman"/>
                <w:kern w:val="0"/>
                <w:sz w:val="30"/>
                <w:szCs w:val="30"/>
                <w:vertAlign w:val="superscript"/>
              </w:rPr>
              <w:t>2</w: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end"/>
            </w:r>
          </w:p>
        </w:tc>
      </w:tr>
      <w:tr w:rsidR="00D17D65" w:rsidRPr="00D17D65" w14:paraId="407FBF65" w14:textId="77777777" w:rsidTr="0017676B">
        <w:trPr>
          <w:trHeight w:val="439"/>
        </w:trPr>
        <w:tc>
          <w:tcPr>
            <w:tcW w:w="1134" w:type="dxa"/>
            <w:vAlign w:val="center"/>
          </w:tcPr>
          <w:p w14:paraId="2C50FE97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 xml:space="preserve">Fe-Zn-SA/NC </w:t>
            </w:r>
          </w:p>
        </w:tc>
        <w:tc>
          <w:tcPr>
            <w:tcW w:w="1701" w:type="dxa"/>
            <w:vAlign w:val="center"/>
          </w:tcPr>
          <w:p w14:paraId="3A43B42F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0.78</w:t>
            </w:r>
          </w:p>
        </w:tc>
        <w:tc>
          <w:tcPr>
            <w:tcW w:w="1417" w:type="dxa"/>
            <w:vAlign w:val="center"/>
          </w:tcPr>
          <w:p w14:paraId="526433EF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701" w:type="dxa"/>
            <w:vAlign w:val="center"/>
          </w:tcPr>
          <w:p w14:paraId="69292EE4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54.3</w:t>
            </w:r>
          </w:p>
        </w:tc>
        <w:tc>
          <w:tcPr>
            <w:tcW w:w="1701" w:type="dxa"/>
            <w:vAlign w:val="center"/>
          </w:tcPr>
          <w:p w14:paraId="6BF8BD36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begin"/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instrText xml:space="preserve"> ADDIN EN.CITE &lt;EndNote&gt;&lt;Cite&gt;&lt;Author&gt;Xu&lt;/Author&gt;&lt;Year&gt;2021&lt;/Year&gt;&lt;RecNum&gt;146&lt;/RecNum&gt;&lt;DisplayText&gt;&lt;style face="superscript"&gt;3&lt;/style&gt;&lt;/DisplayText&gt;&lt;record&gt;&lt;rec-number&gt;146&lt;/rec-number&gt;&lt;foreign-keys&gt;&lt;key app="EN" db-id="52fe9dzx2tfarmerfenvtzshexa02sf2dw2t" timestamp="1701158118"&gt;146&lt;/key&gt;&lt;/foreign-keys&gt;&lt;ref-type name="Journal Article"&gt;17&lt;/ref-type&gt;&lt;contributors&gt;&lt;authors&gt;&lt;author&gt;Xu, Jie&lt;/author&gt;&lt;author&gt;Lai, Shuhua&lt;/author&gt;&lt;author&gt;Qi, Defeng&lt;/author&gt;&lt;author&gt;Hu, Min&lt;/author&gt;&lt;author&gt;Peng, Xianyun&lt;/author&gt;&lt;author&gt;Liu, Yifan&lt;/author&gt;&lt;author&gt;Liu, Wei&lt;/author&gt;&lt;author&gt;Hu, Guangzhi&lt;/author&gt;&lt;author&gt;Xu, Heng&lt;/author&gt;&lt;author&gt;Li, Fan&lt;/author&gt;&lt;author&gt;Li, Chao&lt;/author&gt;&lt;author&gt;He, Jia&lt;/author&gt;&lt;author&gt;Zhuo, Longchao&lt;/author&gt;&lt;author&gt;Sun, Jiaqiang&lt;/author&gt;&lt;author&gt;Qiu, Yuan&lt;/author&gt;&lt;author&gt;Zhang, Shusheng&lt;/author&gt;&lt;author&gt;Luo, Jun&lt;/author&gt;&lt;author&gt;Liu, Xijun&lt;/author&gt;&lt;/authors&gt;&lt;/contributors&gt;&lt;titles&gt;&lt;title&gt;Atomic Fe-Zn dual-metal sites for high-efficiency pH-universal oxygen reduction catalysis&lt;/title&gt;&lt;secondary-title&gt;Nano Research&lt;/secondary-title&gt;&lt;/titles&gt;&lt;periodical&gt;&lt;full-title&gt;Nano Research&lt;/full-title&gt;&lt;/periodical&gt;&lt;pages&gt;1374-1381&lt;/pages&gt;&lt;volume&gt;14&lt;/volume&gt;&lt;number&gt;5&lt;/number&gt;&lt;dates&gt;&lt;year&gt;2021&lt;/year&gt;&lt;pub-dates&gt;&lt;date&gt;2021/05/01&lt;/date&gt;&lt;/pub-dates&gt;&lt;/dates&gt;&lt;isbn&gt;1998-0000&lt;/isbn&gt;&lt;urls&gt;&lt;related-urls&gt;&lt;url&gt;https://doi.org/10.1007/s12274-020-3186-x&lt;/url&gt;&lt;/related-urls&gt;&lt;/urls&gt;&lt;electronic-resource-num&gt;10.1007/s12274-020-3186-x&lt;/electronic-resource-num&gt;&lt;/record&gt;&lt;/Cite&gt;&lt;/EndNote&gt;</w:instrTex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separate"/>
            </w:r>
            <w:r w:rsidRPr="00D17D65">
              <w:rPr>
                <w:rFonts w:ascii="Times New Roman" w:eastAsia="宋体" w:hAnsi="Times New Roman" w:cs="Times New Roman"/>
                <w:kern w:val="0"/>
                <w:sz w:val="30"/>
                <w:szCs w:val="30"/>
                <w:vertAlign w:val="superscript"/>
              </w:rPr>
              <w:t>3</w: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end"/>
            </w:r>
          </w:p>
        </w:tc>
      </w:tr>
      <w:tr w:rsidR="00D17D65" w:rsidRPr="00D17D65" w14:paraId="2E2599F8" w14:textId="77777777" w:rsidTr="0017676B">
        <w:trPr>
          <w:trHeight w:val="439"/>
        </w:trPr>
        <w:tc>
          <w:tcPr>
            <w:tcW w:w="1134" w:type="dxa"/>
            <w:vAlign w:val="center"/>
          </w:tcPr>
          <w:p w14:paraId="7FDE6C6A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Mn-Fe@ NCNTs</w:t>
            </w:r>
          </w:p>
        </w:tc>
        <w:tc>
          <w:tcPr>
            <w:tcW w:w="1701" w:type="dxa"/>
            <w:vAlign w:val="center"/>
          </w:tcPr>
          <w:p w14:paraId="12F21FD6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 xml:space="preserve">0.76 </w:t>
            </w:r>
          </w:p>
        </w:tc>
        <w:tc>
          <w:tcPr>
            <w:tcW w:w="1417" w:type="dxa"/>
            <w:vAlign w:val="center"/>
          </w:tcPr>
          <w:p w14:paraId="6DBC1BFF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701" w:type="dxa"/>
            <w:vAlign w:val="center"/>
          </w:tcPr>
          <w:p w14:paraId="648AFBDF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78.5</w:t>
            </w:r>
          </w:p>
        </w:tc>
        <w:tc>
          <w:tcPr>
            <w:tcW w:w="1701" w:type="dxa"/>
            <w:vAlign w:val="center"/>
          </w:tcPr>
          <w:p w14:paraId="42ED8C21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begin"/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instrText xml:space="preserve"> ADDIN EN.CITE &lt;EndNote&gt;&lt;Cite&gt;&lt;Author&gt;Guo&lt;/Author&gt;&lt;Year&gt;2023&lt;/Year&gt;&lt;RecNum&gt;144&lt;/RecNum&gt;&lt;DisplayText&gt;&lt;style face="superscript"&gt;4&lt;/style&gt;&lt;/DisplayText&gt;&lt;record&gt;&lt;rec-number&gt;144&lt;/rec-number&gt;&lt;foreign-keys&gt;&lt;key app="EN" db-id="52fe9dzx2tfarmerfenvtzshexa02sf2dw2t" timestamp="1701150358"&gt;144&lt;/key&gt;&lt;/foreign-keys&gt;&lt;ref-type name="Journal Article"&gt;17&lt;/ref-type&gt;&lt;contributors&gt;&lt;authors&gt;&lt;author&gt;Guo, Xi&lt;/author&gt;&lt;author&gt;Xue, Song&lt;/author&gt;&lt;author&gt;Zhang, Xiaohua&lt;/author&gt;&lt;author&gt;Qin, Junfeng&lt;/author&gt;&lt;author&gt;Hong, Min&lt;/author&gt;&lt;author&gt;Chen, Qinqin&lt;/author&gt;&lt;author&gt;Liu, Wuhua&lt;/author&gt;&lt;author&gt;Du, Cuicui&lt;/author&gt;&lt;author&gt;Chen, Jinhua&lt;/author&gt;&lt;/authors&gt;&lt;/contributors&gt;&lt;titles&gt;&lt;title&gt;Mn atomic clusters and Fe nanoparticles in-situ conﬁned nitrogen carbon nanotubes for efficient and durable ORR electrocatalysts in both alkaline and acidic media&lt;/title&gt;&lt;secondary-title&gt;Journal of Alloys and Compounds&lt;/secondary-title&gt;&lt;/titles&gt;&lt;periodical&gt;&lt;full-title&gt;Journal of Alloys and Compounds&lt;/full-title&gt;&lt;/periodical&gt;&lt;pages&gt;169992&lt;/pages&gt;&lt;volume&gt;953&lt;/volume&gt;&lt;keywords&gt;&lt;keyword&gt;Atomic clusters&lt;/keyword&gt;&lt;keyword&gt;Nanoparticles&lt;/keyword&gt;&lt;keyword&gt;In-situ confinement&lt;/keyword&gt;&lt;keyword&gt;Nitrogen doped carbon nanotubes&lt;/keyword&gt;&lt;keyword&gt;Chemical vapor deposition&lt;/keyword&gt;&lt;keyword&gt;Oxygen reduction reaction&lt;/keyword&gt;&lt;/keywords&gt;&lt;dates&gt;&lt;year&gt;2023&lt;/year&gt;&lt;pub-dates&gt;&lt;date&gt;2023/08/25/&lt;/date&gt;&lt;/pub-dates&gt;&lt;/dates&gt;&lt;isbn&gt;0925-8388&lt;/isbn&gt;&lt;urls&gt;&lt;related-urls&gt;&lt;url&gt;https://www.sciencedirect.com/science/article/pii/S0925838823012951&lt;/url&gt;&lt;/related-urls&gt;&lt;/urls&gt;&lt;electronic-resource-num&gt;https://doi.org/10.1016/j.jallcom.2023.169992&lt;/electronic-resource-num&gt;&lt;/record&gt;&lt;/Cite&gt;&lt;/EndNote&gt;</w:instrTex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separate"/>
            </w:r>
            <w:r w:rsidRPr="00D17D65">
              <w:rPr>
                <w:rFonts w:ascii="Times New Roman" w:eastAsia="宋体" w:hAnsi="Times New Roman" w:cs="Times New Roman"/>
                <w:kern w:val="0"/>
                <w:sz w:val="30"/>
                <w:szCs w:val="30"/>
                <w:vertAlign w:val="superscript"/>
              </w:rPr>
              <w:t>4</w: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end"/>
            </w:r>
          </w:p>
        </w:tc>
      </w:tr>
      <w:tr w:rsidR="00D17D65" w:rsidRPr="00D17D65" w14:paraId="7501CF72" w14:textId="77777777" w:rsidTr="0017676B">
        <w:trPr>
          <w:trHeight w:val="439"/>
        </w:trPr>
        <w:tc>
          <w:tcPr>
            <w:tcW w:w="1134" w:type="dxa"/>
            <w:vAlign w:val="center"/>
          </w:tcPr>
          <w:p w14:paraId="7390799C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proofErr w:type="spellStart"/>
            <w:r w:rsidRPr="00D17D65">
              <w:rPr>
                <w:rFonts w:ascii="Times New Roman" w:hAnsi="Times New Roman" w:cs="Times New Roman"/>
                <w:kern w:val="0"/>
              </w:rPr>
              <w:t>FeCu</w:t>
            </w:r>
            <w:proofErr w:type="spellEnd"/>
            <w:r w:rsidRPr="00D17D65">
              <w:rPr>
                <w:rFonts w:ascii="Times New Roman" w:hAnsi="Times New Roman" w:cs="Times New Roman"/>
                <w:kern w:val="0"/>
              </w:rPr>
              <w:t>-SAC</w:t>
            </w:r>
          </w:p>
        </w:tc>
        <w:tc>
          <w:tcPr>
            <w:tcW w:w="1701" w:type="dxa"/>
            <w:vAlign w:val="center"/>
          </w:tcPr>
          <w:p w14:paraId="0896508F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0.779</w:t>
            </w:r>
          </w:p>
        </w:tc>
        <w:tc>
          <w:tcPr>
            <w:tcW w:w="1417" w:type="dxa"/>
            <w:vAlign w:val="center"/>
          </w:tcPr>
          <w:p w14:paraId="099D2D3C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16.33</w:t>
            </w:r>
          </w:p>
        </w:tc>
        <w:tc>
          <w:tcPr>
            <w:tcW w:w="1701" w:type="dxa"/>
            <w:vAlign w:val="center"/>
          </w:tcPr>
          <w:p w14:paraId="6DDCFB82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53.6</w:t>
            </w:r>
          </w:p>
        </w:tc>
        <w:tc>
          <w:tcPr>
            <w:tcW w:w="1701" w:type="dxa"/>
            <w:vAlign w:val="center"/>
          </w:tcPr>
          <w:p w14:paraId="51A9AA94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begin"/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instrText xml:space="preserve"> ADDIN EN.CITE &lt;EndNote&gt;&lt;Cite&gt;&lt;Author&gt;Yang&lt;/Author&gt;&lt;Year&gt;2023&lt;/Year&gt;&lt;RecNum&gt;147&lt;/RecNum&gt;&lt;DisplayText&gt;&lt;style face="superscript"&gt;5&lt;/style&gt;&lt;/DisplayText&gt;&lt;record&gt;&lt;rec-number&gt;147&lt;/rec-number&gt;&lt;foreign-keys&gt;&lt;key app="EN" db-id="52fe9dzx2tfarmerfenvtzshexa02sf2dw2t" timestamp="1701158555"&gt;147&lt;/key&gt;&lt;/foreign-keys&gt;&lt;ref-type name="Journal Article"&gt;17&lt;/ref-type&gt;&lt;contributors&gt;&lt;authors&gt;&lt;author&gt;Yang, Hongzhou&lt;/author&gt;&lt;author&gt;Huang, He&lt;/author&gt;&lt;author&gt;Wang, Qing&lt;/author&gt;&lt;author&gt;Shang, Lu&lt;/author&gt;&lt;author&gt;Zhang, Tierui&lt;/author&gt;&lt;author&gt;Wang, Shouguo&lt;/author&gt;&lt;/authors&gt;&lt;/contributors&gt;&lt;titles&gt;&lt;title&gt;Fe, Cu dual-metal single atom catalyst on commercial carbon black for efficient oxygen reduction reaction&lt;/title&gt;&lt;secondary-title&gt;Journal of Materials Chemistry A&lt;/secondary-title&gt;&lt;/titles&gt;&lt;periodical&gt;&lt;full-title&gt;Journal of Materials Chemistry A&lt;/full-title&gt;&lt;/periodical&gt;&lt;pages&gt;6191-6197&lt;/pages&gt;&lt;volume&gt;11&lt;/volume&gt;&lt;number&gt;12&lt;/number&gt;&lt;section&gt;6191&lt;/section&gt;&lt;dates&gt;&lt;year&gt;2023&lt;/year&gt;&lt;/dates&gt;&lt;isbn&gt;2050-7488&amp;#xD;2050-7496&lt;/isbn&gt;&lt;urls&gt;&lt;/urls&gt;&lt;electronic-resource-num&gt;10.1039/d2ta09922e&lt;/electronic-resource-num&gt;&lt;/record&gt;&lt;/Cite&gt;&lt;/EndNote&gt;</w:instrTex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separate"/>
            </w:r>
            <w:r w:rsidRPr="00D17D65">
              <w:rPr>
                <w:rFonts w:ascii="Times New Roman" w:eastAsia="宋体" w:hAnsi="Times New Roman" w:cs="Times New Roman"/>
                <w:kern w:val="0"/>
                <w:sz w:val="30"/>
                <w:szCs w:val="30"/>
                <w:vertAlign w:val="superscript"/>
              </w:rPr>
              <w:t>5</w: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end"/>
            </w:r>
          </w:p>
        </w:tc>
      </w:tr>
      <w:tr w:rsidR="00D17D65" w:rsidRPr="00D17D65" w14:paraId="4EAA1460" w14:textId="77777777" w:rsidTr="0017676B">
        <w:trPr>
          <w:trHeight w:val="439"/>
        </w:trPr>
        <w:tc>
          <w:tcPr>
            <w:tcW w:w="1134" w:type="dxa"/>
            <w:vAlign w:val="center"/>
          </w:tcPr>
          <w:p w14:paraId="618046E4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proofErr w:type="spellStart"/>
            <w:r w:rsidRPr="00D17D65">
              <w:rPr>
                <w:rFonts w:ascii="Times New Roman" w:hAnsi="Times New Roman" w:cs="Times New Roman"/>
                <w:kern w:val="0"/>
              </w:rPr>
              <w:t>Fe</w:t>
            </w:r>
            <w:r w:rsidRPr="00D17D65">
              <w:rPr>
                <w:rFonts w:ascii="Times New Roman" w:hAnsi="Times New Roman" w:cs="Times New Roman"/>
                <w:kern w:val="0"/>
                <w:vertAlign w:val="subscript"/>
              </w:rPr>
              <w:t>SA</w:t>
            </w:r>
            <w:proofErr w:type="spellEnd"/>
            <w:r w:rsidRPr="00D17D65">
              <w:rPr>
                <w:rFonts w:ascii="Times New Roman" w:hAnsi="Times New Roman" w:cs="Times New Roman"/>
                <w:kern w:val="0"/>
                <w:vertAlign w:val="subscript"/>
              </w:rPr>
              <w:t>/AC</w:t>
            </w:r>
            <w:r w:rsidRPr="00D17D65">
              <w:rPr>
                <w:rFonts w:ascii="Times New Roman" w:hAnsi="Times New Roman" w:cs="Times New Roman"/>
                <w:kern w:val="0"/>
              </w:rPr>
              <w:t>@NC</w:t>
            </w:r>
          </w:p>
        </w:tc>
        <w:tc>
          <w:tcPr>
            <w:tcW w:w="1701" w:type="dxa"/>
            <w:vAlign w:val="center"/>
          </w:tcPr>
          <w:p w14:paraId="112C8A0C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417" w:type="dxa"/>
            <w:vAlign w:val="center"/>
          </w:tcPr>
          <w:p w14:paraId="74B8B371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  <w:vAlign w:val="center"/>
          </w:tcPr>
          <w:p w14:paraId="6CC8E205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701" w:type="dxa"/>
            <w:vAlign w:val="center"/>
          </w:tcPr>
          <w:p w14:paraId="7193D046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begin"/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instrText xml:space="preserve"> ADDIN EN.CITE &lt;EndNote&gt;&lt;Cite&gt;&lt;Author&gt;Chen&lt;/Author&gt;&lt;Year&gt;2024&lt;/Year&gt;&lt;RecNum&gt;148&lt;/RecNum&gt;&lt;DisplayText&gt;&lt;style face="superscript"&gt;6&lt;/style&gt;&lt;/DisplayText&gt;&lt;record&gt;&lt;rec-number&gt;148&lt;/rec-number&gt;&lt;foreign-keys&gt;&lt;key app="EN" db-id="52fe9dzx2tfarmerfenvtzshexa02sf2dw2t" timestamp="1701159409"&gt;148&lt;/key&gt;&lt;/foreign-keys&gt;&lt;ref-type name="Journal Article"&gt;17&lt;/ref-type&gt;&lt;contributors&gt;&lt;authors&gt;&lt;author&gt;Chen, Chengjie&lt;/author&gt;&lt;author&gt;Wu, Yinlong&lt;/author&gt;&lt;author&gt;Li, Xiulan&lt;/author&gt;&lt;author&gt;Ye, Yanting&lt;/author&gt;&lt;author&gt;Li, Zilong&lt;/author&gt;&lt;author&gt;Zhou, Yifan&lt;/author&gt;&lt;author&gt;Chen, Jian&lt;/author&gt;&lt;author&gt;Yang, Muzi&lt;/author&gt;&lt;author&gt;Xie, Fangyan&lt;/author&gt;&lt;author&gt;Jin, Yanshuo&lt;/author&gt;&lt;author&gt;Jones, Colton&lt;/author&gt;&lt;author&gt;Wang, Nan&lt;/author&gt;&lt;author&gt;Meng, Hui&lt;/author&gt;&lt;author&gt;Chen, Shaowei&lt;/author&gt;&lt;/authors&gt;&lt;/contributors&gt;&lt;titles&gt;&lt;title&gt;Modulating Fe spin state in FeNC catalysts by adjacent Fe atomic clusters to facilitate oxygen reduction reaction in proton exchange membrane fuel cell&lt;/title&gt;&lt;secondary-title&gt;Applied Catalysis B: Environmental&lt;/secondary-title&gt;&lt;/titles&gt;&lt;periodical&gt;&lt;full-title&gt;Applied Catalysis B: Environmental&lt;/full-title&gt;&lt;/periodical&gt;&lt;pages&gt;123407&lt;/pages&gt;&lt;volume&gt;342&lt;/volume&gt;&lt;keywords&gt;&lt;keyword&gt;Single atom site&lt;/keyword&gt;&lt;keyword&gt;Few-atom cluster&lt;/keyword&gt;&lt;keyword&gt;Spin state&lt;/keyword&gt;&lt;keyword&gt;Oxygen reduction reaction&lt;/keyword&gt;&lt;keyword&gt;Proton exchange membrane fuel cell&lt;/keyword&gt;&lt;/keywords&gt;&lt;dates&gt;&lt;year&gt;2024&lt;/year&gt;&lt;pub-dates&gt;&lt;date&gt;2024/03/01/&lt;/date&gt;&lt;/pub-dates&gt;&lt;/dates&gt;&lt;isbn&gt;0926-3373&lt;/isbn&gt;&lt;urls&gt;&lt;related-urls&gt;&lt;url&gt;https://www.sciencedirect.com/science/article/pii/S0926337323010500&lt;/url&gt;&lt;/related-urls&gt;&lt;/urls&gt;&lt;electronic-resource-num&gt;https://doi.org/10.1016/j.apcatb.2023.123407&lt;/electronic-resource-num&gt;&lt;/record&gt;&lt;/Cite&gt;&lt;/EndNote&gt;</w:instrTex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separate"/>
            </w:r>
            <w:r w:rsidRPr="00D17D65">
              <w:rPr>
                <w:rFonts w:ascii="Times New Roman" w:eastAsia="宋体" w:hAnsi="Times New Roman" w:cs="Times New Roman"/>
                <w:kern w:val="0"/>
                <w:sz w:val="30"/>
                <w:szCs w:val="30"/>
                <w:vertAlign w:val="superscript"/>
              </w:rPr>
              <w:t>6</w: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end"/>
            </w:r>
          </w:p>
        </w:tc>
      </w:tr>
      <w:tr w:rsidR="00D17D65" w:rsidRPr="00D17D65" w14:paraId="405DCDE0" w14:textId="77777777" w:rsidTr="0017676B">
        <w:trPr>
          <w:trHeight w:val="439"/>
        </w:trPr>
        <w:tc>
          <w:tcPr>
            <w:tcW w:w="1134" w:type="dxa"/>
            <w:vAlign w:val="center"/>
          </w:tcPr>
          <w:p w14:paraId="6DDC85F5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Fe(Cd)-N-C</w:t>
            </w:r>
          </w:p>
        </w:tc>
        <w:tc>
          <w:tcPr>
            <w:tcW w:w="1701" w:type="dxa"/>
            <w:vAlign w:val="center"/>
          </w:tcPr>
          <w:p w14:paraId="400BF51A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0.837</w:t>
            </w:r>
          </w:p>
        </w:tc>
        <w:tc>
          <w:tcPr>
            <w:tcW w:w="1417" w:type="dxa"/>
            <w:vAlign w:val="center"/>
          </w:tcPr>
          <w:p w14:paraId="25C6ABE8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701" w:type="dxa"/>
            <w:vAlign w:val="center"/>
          </w:tcPr>
          <w:p w14:paraId="51BDA55E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56</w:t>
            </w:r>
          </w:p>
        </w:tc>
        <w:tc>
          <w:tcPr>
            <w:tcW w:w="1701" w:type="dxa"/>
            <w:vAlign w:val="center"/>
          </w:tcPr>
          <w:p w14:paraId="737DE8ED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begin"/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instrText xml:space="preserve"> ADDIN EN.CITE &lt;EndNote&gt;&lt;Cite&gt;&lt;Author&gt;Luo&lt;/Author&gt;&lt;Year&gt;2023&lt;/Year&gt;&lt;RecNum&gt;149&lt;/RecNum&gt;&lt;DisplayText&gt;&lt;style face="superscript"&gt;7&lt;/style&gt;&lt;/DisplayText&gt;&lt;record&gt;&lt;rec-number&gt;149&lt;/rec-number&gt;&lt;foreign-keys&gt;&lt;key app="EN" db-id="52fe9dzx2tfarmerfenvtzshexa02sf2dw2t" timestamp="1701160356"&gt;149&lt;/key&gt;&lt;/foreign-keys&gt;&lt;ref-type name="Journal Article"&gt;17&lt;/ref-type&gt;&lt;contributors&gt;&lt;authors&gt;&lt;author&gt;Luo, Zhaoyan&lt;/author&gt;&lt;author&gt;Zhou, Tingyi&lt;/author&gt;&lt;author&gt;Guan, Yi&lt;/author&gt;&lt;author&gt;Zhang, Lei&lt;/author&gt;&lt;author&gt;Zhang, Qianling&lt;/author&gt;&lt;author&gt;He, Chuanxin&lt;/author&gt;&lt;author&gt;Sun, Xueliang&lt;/author&gt;&lt;author&gt;Ren, Xiangzhong&lt;/author&gt;&lt;/authors&gt;&lt;/contributors&gt;&lt;titles&gt;&lt;title&gt;Building Atomic Scale and Dense Fe─N4 Edge Sites of Highly Efficient Fe─N─C Oxygen Reduction Catalysts Using a Sacrificial Bimetallic Pyrolysis Strategy&lt;/title&gt;&lt;secondary-title&gt;Small&lt;/secondary-title&gt;&lt;/titles&gt;&lt;periodical&gt;&lt;full-title&gt;Small&lt;/full-title&gt;&lt;/periodical&gt;&lt;pages&gt;2304750&lt;/pages&gt;&lt;volume&gt;n/a&lt;/volume&gt;&lt;number&gt;n/a&lt;/number&gt;&lt;keywords&gt;&lt;keyword&gt;oxygen reduction&lt;/keyword&gt;&lt;keyword&gt;sacrificial bimetallic pyrolysis strategy&lt;/keyword&gt;&lt;keyword&gt;site utilization&lt;/keyword&gt;&lt;keyword&gt;ZIF-8, Fe/N/C catalysts&lt;/keyword&gt;&lt;/keywords&gt;&lt;dates&gt;&lt;year&gt;2023&lt;/year&gt;&lt;pub-dates&gt;&lt;date&gt;2023/08/03&lt;/date&gt;&lt;/pub-dates&gt;&lt;/dates&gt;&lt;publisher&gt;John Wiley &amp;amp; Sons, Ltd&lt;/publisher&gt;&lt;isbn&gt;1613-6810&lt;/isbn&gt;&lt;urls&gt;&lt;related-urls&gt;&lt;url&gt;https://doi.org/10.1002/smll.202304750&lt;/url&gt;&lt;/related-urls&gt;&lt;/urls&gt;&lt;electronic-resource-num&gt;https://doi.org/10.1002/smll.202304750&lt;/electronic-resource-num&gt;&lt;access-date&gt;2023/11/28&lt;/access-date&gt;&lt;/record&gt;&lt;/Cite&gt;&lt;/EndNote&gt;</w:instrTex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separate"/>
            </w:r>
            <w:r w:rsidRPr="00D17D65">
              <w:rPr>
                <w:rFonts w:ascii="Times New Roman" w:eastAsia="宋体" w:hAnsi="Times New Roman" w:cs="Times New Roman"/>
                <w:kern w:val="0"/>
                <w:sz w:val="30"/>
                <w:szCs w:val="30"/>
                <w:vertAlign w:val="superscript"/>
              </w:rPr>
              <w:t>7</w: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end"/>
            </w:r>
          </w:p>
        </w:tc>
      </w:tr>
      <w:tr w:rsidR="00D17D65" w:rsidRPr="00D17D65" w14:paraId="43AF4F02" w14:textId="77777777" w:rsidTr="0017676B">
        <w:trPr>
          <w:trHeight w:val="439"/>
        </w:trPr>
        <w:tc>
          <w:tcPr>
            <w:tcW w:w="1134" w:type="dxa"/>
            <w:vAlign w:val="center"/>
          </w:tcPr>
          <w:p w14:paraId="69AFD4ED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 Fe/ZnS-SNC</w:t>
            </w:r>
          </w:p>
        </w:tc>
        <w:tc>
          <w:tcPr>
            <w:tcW w:w="1701" w:type="dxa"/>
            <w:vAlign w:val="center"/>
          </w:tcPr>
          <w:p w14:paraId="19887E0A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0.81</w:t>
            </w:r>
          </w:p>
        </w:tc>
        <w:tc>
          <w:tcPr>
            <w:tcW w:w="1417" w:type="dxa"/>
            <w:vAlign w:val="center"/>
          </w:tcPr>
          <w:p w14:paraId="2457F55D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21.8</w:t>
            </w:r>
          </w:p>
        </w:tc>
        <w:tc>
          <w:tcPr>
            <w:tcW w:w="1701" w:type="dxa"/>
            <w:vAlign w:val="center"/>
          </w:tcPr>
          <w:p w14:paraId="5D6CBF4F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41.3</w:t>
            </w:r>
          </w:p>
        </w:tc>
        <w:tc>
          <w:tcPr>
            <w:tcW w:w="1701" w:type="dxa"/>
            <w:vAlign w:val="center"/>
          </w:tcPr>
          <w:p w14:paraId="2FF42154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begin"/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instrText xml:space="preserve"> ADDIN EN.CITE &lt;EndNote&gt;&lt;Cite&gt;&lt;Author&gt;Pei&lt;/Author&gt;&lt;Year&gt;2023&lt;/Year&gt;&lt;RecNum&gt;150&lt;/RecNum&gt;&lt;DisplayText&gt;&lt;style face="superscript"&gt;8&lt;/style&gt;&lt;/DisplayText&gt;&lt;record&gt;&lt;rec-number&gt;150&lt;/rec-number&gt;&lt;foreign-keys&gt;&lt;key app="EN" db-id="52fe9dzx2tfarmerfenvtzshexa02sf2dw2t" timestamp="1701160780"&gt;150&lt;/key&gt;&lt;/foreign-keys&gt;&lt;ref-type name="Electronic Article"&gt;43&lt;/ref-type&gt;&lt;contributors&gt;&lt;authors&gt;&lt;author&gt;Pei, Fenglai&lt;/author&gt;&lt;author&gt;Li, Min&lt;/author&gt;&lt;author&gt;Huang, Yifan&lt;/author&gt;&lt;author&gt;Guo, Qiuyun&lt;/author&gt;&lt;author&gt;Song, Kunming&lt;/author&gt;&lt;author&gt;Kong, Fantao&lt;/author&gt;&lt;author&gt;Cui, Xiangzhi&lt;/author&gt;&lt;/authors&gt;&lt;/contributors&gt;&lt;titles&gt;&lt;title&gt;Constructing FeS and ZnS Heterojunction on N,S-Codoped Carbon as Robust Electrocatalyst toward Oxygen Reduction Reaction&lt;/title&gt;&lt;secondary-title&gt;Nanomaterials&lt;/secondary-title&gt;&lt;/titles&gt;&lt;periodical&gt;&lt;full-title&gt;Nanomaterials&lt;/full-title&gt;&lt;/periodical&gt;&lt;volume&gt;13&lt;/volume&gt;&lt;number&gt;19&lt;/number&gt;&lt;keywords&gt;&lt;keyword&gt;N,S codoped&lt;/keyword&gt;&lt;keyword&gt;ZnS/FeS&lt;/keyword&gt;&lt;keyword&gt;heterostructure&lt;/keyword&gt;&lt;keyword&gt;electron transfer&lt;/keyword&gt;&lt;keyword&gt;oxygen reduction reaction&lt;/keyword&gt;&lt;/keywords&gt;&lt;dates&gt;&lt;year&gt;2023&lt;/year&gt;&lt;/dates&gt;&lt;isbn&gt;2079-4991&lt;/isbn&gt;&lt;urls&gt;&lt;/urls&gt;&lt;electronic-resource-num&gt;10.3390/nano13192682&lt;/electronic-resource-num&gt;&lt;/record&gt;&lt;/Cite&gt;&lt;/EndNote&gt;</w:instrTex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separate"/>
            </w:r>
            <w:r w:rsidRPr="00D17D65">
              <w:rPr>
                <w:rFonts w:ascii="Times New Roman" w:eastAsia="宋体" w:hAnsi="Times New Roman" w:cs="Times New Roman"/>
                <w:kern w:val="0"/>
                <w:sz w:val="30"/>
                <w:szCs w:val="30"/>
                <w:vertAlign w:val="superscript"/>
              </w:rPr>
              <w:t>8</w: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end"/>
            </w:r>
          </w:p>
        </w:tc>
      </w:tr>
      <w:tr w:rsidR="00D17D65" w:rsidRPr="00D17D65" w14:paraId="6D41A793" w14:textId="77777777" w:rsidTr="0017676B">
        <w:trPr>
          <w:trHeight w:val="439"/>
        </w:trPr>
        <w:tc>
          <w:tcPr>
            <w:tcW w:w="1134" w:type="dxa"/>
            <w:vAlign w:val="center"/>
          </w:tcPr>
          <w:p w14:paraId="3776E21C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proofErr w:type="spellStart"/>
            <w:r w:rsidRPr="00D17D65">
              <w:rPr>
                <w:rFonts w:ascii="Times New Roman" w:hAnsi="Times New Roman" w:cs="Times New Roman"/>
                <w:kern w:val="0"/>
              </w:rPr>
              <w:t>FeSNC</w:t>
            </w:r>
            <w:proofErr w:type="spellEnd"/>
            <w:r w:rsidRPr="00D17D65">
              <w:rPr>
                <w:rFonts w:ascii="Times New Roman" w:hAnsi="Times New Roman" w:cs="Times New Roman"/>
                <w:kern w:val="0"/>
              </w:rPr>
              <w:t>-TA</w:t>
            </w:r>
          </w:p>
        </w:tc>
        <w:tc>
          <w:tcPr>
            <w:tcW w:w="1701" w:type="dxa"/>
            <w:vAlign w:val="center"/>
          </w:tcPr>
          <w:p w14:paraId="66CD129A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0.76</w:t>
            </w:r>
          </w:p>
        </w:tc>
        <w:tc>
          <w:tcPr>
            <w:tcW w:w="1417" w:type="dxa"/>
            <w:vAlign w:val="center"/>
          </w:tcPr>
          <w:p w14:paraId="644F9441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6.9</w:t>
            </w:r>
          </w:p>
        </w:tc>
        <w:tc>
          <w:tcPr>
            <w:tcW w:w="1701" w:type="dxa"/>
            <w:vAlign w:val="center"/>
          </w:tcPr>
          <w:p w14:paraId="5BF77A8C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61.2</w:t>
            </w:r>
          </w:p>
        </w:tc>
        <w:tc>
          <w:tcPr>
            <w:tcW w:w="1701" w:type="dxa"/>
            <w:vAlign w:val="center"/>
          </w:tcPr>
          <w:p w14:paraId="40252D24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begin"/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instrText xml:space="preserve"> ADDIN EN.CITE &lt;EndNote&gt;&lt;Cite&gt;&lt;Author&gt;Liu&lt;/Author&gt;&lt;Year&gt;2023&lt;/Year&gt;&lt;RecNum&gt;151&lt;/RecNum&gt;&lt;DisplayText&gt;&lt;style face="superscript"&gt;9&lt;/style&gt;&lt;/DisplayText&gt;&lt;record&gt;&lt;rec-number&gt;151&lt;/rec-number&gt;&lt;foreign-keys&gt;&lt;key app="EN" db-id="52fe9dzx2tfarmerfenvtzshexa02sf2dw2t" timestamp="1701161200"&gt;151&lt;/key&gt;&lt;/foreign-keys&gt;&lt;ref-type name="Journal Article"&gt;17&lt;/ref-type&gt;&lt;contributors&gt;&lt;authors&gt;&lt;author&gt;Liu, Heng&lt;/author&gt;&lt;author&gt;Jiang, Luozhen&lt;/author&gt;&lt;author&gt;Sun, Yanyan&lt;/author&gt;&lt;author&gt;Khan, Javid&lt;/author&gt;&lt;author&gt;Feng, Bin&lt;/author&gt;&lt;author&gt;Xiao, Jiamin&lt;/author&gt;&lt;author&gt;Zhang, Handong&lt;/author&gt;&lt;author&gt;Xie, Haijiao&lt;/author&gt;&lt;author&gt;Li, Lina&lt;/author&gt;&lt;author&gt;Wang, Shuangyin&lt;/author&gt;&lt;author&gt;Han, Lei&lt;/author&gt;&lt;/authors&gt;&lt;/contributors&gt;&lt;titles&gt;&lt;title&gt;Revisiting the Role of Sulfur Functionality in Regulating the Electron Distribution of Single-Atomic Fe Sites Toward Enhanced Oxygen Reduction&lt;/title&gt;&lt;secondary-title&gt;Advanced Functional Materials&lt;/secondary-title&gt;&lt;/titles&gt;&lt;periodical&gt;&lt;full-title&gt;Advanced Functional Materials&lt;/full-title&gt;&lt;/periodical&gt;&lt;pages&gt;2304074&lt;/pages&gt;&lt;volume&gt;33&lt;/volume&gt;&lt;number&gt;35&lt;/number&gt;&lt;keywords&gt;&lt;keyword&gt;electron-donating&lt;/keyword&gt;&lt;keyword&gt;Fe single atoms&lt;/keyword&gt;&lt;keyword&gt;oxygen reduction reaction&lt;/keyword&gt;&lt;keyword&gt;sulfur functionality&lt;/keyword&gt;&lt;/keywords&gt;&lt;dates&gt;&lt;year&gt;2023&lt;/year&gt;&lt;pub-dates&gt;&lt;date&gt;2023/08/01&lt;/date&gt;&lt;/pub-dates&gt;&lt;/dates&gt;&lt;publisher&gt;John Wiley &amp;amp; Sons, Ltd&lt;/publisher&gt;&lt;isbn&gt;1616-301X&lt;/isbn&gt;&lt;urls&gt;&lt;related-urls&gt;&lt;url&gt;https://doi.org/10.1002/adfm.202304074&lt;/url&gt;&lt;/related-urls&gt;&lt;/urls&gt;&lt;electronic-resource-num&gt;https://doi.org/10.1002/adfm.202304074&lt;/electronic-resource-num&gt;&lt;access-date&gt;2023/11/28&lt;/access-date&gt;&lt;/record&gt;&lt;/Cite&gt;&lt;/EndNote&gt;</w:instrTex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separate"/>
            </w:r>
            <w:r w:rsidRPr="00D17D65">
              <w:rPr>
                <w:rFonts w:ascii="Times New Roman" w:eastAsia="宋体" w:hAnsi="Times New Roman" w:cs="Times New Roman"/>
                <w:kern w:val="0"/>
                <w:sz w:val="30"/>
                <w:szCs w:val="30"/>
                <w:vertAlign w:val="superscript"/>
              </w:rPr>
              <w:t>9</w: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end"/>
            </w:r>
          </w:p>
        </w:tc>
      </w:tr>
      <w:tr w:rsidR="00D17D65" w:rsidRPr="00D17D65" w14:paraId="59C4FE24" w14:textId="77777777" w:rsidTr="0017676B">
        <w:trPr>
          <w:trHeight w:val="439"/>
        </w:trPr>
        <w:tc>
          <w:tcPr>
            <w:tcW w:w="1134" w:type="dxa"/>
            <w:vAlign w:val="center"/>
          </w:tcPr>
          <w:p w14:paraId="0AC6A904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proofErr w:type="spellStart"/>
            <w:r w:rsidRPr="00D17D65">
              <w:rPr>
                <w:rFonts w:ascii="Times New Roman" w:hAnsi="Times New Roman" w:cs="Times New Roman"/>
                <w:kern w:val="0"/>
              </w:rPr>
              <w:t>Fe@Fe-N-C</w:t>
            </w:r>
            <w:proofErr w:type="spellEnd"/>
            <w:r w:rsidRPr="00D17D65">
              <w:rPr>
                <w:rFonts w:ascii="Times New Roman" w:hAnsi="Times New Roman" w:cs="Times New Roman"/>
                <w:kern w:val="0"/>
              </w:rPr>
              <w:t xml:space="preserve">  </w:t>
            </w:r>
          </w:p>
        </w:tc>
        <w:tc>
          <w:tcPr>
            <w:tcW w:w="1701" w:type="dxa"/>
            <w:vAlign w:val="center"/>
          </w:tcPr>
          <w:p w14:paraId="024EC69D" w14:textId="77777777" w:rsidR="00D17D65" w:rsidRPr="00D17D65" w:rsidRDefault="00D17D65" w:rsidP="0017676B">
            <w:pPr>
              <w:tabs>
                <w:tab w:val="left" w:pos="352"/>
                <w:tab w:val="center" w:pos="122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D17D65">
              <w:rPr>
                <w:rFonts w:ascii="Times New Roman" w:hAnsi="Times New Roman" w:cs="Times New Roman"/>
                <w:kern w:val="0"/>
              </w:rPr>
              <w:t>0.829</w:t>
            </w:r>
          </w:p>
        </w:tc>
        <w:tc>
          <w:tcPr>
            <w:tcW w:w="1417" w:type="dxa"/>
            <w:vAlign w:val="center"/>
          </w:tcPr>
          <w:p w14:paraId="23262571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11.1</w:t>
            </w:r>
          </w:p>
        </w:tc>
        <w:tc>
          <w:tcPr>
            <w:tcW w:w="1701" w:type="dxa"/>
            <w:vAlign w:val="center"/>
          </w:tcPr>
          <w:p w14:paraId="09772092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7D65">
              <w:rPr>
                <w:rFonts w:ascii="Times New Roman" w:hAnsi="Times New Roman" w:cs="Times New Roman"/>
              </w:rPr>
              <w:t>76.3</w:t>
            </w:r>
          </w:p>
        </w:tc>
        <w:tc>
          <w:tcPr>
            <w:tcW w:w="1701" w:type="dxa"/>
            <w:vAlign w:val="center"/>
          </w:tcPr>
          <w:p w14:paraId="3A293437" w14:textId="77777777" w:rsidR="00D17D65" w:rsidRPr="00D17D65" w:rsidRDefault="00D17D65" w:rsidP="001767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begin"/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instrText xml:space="preserve"> ADDIN EN.CITE &lt;EndNote&gt;&lt;Cite&gt;&lt;Author&gt;Li&lt;/Author&gt;&lt;Year&gt;2023&lt;/Year&gt;&lt;RecNum&gt;152&lt;/RecNum&gt;&lt;DisplayText&gt;&lt;style face="superscript"&gt;10&lt;/style&gt;&lt;/DisplayText&gt;&lt;record&gt;&lt;rec-number&gt;152&lt;/rec-number&gt;&lt;foreign-keys&gt;&lt;key app="EN" db-id="52fe9dzx2tfarmerfenvtzshexa02sf2dw2t" timestamp="1701161807"&gt;152&lt;/key&gt;&lt;/foreign-keys&gt;&lt;ref-type name="Journal Article"&gt;17&lt;/ref-type&gt;&lt;contributors&gt;&lt;authors&gt;&lt;author&gt;Li, Lingfeng&lt;/author&gt;&lt;author&gt;Wen, Yandi&lt;/author&gt;&lt;author&gt;Han, Guokang&lt;/author&gt;&lt;author&gt;Kong, Fanpeng&lt;/author&gt;&lt;author&gt;Du, Lei&lt;/author&gt;&lt;author&gt;Ma, Yulin&lt;/author&gt;&lt;author&gt;Zuo, Pengjian&lt;/author&gt;&lt;author&gt;Du, Chunyu&lt;/author&gt;&lt;author&gt;Yin, Geping&lt;/author&gt;&lt;/authors&gt;&lt;/contributors&gt;&lt;titles&gt;&lt;title&gt;Architecting FeNx on High Graphitization Carbon for High-Performance Oxygen Reduction by Regulating d-Band Center&lt;/title&gt;&lt;secondary-title&gt;Small&lt;/secondary-title&gt;&lt;/titles&gt;&lt;periodical&gt;&lt;full-title&gt;Small&lt;/full-title&gt;&lt;/periodical&gt;&lt;pages&gt;2300758&lt;/pages&gt;&lt;volume&gt;19&lt;/volume&gt;&lt;number&gt;22&lt;/number&gt;&lt;keywords&gt;&lt;keyword&gt;electrocatalysis&lt;/keyword&gt;&lt;keyword&gt;Fe-N-C&lt;/keyword&gt;&lt;keyword&gt;graphitization&lt;/keyword&gt;&lt;keyword&gt;oxygen reduction reaction&lt;/keyword&gt;&lt;keyword&gt;stability&lt;/keyword&gt;&lt;/keywords&gt;&lt;dates&gt;&lt;year&gt;2023&lt;/year&gt;&lt;pub-dates&gt;&lt;date&gt;2023/06/01&lt;/date&gt;&lt;/pub-dates&gt;&lt;/dates&gt;&lt;publisher&gt;John Wiley &amp;amp; Sons, Ltd&lt;/publisher&gt;&lt;isbn&gt;1613-6810&lt;/isbn&gt;&lt;urls&gt;&lt;related-urls&gt;&lt;url&gt;https://doi.org/10.1002/smll.202300758&lt;/url&gt;&lt;/related-urls&gt;&lt;/urls&gt;&lt;electronic-resource-num&gt;https://doi.org/10.1002/smll.202300758&lt;/electronic-resource-num&gt;&lt;access-date&gt;2023/11/28&lt;/access-date&gt;&lt;/record&gt;&lt;/Cite&gt;&lt;/EndNote&gt;</w:instrTex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separate"/>
            </w:r>
            <w:r w:rsidRPr="00D17D65">
              <w:rPr>
                <w:rFonts w:ascii="Times New Roman" w:eastAsia="宋体" w:hAnsi="Times New Roman" w:cs="Times New Roman"/>
                <w:kern w:val="0"/>
                <w:sz w:val="30"/>
                <w:szCs w:val="30"/>
                <w:vertAlign w:val="superscript"/>
              </w:rPr>
              <w:t>10</w:t>
            </w:r>
            <w:r w:rsidRPr="00D17D65">
              <w:rPr>
                <w:rFonts w:ascii="Times New Roman" w:hAnsi="Times New Roman" w:cs="Times New Roman"/>
                <w:kern w:val="0"/>
                <w:sz w:val="30"/>
                <w:szCs w:val="30"/>
              </w:rPr>
              <w:fldChar w:fldCharType="end"/>
            </w:r>
          </w:p>
        </w:tc>
      </w:tr>
    </w:tbl>
    <w:p w14:paraId="6B2B406F" w14:textId="57E78B26" w:rsidR="00D17D65" w:rsidRPr="00D17D65" w:rsidRDefault="00D17D65" w:rsidP="00D17D6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17D65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676FA3EC" w14:textId="77777777" w:rsidR="00D17D65" w:rsidRPr="00D17D65" w:rsidRDefault="00D17D65" w:rsidP="00D17D65">
      <w:pPr>
        <w:pStyle w:val="EndNoteBibliography"/>
        <w:rPr>
          <w:sz w:val="24"/>
          <w:szCs w:val="24"/>
        </w:rPr>
      </w:pPr>
      <w:r w:rsidRPr="00D17D65">
        <w:rPr>
          <w:sz w:val="24"/>
          <w:szCs w:val="24"/>
        </w:rPr>
        <w:tab/>
      </w:r>
      <w:r w:rsidRPr="00D17D65">
        <w:rPr>
          <w:sz w:val="24"/>
          <w:szCs w:val="24"/>
        </w:rPr>
        <w:fldChar w:fldCharType="begin"/>
      </w:r>
      <w:r w:rsidRPr="00D17D65">
        <w:rPr>
          <w:sz w:val="24"/>
          <w:szCs w:val="24"/>
        </w:rPr>
        <w:instrText xml:space="preserve"> ADDIN EN.REFLIST </w:instrText>
      </w:r>
      <w:r w:rsidRPr="00D17D65">
        <w:rPr>
          <w:sz w:val="24"/>
          <w:szCs w:val="24"/>
        </w:rPr>
        <w:fldChar w:fldCharType="separate"/>
      </w:r>
      <w:r w:rsidRPr="00D17D65">
        <w:rPr>
          <w:sz w:val="24"/>
          <w:szCs w:val="24"/>
        </w:rPr>
        <w:t>1.</w:t>
      </w:r>
      <w:r w:rsidRPr="00D17D65">
        <w:rPr>
          <w:sz w:val="24"/>
          <w:szCs w:val="24"/>
        </w:rPr>
        <w:tab/>
        <w:t xml:space="preserve">Ye, W.;  Chen, S.;  Lin, Y.;  Yang, L.;  Chen, S.;  Zheng, X.;  Qi, Z.;  Wang, C.;  Long, R.;  Chen, M.;  Zhu, J.;  Gao, P.;  Song, L.;  Jiang, J.; Xiong, Y., Precisely Tuning the Number of Fe Atoms in Clusters on N-Doped Carbon toward Acidic Oxygen Reduction Reaction. </w:t>
      </w:r>
      <w:r w:rsidRPr="00D17D65">
        <w:rPr>
          <w:i/>
          <w:sz w:val="24"/>
          <w:szCs w:val="24"/>
        </w:rPr>
        <w:t xml:space="preserve">Chem </w:t>
      </w:r>
      <w:r w:rsidRPr="00D17D65">
        <w:rPr>
          <w:b/>
          <w:sz w:val="24"/>
          <w:szCs w:val="24"/>
        </w:rPr>
        <w:t>2019,</w:t>
      </w:r>
      <w:r w:rsidRPr="00D17D65">
        <w:rPr>
          <w:sz w:val="24"/>
          <w:szCs w:val="24"/>
        </w:rPr>
        <w:t xml:space="preserve"> </w:t>
      </w:r>
      <w:r w:rsidRPr="00D17D65">
        <w:rPr>
          <w:i/>
          <w:sz w:val="24"/>
          <w:szCs w:val="24"/>
        </w:rPr>
        <w:t>5</w:t>
      </w:r>
      <w:r w:rsidRPr="00D17D65">
        <w:rPr>
          <w:sz w:val="24"/>
          <w:szCs w:val="24"/>
        </w:rPr>
        <w:t xml:space="preserve"> (11), 2865-2878.</w:t>
      </w:r>
    </w:p>
    <w:p w14:paraId="40F091A4" w14:textId="77777777" w:rsidR="00D17D65" w:rsidRPr="00D17D65" w:rsidRDefault="00D17D65" w:rsidP="00D17D65">
      <w:pPr>
        <w:pStyle w:val="EndNoteBibliography"/>
        <w:rPr>
          <w:sz w:val="24"/>
          <w:szCs w:val="24"/>
        </w:rPr>
      </w:pPr>
      <w:r w:rsidRPr="00D17D65">
        <w:rPr>
          <w:sz w:val="24"/>
          <w:szCs w:val="24"/>
        </w:rPr>
        <w:t>2.</w:t>
      </w:r>
      <w:r w:rsidRPr="00D17D65">
        <w:rPr>
          <w:sz w:val="24"/>
          <w:szCs w:val="24"/>
        </w:rPr>
        <w:tab/>
        <w:t xml:space="preserve">Zhang, N.;  Zhou, T.;  Chen, M.;  Feng, H.;  Yuan, R.;  Zhong, C. a.;  Yan, W.;  Tian, Y.;  Wu, X.;  Chu, W.;  Wu, C.; Xie, Y., High-purity pyrrole-type FeN4 sites as a superior oxygen reduction electrocatalyst. </w:t>
      </w:r>
      <w:r w:rsidRPr="00D17D65">
        <w:rPr>
          <w:i/>
          <w:sz w:val="24"/>
          <w:szCs w:val="24"/>
        </w:rPr>
        <w:t xml:space="preserve">Energy &amp; Environmental Science </w:t>
      </w:r>
      <w:r w:rsidRPr="00D17D65">
        <w:rPr>
          <w:b/>
          <w:sz w:val="24"/>
          <w:szCs w:val="24"/>
        </w:rPr>
        <w:t>2020,</w:t>
      </w:r>
      <w:r w:rsidRPr="00D17D65">
        <w:rPr>
          <w:sz w:val="24"/>
          <w:szCs w:val="24"/>
        </w:rPr>
        <w:t xml:space="preserve"> </w:t>
      </w:r>
      <w:r w:rsidRPr="00D17D65">
        <w:rPr>
          <w:i/>
          <w:sz w:val="24"/>
          <w:szCs w:val="24"/>
        </w:rPr>
        <w:t>13</w:t>
      </w:r>
      <w:r w:rsidRPr="00D17D65">
        <w:rPr>
          <w:sz w:val="24"/>
          <w:szCs w:val="24"/>
        </w:rPr>
        <w:t xml:space="preserve"> (1), 111-118.</w:t>
      </w:r>
    </w:p>
    <w:p w14:paraId="6810128C" w14:textId="77777777" w:rsidR="00D17D65" w:rsidRPr="00D17D65" w:rsidRDefault="00D17D65" w:rsidP="00D17D65">
      <w:pPr>
        <w:pStyle w:val="EndNoteBibliography"/>
        <w:rPr>
          <w:sz w:val="24"/>
          <w:szCs w:val="24"/>
        </w:rPr>
      </w:pPr>
      <w:r w:rsidRPr="00D17D65">
        <w:rPr>
          <w:sz w:val="24"/>
          <w:szCs w:val="24"/>
        </w:rPr>
        <w:t>3.</w:t>
      </w:r>
      <w:r w:rsidRPr="00D17D65">
        <w:rPr>
          <w:sz w:val="24"/>
          <w:szCs w:val="24"/>
        </w:rPr>
        <w:tab/>
        <w:t xml:space="preserve">Xu, J.;  Lai, S.;  Qi, D.;  Hu, M.;  Peng, X.;  Liu, Y.;  Liu, W.;  Hu, G.;  Xu, H.;  Li, F.;  Li, C.;  He, J.;  Zhuo, L.;  Sun, J.;  Qiu, Y.;  Zhang, S.;  Luo, J.; Liu, X., Atomic Fe-Zn dual-metal sites for high-efficiency pH-universal oxygen reduction catalysis. </w:t>
      </w:r>
      <w:r w:rsidRPr="00D17D65">
        <w:rPr>
          <w:i/>
          <w:sz w:val="24"/>
          <w:szCs w:val="24"/>
        </w:rPr>
        <w:t xml:space="preserve">Nano Research </w:t>
      </w:r>
      <w:r w:rsidRPr="00D17D65">
        <w:rPr>
          <w:b/>
          <w:sz w:val="24"/>
          <w:szCs w:val="24"/>
        </w:rPr>
        <w:t>2021,</w:t>
      </w:r>
      <w:r w:rsidRPr="00D17D65">
        <w:rPr>
          <w:sz w:val="24"/>
          <w:szCs w:val="24"/>
        </w:rPr>
        <w:t xml:space="preserve"> </w:t>
      </w:r>
      <w:r w:rsidRPr="00D17D65">
        <w:rPr>
          <w:i/>
          <w:sz w:val="24"/>
          <w:szCs w:val="24"/>
        </w:rPr>
        <w:t>14</w:t>
      </w:r>
      <w:r w:rsidRPr="00D17D65">
        <w:rPr>
          <w:sz w:val="24"/>
          <w:szCs w:val="24"/>
        </w:rPr>
        <w:t xml:space="preserve"> (5), 1374-1381.</w:t>
      </w:r>
    </w:p>
    <w:p w14:paraId="4BA47A1F" w14:textId="77777777" w:rsidR="00D17D65" w:rsidRPr="00D17D65" w:rsidRDefault="00D17D65" w:rsidP="00D17D65">
      <w:pPr>
        <w:pStyle w:val="EndNoteBibliography"/>
        <w:rPr>
          <w:sz w:val="24"/>
          <w:szCs w:val="24"/>
        </w:rPr>
      </w:pPr>
      <w:r w:rsidRPr="00D17D65">
        <w:rPr>
          <w:sz w:val="24"/>
          <w:szCs w:val="24"/>
        </w:rPr>
        <w:t>4.</w:t>
      </w:r>
      <w:r w:rsidRPr="00D17D65">
        <w:rPr>
          <w:sz w:val="24"/>
          <w:szCs w:val="24"/>
        </w:rPr>
        <w:tab/>
        <w:t xml:space="preserve">Guo, X.;  Xue, S.;  Zhang, X.;  Qin, J.;  Hong, M.;  Chen, Q.;  Liu, W.;  Du, C.; Chen, J., Mn atomic clusters and Fe nanoparticles in-situ conﬁned nitrogen </w:t>
      </w:r>
      <w:r w:rsidRPr="00D17D65">
        <w:rPr>
          <w:sz w:val="24"/>
          <w:szCs w:val="24"/>
        </w:rPr>
        <w:lastRenderedPageBreak/>
        <w:t xml:space="preserve">carbon nanotubes for efficient and durable ORR electrocatalysts in both alkaline and acidic media. </w:t>
      </w:r>
      <w:r w:rsidRPr="00D17D65">
        <w:rPr>
          <w:i/>
          <w:sz w:val="24"/>
          <w:szCs w:val="24"/>
        </w:rPr>
        <w:t xml:space="preserve">Journal of Alloys and Compounds </w:t>
      </w:r>
      <w:r w:rsidRPr="00D17D65">
        <w:rPr>
          <w:b/>
          <w:sz w:val="24"/>
          <w:szCs w:val="24"/>
        </w:rPr>
        <w:t>2023,</w:t>
      </w:r>
      <w:r w:rsidRPr="00D17D65">
        <w:rPr>
          <w:sz w:val="24"/>
          <w:szCs w:val="24"/>
        </w:rPr>
        <w:t xml:space="preserve"> </w:t>
      </w:r>
      <w:r w:rsidRPr="00D17D65">
        <w:rPr>
          <w:i/>
          <w:sz w:val="24"/>
          <w:szCs w:val="24"/>
        </w:rPr>
        <w:t>953</w:t>
      </w:r>
      <w:r w:rsidRPr="00D17D65">
        <w:rPr>
          <w:sz w:val="24"/>
          <w:szCs w:val="24"/>
        </w:rPr>
        <w:t>, 169992.</w:t>
      </w:r>
    </w:p>
    <w:p w14:paraId="7FEDDB5D" w14:textId="77777777" w:rsidR="00D17D65" w:rsidRPr="00D17D65" w:rsidRDefault="00D17D65" w:rsidP="00D17D65">
      <w:pPr>
        <w:pStyle w:val="EndNoteBibliography"/>
        <w:rPr>
          <w:sz w:val="24"/>
          <w:szCs w:val="24"/>
        </w:rPr>
      </w:pPr>
      <w:r w:rsidRPr="00D17D65">
        <w:rPr>
          <w:sz w:val="24"/>
          <w:szCs w:val="24"/>
        </w:rPr>
        <w:t>5.</w:t>
      </w:r>
      <w:r w:rsidRPr="00D17D65">
        <w:rPr>
          <w:sz w:val="24"/>
          <w:szCs w:val="24"/>
        </w:rPr>
        <w:tab/>
        <w:t xml:space="preserve">Yang, H.;  Huang, H.;  Wang, Q.;  Shang, L.;  Zhang, T.; Wang, S., Fe, Cu dual-metal single atom catalyst on commercial carbon black for efficient oxygen reduction reaction. </w:t>
      </w:r>
      <w:r w:rsidRPr="00D17D65">
        <w:rPr>
          <w:i/>
          <w:sz w:val="24"/>
          <w:szCs w:val="24"/>
        </w:rPr>
        <w:t xml:space="preserve">Journal of Materials Chemistry A </w:t>
      </w:r>
      <w:r w:rsidRPr="00D17D65">
        <w:rPr>
          <w:b/>
          <w:sz w:val="24"/>
          <w:szCs w:val="24"/>
        </w:rPr>
        <w:t>2023,</w:t>
      </w:r>
      <w:r w:rsidRPr="00D17D65">
        <w:rPr>
          <w:sz w:val="24"/>
          <w:szCs w:val="24"/>
        </w:rPr>
        <w:t xml:space="preserve"> </w:t>
      </w:r>
      <w:r w:rsidRPr="00D17D65">
        <w:rPr>
          <w:i/>
          <w:sz w:val="24"/>
          <w:szCs w:val="24"/>
        </w:rPr>
        <w:t>11</w:t>
      </w:r>
      <w:r w:rsidRPr="00D17D65">
        <w:rPr>
          <w:sz w:val="24"/>
          <w:szCs w:val="24"/>
        </w:rPr>
        <w:t xml:space="preserve"> (12), 6191-6197.</w:t>
      </w:r>
    </w:p>
    <w:p w14:paraId="63057266" w14:textId="77777777" w:rsidR="00D17D65" w:rsidRPr="00D17D65" w:rsidRDefault="00D17D65" w:rsidP="00D17D65">
      <w:pPr>
        <w:pStyle w:val="EndNoteBibliography"/>
        <w:rPr>
          <w:sz w:val="24"/>
          <w:szCs w:val="24"/>
        </w:rPr>
      </w:pPr>
      <w:r w:rsidRPr="00D17D65">
        <w:rPr>
          <w:sz w:val="24"/>
          <w:szCs w:val="24"/>
        </w:rPr>
        <w:t>6.</w:t>
      </w:r>
      <w:r w:rsidRPr="00D17D65">
        <w:rPr>
          <w:sz w:val="24"/>
          <w:szCs w:val="24"/>
        </w:rPr>
        <w:tab/>
        <w:t xml:space="preserve">Chen, C.;  Wu, Y.;  Li, X.;  Ye, Y.;  Li, Z.;  Zhou, Y.;  Chen, J.;  Yang, M.;  Xie, F.;  Jin, Y.;  Jones, C.;  Wang, N.;  Meng, H.; Chen, S., Modulating Fe spin state in FeNC catalysts by adjacent Fe atomic clusters to facilitate oxygen reduction reaction in proton exchange membrane fuel cell. </w:t>
      </w:r>
      <w:r w:rsidRPr="00D17D65">
        <w:rPr>
          <w:i/>
          <w:sz w:val="24"/>
          <w:szCs w:val="24"/>
        </w:rPr>
        <w:t xml:space="preserve">Applied Catalysis B: Environmental </w:t>
      </w:r>
      <w:r w:rsidRPr="00D17D65">
        <w:rPr>
          <w:b/>
          <w:sz w:val="24"/>
          <w:szCs w:val="24"/>
        </w:rPr>
        <w:t>2024,</w:t>
      </w:r>
      <w:r w:rsidRPr="00D17D65">
        <w:rPr>
          <w:sz w:val="24"/>
          <w:szCs w:val="24"/>
        </w:rPr>
        <w:t xml:space="preserve"> </w:t>
      </w:r>
      <w:r w:rsidRPr="00D17D65">
        <w:rPr>
          <w:i/>
          <w:sz w:val="24"/>
          <w:szCs w:val="24"/>
        </w:rPr>
        <w:t>342</w:t>
      </w:r>
      <w:r w:rsidRPr="00D17D65">
        <w:rPr>
          <w:sz w:val="24"/>
          <w:szCs w:val="24"/>
        </w:rPr>
        <w:t>, 123407.</w:t>
      </w:r>
    </w:p>
    <w:p w14:paraId="63029762" w14:textId="77777777" w:rsidR="00D17D65" w:rsidRPr="00D17D65" w:rsidRDefault="00D17D65" w:rsidP="00D17D65">
      <w:pPr>
        <w:pStyle w:val="EndNoteBibliography"/>
        <w:rPr>
          <w:sz w:val="24"/>
          <w:szCs w:val="24"/>
        </w:rPr>
      </w:pPr>
      <w:r w:rsidRPr="00D17D65">
        <w:rPr>
          <w:sz w:val="24"/>
          <w:szCs w:val="24"/>
        </w:rPr>
        <w:t>7.</w:t>
      </w:r>
      <w:r w:rsidRPr="00D17D65">
        <w:rPr>
          <w:sz w:val="24"/>
          <w:szCs w:val="24"/>
        </w:rPr>
        <w:tab/>
        <w:t xml:space="preserve">Luo, Z.;  Zhou, T.;  Guan, Y.;  Zhang, L.;  Zhang, Q.;  He, C.;  Sun, X.; Ren, X., Building Atomic Scale and Dense Fe─N4 Edge Sites of Highly Efficient Fe─N─C Oxygen Reduction Catalysts Using a Sacrificial Bimetallic Pyrolysis Strategy. </w:t>
      </w:r>
      <w:r w:rsidRPr="00D17D65">
        <w:rPr>
          <w:i/>
          <w:sz w:val="24"/>
          <w:szCs w:val="24"/>
        </w:rPr>
        <w:t xml:space="preserve">Small </w:t>
      </w:r>
      <w:r w:rsidRPr="00D17D65">
        <w:rPr>
          <w:b/>
          <w:sz w:val="24"/>
          <w:szCs w:val="24"/>
        </w:rPr>
        <w:t>2023,</w:t>
      </w:r>
      <w:r w:rsidRPr="00D17D65">
        <w:rPr>
          <w:sz w:val="24"/>
          <w:szCs w:val="24"/>
        </w:rPr>
        <w:t xml:space="preserve"> </w:t>
      </w:r>
      <w:r w:rsidRPr="00D17D65">
        <w:rPr>
          <w:i/>
          <w:sz w:val="24"/>
          <w:szCs w:val="24"/>
        </w:rPr>
        <w:t>n/a</w:t>
      </w:r>
      <w:r w:rsidRPr="00D17D65">
        <w:rPr>
          <w:sz w:val="24"/>
          <w:szCs w:val="24"/>
        </w:rPr>
        <w:t xml:space="preserve"> (n/a), 2304750.</w:t>
      </w:r>
    </w:p>
    <w:p w14:paraId="75766CC1" w14:textId="77777777" w:rsidR="00D17D65" w:rsidRPr="00D17D65" w:rsidRDefault="00D17D65" w:rsidP="00D17D65">
      <w:pPr>
        <w:pStyle w:val="EndNoteBibliography"/>
        <w:rPr>
          <w:sz w:val="24"/>
          <w:szCs w:val="24"/>
        </w:rPr>
      </w:pPr>
      <w:r w:rsidRPr="00D17D65">
        <w:rPr>
          <w:sz w:val="24"/>
          <w:szCs w:val="24"/>
        </w:rPr>
        <w:t>8.</w:t>
      </w:r>
      <w:r w:rsidRPr="00D17D65">
        <w:rPr>
          <w:sz w:val="24"/>
          <w:szCs w:val="24"/>
        </w:rPr>
        <w:tab/>
        <w:t xml:space="preserve">Pei, F.;  Li, M.;  Huang, Y.;  Guo, Q.;  Song, K.;  Kong, F.; Cui, X. Constructing FeS and ZnS Heterojunction on N,S-Codoped Carbon as Robust Electrocatalyst toward Oxygen Reduction Reaction </w:t>
      </w:r>
      <w:r w:rsidRPr="00D17D65">
        <w:rPr>
          <w:i/>
          <w:sz w:val="24"/>
          <w:szCs w:val="24"/>
        </w:rPr>
        <w:t xml:space="preserve">Nanomaterials </w:t>
      </w:r>
      <w:r w:rsidRPr="00D17D65">
        <w:rPr>
          <w:sz w:val="24"/>
          <w:szCs w:val="24"/>
        </w:rPr>
        <w:t>[Online], 2023.</w:t>
      </w:r>
    </w:p>
    <w:p w14:paraId="5B37265E" w14:textId="77777777" w:rsidR="00D17D65" w:rsidRPr="00D17D65" w:rsidRDefault="00D17D65" w:rsidP="00D17D65">
      <w:pPr>
        <w:pStyle w:val="EndNoteBibliography"/>
        <w:rPr>
          <w:sz w:val="24"/>
          <w:szCs w:val="24"/>
        </w:rPr>
      </w:pPr>
      <w:r w:rsidRPr="00D17D65">
        <w:rPr>
          <w:sz w:val="24"/>
          <w:szCs w:val="24"/>
        </w:rPr>
        <w:t>9.</w:t>
      </w:r>
      <w:r w:rsidRPr="00D17D65">
        <w:rPr>
          <w:sz w:val="24"/>
          <w:szCs w:val="24"/>
        </w:rPr>
        <w:tab/>
        <w:t xml:space="preserve">Liu, H.;  Jiang, L.;  Sun, Y.;  Khan, J.;  Feng, B.;  Xiao, J.;  Zhang, H.;  Xie, H.;  Li, L.;  Wang, S.; Han, L., Revisiting the Role of Sulfur Functionality in Regulating the Electron Distribution of Single-Atomic Fe Sites Toward Enhanced Oxygen Reduction. </w:t>
      </w:r>
      <w:r w:rsidRPr="00D17D65">
        <w:rPr>
          <w:i/>
          <w:sz w:val="24"/>
          <w:szCs w:val="24"/>
        </w:rPr>
        <w:t xml:space="preserve">Advanced Functional Materials </w:t>
      </w:r>
      <w:r w:rsidRPr="00D17D65">
        <w:rPr>
          <w:b/>
          <w:sz w:val="24"/>
          <w:szCs w:val="24"/>
        </w:rPr>
        <w:t>2023,</w:t>
      </w:r>
      <w:r w:rsidRPr="00D17D65">
        <w:rPr>
          <w:sz w:val="24"/>
          <w:szCs w:val="24"/>
        </w:rPr>
        <w:t xml:space="preserve"> </w:t>
      </w:r>
      <w:r w:rsidRPr="00D17D65">
        <w:rPr>
          <w:i/>
          <w:sz w:val="24"/>
          <w:szCs w:val="24"/>
        </w:rPr>
        <w:t>33</w:t>
      </w:r>
      <w:r w:rsidRPr="00D17D65">
        <w:rPr>
          <w:sz w:val="24"/>
          <w:szCs w:val="24"/>
        </w:rPr>
        <w:t xml:space="preserve"> (35), 2304074.</w:t>
      </w:r>
    </w:p>
    <w:p w14:paraId="6DC7C088" w14:textId="77777777" w:rsidR="00D17D65" w:rsidRPr="00D17D65" w:rsidRDefault="00D17D65" w:rsidP="00D17D65">
      <w:pPr>
        <w:pStyle w:val="EndNoteBibliography"/>
        <w:rPr>
          <w:sz w:val="24"/>
          <w:szCs w:val="24"/>
        </w:rPr>
      </w:pPr>
      <w:r w:rsidRPr="00D17D65">
        <w:rPr>
          <w:sz w:val="24"/>
          <w:szCs w:val="24"/>
        </w:rPr>
        <w:t>10.</w:t>
      </w:r>
      <w:r w:rsidRPr="00D17D65">
        <w:rPr>
          <w:sz w:val="24"/>
          <w:szCs w:val="24"/>
        </w:rPr>
        <w:tab/>
        <w:t xml:space="preserve">Li, L.;  Wen, Y.;  Han, G.;  Kong, F.;  Du, L.;  Ma, Y.;  Zuo, P.;  Du, C.; Yin, G., Architecting FeNx on High Graphitization Carbon for High-Performance Oxygen Reduction by Regulating d-Band Center. </w:t>
      </w:r>
      <w:r w:rsidRPr="00D17D65">
        <w:rPr>
          <w:i/>
          <w:sz w:val="24"/>
          <w:szCs w:val="24"/>
        </w:rPr>
        <w:t xml:space="preserve">Small </w:t>
      </w:r>
      <w:r w:rsidRPr="00D17D65">
        <w:rPr>
          <w:b/>
          <w:sz w:val="24"/>
          <w:szCs w:val="24"/>
        </w:rPr>
        <w:t>2023,</w:t>
      </w:r>
      <w:r w:rsidRPr="00D17D65">
        <w:rPr>
          <w:sz w:val="24"/>
          <w:szCs w:val="24"/>
        </w:rPr>
        <w:t xml:space="preserve"> </w:t>
      </w:r>
      <w:r w:rsidRPr="00D17D65">
        <w:rPr>
          <w:i/>
          <w:sz w:val="24"/>
          <w:szCs w:val="24"/>
        </w:rPr>
        <w:t>19</w:t>
      </w:r>
      <w:r w:rsidRPr="00D17D65">
        <w:rPr>
          <w:sz w:val="24"/>
          <w:szCs w:val="24"/>
        </w:rPr>
        <w:t xml:space="preserve"> (22), 2300758.</w:t>
      </w:r>
    </w:p>
    <w:p w14:paraId="19A5A073" w14:textId="23322030" w:rsidR="00D17D65" w:rsidRPr="00D17D65" w:rsidRDefault="00D17D65" w:rsidP="00D17D65">
      <w:pPr>
        <w:pStyle w:val="EndNoteBibliography"/>
      </w:pPr>
      <w:r w:rsidRPr="00D17D65">
        <w:rPr>
          <w:sz w:val="24"/>
          <w:szCs w:val="24"/>
        </w:rPr>
        <w:fldChar w:fldCharType="end"/>
      </w:r>
    </w:p>
    <w:p w14:paraId="5A9D1717" w14:textId="225D5A02" w:rsidR="00D17D65" w:rsidRPr="00D17D65" w:rsidRDefault="00D17D65" w:rsidP="00D17D65">
      <w:pPr>
        <w:tabs>
          <w:tab w:val="left" w:pos="6090"/>
        </w:tabs>
        <w:rPr>
          <w:rFonts w:hint="eastAsia"/>
        </w:rPr>
      </w:pPr>
    </w:p>
    <w:p w14:paraId="2631FCF7" w14:textId="77777777" w:rsidR="00D17D65" w:rsidRPr="00D17D65" w:rsidRDefault="00D17D65" w:rsidP="00D17D65">
      <w:pPr>
        <w:rPr>
          <w:rFonts w:hint="eastAsia"/>
        </w:rPr>
      </w:pPr>
    </w:p>
    <w:p w14:paraId="4698EE6A" w14:textId="77777777" w:rsidR="00D17D65" w:rsidRPr="00D17D65" w:rsidRDefault="00D17D65" w:rsidP="00D17D65">
      <w:pPr>
        <w:rPr>
          <w:rFonts w:hint="eastAsia"/>
        </w:rPr>
      </w:pPr>
    </w:p>
    <w:p w14:paraId="22B0D5AF" w14:textId="77777777" w:rsidR="00D17D65" w:rsidRPr="00D17D65" w:rsidRDefault="00D17D65" w:rsidP="00D17D65">
      <w:pPr>
        <w:rPr>
          <w:rFonts w:hint="eastAsia"/>
        </w:rPr>
      </w:pPr>
    </w:p>
    <w:p w14:paraId="77253B9D" w14:textId="77777777" w:rsidR="00D17D65" w:rsidRPr="00D17D65" w:rsidRDefault="00D17D65" w:rsidP="00D17D65">
      <w:pPr>
        <w:rPr>
          <w:rFonts w:hint="eastAsia"/>
        </w:rPr>
      </w:pPr>
    </w:p>
    <w:p w14:paraId="6DDC7A2F" w14:textId="77777777" w:rsidR="00D17D65" w:rsidRPr="00D17D65" w:rsidRDefault="00D17D65" w:rsidP="00D17D65">
      <w:pPr>
        <w:rPr>
          <w:rFonts w:hint="eastAsia"/>
        </w:rPr>
      </w:pPr>
    </w:p>
    <w:p w14:paraId="78FE60CF" w14:textId="77777777" w:rsidR="00D17D65" w:rsidRPr="00D17D65" w:rsidRDefault="00D17D65" w:rsidP="00D17D65">
      <w:pPr>
        <w:rPr>
          <w:rFonts w:hint="eastAsia"/>
        </w:rPr>
      </w:pPr>
    </w:p>
    <w:p w14:paraId="70770678" w14:textId="77777777" w:rsidR="00D17D65" w:rsidRPr="00D17D65" w:rsidRDefault="00D17D65" w:rsidP="00D17D65">
      <w:pPr>
        <w:rPr>
          <w:rFonts w:hint="eastAsia"/>
        </w:rPr>
      </w:pPr>
    </w:p>
    <w:p w14:paraId="332084FF" w14:textId="77777777" w:rsidR="00D17D65" w:rsidRPr="00D17D65" w:rsidRDefault="00D17D65" w:rsidP="00D17D65">
      <w:pPr>
        <w:rPr>
          <w:rFonts w:hint="eastAsia"/>
        </w:rPr>
      </w:pPr>
    </w:p>
    <w:p w14:paraId="3116445E" w14:textId="77777777" w:rsidR="00D17D65" w:rsidRPr="00D17D65" w:rsidRDefault="00D17D65" w:rsidP="00D17D65">
      <w:pPr>
        <w:rPr>
          <w:rFonts w:hint="eastAsia"/>
        </w:rPr>
      </w:pPr>
    </w:p>
    <w:p w14:paraId="27AF7A68" w14:textId="77777777" w:rsidR="00D17D65" w:rsidRPr="00D17D65" w:rsidRDefault="00D17D65" w:rsidP="00D17D65">
      <w:pPr>
        <w:rPr>
          <w:rFonts w:hint="eastAsia"/>
        </w:rPr>
      </w:pPr>
    </w:p>
    <w:p w14:paraId="68336949" w14:textId="77777777" w:rsidR="00D17D65" w:rsidRPr="00D17D65" w:rsidRDefault="00D17D65" w:rsidP="00D17D65">
      <w:pPr>
        <w:rPr>
          <w:rFonts w:hint="eastAsia"/>
        </w:rPr>
      </w:pPr>
    </w:p>
    <w:p w14:paraId="1A88A0F6" w14:textId="77777777" w:rsidR="00D17D65" w:rsidRPr="00D17D65" w:rsidRDefault="00D17D65" w:rsidP="00D17D65">
      <w:pPr>
        <w:rPr>
          <w:rFonts w:hint="eastAsia"/>
        </w:rPr>
      </w:pPr>
    </w:p>
    <w:p w14:paraId="6DD11F29" w14:textId="77777777" w:rsidR="00D17D65" w:rsidRPr="00D17D65" w:rsidRDefault="00D17D65" w:rsidP="00D17D65">
      <w:pPr>
        <w:rPr>
          <w:rFonts w:hint="eastAsia"/>
        </w:rPr>
      </w:pPr>
    </w:p>
    <w:p w14:paraId="04445387" w14:textId="77777777" w:rsidR="00D17D65" w:rsidRPr="00D17D65" w:rsidRDefault="00D17D65" w:rsidP="00D17D65">
      <w:pPr>
        <w:rPr>
          <w:rFonts w:hint="eastAsia"/>
        </w:rPr>
      </w:pPr>
    </w:p>
    <w:p w14:paraId="12A1F21E" w14:textId="77777777" w:rsidR="00D17D65" w:rsidRPr="00D17D65" w:rsidRDefault="00D17D65" w:rsidP="00D17D65">
      <w:pPr>
        <w:rPr>
          <w:rFonts w:hint="eastAsia"/>
        </w:rPr>
      </w:pPr>
    </w:p>
    <w:p w14:paraId="403D9684" w14:textId="77777777" w:rsidR="00D17D65" w:rsidRPr="00D17D65" w:rsidRDefault="00D17D65" w:rsidP="00D17D65">
      <w:pPr>
        <w:rPr>
          <w:rFonts w:hint="eastAsia"/>
        </w:rPr>
      </w:pPr>
    </w:p>
    <w:p w14:paraId="20749B60" w14:textId="77777777" w:rsidR="00D17D65" w:rsidRPr="00D17D65" w:rsidRDefault="00D17D65" w:rsidP="00D17D65">
      <w:pPr>
        <w:rPr>
          <w:rFonts w:hint="eastAsia"/>
        </w:rPr>
      </w:pPr>
    </w:p>
    <w:p w14:paraId="34C9AA79" w14:textId="77777777" w:rsidR="00D17D65" w:rsidRPr="00D17D65" w:rsidRDefault="00D17D65" w:rsidP="00D17D65">
      <w:pPr>
        <w:rPr>
          <w:rFonts w:hint="eastAsia"/>
        </w:rPr>
      </w:pPr>
    </w:p>
    <w:p w14:paraId="39D4A94A" w14:textId="77777777" w:rsidR="00D17D65" w:rsidRPr="00D17D65" w:rsidRDefault="00D17D65" w:rsidP="00D17D65">
      <w:pPr>
        <w:rPr>
          <w:rFonts w:hint="eastAsia"/>
        </w:rPr>
      </w:pPr>
    </w:p>
    <w:p w14:paraId="00B9C610" w14:textId="77777777" w:rsidR="00D17D65" w:rsidRPr="00D17D65" w:rsidRDefault="00D17D65" w:rsidP="00D17D65">
      <w:pPr>
        <w:rPr>
          <w:rFonts w:hint="eastAsia"/>
        </w:rPr>
      </w:pPr>
    </w:p>
    <w:p w14:paraId="21378957" w14:textId="77777777" w:rsidR="00D17D65" w:rsidRPr="00D17D65" w:rsidRDefault="00D17D65" w:rsidP="00D17D65">
      <w:pPr>
        <w:rPr>
          <w:rFonts w:hint="eastAsia"/>
        </w:rPr>
      </w:pPr>
    </w:p>
    <w:p w14:paraId="15D77C05" w14:textId="77777777" w:rsidR="00D17D65" w:rsidRPr="00D17D65" w:rsidRDefault="00D17D65" w:rsidP="00D17D65">
      <w:pPr>
        <w:rPr>
          <w:rFonts w:hint="eastAsia"/>
        </w:rPr>
      </w:pPr>
    </w:p>
    <w:p w14:paraId="32FC418D" w14:textId="77777777" w:rsidR="00D17D65" w:rsidRPr="00D17D65" w:rsidRDefault="00D17D65" w:rsidP="00D17D65">
      <w:pPr>
        <w:rPr>
          <w:rFonts w:hint="eastAsia"/>
        </w:rPr>
      </w:pPr>
    </w:p>
    <w:p w14:paraId="43A17BE6" w14:textId="77777777" w:rsidR="00D17D65" w:rsidRPr="00D17D65" w:rsidRDefault="00D17D65" w:rsidP="00D17D65">
      <w:pPr>
        <w:rPr>
          <w:rFonts w:hint="eastAsia"/>
        </w:rPr>
      </w:pPr>
    </w:p>
    <w:sectPr w:rsidR="00D17D65" w:rsidRPr="00D17D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112872" w14:textId="77777777" w:rsidR="000712B3" w:rsidRDefault="000712B3" w:rsidP="00D015D7">
      <w:pPr>
        <w:rPr>
          <w:rFonts w:hint="eastAsia"/>
        </w:rPr>
      </w:pPr>
      <w:r>
        <w:separator/>
      </w:r>
    </w:p>
  </w:endnote>
  <w:endnote w:type="continuationSeparator" w:id="0">
    <w:p w14:paraId="0EF50457" w14:textId="77777777" w:rsidR="000712B3" w:rsidRDefault="000712B3" w:rsidP="00D015D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3D1BB1" w14:textId="77777777" w:rsidR="000712B3" w:rsidRDefault="000712B3" w:rsidP="00D015D7">
      <w:pPr>
        <w:rPr>
          <w:rFonts w:hint="eastAsia"/>
        </w:rPr>
      </w:pPr>
      <w:r>
        <w:separator/>
      </w:r>
    </w:p>
  </w:footnote>
  <w:footnote w:type="continuationSeparator" w:id="0">
    <w:p w14:paraId="5F0E31D7" w14:textId="77777777" w:rsidR="000712B3" w:rsidRDefault="000712B3" w:rsidP="00D015D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A"/>
    <w:rsid w:val="000631D7"/>
    <w:rsid w:val="000712B3"/>
    <w:rsid w:val="000C76EE"/>
    <w:rsid w:val="00140F77"/>
    <w:rsid w:val="001C13C8"/>
    <w:rsid w:val="00280945"/>
    <w:rsid w:val="002943DF"/>
    <w:rsid w:val="002B1292"/>
    <w:rsid w:val="002D1846"/>
    <w:rsid w:val="002F5857"/>
    <w:rsid w:val="00320755"/>
    <w:rsid w:val="003254DE"/>
    <w:rsid w:val="003B121B"/>
    <w:rsid w:val="003C01B6"/>
    <w:rsid w:val="003F32C3"/>
    <w:rsid w:val="00411E9E"/>
    <w:rsid w:val="00420780"/>
    <w:rsid w:val="00453B86"/>
    <w:rsid w:val="005827C0"/>
    <w:rsid w:val="005A588F"/>
    <w:rsid w:val="005F19B6"/>
    <w:rsid w:val="00681774"/>
    <w:rsid w:val="00694DC8"/>
    <w:rsid w:val="007109F8"/>
    <w:rsid w:val="00741A47"/>
    <w:rsid w:val="007C5191"/>
    <w:rsid w:val="00803DC0"/>
    <w:rsid w:val="008A705A"/>
    <w:rsid w:val="008E1CCA"/>
    <w:rsid w:val="0092613A"/>
    <w:rsid w:val="00972338"/>
    <w:rsid w:val="00A46C7A"/>
    <w:rsid w:val="00AA201C"/>
    <w:rsid w:val="00AF76EE"/>
    <w:rsid w:val="00B77FCF"/>
    <w:rsid w:val="00C472B8"/>
    <w:rsid w:val="00C6116D"/>
    <w:rsid w:val="00CE16EB"/>
    <w:rsid w:val="00CF2B13"/>
    <w:rsid w:val="00D015D7"/>
    <w:rsid w:val="00D17D65"/>
    <w:rsid w:val="00DB3D35"/>
    <w:rsid w:val="00ED0EAD"/>
    <w:rsid w:val="00F401DF"/>
    <w:rsid w:val="00F81AB5"/>
    <w:rsid w:val="00FB036F"/>
    <w:rsid w:val="00FD2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75DEC9"/>
  <w15:chartTrackingRefBased/>
  <w15:docId w15:val="{1E97744A-7D5A-4EB6-9D0E-AA11BDE72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15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1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15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1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15D7"/>
    <w:rPr>
      <w:sz w:val="18"/>
      <w:szCs w:val="18"/>
    </w:rPr>
  </w:style>
  <w:style w:type="paragraph" w:customStyle="1" w:styleId="a7">
    <w:name w:val="作者名称"/>
    <w:basedOn w:val="a"/>
    <w:link w:val="Char"/>
    <w:qFormat/>
    <w:rsid w:val="00420780"/>
    <w:pPr>
      <w:adjustRightInd w:val="0"/>
      <w:snapToGrid w:val="0"/>
      <w:spacing w:line="288" w:lineRule="auto"/>
      <w:jc w:val="center"/>
    </w:pPr>
    <w:rPr>
      <w:rFonts w:ascii="Times New Roman" w:eastAsia="Times New Roman" w:hAnsi="Times New Roman" w:cs="Times New Roman"/>
      <w:spacing w:val="2"/>
      <w:szCs w:val="21"/>
    </w:rPr>
  </w:style>
  <w:style w:type="character" w:customStyle="1" w:styleId="Char">
    <w:name w:val="作者名称 Char"/>
    <w:basedOn w:val="a0"/>
    <w:link w:val="a7"/>
    <w:rsid w:val="00420780"/>
    <w:rPr>
      <w:rFonts w:ascii="Times New Roman" w:eastAsia="Times New Roman" w:hAnsi="Times New Roman" w:cs="Times New Roman"/>
      <w:spacing w:val="2"/>
      <w:szCs w:val="21"/>
    </w:rPr>
  </w:style>
  <w:style w:type="paragraph" w:customStyle="1" w:styleId="EndNoteBibliography">
    <w:name w:val="EndNote Bibliography"/>
    <w:rsid w:val="00D17D65"/>
    <w:pPr>
      <w:jc w:val="both"/>
    </w:pPr>
    <w:rPr>
      <w:rFonts w:ascii="Times New Roman" w:eastAsia="宋体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1.bin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3073</Words>
  <Characters>17518</Characters>
  <Application>Microsoft Office Word</Application>
  <DocSecurity>0</DocSecurity>
  <Lines>145</Lines>
  <Paragraphs>41</Paragraphs>
  <ScaleCrop>false</ScaleCrop>
  <Company/>
  <LinksUpToDate>false</LinksUpToDate>
  <CharactersWithSpaces>20550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zhenxin</dc:creator>
  <cp:keywords/>
  <dc:description/>
  <cp:lastModifiedBy>zhenxin zhao</cp:lastModifiedBy>
  <cp:revision>17</cp:revision>
  <dcterms:created xsi:type="dcterms:W3CDTF">2023-02-22T02:35:00Z</dcterms:created>
  <dcterms:modified xsi:type="dcterms:W3CDTF">2024-09-28T07:21:00Z</dcterms:modified>
</cp:coreProperties>
</file>