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488D" w:rsidRPr="00E16AF0" w:rsidRDefault="00C1488D" w:rsidP="00C1488D">
      <w:pPr>
        <w:pStyle w:val="Titre"/>
        <w:spacing w:line="480" w:lineRule="auto"/>
        <w:jc w:val="center"/>
        <w:rPr>
          <w:lang w:val="en-US"/>
        </w:rPr>
      </w:pPr>
      <w:r w:rsidRPr="00E16AF0">
        <w:rPr>
          <w:lang w:val="en-US"/>
        </w:rPr>
        <w:t>ADDITIONAL MATERIALS</w:t>
      </w:r>
    </w:p>
    <w:p w:rsidR="00C1488D" w:rsidRPr="00E16AF0" w:rsidRDefault="00C1488D" w:rsidP="00C1488D">
      <w:pPr>
        <w:pStyle w:val="Titre1"/>
        <w:rPr>
          <w:lang w:val="en-US"/>
        </w:rPr>
      </w:pPr>
      <w:bookmarkStart w:id="0" w:name="_4cgl8iomfu7j" w:colFirst="0" w:colLast="0"/>
      <w:bookmarkEnd w:id="0"/>
      <w:r w:rsidRPr="00E16AF0">
        <w:rPr>
          <w:lang w:val="en-US"/>
        </w:rPr>
        <w:t>1. Description of clinical variables</w:t>
      </w:r>
    </w:p>
    <w:p w:rsidR="00C1488D" w:rsidRPr="00E16AF0" w:rsidRDefault="00C1488D" w:rsidP="00C1488D">
      <w:pPr>
        <w:rPr>
          <w:lang w:val="en-US"/>
        </w:rPr>
      </w:pPr>
      <w:r w:rsidRPr="00E16AF0">
        <w:rPr>
          <w:lang w:val="en-US"/>
        </w:rPr>
        <w:t xml:space="preserve">Unless stated otherwise, predictive models use a subset of clinically relevant variables along with MR images. </w:t>
      </w:r>
    </w:p>
    <w:p w:rsidR="00C1488D" w:rsidRPr="00E16AF0" w:rsidRDefault="00C1488D" w:rsidP="00C1488D">
      <w:pPr>
        <w:rPr>
          <w:lang w:val="en-US"/>
        </w:rPr>
      </w:pPr>
    </w:p>
    <w:tbl>
      <w:tblPr>
        <w:tblW w:w="831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70"/>
        <w:gridCol w:w="5640"/>
      </w:tblGrid>
      <w:tr w:rsidR="00C1488D" w:rsidTr="00563F96">
        <w:tc>
          <w:tcPr>
            <w:tcW w:w="2670" w:type="dxa"/>
            <w:shd w:val="clear" w:color="auto" w:fill="auto"/>
            <w:tcMar>
              <w:top w:w="100" w:type="dxa"/>
              <w:left w:w="100" w:type="dxa"/>
              <w:bottom w:w="100" w:type="dxa"/>
              <w:right w:w="100" w:type="dxa"/>
            </w:tcMar>
          </w:tcPr>
          <w:p w:rsidR="00C1488D" w:rsidRDefault="00C1488D" w:rsidP="00563F96">
            <w:pPr>
              <w:jc w:val="center"/>
              <w:rPr>
                <w:b/>
              </w:rPr>
            </w:pPr>
            <w:r>
              <w:rPr>
                <w:b/>
              </w:rPr>
              <w:t>Variables</w:t>
            </w:r>
          </w:p>
        </w:tc>
        <w:tc>
          <w:tcPr>
            <w:tcW w:w="564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jc w:val="center"/>
              <w:rPr>
                <w:b/>
                <w:sz w:val="21"/>
                <w:szCs w:val="21"/>
              </w:rPr>
            </w:pPr>
            <w:r>
              <w:rPr>
                <w:b/>
                <w:sz w:val="21"/>
                <w:szCs w:val="21"/>
              </w:rPr>
              <w:t>Description</w:t>
            </w:r>
          </w:p>
        </w:tc>
      </w:tr>
      <w:tr w:rsidR="00C1488D" w:rsidTr="00563F96">
        <w:tc>
          <w:tcPr>
            <w:tcW w:w="2670" w:type="dxa"/>
            <w:shd w:val="clear" w:color="auto" w:fill="auto"/>
            <w:tcMar>
              <w:top w:w="100" w:type="dxa"/>
              <w:left w:w="100" w:type="dxa"/>
              <w:bottom w:w="100" w:type="dxa"/>
              <w:right w:w="100" w:type="dxa"/>
            </w:tcMar>
          </w:tcPr>
          <w:p w:rsidR="00C1488D" w:rsidRDefault="00C1488D" w:rsidP="00563F96">
            <w:pPr>
              <w:rPr>
                <w:i/>
                <w:sz w:val="21"/>
                <w:szCs w:val="21"/>
              </w:rPr>
            </w:pPr>
            <w:r>
              <w:rPr>
                <w:i/>
              </w:rPr>
              <w:t>P01HEIGHT</w:t>
            </w:r>
          </w:p>
        </w:tc>
        <w:tc>
          <w:tcPr>
            <w:tcW w:w="564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sz w:val="21"/>
                <w:szCs w:val="21"/>
              </w:rPr>
            </w:pPr>
            <w:r>
              <w:rPr>
                <w:sz w:val="21"/>
                <w:szCs w:val="21"/>
              </w:rPr>
              <w:t xml:space="preserve">Patient’s </w:t>
            </w:r>
            <w:proofErr w:type="spellStart"/>
            <w:r>
              <w:rPr>
                <w:sz w:val="21"/>
                <w:szCs w:val="21"/>
              </w:rPr>
              <w:t>height</w:t>
            </w:r>
            <w:proofErr w:type="spellEnd"/>
            <w:r>
              <w:rPr>
                <w:sz w:val="21"/>
                <w:szCs w:val="21"/>
              </w:rPr>
              <w:t xml:space="preserve"> (cm)</w:t>
            </w:r>
          </w:p>
        </w:tc>
      </w:tr>
      <w:tr w:rsidR="00C1488D"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P01WEIGHT</w:t>
            </w:r>
          </w:p>
        </w:tc>
        <w:tc>
          <w:tcPr>
            <w:tcW w:w="564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sz w:val="21"/>
                <w:szCs w:val="21"/>
              </w:rPr>
            </w:pPr>
            <w:r>
              <w:rPr>
                <w:sz w:val="21"/>
                <w:szCs w:val="21"/>
              </w:rPr>
              <w:t xml:space="preserve">Patient’s </w:t>
            </w:r>
            <w:proofErr w:type="spellStart"/>
            <w:r>
              <w:rPr>
                <w:sz w:val="21"/>
                <w:szCs w:val="21"/>
              </w:rPr>
              <w:t>weight</w:t>
            </w:r>
            <w:proofErr w:type="spellEnd"/>
            <w:r>
              <w:rPr>
                <w:sz w:val="21"/>
                <w:szCs w:val="21"/>
              </w:rPr>
              <w:t xml:space="preserve"> (kg)</w:t>
            </w:r>
          </w:p>
        </w:tc>
      </w:tr>
      <w:tr w:rsidR="00C1488D"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V00CSPACE</w:t>
            </w:r>
          </w:p>
        </w:tc>
        <w:tc>
          <w:tcPr>
            <w:tcW w:w="564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sz w:val="21"/>
                <w:szCs w:val="21"/>
              </w:rPr>
            </w:pPr>
            <w:r>
              <w:rPr>
                <w:sz w:val="21"/>
                <w:szCs w:val="21"/>
              </w:rPr>
              <w:t>JSW at baseline (mm)</w:t>
            </w:r>
          </w:p>
        </w:tc>
      </w:tr>
      <w:tr w:rsidR="00C1488D" w:rsidRPr="00E16AF0"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V0020MPACE</w:t>
            </w:r>
          </w:p>
        </w:tc>
        <w:tc>
          <w:tcPr>
            <w:tcW w:w="5640" w:type="dxa"/>
            <w:shd w:val="clear" w:color="auto" w:fill="auto"/>
            <w:tcMar>
              <w:top w:w="100" w:type="dxa"/>
              <w:left w:w="100" w:type="dxa"/>
              <w:bottom w:w="100" w:type="dxa"/>
              <w:right w:w="100" w:type="dxa"/>
            </w:tcMar>
          </w:tcPr>
          <w:p w:rsidR="00C1488D" w:rsidRPr="00E16AF0" w:rsidRDefault="00C1488D" w:rsidP="00563F96">
            <w:pPr>
              <w:widowControl w:val="0"/>
              <w:pBdr>
                <w:top w:val="nil"/>
                <w:left w:val="nil"/>
                <w:bottom w:val="nil"/>
                <w:right w:val="nil"/>
                <w:between w:val="nil"/>
              </w:pBdr>
              <w:spacing w:line="240" w:lineRule="auto"/>
              <w:rPr>
                <w:sz w:val="21"/>
                <w:szCs w:val="21"/>
                <w:lang w:val="en-US"/>
              </w:rPr>
            </w:pPr>
            <w:r w:rsidRPr="00E16AF0">
              <w:rPr>
                <w:sz w:val="21"/>
                <w:szCs w:val="21"/>
                <w:lang w:val="en-US"/>
              </w:rPr>
              <w:t>20-meter walk pace (m/s)</w:t>
            </w:r>
          </w:p>
        </w:tc>
      </w:tr>
      <w:tr w:rsidR="00C1488D" w:rsidRPr="00E16AF0"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V00XROSFM</w:t>
            </w:r>
          </w:p>
        </w:tc>
        <w:tc>
          <w:tcPr>
            <w:tcW w:w="5640" w:type="dxa"/>
            <w:shd w:val="clear" w:color="auto" w:fill="auto"/>
            <w:tcMar>
              <w:top w:w="100" w:type="dxa"/>
              <w:left w:w="100" w:type="dxa"/>
              <w:bottom w:w="100" w:type="dxa"/>
              <w:right w:w="100" w:type="dxa"/>
            </w:tcMar>
          </w:tcPr>
          <w:p w:rsidR="00C1488D" w:rsidRPr="00E16AF0" w:rsidRDefault="00C1488D" w:rsidP="00563F96">
            <w:pPr>
              <w:widowControl w:val="0"/>
              <w:pBdr>
                <w:top w:val="nil"/>
                <w:left w:val="nil"/>
                <w:bottom w:val="nil"/>
                <w:right w:val="nil"/>
                <w:between w:val="nil"/>
              </w:pBdr>
              <w:spacing w:line="240" w:lineRule="auto"/>
              <w:rPr>
                <w:sz w:val="21"/>
                <w:szCs w:val="21"/>
                <w:lang w:val="en-US"/>
              </w:rPr>
            </w:pPr>
            <w:r w:rsidRPr="00E16AF0">
              <w:rPr>
                <w:sz w:val="21"/>
                <w:szCs w:val="21"/>
                <w:lang w:val="en-US"/>
              </w:rPr>
              <w:t>OARSI grade in the femur medial compartment (0-3)</w:t>
            </w:r>
          </w:p>
        </w:tc>
      </w:tr>
      <w:tr w:rsidR="00C1488D" w:rsidRPr="00E16AF0"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V00XROSFL</w:t>
            </w:r>
          </w:p>
        </w:tc>
        <w:tc>
          <w:tcPr>
            <w:tcW w:w="5640" w:type="dxa"/>
            <w:shd w:val="clear" w:color="auto" w:fill="auto"/>
            <w:tcMar>
              <w:top w:w="100" w:type="dxa"/>
              <w:left w:w="100" w:type="dxa"/>
              <w:bottom w:w="100" w:type="dxa"/>
              <w:right w:w="100" w:type="dxa"/>
            </w:tcMar>
          </w:tcPr>
          <w:p w:rsidR="00C1488D" w:rsidRPr="00E16AF0" w:rsidRDefault="00C1488D" w:rsidP="00563F96">
            <w:pPr>
              <w:widowControl w:val="0"/>
              <w:spacing w:line="240" w:lineRule="auto"/>
              <w:rPr>
                <w:sz w:val="21"/>
                <w:szCs w:val="21"/>
                <w:lang w:val="en-US"/>
              </w:rPr>
            </w:pPr>
            <w:r w:rsidRPr="00E16AF0">
              <w:rPr>
                <w:sz w:val="21"/>
                <w:szCs w:val="21"/>
                <w:lang w:val="en-US"/>
              </w:rPr>
              <w:t>OARSI grade in the femur lateral compartment (0-3)</w:t>
            </w:r>
          </w:p>
        </w:tc>
      </w:tr>
      <w:tr w:rsidR="00C1488D" w:rsidRPr="00E16AF0"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V00XROSTM</w:t>
            </w:r>
          </w:p>
        </w:tc>
        <w:tc>
          <w:tcPr>
            <w:tcW w:w="5640" w:type="dxa"/>
            <w:shd w:val="clear" w:color="auto" w:fill="auto"/>
            <w:tcMar>
              <w:top w:w="100" w:type="dxa"/>
              <w:left w:w="100" w:type="dxa"/>
              <w:bottom w:w="100" w:type="dxa"/>
              <w:right w:w="100" w:type="dxa"/>
            </w:tcMar>
          </w:tcPr>
          <w:p w:rsidR="00C1488D" w:rsidRPr="00E16AF0" w:rsidRDefault="00C1488D" w:rsidP="00563F96">
            <w:pPr>
              <w:widowControl w:val="0"/>
              <w:spacing w:line="240" w:lineRule="auto"/>
              <w:rPr>
                <w:sz w:val="21"/>
                <w:szCs w:val="21"/>
                <w:lang w:val="en-US"/>
              </w:rPr>
            </w:pPr>
            <w:r w:rsidRPr="00E16AF0">
              <w:rPr>
                <w:sz w:val="21"/>
                <w:szCs w:val="21"/>
                <w:lang w:val="en-US"/>
              </w:rPr>
              <w:t>OARSI grade in the tibia medial compartment (0-3)</w:t>
            </w:r>
          </w:p>
        </w:tc>
      </w:tr>
      <w:tr w:rsidR="00C1488D" w:rsidRPr="00E16AF0"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V00XROSTL</w:t>
            </w:r>
          </w:p>
        </w:tc>
        <w:tc>
          <w:tcPr>
            <w:tcW w:w="5640" w:type="dxa"/>
            <w:shd w:val="clear" w:color="auto" w:fill="auto"/>
            <w:tcMar>
              <w:top w:w="100" w:type="dxa"/>
              <w:left w:w="100" w:type="dxa"/>
              <w:bottom w:w="100" w:type="dxa"/>
              <w:right w:w="100" w:type="dxa"/>
            </w:tcMar>
          </w:tcPr>
          <w:p w:rsidR="00C1488D" w:rsidRPr="00E16AF0" w:rsidRDefault="00C1488D" w:rsidP="00563F96">
            <w:pPr>
              <w:widowControl w:val="0"/>
              <w:spacing w:line="240" w:lineRule="auto"/>
              <w:rPr>
                <w:sz w:val="21"/>
                <w:szCs w:val="21"/>
                <w:lang w:val="en-US"/>
              </w:rPr>
            </w:pPr>
            <w:r w:rsidRPr="00E16AF0">
              <w:rPr>
                <w:sz w:val="21"/>
                <w:szCs w:val="21"/>
                <w:lang w:val="en-US"/>
              </w:rPr>
              <w:t>OARSI grade in the tibia lateral compartment (0-3)</w:t>
            </w:r>
          </w:p>
        </w:tc>
      </w:tr>
      <w:tr w:rsidR="00C1488D"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V00AGE</w:t>
            </w:r>
          </w:p>
        </w:tc>
        <w:tc>
          <w:tcPr>
            <w:tcW w:w="564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sz w:val="21"/>
                <w:szCs w:val="21"/>
              </w:rPr>
            </w:pPr>
            <w:r>
              <w:rPr>
                <w:sz w:val="21"/>
                <w:szCs w:val="21"/>
              </w:rPr>
              <w:t>Age at baseline (y)</w:t>
            </w:r>
          </w:p>
        </w:tc>
      </w:tr>
      <w:tr w:rsidR="00C1488D" w:rsidTr="00563F96">
        <w:tc>
          <w:tcPr>
            <w:tcW w:w="267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i/>
                <w:sz w:val="21"/>
                <w:szCs w:val="21"/>
              </w:rPr>
            </w:pPr>
            <w:r>
              <w:rPr>
                <w:i/>
                <w:sz w:val="21"/>
                <w:szCs w:val="21"/>
              </w:rPr>
              <w:t>P02SEX</w:t>
            </w:r>
          </w:p>
        </w:tc>
        <w:tc>
          <w:tcPr>
            <w:tcW w:w="5640" w:type="dxa"/>
            <w:shd w:val="clear" w:color="auto" w:fill="auto"/>
            <w:tcMar>
              <w:top w:w="100" w:type="dxa"/>
              <w:left w:w="100" w:type="dxa"/>
              <w:bottom w:w="100" w:type="dxa"/>
              <w:right w:w="100" w:type="dxa"/>
            </w:tcMar>
          </w:tcPr>
          <w:p w:rsidR="00C1488D" w:rsidRDefault="00C1488D" w:rsidP="00563F96">
            <w:pPr>
              <w:widowControl w:val="0"/>
              <w:pBdr>
                <w:top w:val="nil"/>
                <w:left w:val="nil"/>
                <w:bottom w:val="nil"/>
                <w:right w:val="nil"/>
                <w:between w:val="nil"/>
              </w:pBdr>
              <w:spacing w:line="240" w:lineRule="auto"/>
              <w:rPr>
                <w:sz w:val="21"/>
                <w:szCs w:val="21"/>
              </w:rPr>
            </w:pPr>
            <w:r>
              <w:rPr>
                <w:sz w:val="21"/>
                <w:szCs w:val="21"/>
              </w:rPr>
              <w:t xml:space="preserve">Patient’s </w:t>
            </w:r>
            <w:proofErr w:type="spellStart"/>
            <w:r>
              <w:rPr>
                <w:sz w:val="21"/>
                <w:szCs w:val="21"/>
              </w:rPr>
              <w:t>sex</w:t>
            </w:r>
            <w:proofErr w:type="spellEnd"/>
            <w:r>
              <w:rPr>
                <w:sz w:val="21"/>
                <w:szCs w:val="21"/>
              </w:rPr>
              <w:t xml:space="preserve"> (M/F)</w:t>
            </w:r>
          </w:p>
        </w:tc>
      </w:tr>
    </w:tbl>
    <w:p w:rsidR="00C1488D" w:rsidRPr="00E16AF0" w:rsidRDefault="00C1488D" w:rsidP="00C1488D">
      <w:pPr>
        <w:ind w:right="-687"/>
        <w:jc w:val="center"/>
        <w:rPr>
          <w:lang w:val="en-US"/>
        </w:rPr>
      </w:pPr>
      <w:bookmarkStart w:id="1" w:name="nnmrqn98188o" w:colFirst="0" w:colLast="0"/>
      <w:bookmarkEnd w:id="1"/>
      <w:r w:rsidRPr="00E16AF0">
        <w:rPr>
          <w:i/>
          <w:sz w:val="20"/>
          <w:szCs w:val="20"/>
          <w:lang w:val="en-US"/>
        </w:rPr>
        <w:t>Table 1: Listing and description of the clinical variables used in predictive models.</w:t>
      </w:r>
      <w:r w:rsidRPr="00E16AF0">
        <w:rPr>
          <w:i/>
          <w:sz w:val="20"/>
          <w:szCs w:val="20"/>
          <w:lang w:val="en-US"/>
        </w:rPr>
        <w:br/>
      </w:r>
    </w:p>
    <w:p w:rsidR="00C1488D" w:rsidRPr="00E16AF0" w:rsidRDefault="00C1488D" w:rsidP="00C1488D">
      <w:pPr>
        <w:pStyle w:val="Titre1"/>
        <w:spacing w:line="480" w:lineRule="auto"/>
        <w:jc w:val="both"/>
        <w:rPr>
          <w:lang w:val="en-US"/>
        </w:rPr>
      </w:pPr>
      <w:bookmarkStart w:id="2" w:name="_uvgqtrjs5yjv" w:colFirst="0" w:colLast="0"/>
      <w:bookmarkEnd w:id="2"/>
      <w:r w:rsidRPr="00E16AF0">
        <w:rPr>
          <w:lang w:val="en-US"/>
        </w:rPr>
        <w:t>2 Digitizing WOMAC pain score</w:t>
      </w:r>
    </w:p>
    <w:p w:rsidR="00C1488D" w:rsidRPr="00E16AF0" w:rsidRDefault="00C1488D" w:rsidP="00C1488D">
      <w:pPr>
        <w:spacing w:line="480" w:lineRule="auto"/>
        <w:jc w:val="both"/>
        <w:rPr>
          <w:lang w:val="en-US"/>
        </w:rPr>
      </w:pPr>
      <w:r w:rsidRPr="00E16AF0">
        <w:rPr>
          <w:lang w:val="en-US"/>
        </w:rPr>
        <w:t>In order to elect a pair of thresholds which determine three classes of pain scores, the following approach was adopted:</w:t>
      </w:r>
    </w:p>
    <w:p w:rsidR="00C1488D" w:rsidRPr="00E16AF0" w:rsidRDefault="00C1488D" w:rsidP="00C1488D">
      <w:pPr>
        <w:widowControl w:val="0"/>
        <w:spacing w:line="480" w:lineRule="auto"/>
        <w:jc w:val="both"/>
        <w:rPr>
          <w:lang w:val="en-US"/>
        </w:rPr>
      </w:pPr>
      <w:r w:rsidRPr="00E16AF0">
        <w:rPr>
          <w:lang w:val="en-US"/>
        </w:rPr>
        <w:t xml:space="preserve">Considering a pair of thresholds </w:t>
      </w:r>
      <m:oMath>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 xml:space="preserve">, </m:t>
        </m:r>
        <m:sSub>
          <m:sSubPr>
            <m:ctrlPr>
              <w:rPr>
                <w:rFonts w:ascii="Cambria Math" w:hAnsi="Cambria Math"/>
              </w:rPr>
            </m:ctrlPr>
          </m:sSubPr>
          <m:e>
            <m:r>
              <w:rPr>
                <w:rFonts w:ascii="Cambria Math" w:hAnsi="Cambria Math"/>
              </w:rPr>
              <m:t>T</m:t>
            </m:r>
          </m:e>
          <m:sub>
            <m:r>
              <w:rPr>
                <w:rFonts w:ascii="Cambria Math" w:hAnsi="Cambria Math"/>
                <w:lang w:val="en-US"/>
              </w:rPr>
              <m:t>2</m:t>
            </m:r>
          </m:sub>
        </m:sSub>
      </m:oMath>
      <w:r w:rsidRPr="00E16AF0">
        <w:rPr>
          <w:lang w:val="en-US"/>
        </w:rPr>
        <w:t xml:space="preserve">: a linear model was trained on all 853 baseline clinical data to predict the class of pain scores defined by the </w:t>
      </w:r>
      <w:proofErr w:type="gramStart"/>
      <w:r w:rsidRPr="00E16AF0">
        <w:rPr>
          <w:lang w:val="en-US"/>
        </w:rPr>
        <w:t>aforementioned thresholds</w:t>
      </w:r>
      <w:proofErr w:type="gramEnd"/>
      <w:r w:rsidRPr="00E16AF0">
        <w:rPr>
          <w:lang w:val="en-US"/>
        </w:rPr>
        <w:t>. Using a k-folds cross-validation scheme, this model was evaluated on the whole population using the ROC AUC score, PR AUC score and F1 score.</w:t>
      </w:r>
    </w:p>
    <w:p w:rsidR="00C1488D" w:rsidRPr="00E16AF0" w:rsidRDefault="00C1488D" w:rsidP="00C1488D">
      <w:pPr>
        <w:widowControl w:val="0"/>
        <w:spacing w:before="60" w:after="60" w:line="480" w:lineRule="auto"/>
        <w:jc w:val="both"/>
        <w:rPr>
          <w:lang w:val="en-US"/>
        </w:rPr>
      </w:pPr>
      <w:r w:rsidRPr="00E16AF0">
        <w:rPr>
          <w:lang w:val="en-US"/>
        </w:rPr>
        <w:t xml:space="preserve">Given two distinct threshold values </w:t>
      </w:r>
      <m:oMath>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 xml:space="preserve">, </m:t>
        </m:r>
        <m:sSub>
          <m:sSubPr>
            <m:ctrlPr>
              <w:rPr>
                <w:rFonts w:ascii="Cambria Math" w:hAnsi="Cambria Math"/>
              </w:rPr>
            </m:ctrlPr>
          </m:sSubPr>
          <m:e>
            <m:r>
              <w:rPr>
                <w:rFonts w:ascii="Cambria Math" w:hAnsi="Cambria Math"/>
              </w:rPr>
              <m:t>T</m:t>
            </m:r>
          </m:e>
          <m:sub>
            <m:r>
              <w:rPr>
                <w:rFonts w:ascii="Cambria Math" w:hAnsi="Cambria Math"/>
                <w:lang w:val="en-US"/>
              </w:rPr>
              <m:t>2</m:t>
            </m:r>
          </m:sub>
        </m:sSub>
      </m:oMath>
      <w:r w:rsidRPr="00E16AF0">
        <w:rPr>
          <w:lang w:val="en-US"/>
        </w:rPr>
        <w:t xml:space="preserve">such that </w:t>
      </w:r>
      <m:oMath>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&lt;</m:t>
        </m:r>
        <m:sSub>
          <m:sSubPr>
            <m:ctrlPr>
              <w:rPr>
                <w:rFonts w:ascii="Cambria Math" w:hAnsi="Cambria Math"/>
              </w:rPr>
            </m:ctrlPr>
          </m:sSubPr>
          <m:e>
            <m:r>
              <w:rPr>
                <w:rFonts w:ascii="Cambria Math" w:hAnsi="Cambria Math"/>
              </w:rPr>
              <m:t>T</m:t>
            </m:r>
          </m:e>
          <m:sub>
            <m:r>
              <w:rPr>
                <w:rFonts w:ascii="Cambria Math" w:hAnsi="Cambria Math"/>
                <w:lang w:val="en-US"/>
              </w:rPr>
              <m:t>2</m:t>
            </m:r>
          </m:sub>
        </m:sSub>
      </m:oMath>
      <w:r w:rsidRPr="00E16AF0">
        <w:rPr>
          <w:lang w:val="en-US"/>
        </w:rPr>
        <w:t xml:space="preserve">, one can define three classes of </w:t>
      </w:r>
      <w:bookmarkStart w:id="3" w:name="_GoBack"/>
      <w:bookmarkEnd w:id="3"/>
      <w:r w:rsidRPr="00E16AF0">
        <w:rPr>
          <w:lang w:val="en-US"/>
        </w:rPr>
        <w:lastRenderedPageBreak/>
        <w:t xml:space="preserve">WOMAC pain score. Having </w:t>
      </w:r>
      <m:oMath>
        <m:sSub>
          <m:sSubPr>
            <m:ctrlPr>
              <w:rPr>
                <w:rFonts w:ascii="Cambria Math" w:hAnsi="Cambria Math"/>
              </w:rPr>
            </m:ctrlPr>
          </m:sSubPr>
          <m:e>
            <m:r>
              <w:rPr>
                <w:rFonts w:ascii="Cambria Math" w:hAnsi="Cambria Math"/>
              </w:rPr>
              <m:t>T</m:t>
            </m:r>
          </m:e>
          <m:sub>
            <m:r>
              <w:rPr>
                <w:rFonts w:ascii="Cambria Math" w:hAnsi="Cambria Math"/>
                <w:lang w:val="en-US"/>
              </w:rPr>
              <m:t>1</m:t>
            </m:r>
          </m:sub>
        </m:sSub>
      </m:oMath>
      <w:r w:rsidRPr="00E16AF0">
        <w:rPr>
          <w:lang w:val="en-US"/>
        </w:rPr>
        <w:t xml:space="preserve">close to </w:t>
      </w:r>
      <m:oMath>
        <m:sSub>
          <m:sSubPr>
            <m:ctrlPr>
              <w:rPr>
                <w:rFonts w:ascii="Cambria Math" w:hAnsi="Cambria Math"/>
              </w:rPr>
            </m:ctrlPr>
          </m:sSubPr>
          <m:e>
            <m:r>
              <w:rPr>
                <w:rFonts w:ascii="Cambria Math" w:hAnsi="Cambria Math"/>
              </w:rPr>
              <m:t>T</m:t>
            </m:r>
          </m:e>
          <m:sub>
            <m:r>
              <w:rPr>
                <w:rFonts w:ascii="Cambria Math" w:hAnsi="Cambria Math"/>
                <w:lang w:val="en-US"/>
              </w:rPr>
              <m:t>2</m:t>
            </m:r>
          </m:sub>
        </m:sSub>
      </m:oMath>
      <w:r w:rsidRPr="00E16AF0">
        <w:rPr>
          <w:lang w:val="en-US"/>
        </w:rPr>
        <w:t>(</w:t>
      </w:r>
      <m:oMath>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&lt;1</m:t>
        </m:r>
      </m:oMath>
      <w:r w:rsidRPr="00E16AF0">
        <w:rPr>
          <w:lang w:val="en-US"/>
        </w:rPr>
        <w:t xml:space="preserve">for example) is not particularly interesting since few individuals will fall into the class satisfying to the condition: </w:t>
      </w:r>
      <m:oMath>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m:t>
        </m:r>
      </m:oMath>
      <w:r w:rsidRPr="00E16AF0">
        <w:rPr>
          <w:lang w:val="en-US"/>
        </w:rPr>
        <w:t xml:space="preserve">WOMAC pain score </w:t>
      </w:r>
      <m:oMath>
        <m:r>
          <w:rPr>
            <w:rFonts w:ascii="Cambria Math" w:hAnsi="Cambria Math"/>
            <w:lang w:val="en-US"/>
          </w:rPr>
          <m:t>&lt;</m:t>
        </m:r>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m:t>
        </m:r>
      </m:oMath>
      <w:r w:rsidRPr="00E16AF0">
        <w:rPr>
          <w:lang w:val="en-US"/>
        </w:rPr>
        <w:t xml:space="preserve">Therefore, we consider a range of possible threshold values for </w:t>
      </w:r>
      <m:oMath>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 xml:space="preserve">, </m:t>
        </m:r>
        <m:sSub>
          <m:sSubPr>
            <m:ctrlPr>
              <w:rPr>
                <w:rFonts w:ascii="Cambria Math" w:hAnsi="Cambria Math"/>
              </w:rPr>
            </m:ctrlPr>
          </m:sSubPr>
          <m:e>
            <m:r>
              <w:rPr>
                <w:rFonts w:ascii="Cambria Math" w:hAnsi="Cambria Math"/>
              </w:rPr>
              <m:t>T</m:t>
            </m:r>
          </m:e>
          <m:sub>
            <m:r>
              <w:rPr>
                <w:rFonts w:ascii="Cambria Math" w:hAnsi="Cambria Math"/>
                <w:lang w:val="en-US"/>
              </w:rPr>
              <m:t>2</m:t>
            </m:r>
          </m:sub>
        </m:sSub>
      </m:oMath>
      <w:r w:rsidRPr="00E16AF0">
        <w:rPr>
          <w:lang w:val="en-US"/>
        </w:rPr>
        <w:t xml:space="preserve"> and enforce the condition </w:t>
      </w:r>
      <m:oMath>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&gt;2</m:t>
        </m:r>
      </m:oMath>
      <w:r w:rsidRPr="00E16AF0">
        <w:rPr>
          <w:lang w:val="en-US"/>
        </w:rPr>
        <w:t xml:space="preserve"> to avoid a “degenerate” class 1. </w:t>
      </w:r>
      <w:hyperlink w:anchor="2t523i6tyynf">
        <w:r w:rsidRPr="00E16AF0">
          <w:rPr>
            <w:color w:val="1155CC"/>
            <w:u w:val="single"/>
            <w:lang w:val="en-US"/>
          </w:rPr>
          <w:t>Figure 7</w:t>
        </w:r>
      </w:hyperlink>
      <w:r w:rsidRPr="00E16AF0">
        <w:rPr>
          <w:lang w:val="en-US"/>
        </w:rPr>
        <w:t xml:space="preserve"> presents the average AUC scores (5-fold cross-validation) obtained for all pairs of threshold values </w:t>
      </w:r>
      <m:oMath>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m:t>
        </m:r>
      </m:oMath>
      <w:r w:rsidRPr="00E16AF0">
        <w:rPr>
          <w:lang w:val="en-US"/>
        </w:rPr>
        <w:t xml:space="preserve"> satisfying the condition </w:t>
      </w:r>
      <m:oMath>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&gt;2</m:t>
        </m:r>
      </m:oMath>
      <w:r w:rsidRPr="00E16AF0">
        <w:rPr>
          <w:lang w:val="en-US"/>
        </w:rPr>
        <w:t xml:space="preserve">. This figure suggests that the thresholds pair </w:t>
      </w:r>
      <m:oMath>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m:t>
        </m:r>
      </m:oMath>
      <w:r w:rsidRPr="00E16AF0">
        <w:rPr>
          <w:lang w:val="en-US"/>
        </w:rPr>
        <w:t xml:space="preserve"> which provides the “best” multi-class classification performance is </w:t>
      </w:r>
      <m:oMath>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1</m:t>
            </m:r>
          </m:sub>
        </m:sSub>
        <m:r>
          <w:rPr>
            <w:rFonts w:ascii="Cambria Math" w:hAnsi="Cambria Math"/>
            <w:lang w:val="en-US"/>
          </w:rPr>
          <m:t>,</m:t>
        </m:r>
        <m:sSub>
          <m:sSubPr>
            <m:ctrlPr>
              <w:rPr>
                <w:rFonts w:ascii="Cambria Math" w:hAnsi="Cambria Math"/>
              </w:rPr>
            </m:ctrlPr>
          </m:sSubPr>
          <m:e>
            <m:r>
              <w:rPr>
                <w:rFonts w:ascii="Cambria Math" w:hAnsi="Cambria Math"/>
              </w:rPr>
              <m:t>T</m:t>
            </m:r>
          </m:e>
          <m:sub>
            <m:r>
              <w:rPr>
                <w:rFonts w:ascii="Cambria Math" w:hAnsi="Cambria Math"/>
                <w:lang w:val="en-US"/>
              </w:rPr>
              <m:t>2</m:t>
            </m:r>
          </m:sub>
        </m:sSub>
        <m:r>
          <w:rPr>
            <w:rFonts w:ascii="Cambria Math" w:hAnsi="Cambria Math"/>
            <w:lang w:val="en-US"/>
          </w:rPr>
          <m:t>) = (1,8)</m:t>
        </m:r>
      </m:oMath>
      <w:r w:rsidRPr="00E16AF0">
        <w:rPr>
          <w:lang w:val="en-US"/>
        </w:rPr>
        <w:t xml:space="preserve">. However, other pairs could be used with a similar (or close) classification performance. </w:t>
      </w:r>
    </w:p>
    <w:p w:rsidR="00C1488D" w:rsidRDefault="00C1488D" w:rsidP="00C1488D">
      <w:pPr>
        <w:spacing w:before="60" w:after="60" w:line="480" w:lineRule="auto"/>
        <w:jc w:val="center"/>
      </w:pPr>
      <w:r>
        <w:rPr>
          <w:noProof/>
        </w:rPr>
        <w:drawing>
          <wp:inline distT="114300" distB="114300" distL="114300" distR="114300" wp14:anchorId="721C534D" wp14:editId="43B49587">
            <wp:extent cx="5300663" cy="5291857"/>
            <wp:effectExtent l="0" t="0" r="0" b="0"/>
            <wp:docPr id="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5300663" cy="5291857"/>
                    </a:xfrm>
                    <a:prstGeom prst="rect">
                      <a:avLst/>
                    </a:prstGeom>
                    <a:ln/>
                  </pic:spPr>
                </pic:pic>
              </a:graphicData>
            </a:graphic>
          </wp:inline>
        </w:drawing>
      </w:r>
    </w:p>
    <w:p w:rsidR="00C1488D" w:rsidRPr="00E16AF0" w:rsidRDefault="00C1488D" w:rsidP="00C1488D">
      <w:pPr>
        <w:spacing w:before="60" w:after="60" w:line="480" w:lineRule="auto"/>
        <w:jc w:val="center"/>
        <w:rPr>
          <w:i/>
          <w:sz w:val="20"/>
          <w:szCs w:val="20"/>
          <w:lang w:val="en-US"/>
        </w:rPr>
      </w:pPr>
      <w:bookmarkStart w:id="4" w:name="2t523i6tyynf" w:colFirst="0" w:colLast="0"/>
      <w:bookmarkEnd w:id="4"/>
      <w:r w:rsidRPr="00E16AF0">
        <w:rPr>
          <w:i/>
          <w:sz w:val="20"/>
          <w:szCs w:val="20"/>
          <w:lang w:val="en-US"/>
        </w:rPr>
        <w:t xml:space="preserve">Figure 7: Average One-vs-One PR-AUC as a function of threshold pairs </w:t>
      </w:r>
      <m:oMath>
        <m:r>
          <w:rPr>
            <w:rFonts w:ascii="Cambria Math" w:hAnsi="Cambria Math"/>
            <w:sz w:val="20"/>
            <w:szCs w:val="20"/>
            <w:lang w:val="en-US"/>
          </w:rPr>
          <m:t>(</m:t>
        </m:r>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lang w:val="en-US"/>
              </w:rPr>
              <m:t>1</m:t>
            </m:r>
          </m:sub>
        </m:sSub>
        <m:r>
          <w:rPr>
            <w:rFonts w:ascii="Cambria Math" w:hAnsi="Cambria Math"/>
            <w:sz w:val="20"/>
            <w:szCs w:val="20"/>
            <w:lang w:val="en-US"/>
          </w:rPr>
          <m:t>,</m:t>
        </m:r>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lang w:val="en-US"/>
              </w:rPr>
              <m:t>2</m:t>
            </m:r>
          </m:sub>
        </m:sSub>
        <m:r>
          <w:rPr>
            <w:rFonts w:ascii="Cambria Math" w:hAnsi="Cambria Math"/>
            <w:sz w:val="20"/>
            <w:szCs w:val="20"/>
            <w:lang w:val="en-US"/>
          </w:rPr>
          <m:t>)</m:t>
        </m:r>
      </m:oMath>
      <w:r w:rsidRPr="00E16AF0">
        <w:rPr>
          <w:i/>
          <w:sz w:val="20"/>
          <w:szCs w:val="20"/>
          <w:lang w:val="en-US"/>
        </w:rPr>
        <w:t xml:space="preserve">= (threshold1, threshold2). Each tile is colored according to the average of PR-AUC scores (5-fold CV) obtained </w:t>
      </w:r>
      <w:r w:rsidRPr="00E16AF0">
        <w:rPr>
          <w:i/>
          <w:sz w:val="20"/>
          <w:szCs w:val="20"/>
          <w:lang w:val="en-US"/>
        </w:rPr>
        <w:lastRenderedPageBreak/>
        <w:t>using the 853 clinical va</w:t>
      </w:r>
      <w:proofErr w:type="spellStart"/>
      <w:r w:rsidRPr="00E16AF0">
        <w:rPr>
          <w:i/>
          <w:sz w:val="20"/>
          <w:szCs w:val="20"/>
          <w:lang w:val="en-US"/>
        </w:rPr>
        <w:t>riables</w:t>
      </w:r>
      <w:proofErr w:type="spellEnd"/>
      <w:r w:rsidRPr="00E16AF0">
        <w:rPr>
          <w:i/>
          <w:sz w:val="20"/>
          <w:szCs w:val="20"/>
          <w:lang w:val="en-US"/>
        </w:rPr>
        <w:t xml:space="preserve"> at baseline (all the clinical variables available at baseline, except those associated with a self-evaluation of pain).</w:t>
      </w:r>
    </w:p>
    <w:p w:rsidR="00C1488D" w:rsidRPr="00E16AF0" w:rsidRDefault="00C1488D" w:rsidP="00C1488D">
      <w:pPr>
        <w:spacing w:line="480" w:lineRule="auto"/>
        <w:jc w:val="both"/>
        <w:rPr>
          <w:lang w:val="en-US"/>
        </w:rPr>
      </w:pPr>
    </w:p>
    <w:p w:rsidR="00C1488D" w:rsidRPr="00E16AF0" w:rsidRDefault="00C1488D" w:rsidP="00C1488D">
      <w:pPr>
        <w:pStyle w:val="Titre1"/>
        <w:spacing w:line="480" w:lineRule="auto"/>
        <w:jc w:val="both"/>
        <w:rPr>
          <w:lang w:val="en-US"/>
        </w:rPr>
      </w:pPr>
      <w:bookmarkStart w:id="5" w:name="_mn8ofdpc3hvo" w:colFirst="0" w:colLast="0"/>
      <w:bookmarkEnd w:id="5"/>
      <w:r w:rsidRPr="00E16AF0">
        <w:rPr>
          <w:lang w:val="en-US"/>
        </w:rPr>
        <w:t>3 Supplementary results on prediction of pain severity</w:t>
      </w:r>
    </w:p>
    <w:p w:rsidR="00C1488D" w:rsidRPr="00E16AF0" w:rsidRDefault="00C1488D" w:rsidP="00C1488D">
      <w:pPr>
        <w:pStyle w:val="Titre2"/>
        <w:rPr>
          <w:lang w:val="en-US"/>
        </w:rPr>
      </w:pPr>
      <w:bookmarkStart w:id="6" w:name="_gn2131mcfb5a" w:colFirst="0" w:colLast="0"/>
      <w:bookmarkEnd w:id="6"/>
      <w:r w:rsidRPr="00E16AF0">
        <w:rPr>
          <w:lang w:val="en-US"/>
        </w:rPr>
        <w:t>3.1 With two buckets of score</w:t>
      </w:r>
    </w:p>
    <w:p w:rsidR="00C1488D" w:rsidRPr="00E16AF0" w:rsidRDefault="00C1488D" w:rsidP="00C1488D">
      <w:pPr>
        <w:spacing w:line="480" w:lineRule="auto"/>
        <w:jc w:val="both"/>
        <w:rPr>
          <w:lang w:val="en-US"/>
        </w:rPr>
      </w:pPr>
      <w:r w:rsidRPr="00E16AF0">
        <w:rPr>
          <w:lang w:val="en-US"/>
        </w:rPr>
        <w:t xml:space="preserve">For the sake of completeness, results obtained with two buckets of pain scores are further summarized in </w:t>
      </w:r>
      <w:hyperlink w:anchor="vnarp0p6hled">
        <w:r w:rsidRPr="00E16AF0">
          <w:rPr>
            <w:color w:val="1155CC"/>
            <w:u w:val="single"/>
            <w:lang w:val="en-US"/>
          </w:rPr>
          <w:t>Figure 8</w:t>
        </w:r>
      </w:hyperlink>
      <w:r w:rsidRPr="00E16AF0">
        <w:rPr>
          <w:lang w:val="en-US"/>
        </w:rPr>
        <w:t xml:space="preserve"> in a PR curve. A PR curve allows to identify the model’s capacity to  balance Precision and Recall.</w:t>
      </w:r>
    </w:p>
    <w:p w:rsidR="00C1488D" w:rsidRPr="00E16AF0" w:rsidRDefault="00C1488D" w:rsidP="00C1488D">
      <w:pPr>
        <w:rPr>
          <w:lang w:val="en-US"/>
        </w:rPr>
      </w:pPr>
    </w:p>
    <w:p w:rsidR="00C1488D" w:rsidRDefault="00C1488D" w:rsidP="00C1488D">
      <w:pPr>
        <w:spacing w:line="480" w:lineRule="auto"/>
        <w:jc w:val="center"/>
      </w:pPr>
      <w:r>
        <w:rPr>
          <w:noProof/>
        </w:rPr>
        <w:drawing>
          <wp:inline distT="114300" distB="114300" distL="114300" distR="114300" wp14:anchorId="01D92CE5" wp14:editId="039C004C">
            <wp:extent cx="3807854" cy="2984802"/>
            <wp:effectExtent l="0" t="0" r="0" b="0"/>
            <wp:docPr id="1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8"/>
                    <a:srcRect l="51301"/>
                    <a:stretch>
                      <a:fillRect/>
                    </a:stretch>
                  </pic:blipFill>
                  <pic:spPr>
                    <a:xfrm>
                      <a:off x="0" y="0"/>
                      <a:ext cx="3807854" cy="2984802"/>
                    </a:xfrm>
                    <a:prstGeom prst="rect">
                      <a:avLst/>
                    </a:prstGeom>
                    <a:ln/>
                  </pic:spPr>
                </pic:pic>
              </a:graphicData>
            </a:graphic>
          </wp:inline>
        </w:drawing>
      </w:r>
    </w:p>
    <w:p w:rsidR="00C1488D" w:rsidRPr="00E16AF0" w:rsidRDefault="00C1488D" w:rsidP="00C1488D">
      <w:pPr>
        <w:spacing w:line="480" w:lineRule="auto"/>
        <w:jc w:val="center"/>
        <w:rPr>
          <w:sz w:val="20"/>
          <w:szCs w:val="20"/>
          <w:lang w:val="en-US"/>
        </w:rPr>
      </w:pPr>
      <w:bookmarkStart w:id="7" w:name="vnarp0p6hled" w:colFirst="0" w:colLast="0"/>
      <w:bookmarkEnd w:id="7"/>
      <w:r w:rsidRPr="00E16AF0">
        <w:rPr>
          <w:i/>
          <w:sz w:val="20"/>
          <w:szCs w:val="20"/>
          <w:lang w:val="en-US"/>
        </w:rPr>
        <w:t>Figure 8: PR curve for the binary task of identifying painful knees with two buckets of pain scores.</w:t>
      </w:r>
    </w:p>
    <w:p w:rsidR="00C1488D" w:rsidRPr="00E16AF0" w:rsidRDefault="00C1488D" w:rsidP="00C1488D">
      <w:pPr>
        <w:pStyle w:val="Titre2"/>
        <w:spacing w:line="480" w:lineRule="auto"/>
        <w:jc w:val="both"/>
        <w:rPr>
          <w:lang w:val="en-US"/>
        </w:rPr>
      </w:pPr>
      <w:bookmarkStart w:id="8" w:name="_qwum3h7z3xcz" w:colFirst="0" w:colLast="0"/>
      <w:bookmarkEnd w:id="8"/>
      <w:r w:rsidRPr="00E16AF0">
        <w:rPr>
          <w:lang w:val="en-US"/>
        </w:rPr>
        <w:lastRenderedPageBreak/>
        <w:t>3.2 With three buckets of score</w:t>
      </w:r>
    </w:p>
    <w:p w:rsidR="00C1488D" w:rsidRPr="00E16AF0" w:rsidRDefault="00C1488D" w:rsidP="00C1488D">
      <w:pPr>
        <w:spacing w:line="480" w:lineRule="auto"/>
        <w:jc w:val="both"/>
        <w:rPr>
          <w:lang w:val="en-US"/>
        </w:rPr>
      </w:pPr>
      <w:r w:rsidRPr="00E16AF0">
        <w:rPr>
          <w:lang w:val="en-US"/>
        </w:rPr>
        <w:t xml:space="preserve">The approach presented here was also evaluated against the prediction of pain, quantified by the WOMAC score, organized into three buckets of value: </w:t>
      </w:r>
      <w:r w:rsidRPr="00E16AF0">
        <w:rPr>
          <w:rFonts w:ascii="Arial Unicode MS" w:eastAsia="Arial Unicode MS" w:hAnsi="Arial Unicode MS" w:cs="Arial Unicode MS"/>
          <w:lang w:val="en-US"/>
        </w:rPr>
        <w:t>WOMAC &lt; 2, 2 ≤ WOMAC &lt; 8 and 8 ≤ WOMAC</w:t>
      </w:r>
      <w:r w:rsidRPr="00E16AF0">
        <w:rPr>
          <w:lang w:val="en-US"/>
        </w:rPr>
        <w:t xml:space="preserve">. </w:t>
      </w:r>
    </w:p>
    <w:p w:rsidR="00C1488D" w:rsidRPr="00E16AF0" w:rsidRDefault="00C1488D" w:rsidP="00C1488D">
      <w:pPr>
        <w:spacing w:line="480" w:lineRule="auto"/>
        <w:jc w:val="both"/>
        <w:rPr>
          <w:lang w:val="en-US"/>
        </w:rPr>
      </w:pPr>
      <w:r w:rsidRPr="00E16AF0">
        <w:rPr>
          <w:lang w:val="en-US"/>
        </w:rPr>
        <w:t>The rationale behind those pain score buckets is two-folds:</w:t>
      </w:r>
    </w:p>
    <w:p w:rsidR="00C1488D" w:rsidRPr="00E16AF0" w:rsidRDefault="00C1488D" w:rsidP="00C1488D">
      <w:pPr>
        <w:numPr>
          <w:ilvl w:val="0"/>
          <w:numId w:val="1"/>
        </w:numPr>
        <w:spacing w:line="480" w:lineRule="auto"/>
        <w:jc w:val="both"/>
        <w:rPr>
          <w:lang w:val="en-US"/>
        </w:rPr>
      </w:pPr>
      <w:r w:rsidRPr="00E16AF0">
        <w:rPr>
          <w:lang w:val="en-US"/>
        </w:rPr>
        <w:t>It follows a clinical reality in which pain scores above 8 are often considered severe, while scores equal to zero or one are often identified as “no pain”.</w:t>
      </w:r>
    </w:p>
    <w:p w:rsidR="00C1488D" w:rsidRPr="00E16AF0" w:rsidRDefault="00C1488D" w:rsidP="00C1488D">
      <w:pPr>
        <w:numPr>
          <w:ilvl w:val="0"/>
          <w:numId w:val="1"/>
        </w:numPr>
        <w:spacing w:line="480" w:lineRule="auto"/>
        <w:jc w:val="both"/>
        <w:rPr>
          <w:lang w:val="en-US"/>
        </w:rPr>
      </w:pPr>
      <w:r w:rsidRPr="00E16AF0">
        <w:rPr>
          <w:lang w:val="en-US"/>
        </w:rPr>
        <w:t>It follows a data driven approach, where independent models were trained and evaluated using only clinical data with different bucket values, as described in the second section of the additional materials. It was found that such models were performing better with bucket values of this order of magnitude.</w:t>
      </w:r>
    </w:p>
    <w:p w:rsidR="00C1488D" w:rsidRPr="00E16AF0" w:rsidRDefault="00C1488D" w:rsidP="00C1488D">
      <w:pPr>
        <w:spacing w:line="480" w:lineRule="auto"/>
        <w:jc w:val="both"/>
        <w:rPr>
          <w:lang w:val="en-US"/>
        </w:rPr>
      </w:pPr>
      <w:r w:rsidRPr="00E16AF0">
        <w:rPr>
          <w:lang w:val="en-US"/>
        </w:rPr>
        <w:t>In this case, the model achieves a mean PR AUC of 65,7% (+/- 1%), along with a mean ROC AUC of 80,4%</w:t>
      </w:r>
      <w:r w:rsidRPr="00E16AF0">
        <w:rPr>
          <w:b/>
          <w:lang w:val="en-US"/>
        </w:rPr>
        <w:t xml:space="preserve"> </w:t>
      </w:r>
      <w:r w:rsidRPr="00E16AF0">
        <w:rPr>
          <w:lang w:val="en-US"/>
        </w:rPr>
        <w:t>(+/- 7.2%)</w:t>
      </w:r>
      <w:r w:rsidRPr="00E16AF0">
        <w:rPr>
          <w:b/>
          <w:lang w:val="en-US"/>
        </w:rPr>
        <w:t xml:space="preserve"> </w:t>
      </w:r>
      <w:r w:rsidRPr="00E16AF0">
        <w:rPr>
          <w:lang w:val="en-US"/>
        </w:rPr>
        <w:t xml:space="preserve">and a mean weighted-F1 score of 55.4% (+/- 1%). A confusion matrix illustrating those results on the whole cohort can be found </w:t>
      </w:r>
      <w:hyperlink w:anchor="3638vywdpd08">
        <w:r w:rsidRPr="00E16AF0">
          <w:rPr>
            <w:color w:val="1155CC"/>
            <w:u w:val="single"/>
            <w:lang w:val="en-US"/>
          </w:rPr>
          <w:t>Figure 9</w:t>
        </w:r>
      </w:hyperlink>
      <w:r w:rsidRPr="00E16AF0">
        <w:rPr>
          <w:lang w:val="en-US"/>
        </w:rPr>
        <w:t>.</w:t>
      </w:r>
    </w:p>
    <w:p w:rsidR="00C1488D" w:rsidRDefault="00C1488D" w:rsidP="00C1488D">
      <w:pPr>
        <w:spacing w:line="480" w:lineRule="auto"/>
        <w:jc w:val="center"/>
      </w:pPr>
      <w:r>
        <w:rPr>
          <w:noProof/>
        </w:rPr>
        <w:drawing>
          <wp:inline distT="19050" distB="19050" distL="19050" distR="19050" wp14:anchorId="12C41272" wp14:editId="070457AE">
            <wp:extent cx="3400425" cy="3162635"/>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l="8404" t="11268" r="24680" b="5522"/>
                    <a:stretch>
                      <a:fillRect/>
                    </a:stretch>
                  </pic:blipFill>
                  <pic:spPr>
                    <a:xfrm>
                      <a:off x="0" y="0"/>
                      <a:ext cx="3400425" cy="3162635"/>
                    </a:xfrm>
                    <a:prstGeom prst="rect">
                      <a:avLst/>
                    </a:prstGeom>
                    <a:ln/>
                  </pic:spPr>
                </pic:pic>
              </a:graphicData>
            </a:graphic>
          </wp:inline>
        </w:drawing>
      </w:r>
    </w:p>
    <w:p w:rsidR="00C1488D" w:rsidRPr="00E16AF0" w:rsidRDefault="00C1488D" w:rsidP="00C1488D">
      <w:pPr>
        <w:spacing w:line="480" w:lineRule="auto"/>
        <w:jc w:val="center"/>
        <w:rPr>
          <w:lang w:val="en-US"/>
        </w:rPr>
      </w:pPr>
      <w:bookmarkStart w:id="9" w:name="3638vywdpd08" w:colFirst="0" w:colLast="0"/>
      <w:bookmarkEnd w:id="9"/>
      <w:r w:rsidRPr="00E16AF0">
        <w:rPr>
          <w:i/>
          <w:sz w:val="20"/>
          <w:szCs w:val="20"/>
          <w:lang w:val="en-US"/>
        </w:rPr>
        <w:t>Figure 9: Confusion matrix for the three-classes WOMAC pain score. Rows correspond to “true” classes whereas columns correspond to predicted classes. Class 0 versus 1 or 2: Precision of 64%, recall of 90% and F1 of 75%. Class 2 versus 0: Precision of 76%, recall of 20% and F1 of 32%.</w:t>
      </w:r>
    </w:p>
    <w:sectPr w:rsidR="00C1488D" w:rsidRPr="00E16AF0">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6C4" w:rsidRDefault="002156C4" w:rsidP="00C1488D">
      <w:pPr>
        <w:spacing w:line="240" w:lineRule="auto"/>
      </w:pPr>
      <w:r>
        <w:separator/>
      </w:r>
    </w:p>
  </w:endnote>
  <w:endnote w:type="continuationSeparator" w:id="0">
    <w:p w:rsidR="002156C4" w:rsidRDefault="002156C4" w:rsidP="00C148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auto"/>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4509091"/>
      <w:docPartObj>
        <w:docPartGallery w:val="Page Numbers (Bottom of Page)"/>
        <w:docPartUnique/>
      </w:docPartObj>
    </w:sdtPr>
    <w:sdtEndPr>
      <w:rPr>
        <w:sz w:val="18"/>
      </w:rPr>
    </w:sdtEndPr>
    <w:sdtContent>
      <w:p w:rsidR="00C1488D" w:rsidRPr="00C1488D" w:rsidRDefault="00C1488D">
        <w:pPr>
          <w:pStyle w:val="Pieddepage"/>
          <w:jc w:val="right"/>
          <w:rPr>
            <w:sz w:val="18"/>
          </w:rPr>
        </w:pPr>
        <w:r w:rsidRPr="00C1488D">
          <w:rPr>
            <w:sz w:val="18"/>
          </w:rPr>
          <w:fldChar w:fldCharType="begin"/>
        </w:r>
        <w:r w:rsidRPr="00C1488D">
          <w:rPr>
            <w:sz w:val="18"/>
          </w:rPr>
          <w:instrText>PAGE   \* MERGEFORMAT</w:instrText>
        </w:r>
        <w:r w:rsidRPr="00C1488D">
          <w:rPr>
            <w:sz w:val="18"/>
          </w:rPr>
          <w:fldChar w:fldCharType="separate"/>
        </w:r>
        <w:r w:rsidRPr="00C1488D">
          <w:rPr>
            <w:sz w:val="18"/>
            <w:lang w:val="fr-FR"/>
          </w:rPr>
          <w:t>2</w:t>
        </w:r>
        <w:r w:rsidRPr="00C1488D">
          <w:rPr>
            <w:sz w:val="18"/>
          </w:rPr>
          <w:fldChar w:fldCharType="end"/>
        </w:r>
      </w:p>
    </w:sdtContent>
  </w:sdt>
  <w:p w:rsidR="00C1488D" w:rsidRDefault="00C1488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6C4" w:rsidRDefault="002156C4" w:rsidP="00C1488D">
      <w:pPr>
        <w:spacing w:line="240" w:lineRule="auto"/>
      </w:pPr>
      <w:r>
        <w:separator/>
      </w:r>
    </w:p>
  </w:footnote>
  <w:footnote w:type="continuationSeparator" w:id="0">
    <w:p w:rsidR="002156C4" w:rsidRDefault="002156C4" w:rsidP="00C1488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157398"/>
    <w:multiLevelType w:val="multilevel"/>
    <w:tmpl w:val="B62EB3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88D"/>
    <w:rsid w:val="002156C4"/>
    <w:rsid w:val="00723228"/>
    <w:rsid w:val="00C148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3E9776-D547-4151-9D71-2CF768B75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488D"/>
    <w:pPr>
      <w:spacing w:after="0" w:line="276" w:lineRule="auto"/>
    </w:pPr>
    <w:rPr>
      <w:rFonts w:ascii="Arial" w:eastAsia="Arial" w:hAnsi="Arial" w:cs="Arial"/>
      <w:lang w:val="fr" w:eastAsia="fr-FR"/>
    </w:rPr>
  </w:style>
  <w:style w:type="paragraph" w:styleId="Titre1">
    <w:name w:val="heading 1"/>
    <w:basedOn w:val="Normal"/>
    <w:next w:val="Normal"/>
    <w:link w:val="Titre1Car"/>
    <w:uiPriority w:val="9"/>
    <w:qFormat/>
    <w:rsid w:val="00C1488D"/>
    <w:pPr>
      <w:keepNext/>
      <w:keepLines/>
      <w:spacing w:before="400" w:after="120"/>
      <w:outlineLvl w:val="0"/>
    </w:pPr>
    <w:rPr>
      <w:sz w:val="40"/>
      <w:szCs w:val="40"/>
    </w:rPr>
  </w:style>
  <w:style w:type="paragraph" w:styleId="Titre2">
    <w:name w:val="heading 2"/>
    <w:basedOn w:val="Normal"/>
    <w:next w:val="Normal"/>
    <w:link w:val="Titre2Car"/>
    <w:uiPriority w:val="9"/>
    <w:unhideWhenUsed/>
    <w:qFormat/>
    <w:rsid w:val="00C1488D"/>
    <w:pPr>
      <w:keepNext/>
      <w:keepLines/>
      <w:spacing w:before="360" w:after="120"/>
      <w:outlineLvl w:val="1"/>
    </w:pPr>
    <w:rPr>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1488D"/>
    <w:rPr>
      <w:rFonts w:ascii="Arial" w:eastAsia="Arial" w:hAnsi="Arial" w:cs="Arial"/>
      <w:sz w:val="40"/>
      <w:szCs w:val="40"/>
      <w:lang w:val="fr" w:eastAsia="fr-FR"/>
    </w:rPr>
  </w:style>
  <w:style w:type="character" w:customStyle="1" w:styleId="Titre2Car">
    <w:name w:val="Titre 2 Car"/>
    <w:basedOn w:val="Policepardfaut"/>
    <w:link w:val="Titre2"/>
    <w:uiPriority w:val="9"/>
    <w:rsid w:val="00C1488D"/>
    <w:rPr>
      <w:rFonts w:ascii="Arial" w:eastAsia="Arial" w:hAnsi="Arial" w:cs="Arial"/>
      <w:sz w:val="32"/>
      <w:szCs w:val="32"/>
      <w:lang w:val="fr" w:eastAsia="fr-FR"/>
    </w:rPr>
  </w:style>
  <w:style w:type="paragraph" w:styleId="Titre">
    <w:name w:val="Title"/>
    <w:basedOn w:val="Normal"/>
    <w:next w:val="Normal"/>
    <w:link w:val="TitreCar"/>
    <w:uiPriority w:val="10"/>
    <w:qFormat/>
    <w:rsid w:val="00C1488D"/>
    <w:pPr>
      <w:keepNext/>
      <w:keepLines/>
      <w:spacing w:after="60"/>
    </w:pPr>
    <w:rPr>
      <w:sz w:val="52"/>
      <w:szCs w:val="52"/>
    </w:rPr>
  </w:style>
  <w:style w:type="character" w:customStyle="1" w:styleId="TitreCar">
    <w:name w:val="Titre Car"/>
    <w:basedOn w:val="Policepardfaut"/>
    <w:link w:val="Titre"/>
    <w:uiPriority w:val="10"/>
    <w:rsid w:val="00C1488D"/>
    <w:rPr>
      <w:rFonts w:ascii="Arial" w:eastAsia="Arial" w:hAnsi="Arial" w:cs="Arial"/>
      <w:sz w:val="52"/>
      <w:szCs w:val="52"/>
      <w:lang w:val="fr" w:eastAsia="fr-FR"/>
    </w:rPr>
  </w:style>
  <w:style w:type="paragraph" w:styleId="Textedebulles">
    <w:name w:val="Balloon Text"/>
    <w:basedOn w:val="Normal"/>
    <w:link w:val="TextedebullesCar"/>
    <w:uiPriority w:val="99"/>
    <w:semiHidden/>
    <w:unhideWhenUsed/>
    <w:rsid w:val="00C1488D"/>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1488D"/>
    <w:rPr>
      <w:rFonts w:ascii="Segoe UI" w:eastAsia="Arial" w:hAnsi="Segoe UI" w:cs="Segoe UI"/>
      <w:sz w:val="18"/>
      <w:szCs w:val="18"/>
      <w:lang w:val="fr" w:eastAsia="fr-FR"/>
    </w:rPr>
  </w:style>
  <w:style w:type="paragraph" w:styleId="En-tte">
    <w:name w:val="header"/>
    <w:basedOn w:val="Normal"/>
    <w:link w:val="En-tteCar"/>
    <w:uiPriority w:val="99"/>
    <w:unhideWhenUsed/>
    <w:rsid w:val="00C1488D"/>
    <w:pPr>
      <w:tabs>
        <w:tab w:val="center" w:pos="4536"/>
        <w:tab w:val="right" w:pos="9072"/>
      </w:tabs>
      <w:spacing w:line="240" w:lineRule="auto"/>
    </w:pPr>
  </w:style>
  <w:style w:type="character" w:customStyle="1" w:styleId="En-tteCar">
    <w:name w:val="En-tête Car"/>
    <w:basedOn w:val="Policepardfaut"/>
    <w:link w:val="En-tte"/>
    <w:uiPriority w:val="99"/>
    <w:rsid w:val="00C1488D"/>
    <w:rPr>
      <w:rFonts w:ascii="Arial" w:eastAsia="Arial" w:hAnsi="Arial" w:cs="Arial"/>
      <w:lang w:val="fr" w:eastAsia="fr-FR"/>
    </w:rPr>
  </w:style>
  <w:style w:type="paragraph" w:styleId="Pieddepage">
    <w:name w:val="footer"/>
    <w:basedOn w:val="Normal"/>
    <w:link w:val="PieddepageCar"/>
    <w:uiPriority w:val="99"/>
    <w:unhideWhenUsed/>
    <w:rsid w:val="00C1488D"/>
    <w:pPr>
      <w:tabs>
        <w:tab w:val="center" w:pos="4536"/>
        <w:tab w:val="right" w:pos="9072"/>
      </w:tabs>
      <w:spacing w:line="240" w:lineRule="auto"/>
    </w:pPr>
  </w:style>
  <w:style w:type="character" w:customStyle="1" w:styleId="PieddepageCar">
    <w:name w:val="Pied de page Car"/>
    <w:basedOn w:val="Policepardfaut"/>
    <w:link w:val="Pieddepage"/>
    <w:uiPriority w:val="99"/>
    <w:rsid w:val="00C1488D"/>
    <w:rPr>
      <w:rFonts w:ascii="Arial" w:eastAsia="Arial" w:hAnsi="Arial" w:cs="Arial"/>
      <w:lang w:val="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650</Words>
  <Characters>3579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PIVA Dorothée IRIS</dc:creator>
  <cp:keywords/>
  <dc:description/>
  <cp:lastModifiedBy>PIVA Dorothée IRIS</cp:lastModifiedBy>
  <cp:revision>1</cp:revision>
  <dcterms:created xsi:type="dcterms:W3CDTF">2021-05-11T17:04:00Z</dcterms:created>
  <dcterms:modified xsi:type="dcterms:W3CDTF">2021-05-11T17:06:00Z</dcterms:modified>
</cp:coreProperties>
</file>