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8F040" w14:textId="27C4CD8C" w:rsidR="00D945DC" w:rsidRPr="00DA4FCC" w:rsidRDefault="00A24E80" w:rsidP="00B30339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DA4FCC">
        <w:rPr>
          <w:rFonts w:ascii="Times New Roman" w:hAnsi="Times New Roman" w:cs="Times New Roman"/>
          <w:b/>
          <w:bCs/>
          <w:lang w:val="en-US"/>
        </w:rPr>
        <w:t xml:space="preserve">Online Appendix for: </w:t>
      </w:r>
    </w:p>
    <w:p w14:paraId="54D0224B" w14:textId="4A8D6C0C" w:rsidR="00A24E80" w:rsidRPr="00DA4FCC" w:rsidRDefault="00233BDC" w:rsidP="00B30339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DA4FCC">
        <w:rPr>
          <w:rFonts w:ascii="Times New Roman" w:hAnsi="Times New Roman" w:cs="Times New Roman"/>
          <w:b/>
          <w:bCs/>
          <w:lang w:val="en-US"/>
        </w:rPr>
        <w:t>Global Spillovers of US Monetary Policy: New Insights from the Remittance Channel</w:t>
      </w:r>
    </w:p>
    <w:p w14:paraId="28B8BCE2" w14:textId="6C5682A2" w:rsidR="00A24E80" w:rsidRPr="00B30339" w:rsidRDefault="00A24E80" w:rsidP="00B30339">
      <w:pPr>
        <w:jc w:val="both"/>
        <w:rPr>
          <w:rFonts w:ascii="Times New Roman" w:hAnsi="Times New Roman" w:cs="Times New Roman"/>
          <w:lang w:val="en-US"/>
        </w:rPr>
      </w:pPr>
    </w:p>
    <w:p w14:paraId="09F188D0" w14:textId="1F37F52B" w:rsidR="00A24E80" w:rsidRPr="00634E53" w:rsidRDefault="00A24E80" w:rsidP="00B3033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en-US"/>
        </w:rPr>
      </w:pPr>
      <w:r w:rsidRPr="00634E53">
        <w:rPr>
          <w:rFonts w:ascii="Times New Roman" w:hAnsi="Times New Roman" w:cs="Times New Roman"/>
          <w:lang w:val="en-US"/>
        </w:rPr>
        <w:t xml:space="preserve">Appendix </w:t>
      </w:r>
    </w:p>
    <w:p w14:paraId="25713DA0" w14:textId="77777777" w:rsidR="00A24E80" w:rsidRPr="00B30339" w:rsidRDefault="00A24E80" w:rsidP="00B30339">
      <w:pPr>
        <w:jc w:val="both"/>
        <w:rPr>
          <w:rFonts w:ascii="Times New Roman" w:hAnsi="Times New Roman" w:cs="Times New Roman"/>
          <w:lang w:val="en-US"/>
        </w:rPr>
      </w:pPr>
    </w:p>
    <w:p w14:paraId="09EE22B1" w14:textId="43195934" w:rsidR="00DA4FCC" w:rsidRPr="00DA4FCC" w:rsidRDefault="00DA4FCC" w:rsidP="00DA4FCC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Fig. A. 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Fig._A. \* ARABIC </w:instrTex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  <w:lang w:val="en-US"/>
        </w:rPr>
        <w:t>1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Stability of group categories based on average remittances-to-GDP over period 1997-2017</w:t>
      </w:r>
    </w:p>
    <w:p w14:paraId="6592A155" w14:textId="77CA76F1" w:rsidR="001445A3" w:rsidRPr="00B30339" w:rsidRDefault="00233BDC" w:rsidP="00DA4FCC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B30339">
        <w:rPr>
          <w:rFonts w:ascii="Times New Roman" w:hAnsi="Times New Roman" w:cs="Times New Roman"/>
          <w:lang w:val="en-US"/>
        </w:rPr>
        <w:drawing>
          <wp:inline distT="0" distB="0" distL="0" distR="0" wp14:anchorId="2D420306" wp14:editId="0A4A5A89">
            <wp:extent cx="5340096" cy="4201073"/>
            <wp:effectExtent l="0" t="0" r="0" b="3175"/>
            <wp:docPr id="948145335" name="Picture 1" descr="A graph of a graph of a count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45335" name="Picture 1" descr="A graph of a graph of a country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4045" cy="422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0FE47" w14:textId="3EA2CD51" w:rsidR="00233BDC" w:rsidRPr="00DA4FCC" w:rsidRDefault="00233BDC" w:rsidP="00DA4F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DA4FCC">
        <w:rPr>
          <w:rFonts w:ascii="Times New Roman" w:hAnsi="Times New Roman" w:cs="Times New Roman"/>
          <w:sz w:val="18"/>
          <w:szCs w:val="18"/>
          <w:lang w:val="en-US"/>
        </w:rPr>
        <w:t xml:space="preserve">Note: </w:t>
      </w:r>
      <w:r w:rsidRPr="00DA4FCC">
        <w:rPr>
          <w:rFonts w:ascii="Times New Roman" w:hAnsi="Times New Roman" w:cs="Times New Roman"/>
          <w:sz w:val="18"/>
          <w:szCs w:val="18"/>
          <w:lang w:val="en-US"/>
        </w:rPr>
        <w:t>Countries are classified based on the average remittances-to-GDP ratio over the 1997-2017</w:t>
      </w:r>
      <w:r w:rsidRPr="00DA4FCC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A4FCC">
        <w:rPr>
          <w:rFonts w:ascii="Times New Roman" w:hAnsi="Times New Roman" w:cs="Times New Roman"/>
          <w:sz w:val="18"/>
          <w:szCs w:val="18"/>
          <w:lang w:val="en-US"/>
        </w:rPr>
        <w:t>period. The histogram shows the average share of months in which each countries’ remittance-</w:t>
      </w:r>
      <w:proofErr w:type="spellStart"/>
      <w:r w:rsidRPr="00DA4FCC">
        <w:rPr>
          <w:rFonts w:ascii="Times New Roman" w:hAnsi="Times New Roman" w:cs="Times New Roman"/>
          <w:sz w:val="18"/>
          <w:szCs w:val="18"/>
          <w:lang w:val="en-US"/>
        </w:rPr>
        <w:t>togdp</w:t>
      </w:r>
      <w:proofErr w:type="spellEnd"/>
      <w:r w:rsidRPr="00DA4FCC">
        <w:rPr>
          <w:rFonts w:ascii="Times New Roman" w:hAnsi="Times New Roman" w:cs="Times New Roman"/>
          <w:sz w:val="18"/>
          <w:szCs w:val="18"/>
          <w:lang w:val="en-US"/>
        </w:rPr>
        <w:t xml:space="preserve"> ratio is within its whole period average group. For </w:t>
      </w:r>
      <w:proofErr w:type="gramStart"/>
      <w:r w:rsidRPr="00DA4FCC">
        <w:rPr>
          <w:rFonts w:ascii="Times New Roman" w:hAnsi="Times New Roman" w:cs="Times New Roman"/>
          <w:sz w:val="18"/>
          <w:szCs w:val="18"/>
          <w:lang w:val="en-US"/>
        </w:rPr>
        <w:t>instance</w:t>
      </w:r>
      <w:proofErr w:type="gramEnd"/>
      <w:r w:rsidRPr="00DA4FCC">
        <w:rPr>
          <w:rFonts w:ascii="Times New Roman" w:hAnsi="Times New Roman" w:cs="Times New Roman"/>
          <w:sz w:val="18"/>
          <w:szCs w:val="18"/>
          <w:lang w:val="en-US"/>
        </w:rPr>
        <w:t xml:space="preserve"> El Salvador has a remittance-to-</w:t>
      </w:r>
      <w:proofErr w:type="spellStart"/>
      <w:r w:rsidRPr="00DA4FCC">
        <w:rPr>
          <w:rFonts w:ascii="Times New Roman" w:hAnsi="Times New Roman" w:cs="Times New Roman"/>
          <w:sz w:val="18"/>
          <w:szCs w:val="18"/>
          <w:lang w:val="en-US"/>
        </w:rPr>
        <w:t>gdp</w:t>
      </w:r>
      <w:proofErr w:type="spellEnd"/>
      <w:r w:rsidRPr="00DA4FCC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A4FCC">
        <w:rPr>
          <w:rFonts w:ascii="Times New Roman" w:hAnsi="Times New Roman" w:cs="Times New Roman"/>
          <w:sz w:val="18"/>
          <w:szCs w:val="18"/>
          <w:lang w:val="en-US"/>
        </w:rPr>
        <w:t>ratio over 4 percent of GDP over the whole sample period.</w:t>
      </w:r>
    </w:p>
    <w:p w14:paraId="782D3FAB" w14:textId="77777777" w:rsidR="00233BDC" w:rsidRPr="00B30339" w:rsidRDefault="00233BDC" w:rsidP="00B30339">
      <w:pPr>
        <w:jc w:val="both"/>
        <w:rPr>
          <w:rFonts w:ascii="Times New Roman" w:hAnsi="Times New Roman" w:cs="Times New Roman"/>
          <w:lang w:val="en-US"/>
        </w:rPr>
      </w:pPr>
    </w:p>
    <w:p w14:paraId="63D271C8" w14:textId="2EADCC96" w:rsidR="00DA4FCC" w:rsidRPr="00DA4FCC" w:rsidRDefault="00DA4FCC" w:rsidP="00DA4FCC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lastRenderedPageBreak/>
        <w:t xml:space="preserve">Fig. A. 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Fig._A. \* ARABIC </w:instrTex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  <w:lang w:val="en-US"/>
        </w:rPr>
        <w:t>2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Robustness to controlling for commodities - Median IRF responses by degree of reliance to remittances as a share of GDP</w:t>
      </w:r>
    </w:p>
    <w:p w14:paraId="047A6579" w14:textId="4E745556" w:rsidR="00233BDC" w:rsidRPr="00B30339" w:rsidRDefault="00DA4FCC" w:rsidP="00DA4FCC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FFA9397" wp14:editId="45C65BCD">
            <wp:extent cx="5400040" cy="2968625"/>
            <wp:effectExtent l="0" t="0" r="0" b="3175"/>
            <wp:docPr id="1893681337" name="Picture 6" descr="A graph of different currenci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681337" name="Picture 6" descr="A graph of different currenci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F0583" w14:textId="5D4E5D05" w:rsidR="00233BDC" w:rsidRPr="00B30339" w:rsidRDefault="00233BDC" w:rsidP="00DA4FCC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>Note: Median of country-by-country responses to a contractionary one standard deviation US monetary policy shock resorting to local projections with 12 lags and Newey-West corrected standard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>errors and 1 standard deviation error bands. Monthly sample 1997:01-2017:12. Countries are classified based on the average remittances-to-GDP ratio over the 1997-2017 period. In each graph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>we show the median and standard errors for the US monetary policy shock estimated by including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B30339">
        <w:rPr>
          <w:rFonts w:ascii="Times New Roman" w:hAnsi="Times New Roman" w:cs="Times New Roman"/>
          <w:i w:val="0"/>
          <w:iCs w:val="0"/>
          <w:color w:val="auto"/>
          <w:lang w:val="en-US"/>
        </w:rPr>
        <w:t>the world bank real commodity price index (solid line and red shade) and the benchmark without controls (dash line and blue shade).</w:t>
      </w:r>
    </w:p>
    <w:p w14:paraId="31C91E04" w14:textId="78596D84" w:rsidR="00DA4FCC" w:rsidRPr="00DA4FCC" w:rsidRDefault="00DA4FCC" w:rsidP="00DA4FCC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Fig. A. 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Fig._A. \* ARABIC </w:instrTex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  <w:lang w:val="en-US"/>
        </w:rPr>
        <w:t>3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Robustness to controlling for financial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crises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- Median IRF responses by degree of reliance to remittances as a share of GDP</w:t>
      </w:r>
    </w:p>
    <w:p w14:paraId="34EC796C" w14:textId="69E7D78A" w:rsidR="00233BDC" w:rsidRPr="00B30339" w:rsidRDefault="00DA4FCC" w:rsidP="00DA4FCC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E44AAC3" wp14:editId="53F053A9">
            <wp:extent cx="5400040" cy="3066415"/>
            <wp:effectExtent l="0" t="0" r="0" b="0"/>
            <wp:docPr id="907496503" name="Picture 5" descr="A graph of financial cris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496503" name="Picture 5" descr="A graph of financial crisi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57D78" w14:textId="4A9DECED" w:rsidR="00233BDC" w:rsidRPr="00B30339" w:rsidRDefault="00233BDC" w:rsidP="00DA4F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30339">
        <w:rPr>
          <w:rFonts w:ascii="Times New Roman" w:hAnsi="Times New Roman" w:cs="Times New Roman"/>
          <w:sz w:val="18"/>
          <w:szCs w:val="18"/>
          <w:lang w:val="en-US"/>
        </w:rPr>
        <w:t>Note: Median of country-by-country responses to a contractionary one standard deviation US monetary policy shock resorting to local projections with 12 lags and Newey-West corrected standard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errors and 1 standard deviation error bands. Monthly sample 1997:01-2017:12. Countries are classified based on the average remittances-to-GDP ratio over the 1997-2017 period. In each graph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we show the median and standard errors for the US monetary policy shock estimated by including the Financial Stress Indicator (solid line and red shade) and the benchmark without controls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(dash line and blue shade).</w:t>
      </w:r>
    </w:p>
    <w:p w14:paraId="44088D43" w14:textId="240FA458" w:rsidR="00DA4FCC" w:rsidRPr="00DA4FCC" w:rsidRDefault="00DA4FCC" w:rsidP="00DA4FCC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lastRenderedPageBreak/>
        <w:t xml:space="preserve">Fig. A. 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Fig._A. \* ARABIC </w:instrTex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  <w:lang w:val="en-US"/>
        </w:rPr>
        <w:t>4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Robustness to controlling for the Excess Bond Premium (Gilchrist and Zakrajsek, 2012) – Median IRF responses by degree of reliance to remittances as a share of GDP</w:t>
      </w:r>
    </w:p>
    <w:p w14:paraId="0C40DECD" w14:textId="768EFF66" w:rsidR="00A24E80" w:rsidRPr="00B30339" w:rsidRDefault="00DA4FCC" w:rsidP="00DA4FCC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6E8E117" wp14:editId="51D78403">
            <wp:extent cx="5400040" cy="3066415"/>
            <wp:effectExtent l="0" t="0" r="0" b="0"/>
            <wp:docPr id="2024161322" name="Picture 4" descr="A graph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161322" name="Picture 4" descr="A graph of different types of data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ADA71" w14:textId="44AA3DCE" w:rsidR="00A24E80" w:rsidRPr="00B30339" w:rsidRDefault="00233BDC" w:rsidP="00DA4F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30339">
        <w:rPr>
          <w:rFonts w:ascii="Times New Roman" w:hAnsi="Times New Roman" w:cs="Times New Roman"/>
          <w:sz w:val="18"/>
          <w:szCs w:val="18"/>
          <w:lang w:val="en-US"/>
        </w:rPr>
        <w:t>Note: Median of country-by-country responses to a contractionary one standard deviation US monetary policy shock resorting to local projections with 12 lags and Newey-West corrected standard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errors and 1 standard deviation error bands. Monthly sample 1997:01-2017:12. Countries are classified based on the average remittances-to-GDP ratio over the 1997-2017 period. In each graph we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s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how the median and standard errors for the US monetary policy shock estimated by including the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Excess Bond Premium indicator (solid line and red shade) and the benchmark without controls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(dash line and blue shade). </w:t>
      </w:r>
    </w:p>
    <w:p w14:paraId="632C4938" w14:textId="2E580FBA" w:rsidR="00DA4FCC" w:rsidRPr="00DA4FCC" w:rsidRDefault="00DA4FCC" w:rsidP="00DA4FCC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Fig. A. 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Fig._A. \* ARABIC </w:instrTex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DA4FCC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  <w:lang w:val="en-US"/>
        </w:rPr>
        <w:t>5</w:t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DA4FC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DA4FC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Robustness to controlling for foreign reserves - Median IRF responses by degree of reliance to remittances as a share of GDP</w:t>
      </w:r>
    </w:p>
    <w:p w14:paraId="78C1817D" w14:textId="50F87341" w:rsidR="00233BDC" w:rsidRPr="00B30339" w:rsidRDefault="00DA4FCC" w:rsidP="00DA4FCC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66A778D" wp14:editId="0959B73E">
            <wp:extent cx="5400040" cy="3066415"/>
            <wp:effectExtent l="0" t="0" r="0" b="0"/>
            <wp:docPr id="762608769" name="Picture 3" descr="A graph of different types of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608769" name="Picture 3" descr="A graph of different types of line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9074B" w14:textId="3F12EB25" w:rsidR="00233BDC" w:rsidRPr="00B30339" w:rsidRDefault="00233BDC" w:rsidP="00DA4F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30339">
        <w:rPr>
          <w:rFonts w:ascii="Times New Roman" w:hAnsi="Times New Roman" w:cs="Times New Roman"/>
          <w:sz w:val="18"/>
          <w:szCs w:val="18"/>
          <w:lang w:val="en-US"/>
        </w:rPr>
        <w:t>Note: Median of country-by-country responses to a contractionary one standard deviation US monetary policy shock resorting to local projections with 12 lags and Newey-West corrected standard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errors and 1 standard deviation error bands. Monthly sample 1997:01-2017:12. Countries are classified based on the average remittances-to-GDP ratio over the 1997-2017 period. In each graph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we show the median and standard errors for the US monetary policy shock estimated by including the Financial Stress Indicator (solid line and red shade) and the benchmark without controls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30339">
        <w:rPr>
          <w:rFonts w:ascii="Times New Roman" w:hAnsi="Times New Roman" w:cs="Times New Roman"/>
          <w:sz w:val="18"/>
          <w:szCs w:val="18"/>
          <w:lang w:val="en-US"/>
        </w:rPr>
        <w:t>(dash line and blue shade).</w:t>
      </w:r>
    </w:p>
    <w:sectPr w:rsidR="00233BDC" w:rsidRPr="00B303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1714E"/>
    <w:multiLevelType w:val="hybridMultilevel"/>
    <w:tmpl w:val="3182D27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644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80"/>
    <w:rsid w:val="001445A3"/>
    <w:rsid w:val="00233BDC"/>
    <w:rsid w:val="00460298"/>
    <w:rsid w:val="004F0063"/>
    <w:rsid w:val="005211C9"/>
    <w:rsid w:val="005764F5"/>
    <w:rsid w:val="00634E53"/>
    <w:rsid w:val="00672820"/>
    <w:rsid w:val="0068178A"/>
    <w:rsid w:val="006D65A8"/>
    <w:rsid w:val="00766B83"/>
    <w:rsid w:val="00795BC5"/>
    <w:rsid w:val="007F254D"/>
    <w:rsid w:val="00822EB4"/>
    <w:rsid w:val="008C59CC"/>
    <w:rsid w:val="009A475A"/>
    <w:rsid w:val="009B451B"/>
    <w:rsid w:val="00A22241"/>
    <w:rsid w:val="00A24E80"/>
    <w:rsid w:val="00A47640"/>
    <w:rsid w:val="00B30339"/>
    <w:rsid w:val="00B4743C"/>
    <w:rsid w:val="00B546E7"/>
    <w:rsid w:val="00CD7647"/>
    <w:rsid w:val="00D945DC"/>
    <w:rsid w:val="00DA4FCC"/>
    <w:rsid w:val="00DC7F3D"/>
    <w:rsid w:val="00E52A27"/>
    <w:rsid w:val="00F3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E4B5"/>
  <w15:chartTrackingRefBased/>
  <w15:docId w15:val="{D9F5A7BF-6F3B-4202-88EB-05FE94F89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4E8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A24E80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16BE0-A981-4577-9C42-A7F9B62B7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Aguilar perez Pablo</dc:creator>
  <cp:keywords/>
  <dc:description/>
  <cp:lastModifiedBy>Pablo Aguilar Pérez</cp:lastModifiedBy>
  <cp:revision>7</cp:revision>
  <dcterms:created xsi:type="dcterms:W3CDTF">2024-09-30T08:29:00Z</dcterms:created>
  <dcterms:modified xsi:type="dcterms:W3CDTF">2025-04-22T15:54:00Z</dcterms:modified>
</cp:coreProperties>
</file>