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5C2" w:rsidRPr="00853088" w:rsidRDefault="00BB65C2" w:rsidP="00BB65C2">
      <w:pPr>
        <w:rPr>
          <w:sz w:val="20"/>
          <w:szCs w:val="20"/>
        </w:rPr>
      </w:pPr>
      <w:r w:rsidRPr="00853088">
        <w:rPr>
          <w:b/>
          <w:sz w:val="20"/>
          <w:szCs w:val="20"/>
        </w:rPr>
        <w:t>Supplementary Material</w:t>
      </w:r>
    </w:p>
    <w:p w:rsidR="00BB65C2" w:rsidRPr="00853088" w:rsidRDefault="00BB65C2" w:rsidP="00BB65C2">
      <w:pPr>
        <w:contextualSpacing/>
        <w:jc w:val="both"/>
        <w:rPr>
          <w:b/>
          <w:sz w:val="20"/>
          <w:szCs w:val="20"/>
        </w:rPr>
      </w:pPr>
      <w:r w:rsidRPr="00853088">
        <w:rPr>
          <w:iCs/>
          <w:sz w:val="20"/>
          <w:szCs w:val="20"/>
        </w:rPr>
        <w:t>S1. Factors associated with mortality among all adults admitted to South Western Sydney Local Health District hospitals. Unadjusted (OR) and adjusted odds ratios (AOR) with their 95% confidence intervals are shown.</w:t>
      </w:r>
    </w:p>
    <w:tbl>
      <w:tblPr>
        <w:tblStyle w:val="PlainTable3"/>
        <w:tblW w:w="8931" w:type="dxa"/>
        <w:tblLook w:val="04A0" w:firstRow="1" w:lastRow="0" w:firstColumn="1" w:lastColumn="0" w:noHBand="0" w:noVBand="1"/>
      </w:tblPr>
      <w:tblGrid>
        <w:gridCol w:w="4395"/>
        <w:gridCol w:w="2409"/>
        <w:gridCol w:w="2127"/>
      </w:tblGrid>
      <w:tr w:rsidR="00BB65C2" w:rsidRPr="00853088" w:rsidTr="00CB6D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color w:val="000000"/>
                <w:sz w:val="20"/>
                <w:szCs w:val="20"/>
              </w:rPr>
            </w:pPr>
            <w:r w:rsidRPr="00853088">
              <w:rPr>
                <w:caps w:val="0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OR (95 CI)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aOR (95 CI)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caps w:val="0"/>
                <w:color w:val="000000"/>
                <w:sz w:val="20"/>
                <w:szCs w:val="20"/>
              </w:rPr>
            </w:pPr>
            <w:r w:rsidRPr="00853088">
              <w:rPr>
                <w:bCs w:val="0"/>
                <w:caps w:val="0"/>
                <w:sz w:val="20"/>
                <w:szCs w:val="20"/>
              </w:rPr>
              <w:t>Financial Year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July 2014-15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aps w:val="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July 2015-16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0.92 (0.87-0.98)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0.93 (0.88-0.99)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July 2016-17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0.93 (0.88-0.99)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0.95 (0.89-1.00)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Cs w:val="0"/>
                <w:color w:val="000000"/>
                <w:sz w:val="20"/>
                <w:szCs w:val="20"/>
              </w:rPr>
            </w:pPr>
            <w:r w:rsidRPr="00853088">
              <w:rPr>
                <w:bCs w:val="0"/>
                <w:color w:val="000000"/>
                <w:sz w:val="20"/>
                <w:szCs w:val="20"/>
              </w:rPr>
              <w:t>D</w:t>
            </w:r>
            <w:r w:rsidRPr="00853088">
              <w:rPr>
                <w:bCs w:val="0"/>
                <w:caps w:val="0"/>
                <w:color w:val="000000"/>
                <w:sz w:val="20"/>
                <w:szCs w:val="20"/>
              </w:rPr>
              <w:t>emography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color w:val="00B0F0"/>
                <w:sz w:val="20"/>
                <w:szCs w:val="20"/>
              </w:rPr>
            </w:pPr>
            <w:r w:rsidRPr="00853088">
              <w:rPr>
                <w:b w:val="0"/>
                <w:caps w:val="0"/>
                <w:sz w:val="20"/>
                <w:szCs w:val="20"/>
              </w:rPr>
              <w:t xml:space="preserve">Age Groups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sz w:val="20"/>
                <w:szCs w:val="20"/>
              </w:rPr>
            </w:pPr>
            <w:r w:rsidRPr="00853088">
              <w:rPr>
                <w:b w:val="0"/>
                <w:bCs w:val="0"/>
                <w:sz w:val="20"/>
                <w:szCs w:val="20"/>
              </w:rPr>
              <w:t>16-54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sz w:val="20"/>
                <w:szCs w:val="20"/>
              </w:rPr>
              <w:t>55-64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3.27 (2.93-3.64)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2.79 (2.49-3.12)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sz w:val="20"/>
                <w:szCs w:val="20"/>
              </w:rPr>
              <w:t>65-74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4.83 (4.38-5.33)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3.73 (3.36-4.15)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sz w:val="20"/>
                <w:szCs w:val="20"/>
              </w:rPr>
              <w:t>75-84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9.13 (8.33-10.00)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6.16 (5.56-6.83)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sz w:val="20"/>
                <w:szCs w:val="20"/>
              </w:rPr>
            </w:pPr>
            <w:r w:rsidRPr="00853088">
              <w:rPr>
                <w:b w:val="0"/>
                <w:bCs w:val="0"/>
                <w:sz w:val="20"/>
                <w:szCs w:val="20"/>
              </w:rPr>
              <w:t>85+</w:t>
            </w:r>
            <w:r w:rsidRPr="00853088">
              <w:rPr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19.22 (17.54-21.07)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11.49  (10.34-12.76)</w:t>
            </w:r>
          </w:p>
        </w:tc>
      </w:tr>
      <w:tr w:rsidR="00BB65C2" w:rsidRPr="00853088" w:rsidTr="00CB6DF9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 xml:space="preserve">Sex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ap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Women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Men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1.31 (1.25-1.37)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1.22 (1.16-1.29)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cap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caps w:val="0"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Widowed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1.84 (1.75-1.93)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1.10 (1.04-1.17)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0.47 (0.43-0.52)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0.96 (0.87-1.06)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ap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Place of Birth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America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0.68 (0.57-0.81)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0.66 (0.55-0.79)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Asia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0.72 (0.68-0.78)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0.80 (0.74-0.85)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Africa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0.77 (0.66-0.90)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0.85 (0.72-1.00)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1.56 (1.46-1.64)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0.92 (0.87-0.98)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Pacific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0.37 (0.33-0.43)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0.63 (0.55-0.72)</w:t>
            </w:r>
          </w:p>
        </w:tc>
      </w:tr>
      <w:tr w:rsidR="00BB65C2" w:rsidRPr="00853088" w:rsidTr="00CB6DF9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ap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Residence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aps w:val="0"/>
                <w:color w:val="000000"/>
                <w:sz w:val="20"/>
                <w:szCs w:val="20"/>
              </w:rPr>
            </w:pPr>
            <w:proofErr w:type="spellStart"/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Peri</w:t>
            </w:r>
            <w:proofErr w:type="spellEnd"/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-Urban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–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ap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1.08 (1.03-1.13)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–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3"/>
            <w:tcBorders>
              <w:top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color w:val="000000"/>
                <w:sz w:val="20"/>
                <w:szCs w:val="20"/>
              </w:rPr>
            </w:pPr>
            <w:r w:rsidRPr="00853088">
              <w:rPr>
                <w:caps w:val="0"/>
                <w:sz w:val="20"/>
                <w:szCs w:val="20"/>
              </w:rPr>
              <w:t>Hospital Health Insurance Cover</w:t>
            </w:r>
          </w:p>
        </w:tc>
      </w:tr>
      <w:tr w:rsidR="00BB65C2" w:rsidRPr="00853088" w:rsidTr="00CB6DF9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Full Hospital Cover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No Hospital Cover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0.57 (0.53-0.61)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0.88 (0.82-0.95)</w:t>
            </w:r>
          </w:p>
        </w:tc>
      </w:tr>
      <w:tr w:rsidR="00BB65C2" w:rsidRPr="00853088" w:rsidTr="00CB6DF9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3"/>
            <w:tcBorders>
              <w:top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color w:val="000000"/>
                <w:sz w:val="20"/>
                <w:szCs w:val="20"/>
              </w:rPr>
            </w:pPr>
            <w:r w:rsidRPr="00853088">
              <w:rPr>
                <w:caps w:val="0"/>
                <w:color w:val="000000"/>
                <w:sz w:val="20"/>
                <w:szCs w:val="20"/>
              </w:rPr>
              <w:t>Episode Length of Stay (</w:t>
            </w:r>
            <w:proofErr w:type="spellStart"/>
            <w:r w:rsidRPr="00853088">
              <w:rPr>
                <w:caps w:val="0"/>
                <w:color w:val="000000"/>
                <w:sz w:val="20"/>
                <w:szCs w:val="20"/>
              </w:rPr>
              <w:t>LoS</w:t>
            </w:r>
            <w:proofErr w:type="spellEnd"/>
            <w:r w:rsidRPr="00853088">
              <w:rPr>
                <w:caps w:val="0"/>
                <w:color w:val="000000"/>
                <w:sz w:val="20"/>
                <w:szCs w:val="20"/>
              </w:rPr>
              <w:t>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≤4 days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&gt;4 days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5.90 (5.63-6.19)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2.75 (2.61-2.91)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caps w:val="0"/>
                <w:color w:val="000000"/>
                <w:sz w:val="20"/>
                <w:szCs w:val="20"/>
              </w:rPr>
            </w:pPr>
            <w:r w:rsidRPr="00853088">
              <w:rPr>
                <w:caps w:val="0"/>
                <w:color w:val="000000"/>
                <w:sz w:val="20"/>
                <w:szCs w:val="20"/>
              </w:rPr>
              <w:t>ICU Admission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BB65C2" w:rsidRPr="00853088" w:rsidTr="00CB6DF9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ap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14.27 (13.24-15.37)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5.94 (5.45-6.46)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color w:val="000000"/>
                <w:sz w:val="20"/>
                <w:szCs w:val="20"/>
              </w:rPr>
            </w:pPr>
            <w:r w:rsidRPr="00853088">
              <w:rPr>
                <w:caps w:val="0"/>
                <w:sz w:val="20"/>
                <w:szCs w:val="20"/>
              </w:rPr>
              <w:t>Medical Comorbidities  (ICD Classification)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Nervous System (No, OR=1)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0.62 (0.51-0.77)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0.84 (0.68-1.04)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Respiratory System (No, OR =1)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4.79 (4.50-5.09)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2.83 (2.64-3.03)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Circulatory System</w:t>
            </w: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 xml:space="preserve">(No, OR =1) 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4.48 (4.23-4.75)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2.32 (2.17-2.47)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color w:val="000000"/>
                <w:sz w:val="20"/>
                <w:szCs w:val="20"/>
              </w:rPr>
              <w:t>Digestive System</w:t>
            </w: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(No, OR =1)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0.81 (0.74-0.89)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53088">
              <w:rPr>
                <w:sz w:val="20"/>
                <w:szCs w:val="20"/>
              </w:rPr>
              <w:t>1.06 (0.96-1.17)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Musculoskeletal + Connective System (No, OR =1)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0.22 (0.17-0.29)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0.25 (0.19-0.33)</w:t>
            </w:r>
          </w:p>
        </w:tc>
      </w:tr>
      <w:tr w:rsidR="00BB65C2" w:rsidRPr="00853088" w:rsidTr="00CB6DF9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Skin + Subcutaneous System (No, OR =1)</w:t>
            </w:r>
          </w:p>
        </w:tc>
        <w:tc>
          <w:tcPr>
            <w:tcW w:w="240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0.36 (0.27-0.48)</w:t>
            </w:r>
          </w:p>
        </w:tc>
        <w:tc>
          <w:tcPr>
            <w:tcW w:w="2127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853088">
              <w:rPr>
                <w:b/>
                <w:bCs/>
                <w:color w:val="000000"/>
                <w:sz w:val="20"/>
                <w:szCs w:val="20"/>
              </w:rPr>
              <w:t>0.48 (0.36-0.64)</w:t>
            </w:r>
          </w:p>
        </w:tc>
      </w:tr>
      <w:tr w:rsidR="00BB65C2" w:rsidRPr="00853088" w:rsidTr="00CB6D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B65C2" w:rsidRPr="00853088" w:rsidRDefault="00BB65C2" w:rsidP="00CB6DF9">
            <w:pPr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53088">
              <w:rPr>
                <w:b w:val="0"/>
                <w:bCs w:val="0"/>
                <w:caps w:val="0"/>
                <w:sz w:val="20"/>
                <w:szCs w:val="20"/>
              </w:rPr>
              <w:t>Endocrine, Nutritional + Metabolic System (No, OR =1)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B65C2" w:rsidRPr="00853088" w:rsidRDefault="00BB65C2" w:rsidP="00BB65C2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0.82-1.22)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65C2" w:rsidRPr="00853088" w:rsidRDefault="00BB65C2" w:rsidP="00CB6D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53088">
              <w:rPr>
                <w:color w:val="000000"/>
                <w:sz w:val="20"/>
                <w:szCs w:val="20"/>
              </w:rPr>
              <w:t>–</w:t>
            </w:r>
          </w:p>
        </w:tc>
      </w:tr>
    </w:tbl>
    <w:p w:rsidR="00BB65C2" w:rsidRPr="00853088" w:rsidRDefault="00BB65C2" w:rsidP="00BB65C2">
      <w:pPr>
        <w:rPr>
          <w:i/>
          <w:iCs/>
          <w:sz w:val="20"/>
          <w:szCs w:val="20"/>
        </w:rPr>
      </w:pPr>
      <w:r w:rsidRPr="00853088">
        <w:rPr>
          <w:i/>
          <w:iCs/>
          <w:sz w:val="20"/>
          <w:szCs w:val="20"/>
        </w:rPr>
        <w:t>Empty cells in the adjusted odd ratios were variables not included in the adjusted model for lack of significance.</w:t>
      </w:r>
    </w:p>
    <w:p w:rsidR="00BB65C2" w:rsidRPr="00853088" w:rsidRDefault="00BB65C2" w:rsidP="00BB65C2">
      <w:pPr>
        <w:rPr>
          <w:i/>
          <w:iCs/>
          <w:sz w:val="20"/>
          <w:szCs w:val="20"/>
        </w:rPr>
      </w:pPr>
      <w:r w:rsidRPr="00853088">
        <w:rPr>
          <w:i/>
          <w:iCs/>
          <w:sz w:val="20"/>
          <w:szCs w:val="20"/>
        </w:rPr>
        <w:t>Bolded CIs are significant variables (p&lt;0.05, not including 1.00)</w:t>
      </w:r>
    </w:p>
    <w:p w:rsidR="00BB7CBE" w:rsidRDefault="00BB65C2">
      <w:bookmarkStart w:id="0" w:name="_GoBack"/>
      <w:bookmarkEnd w:id="0"/>
    </w:p>
    <w:sectPr w:rsidR="00BB7CBE" w:rsidSect="000166B0">
      <w:headerReference w:type="default" r:id="rId5"/>
      <w:pgSz w:w="11900" w:h="16840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4887647"/>
      <w:docPartObj>
        <w:docPartGallery w:val="Page Numbers (Top of Page)"/>
        <w:docPartUnique/>
      </w:docPartObj>
    </w:sdtPr>
    <w:sdtEndPr>
      <w:rPr>
        <w:noProof/>
      </w:rPr>
    </w:sdtEndPr>
    <w:sdtContent>
      <w:p w:rsidR="007E4426" w:rsidRDefault="00BB65C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E4426" w:rsidRDefault="00BB65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03719D"/>
    <w:multiLevelType w:val="multilevel"/>
    <w:tmpl w:val="CC3E050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5C2"/>
    <w:rsid w:val="001B278A"/>
    <w:rsid w:val="007F1BA0"/>
    <w:rsid w:val="00A071E9"/>
    <w:rsid w:val="00BB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B28B21-D9BF-4A0D-8FC3-347F11A3E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65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BB65C2"/>
    <w:pPr>
      <w:spacing w:after="0" w:line="240" w:lineRule="auto"/>
    </w:pPr>
    <w:rPr>
      <w:rFonts w:eastAsiaTheme="minorEastAsia"/>
      <w:sz w:val="24"/>
      <w:szCs w:val="24"/>
      <w:lang w:val="en-GB"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B65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5C2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BB65C2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BB6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 Osuagwu</dc:creator>
  <cp:keywords/>
  <dc:description/>
  <cp:lastModifiedBy>Levi Osuagwu</cp:lastModifiedBy>
  <cp:revision>1</cp:revision>
  <dcterms:created xsi:type="dcterms:W3CDTF">2021-05-26T10:53:00Z</dcterms:created>
  <dcterms:modified xsi:type="dcterms:W3CDTF">2021-05-26T10:53:00Z</dcterms:modified>
</cp:coreProperties>
</file>