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2A902" w14:textId="027BDA9F" w:rsidR="00F1773D" w:rsidRPr="00697C7F" w:rsidRDefault="00697C7F">
      <w:pPr>
        <w:rPr>
          <w:i/>
          <w:iCs/>
        </w:rPr>
      </w:pPr>
      <w:r w:rsidRPr="00697C7F">
        <w:rPr>
          <w:i/>
          <w:iCs/>
        </w:rPr>
        <w:t>Table 1: Maternal and perinatal outcome indicators</w:t>
      </w:r>
      <w:r>
        <w:rPr>
          <w:i/>
          <w:iCs/>
        </w:rPr>
        <w:t>.</w:t>
      </w:r>
    </w:p>
    <w:tbl>
      <w:tblPr>
        <w:tblStyle w:val="TableGrid"/>
        <w:tblW w:w="9776" w:type="dxa"/>
        <w:tblInd w:w="-382" w:type="dxa"/>
        <w:tblLook w:val="04A0" w:firstRow="1" w:lastRow="0" w:firstColumn="1" w:lastColumn="0" w:noHBand="0" w:noVBand="1"/>
      </w:tblPr>
      <w:tblGrid>
        <w:gridCol w:w="2254"/>
        <w:gridCol w:w="2986"/>
        <w:gridCol w:w="4536"/>
      </w:tblGrid>
      <w:tr w:rsidR="004C556A" w14:paraId="14946EE1" w14:textId="77777777" w:rsidTr="00313D2C">
        <w:tc>
          <w:tcPr>
            <w:tcW w:w="2254" w:type="dxa"/>
          </w:tcPr>
          <w:p w14:paraId="1D56B3C7" w14:textId="5F085895" w:rsidR="004C556A" w:rsidRPr="008D5290" w:rsidRDefault="004C556A">
            <w:pPr>
              <w:rPr>
                <w:b/>
                <w:bCs/>
              </w:rPr>
            </w:pPr>
            <w:r w:rsidRPr="008D5290">
              <w:rPr>
                <w:b/>
                <w:bCs/>
              </w:rPr>
              <w:t>Outcome</w:t>
            </w:r>
          </w:p>
        </w:tc>
        <w:tc>
          <w:tcPr>
            <w:tcW w:w="2986" w:type="dxa"/>
          </w:tcPr>
          <w:p w14:paraId="223BA8A5" w14:textId="0FA1F53A" w:rsidR="004C556A" w:rsidRPr="008D5290" w:rsidRDefault="004C556A">
            <w:pPr>
              <w:rPr>
                <w:b/>
                <w:bCs/>
              </w:rPr>
            </w:pPr>
            <w:r w:rsidRPr="008D5290">
              <w:rPr>
                <w:b/>
                <w:bCs/>
              </w:rPr>
              <w:t xml:space="preserve">Measure </w:t>
            </w:r>
          </w:p>
        </w:tc>
        <w:tc>
          <w:tcPr>
            <w:tcW w:w="4536" w:type="dxa"/>
          </w:tcPr>
          <w:p w14:paraId="65C18321" w14:textId="57D06EC4" w:rsidR="004C556A" w:rsidRPr="008D5290" w:rsidRDefault="004C556A">
            <w:pPr>
              <w:rPr>
                <w:b/>
                <w:bCs/>
              </w:rPr>
            </w:pPr>
            <w:r w:rsidRPr="008D5290">
              <w:rPr>
                <w:b/>
                <w:bCs/>
              </w:rPr>
              <w:t>Indicator</w:t>
            </w:r>
            <w:r w:rsidR="000C692B" w:rsidRPr="008D5290">
              <w:rPr>
                <w:b/>
                <w:bCs/>
              </w:rPr>
              <w:t xml:space="preserve"> (per month)</w:t>
            </w:r>
          </w:p>
        </w:tc>
      </w:tr>
      <w:tr w:rsidR="000C692B" w14:paraId="1C05360D" w14:textId="77777777" w:rsidTr="00313D2C">
        <w:trPr>
          <w:trHeight w:val="405"/>
        </w:trPr>
        <w:tc>
          <w:tcPr>
            <w:tcW w:w="2254" w:type="dxa"/>
            <w:vMerge w:val="restart"/>
          </w:tcPr>
          <w:p w14:paraId="2322945C" w14:textId="7995DCC5" w:rsidR="000C692B" w:rsidRDefault="000C692B">
            <w:r>
              <w:t>Workload</w:t>
            </w:r>
          </w:p>
        </w:tc>
        <w:tc>
          <w:tcPr>
            <w:tcW w:w="2986" w:type="dxa"/>
          </w:tcPr>
          <w:p w14:paraId="00A25C67" w14:textId="5C4DB4BB" w:rsidR="000C692B" w:rsidRDefault="000C692B">
            <w:r>
              <w:t>Deliveries on labour ward</w:t>
            </w:r>
          </w:p>
        </w:tc>
        <w:tc>
          <w:tcPr>
            <w:tcW w:w="4536" w:type="dxa"/>
          </w:tcPr>
          <w:p w14:paraId="6FBF79C3" w14:textId="20C5B8C2" w:rsidR="000C692B" w:rsidRDefault="000C692B">
            <w:r>
              <w:t xml:space="preserve">Total deliveries </w:t>
            </w:r>
          </w:p>
        </w:tc>
      </w:tr>
      <w:tr w:rsidR="000C692B" w14:paraId="7E2ACE14" w14:textId="77777777" w:rsidTr="000C692B">
        <w:trPr>
          <w:trHeight w:val="270"/>
        </w:trPr>
        <w:tc>
          <w:tcPr>
            <w:tcW w:w="2254" w:type="dxa"/>
            <w:vMerge/>
          </w:tcPr>
          <w:p w14:paraId="6465DC56" w14:textId="77777777" w:rsidR="000C692B" w:rsidRDefault="000C692B"/>
        </w:tc>
        <w:tc>
          <w:tcPr>
            <w:tcW w:w="2986" w:type="dxa"/>
            <w:vMerge w:val="restart"/>
          </w:tcPr>
          <w:p w14:paraId="32C2CC39" w14:textId="4C4F83B7" w:rsidR="000C692B" w:rsidRDefault="000C692B">
            <w:r>
              <w:t>Caesarean section rate</w:t>
            </w:r>
          </w:p>
        </w:tc>
        <w:tc>
          <w:tcPr>
            <w:tcW w:w="4536" w:type="dxa"/>
          </w:tcPr>
          <w:p w14:paraId="76217FA5" w14:textId="2C1B4400" w:rsidR="000C692B" w:rsidRDefault="000C692B" w:rsidP="00313D2C">
            <w:r>
              <w:t>Total number of Caesarean sections</w:t>
            </w:r>
          </w:p>
        </w:tc>
      </w:tr>
      <w:tr w:rsidR="000C692B" w14:paraId="5382E894" w14:textId="77777777" w:rsidTr="00313D2C">
        <w:trPr>
          <w:trHeight w:val="270"/>
        </w:trPr>
        <w:tc>
          <w:tcPr>
            <w:tcW w:w="2254" w:type="dxa"/>
            <w:vMerge/>
          </w:tcPr>
          <w:p w14:paraId="5BA255FF" w14:textId="77777777" w:rsidR="000C692B" w:rsidRDefault="000C692B"/>
        </w:tc>
        <w:tc>
          <w:tcPr>
            <w:tcW w:w="2986" w:type="dxa"/>
            <w:vMerge/>
          </w:tcPr>
          <w:p w14:paraId="7DCA11D7" w14:textId="77777777" w:rsidR="000C692B" w:rsidRDefault="000C692B"/>
        </w:tc>
        <w:tc>
          <w:tcPr>
            <w:tcW w:w="4536" w:type="dxa"/>
          </w:tcPr>
          <w:p w14:paraId="4C1B6F1F" w14:textId="2D0C7437" w:rsidR="000C692B" w:rsidRDefault="000C692B" w:rsidP="00313D2C">
            <w:r>
              <w:t>Percentage of deliveries by Caesarean section</w:t>
            </w:r>
          </w:p>
        </w:tc>
      </w:tr>
      <w:tr w:rsidR="006216E7" w14:paraId="1F7F548C" w14:textId="77777777" w:rsidTr="006216E7">
        <w:trPr>
          <w:trHeight w:val="535"/>
        </w:trPr>
        <w:tc>
          <w:tcPr>
            <w:tcW w:w="2254" w:type="dxa"/>
            <w:vMerge w:val="restart"/>
          </w:tcPr>
          <w:p w14:paraId="0EF740FB" w14:textId="11100B99" w:rsidR="006216E7" w:rsidRDefault="006216E7">
            <w:r>
              <w:t>Antenatal care</w:t>
            </w:r>
          </w:p>
        </w:tc>
        <w:tc>
          <w:tcPr>
            <w:tcW w:w="2986" w:type="dxa"/>
            <w:vMerge w:val="restart"/>
          </w:tcPr>
          <w:p w14:paraId="415D97FE" w14:textId="77777777" w:rsidR="006216E7" w:rsidRDefault="006216E7">
            <w:r>
              <w:t>Booking status of women delivering on labour ward</w:t>
            </w:r>
          </w:p>
          <w:p w14:paraId="3E848FC3" w14:textId="6B088830" w:rsidR="006216E7" w:rsidRDefault="006216E7"/>
        </w:tc>
        <w:tc>
          <w:tcPr>
            <w:tcW w:w="4536" w:type="dxa"/>
          </w:tcPr>
          <w:p w14:paraId="7E8BF69D" w14:textId="4C546310" w:rsidR="006216E7" w:rsidRDefault="006216E7" w:rsidP="006216E7">
            <w:r>
              <w:t xml:space="preserve">Percentage of deliveries with pregnancy booked at Mpilo </w:t>
            </w:r>
          </w:p>
        </w:tc>
      </w:tr>
      <w:tr w:rsidR="006216E7" w14:paraId="67BB73B3" w14:textId="77777777" w:rsidTr="000C692B">
        <w:trPr>
          <w:trHeight w:val="535"/>
        </w:trPr>
        <w:tc>
          <w:tcPr>
            <w:tcW w:w="2254" w:type="dxa"/>
            <w:vMerge/>
          </w:tcPr>
          <w:p w14:paraId="725A30EA" w14:textId="77777777" w:rsidR="006216E7" w:rsidRDefault="006216E7"/>
        </w:tc>
        <w:tc>
          <w:tcPr>
            <w:tcW w:w="2986" w:type="dxa"/>
            <w:vMerge/>
          </w:tcPr>
          <w:p w14:paraId="091377EC" w14:textId="77777777" w:rsidR="006216E7" w:rsidRDefault="006216E7"/>
        </w:tc>
        <w:tc>
          <w:tcPr>
            <w:tcW w:w="4536" w:type="dxa"/>
          </w:tcPr>
          <w:p w14:paraId="4AEC5666" w14:textId="7387188C" w:rsidR="006216E7" w:rsidRDefault="006216E7">
            <w:r>
              <w:t>Percentage of deliveries referred from other clinic/hospital</w:t>
            </w:r>
          </w:p>
        </w:tc>
      </w:tr>
      <w:tr w:rsidR="006216E7" w14:paraId="6EDF8FAD" w14:textId="77777777" w:rsidTr="000C692B">
        <w:trPr>
          <w:trHeight w:val="405"/>
        </w:trPr>
        <w:tc>
          <w:tcPr>
            <w:tcW w:w="2254" w:type="dxa"/>
            <w:vMerge/>
          </w:tcPr>
          <w:p w14:paraId="2A149BCA" w14:textId="77777777" w:rsidR="006216E7" w:rsidRDefault="006216E7"/>
        </w:tc>
        <w:tc>
          <w:tcPr>
            <w:tcW w:w="2986" w:type="dxa"/>
            <w:vMerge/>
          </w:tcPr>
          <w:p w14:paraId="73A95A5D" w14:textId="77777777" w:rsidR="006216E7" w:rsidRDefault="006216E7"/>
        </w:tc>
        <w:tc>
          <w:tcPr>
            <w:tcW w:w="4536" w:type="dxa"/>
          </w:tcPr>
          <w:p w14:paraId="42FC94A6" w14:textId="2C98984E" w:rsidR="006216E7" w:rsidRDefault="006216E7">
            <w:r>
              <w:t>Percentage of deliveries with unbooked pregnancy</w:t>
            </w:r>
          </w:p>
        </w:tc>
      </w:tr>
      <w:tr w:rsidR="000C692B" w14:paraId="6D8B3DEE" w14:textId="77777777" w:rsidTr="000C692B">
        <w:trPr>
          <w:trHeight w:val="270"/>
        </w:trPr>
        <w:tc>
          <w:tcPr>
            <w:tcW w:w="2254" w:type="dxa"/>
            <w:vMerge w:val="restart"/>
          </w:tcPr>
          <w:p w14:paraId="72DB2F1C" w14:textId="2AAB0207" w:rsidR="000C692B" w:rsidRDefault="000C692B">
            <w:r>
              <w:t>Maternal morbidity and mortality</w:t>
            </w:r>
          </w:p>
        </w:tc>
        <w:tc>
          <w:tcPr>
            <w:tcW w:w="2986" w:type="dxa"/>
          </w:tcPr>
          <w:p w14:paraId="5DAB4479" w14:textId="1D556C61" w:rsidR="000C692B" w:rsidRDefault="000C692B">
            <w:r>
              <w:t>Maternal mor</w:t>
            </w:r>
            <w:r w:rsidR="00FC5A46">
              <w:t>tality</w:t>
            </w:r>
          </w:p>
        </w:tc>
        <w:tc>
          <w:tcPr>
            <w:tcW w:w="4536" w:type="dxa"/>
          </w:tcPr>
          <w:p w14:paraId="0E6EC72D" w14:textId="754E6A44" w:rsidR="000C692B" w:rsidRDefault="006216E7">
            <w:r>
              <w:t>Total number of maternal deaths</w:t>
            </w:r>
          </w:p>
        </w:tc>
      </w:tr>
      <w:tr w:rsidR="000C692B" w14:paraId="3DE4EDD6" w14:textId="77777777" w:rsidTr="00313D2C">
        <w:trPr>
          <w:trHeight w:val="270"/>
        </w:trPr>
        <w:tc>
          <w:tcPr>
            <w:tcW w:w="2254" w:type="dxa"/>
            <w:vMerge/>
          </w:tcPr>
          <w:p w14:paraId="7BD836C0" w14:textId="77777777" w:rsidR="000C692B" w:rsidRDefault="000C692B"/>
        </w:tc>
        <w:tc>
          <w:tcPr>
            <w:tcW w:w="2986" w:type="dxa"/>
          </w:tcPr>
          <w:p w14:paraId="30B9533F" w14:textId="2BFE6385" w:rsidR="000C692B" w:rsidRDefault="000C692B">
            <w:r>
              <w:t>Severe maternal morbidity</w:t>
            </w:r>
          </w:p>
        </w:tc>
        <w:tc>
          <w:tcPr>
            <w:tcW w:w="4536" w:type="dxa"/>
          </w:tcPr>
          <w:p w14:paraId="50BB5627" w14:textId="61507793" w:rsidR="000C692B" w:rsidRDefault="000C692B">
            <w:r>
              <w:t xml:space="preserve">Percentage of deliveries complicated by </w:t>
            </w:r>
            <w:r w:rsidR="00AE0540">
              <w:t>post-partum haemorrhage PPH)</w:t>
            </w:r>
            <w:r>
              <w:t>, severe pre-eclampsia or eclampsia, or uterine rupture</w:t>
            </w:r>
          </w:p>
        </w:tc>
      </w:tr>
      <w:tr w:rsidR="006216E7" w14:paraId="3E5F4D26" w14:textId="77777777" w:rsidTr="000C692B">
        <w:trPr>
          <w:trHeight w:val="270"/>
        </w:trPr>
        <w:tc>
          <w:tcPr>
            <w:tcW w:w="2254" w:type="dxa"/>
            <w:vMerge w:val="restart"/>
          </w:tcPr>
          <w:p w14:paraId="11D3C9DA" w14:textId="3F786432" w:rsidR="006216E7" w:rsidRDefault="006216E7">
            <w:r>
              <w:t>Perinatal morbidity and mortality</w:t>
            </w:r>
          </w:p>
        </w:tc>
        <w:tc>
          <w:tcPr>
            <w:tcW w:w="2986" w:type="dxa"/>
          </w:tcPr>
          <w:p w14:paraId="04F36360" w14:textId="35CB726A" w:rsidR="006216E7" w:rsidRDefault="006216E7">
            <w:r>
              <w:t>Stillbirth</w:t>
            </w:r>
          </w:p>
        </w:tc>
        <w:tc>
          <w:tcPr>
            <w:tcW w:w="4536" w:type="dxa"/>
          </w:tcPr>
          <w:p w14:paraId="08380FAD" w14:textId="3F6EA4F4" w:rsidR="006216E7" w:rsidRDefault="006216E7">
            <w:r>
              <w:t>Stillbirth rate (per 1000 deliveries)</w:t>
            </w:r>
          </w:p>
        </w:tc>
      </w:tr>
      <w:tr w:rsidR="006216E7" w14:paraId="031BB03C" w14:textId="77777777" w:rsidTr="006216E7">
        <w:trPr>
          <w:trHeight w:val="270"/>
        </w:trPr>
        <w:tc>
          <w:tcPr>
            <w:tcW w:w="2254" w:type="dxa"/>
            <w:vMerge/>
          </w:tcPr>
          <w:p w14:paraId="4DFEDB3E" w14:textId="77777777" w:rsidR="006216E7" w:rsidRDefault="006216E7"/>
        </w:tc>
        <w:tc>
          <w:tcPr>
            <w:tcW w:w="2986" w:type="dxa"/>
            <w:vMerge w:val="restart"/>
          </w:tcPr>
          <w:p w14:paraId="452DC652" w14:textId="5FEBB861" w:rsidR="006216E7" w:rsidRDefault="006216E7">
            <w:r>
              <w:t>Neonatal morbidity</w:t>
            </w:r>
          </w:p>
        </w:tc>
        <w:tc>
          <w:tcPr>
            <w:tcW w:w="4536" w:type="dxa"/>
          </w:tcPr>
          <w:p w14:paraId="081E07BE" w14:textId="47055005" w:rsidR="006216E7" w:rsidRDefault="008D5290">
            <w:r>
              <w:t>Total number of early neonatal deaths</w:t>
            </w:r>
          </w:p>
        </w:tc>
      </w:tr>
      <w:tr w:rsidR="006216E7" w14:paraId="292EE279" w14:textId="77777777" w:rsidTr="00313D2C">
        <w:trPr>
          <w:trHeight w:val="270"/>
        </w:trPr>
        <w:tc>
          <w:tcPr>
            <w:tcW w:w="2254" w:type="dxa"/>
            <w:vMerge/>
          </w:tcPr>
          <w:p w14:paraId="2505E118" w14:textId="77777777" w:rsidR="006216E7" w:rsidRDefault="006216E7"/>
        </w:tc>
        <w:tc>
          <w:tcPr>
            <w:tcW w:w="2986" w:type="dxa"/>
            <w:vMerge/>
          </w:tcPr>
          <w:p w14:paraId="6D990C7D" w14:textId="77777777" w:rsidR="006216E7" w:rsidRDefault="006216E7"/>
        </w:tc>
        <w:tc>
          <w:tcPr>
            <w:tcW w:w="4536" w:type="dxa"/>
          </w:tcPr>
          <w:p w14:paraId="23810F26" w14:textId="2628CC1D" w:rsidR="006216E7" w:rsidRDefault="008D5290">
            <w:r>
              <w:t>Special care baby unit (SCBU) admission rate</w:t>
            </w:r>
          </w:p>
        </w:tc>
      </w:tr>
    </w:tbl>
    <w:p w14:paraId="58EBE315" w14:textId="77777777" w:rsidR="000C692B" w:rsidRDefault="000C692B"/>
    <w:p w14:paraId="65F378BC" w14:textId="6A651266" w:rsidR="00943CAE" w:rsidRDefault="00855290">
      <w:pPr>
        <w:rPr>
          <w:i/>
          <w:iCs/>
        </w:rPr>
      </w:pPr>
      <w:r w:rsidRPr="006C177E">
        <w:rPr>
          <w:noProof/>
        </w:rPr>
        <w:drawing>
          <wp:anchor distT="0" distB="0" distL="114300" distR="114300" simplePos="0" relativeHeight="251661312" behindDoc="1" locked="0" layoutInCell="1" allowOverlap="1" wp14:anchorId="637570DB" wp14:editId="68C32894">
            <wp:simplePos x="0" y="0"/>
            <wp:positionH relativeFrom="margin">
              <wp:posOffset>-304800</wp:posOffset>
            </wp:positionH>
            <wp:positionV relativeFrom="paragraph">
              <wp:posOffset>337185</wp:posOffset>
            </wp:positionV>
            <wp:extent cx="6388735" cy="3016250"/>
            <wp:effectExtent l="0" t="0" r="0" b="0"/>
            <wp:wrapTight wrapText="bothSides">
              <wp:wrapPolygon edited="0">
                <wp:start x="0" y="0"/>
                <wp:lineTo x="0" y="21418"/>
                <wp:lineTo x="19580" y="21418"/>
                <wp:lineTo x="21512" y="20327"/>
                <wp:lineTo x="21512" y="16098"/>
                <wp:lineTo x="21254" y="15825"/>
                <wp:lineTo x="19580" y="15279"/>
                <wp:lineTo x="21319" y="15279"/>
                <wp:lineTo x="21512" y="15006"/>
                <wp:lineTo x="21512" y="11050"/>
                <wp:lineTo x="21383" y="10914"/>
                <wp:lineTo x="19580" y="10914"/>
                <wp:lineTo x="21512" y="10232"/>
                <wp:lineTo x="21512" y="6957"/>
                <wp:lineTo x="21061" y="6548"/>
                <wp:lineTo x="21512" y="6003"/>
                <wp:lineTo x="21512" y="3001"/>
                <wp:lineTo x="21254" y="2728"/>
                <wp:lineTo x="19580" y="2183"/>
                <wp:lineTo x="21448" y="2183"/>
                <wp:lineTo x="21512" y="2046"/>
                <wp:lineTo x="2151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735" cy="301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3CAE" w:rsidRPr="00943CAE">
        <w:rPr>
          <w:i/>
          <w:iCs/>
        </w:rPr>
        <w:t>Table 2:</w:t>
      </w:r>
      <w:r w:rsidR="00697C7F">
        <w:rPr>
          <w:i/>
          <w:iCs/>
        </w:rPr>
        <w:t xml:space="preserve"> </w:t>
      </w:r>
      <w:r w:rsidR="00943CAE">
        <w:rPr>
          <w:i/>
          <w:iCs/>
        </w:rPr>
        <w:t>Maternal and perinatal outcomes, Jan-March versus April-June 2020.</w:t>
      </w:r>
    </w:p>
    <w:p w14:paraId="404813CF" w14:textId="62264E41" w:rsidR="007836F8" w:rsidRDefault="007836F8" w:rsidP="00965F1B"/>
    <w:sectPr w:rsidR="007836F8" w:rsidSect="00445495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3B8EC" w14:textId="77777777" w:rsidR="007F09E9" w:rsidRDefault="007F09E9" w:rsidP="00546D84">
      <w:pPr>
        <w:spacing w:after="0" w:line="240" w:lineRule="auto"/>
      </w:pPr>
      <w:r>
        <w:separator/>
      </w:r>
    </w:p>
  </w:endnote>
  <w:endnote w:type="continuationSeparator" w:id="0">
    <w:p w14:paraId="72C66F3F" w14:textId="77777777" w:rsidR="007F09E9" w:rsidRDefault="007F09E9" w:rsidP="00546D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928233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EA91E1" w14:textId="14BBF442" w:rsidR="00546D84" w:rsidRDefault="00546D8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D69F94" w14:textId="77777777" w:rsidR="00546D84" w:rsidRDefault="00546D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389025" w14:textId="77777777" w:rsidR="007F09E9" w:rsidRDefault="007F09E9" w:rsidP="00546D84">
      <w:pPr>
        <w:spacing w:after="0" w:line="240" w:lineRule="auto"/>
      </w:pPr>
      <w:r>
        <w:separator/>
      </w:r>
    </w:p>
  </w:footnote>
  <w:footnote w:type="continuationSeparator" w:id="0">
    <w:p w14:paraId="6D51BC3C" w14:textId="77777777" w:rsidR="007F09E9" w:rsidRDefault="007F09E9" w:rsidP="00546D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FE37DD"/>
    <w:multiLevelType w:val="multilevel"/>
    <w:tmpl w:val="ACA6F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916D89"/>
    <w:multiLevelType w:val="hybridMultilevel"/>
    <w:tmpl w:val="813A2C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4A3690"/>
    <w:multiLevelType w:val="multilevel"/>
    <w:tmpl w:val="BD146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4D2"/>
    <w:rsid w:val="000013DF"/>
    <w:rsid w:val="00016097"/>
    <w:rsid w:val="000245E8"/>
    <w:rsid w:val="00044A71"/>
    <w:rsid w:val="00061843"/>
    <w:rsid w:val="0006571F"/>
    <w:rsid w:val="000707C9"/>
    <w:rsid w:val="000C692B"/>
    <w:rsid w:val="000D28D4"/>
    <w:rsid w:val="00104A8D"/>
    <w:rsid w:val="00111BB8"/>
    <w:rsid w:val="00112849"/>
    <w:rsid w:val="00127ADE"/>
    <w:rsid w:val="00167F69"/>
    <w:rsid w:val="0021538E"/>
    <w:rsid w:val="00217AF1"/>
    <w:rsid w:val="0023690E"/>
    <w:rsid w:val="00236F5A"/>
    <w:rsid w:val="00241C59"/>
    <w:rsid w:val="00242A07"/>
    <w:rsid w:val="002614E8"/>
    <w:rsid w:val="00274C2A"/>
    <w:rsid w:val="00297E8C"/>
    <w:rsid w:val="002A4383"/>
    <w:rsid w:val="002B3B4A"/>
    <w:rsid w:val="002C50E4"/>
    <w:rsid w:val="00311C9D"/>
    <w:rsid w:val="00313D2C"/>
    <w:rsid w:val="00314404"/>
    <w:rsid w:val="003145CA"/>
    <w:rsid w:val="003172DB"/>
    <w:rsid w:val="0033103A"/>
    <w:rsid w:val="00351F72"/>
    <w:rsid w:val="00352057"/>
    <w:rsid w:val="003B66EC"/>
    <w:rsid w:val="003C4A4A"/>
    <w:rsid w:val="003E1A25"/>
    <w:rsid w:val="003F6220"/>
    <w:rsid w:val="00420A40"/>
    <w:rsid w:val="00445495"/>
    <w:rsid w:val="004650E8"/>
    <w:rsid w:val="004C1636"/>
    <w:rsid w:val="004C3990"/>
    <w:rsid w:val="004C556A"/>
    <w:rsid w:val="004F0C76"/>
    <w:rsid w:val="005350B8"/>
    <w:rsid w:val="00546D84"/>
    <w:rsid w:val="00586898"/>
    <w:rsid w:val="00593031"/>
    <w:rsid w:val="005A5DB5"/>
    <w:rsid w:val="005F56FD"/>
    <w:rsid w:val="0061570F"/>
    <w:rsid w:val="006216E7"/>
    <w:rsid w:val="00624888"/>
    <w:rsid w:val="00652729"/>
    <w:rsid w:val="00670B8A"/>
    <w:rsid w:val="00675D63"/>
    <w:rsid w:val="00675ED0"/>
    <w:rsid w:val="0068512A"/>
    <w:rsid w:val="00697C7F"/>
    <w:rsid w:val="006B29DF"/>
    <w:rsid w:val="006C177E"/>
    <w:rsid w:val="00723F27"/>
    <w:rsid w:val="0073512F"/>
    <w:rsid w:val="00737B36"/>
    <w:rsid w:val="00757659"/>
    <w:rsid w:val="00780B40"/>
    <w:rsid w:val="007836F8"/>
    <w:rsid w:val="007E7402"/>
    <w:rsid w:val="007F09E9"/>
    <w:rsid w:val="00801477"/>
    <w:rsid w:val="00823B85"/>
    <w:rsid w:val="00855290"/>
    <w:rsid w:val="008907F1"/>
    <w:rsid w:val="008916BF"/>
    <w:rsid w:val="008A0109"/>
    <w:rsid w:val="008D5290"/>
    <w:rsid w:val="008D6A6F"/>
    <w:rsid w:val="008E43F0"/>
    <w:rsid w:val="008E77D8"/>
    <w:rsid w:val="008F4D70"/>
    <w:rsid w:val="00912184"/>
    <w:rsid w:val="00943CAE"/>
    <w:rsid w:val="009634D2"/>
    <w:rsid w:val="00965F1B"/>
    <w:rsid w:val="009E105E"/>
    <w:rsid w:val="009E254A"/>
    <w:rsid w:val="00A046AA"/>
    <w:rsid w:val="00A76459"/>
    <w:rsid w:val="00A90C85"/>
    <w:rsid w:val="00AE0540"/>
    <w:rsid w:val="00AF3507"/>
    <w:rsid w:val="00B21C01"/>
    <w:rsid w:val="00B252F7"/>
    <w:rsid w:val="00B5056F"/>
    <w:rsid w:val="00B55BF5"/>
    <w:rsid w:val="00BD3EED"/>
    <w:rsid w:val="00C31520"/>
    <w:rsid w:val="00C56304"/>
    <w:rsid w:val="00C6645A"/>
    <w:rsid w:val="00C75235"/>
    <w:rsid w:val="00CC00A5"/>
    <w:rsid w:val="00CF6DFB"/>
    <w:rsid w:val="00CF7C4C"/>
    <w:rsid w:val="00D01C7E"/>
    <w:rsid w:val="00D0290C"/>
    <w:rsid w:val="00D15CD9"/>
    <w:rsid w:val="00D205A2"/>
    <w:rsid w:val="00D271B6"/>
    <w:rsid w:val="00D348C2"/>
    <w:rsid w:val="00D45D75"/>
    <w:rsid w:val="00E273F5"/>
    <w:rsid w:val="00E572F4"/>
    <w:rsid w:val="00E643B2"/>
    <w:rsid w:val="00E96073"/>
    <w:rsid w:val="00E97125"/>
    <w:rsid w:val="00ED0852"/>
    <w:rsid w:val="00EE5616"/>
    <w:rsid w:val="00EF23D7"/>
    <w:rsid w:val="00F1773D"/>
    <w:rsid w:val="00F278F0"/>
    <w:rsid w:val="00F60E68"/>
    <w:rsid w:val="00F67B56"/>
    <w:rsid w:val="00FB49E3"/>
    <w:rsid w:val="00FB5D58"/>
    <w:rsid w:val="00FC3621"/>
    <w:rsid w:val="00FC5A46"/>
    <w:rsid w:val="00FD1A6F"/>
    <w:rsid w:val="00FF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DECA0"/>
  <w15:chartTrackingRefBased/>
  <w15:docId w15:val="{97E53D03-D9E1-4E41-BE88-5AC2D18E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B29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55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04A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A8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11C9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6B29D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B2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B29D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46D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6D84"/>
  </w:style>
  <w:style w:type="paragraph" w:styleId="Footer">
    <w:name w:val="footer"/>
    <w:basedOn w:val="Normal"/>
    <w:link w:val="FooterChar"/>
    <w:uiPriority w:val="99"/>
    <w:unhideWhenUsed/>
    <w:rsid w:val="00546D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6D84"/>
  </w:style>
  <w:style w:type="character" w:styleId="LineNumber">
    <w:name w:val="line number"/>
    <w:basedOn w:val="DefaultParagraphFont"/>
    <w:uiPriority w:val="99"/>
    <w:semiHidden/>
    <w:unhideWhenUsed/>
    <w:rsid w:val="00546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99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0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56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68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51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34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C9FBCD-75FD-4491-A368-01B1B8CF2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Shakespeare</dc:creator>
  <cp:keywords/>
  <dc:description/>
  <cp:lastModifiedBy>Megan Cerino</cp:lastModifiedBy>
  <cp:revision>3</cp:revision>
  <dcterms:created xsi:type="dcterms:W3CDTF">2020-08-12T17:33:00Z</dcterms:created>
  <dcterms:modified xsi:type="dcterms:W3CDTF">2020-08-12T17:33:00Z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http://www.zotero.org/styles/the-lancet</vt:lpwstr>
  </property>
  <property fmtid="{D5CDD505-2E9C-101B-9397-08002B2CF9AE}" pid="19" name="Mendeley Recent Style Name 8_1">
    <vt:lpwstr>The Lancet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0eab4beb-b288-3d37-aedd-883de61feae0</vt:lpwstr>
  </property>
  <property fmtid="{D5CDD505-2E9C-101B-9397-08002B2CF9AE}" pid="24" name="Mendeley Citation Style_1">
    <vt:lpwstr>http://www.zotero.org/styles/vancouver</vt:lpwstr>
  </property>
</Properties>
</file>