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3A0D64">
      <w:pPr>
        <w:spacing w:line="240" w:lineRule="auto"/>
        <w:jc w:val="center"/>
        <w:outlineLvl w:val="0"/>
        <w:rPr>
          <w:rFonts w:ascii="Times New Roman" w:hAnsi="Times New Roman" w:cs="Times New Roman"/>
          <w:b/>
          <w:bCs/>
          <w:color w:val="000000"/>
          <w:sz w:val="36"/>
          <w:szCs w:val="36"/>
          <w:lang w:eastAsia="zh-CN"/>
        </w:rPr>
      </w:pPr>
      <w:bookmarkStart w:id="0" w:name="_Hlk138077536"/>
      <w:bookmarkEnd w:id="0"/>
      <w:r>
        <w:rPr>
          <w:rFonts w:ascii="Times New Roman" w:hAnsi="Times New Roman" w:cs="Times New Roman"/>
          <w:b/>
          <w:bCs/>
          <w:color w:val="000000"/>
          <w:sz w:val="36"/>
          <w:szCs w:val="36"/>
          <w:lang w:eastAsia="zh-CN"/>
        </w:rPr>
        <w:t>Supplementary Materials</w:t>
      </w:r>
    </w:p>
    <w:p w14:paraId="6BEAA68A"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/>
        <w:jc w:val="center"/>
        <w:rPr>
          <w:rFonts w:hint="default" w:ascii="Times New Roman" w:hAnsi="Times New Roman" w:eastAsia="Segoe UI" w:cs="Times New Roman"/>
          <w:b/>
          <w:bCs/>
          <w:color w:val="0D0D0D"/>
          <w:kern w:val="2"/>
          <w:sz w:val="32"/>
          <w:szCs w:val="32"/>
          <w:shd w:val="clear" w:fill="FFFFFF"/>
          <w:lang w:val="en-US" w:eastAsia="zh-CN" w:bidi="ar"/>
        </w:rPr>
      </w:pPr>
      <w:bookmarkStart w:id="1" w:name="_GoBack"/>
      <w:bookmarkEnd w:id="1"/>
    </w:p>
    <w:p w14:paraId="7F40BAD4"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/>
        <w:jc w:val="center"/>
        <w:rPr>
          <w:rFonts w:hint="default" w:ascii="Times New Roman" w:hAnsi="Times New Roman" w:eastAsia="Segoe UI" w:cs="Times New Roman"/>
          <w:b/>
          <w:bCs/>
          <w:color w:val="0D0D0D"/>
          <w:kern w:val="2"/>
          <w:sz w:val="24"/>
          <w:szCs w:val="24"/>
          <w:shd w:val="clear" w:fill="FFFFFF"/>
          <w:lang w:val="en-US" w:eastAsia="zh-CN" w:bidi="ar"/>
        </w:rPr>
      </w:pPr>
      <w:r>
        <w:rPr>
          <w:rFonts w:ascii="Times New Roman" w:hAnsi="Times New Roman" w:eastAsia="Segoe UI" w:cs="Times New Roman"/>
          <w:b/>
          <w:bCs/>
          <w:color w:val="0D0D0D"/>
          <w:sz w:val="24"/>
          <w:szCs w:val="24"/>
          <w:shd w:val="clear" w:color="auto" w:fill="FFFFFF"/>
        </w:rPr>
        <w:t>TNFRSF18+ Tregs Impair Immunotherapy Efficacy in Immunosuppressed Colon Cancer Patients</w:t>
      </w:r>
    </w:p>
    <w:p w14:paraId="03A9480A"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/>
        <w:jc w:val="center"/>
        <w:rPr>
          <w:rFonts w:hint="default" w:ascii="Times New Roman" w:hAnsi="Times New Roman" w:eastAsia="Segoe UI" w:cs="Times New Roman"/>
          <w:b/>
          <w:bCs/>
          <w:color w:val="0D0D0D"/>
          <w:kern w:val="2"/>
          <w:sz w:val="28"/>
          <w:szCs w:val="28"/>
          <w:shd w:val="clear" w:fill="FFFFFF"/>
          <w:lang w:val="en-US" w:eastAsia="zh-CN" w:bidi="ar"/>
        </w:rPr>
      </w:pPr>
    </w:p>
    <w:p w14:paraId="4BEDBC8C">
      <w:pPr>
        <w:pStyle w:val="4"/>
        <w:tabs>
          <w:tab w:val="right" w:leader="dot" w:pos="8296"/>
        </w:tabs>
        <w:rPr>
          <w:rFonts w:hint="eastAsia" w:ascii="Times New Roman" w:hAnsi="Times New Roman" w:cs="Times New Roman"/>
          <w:color w:val="000000"/>
          <w:sz w:val="20"/>
          <w:szCs w:val="20"/>
          <w:lang w:val="en-US" w:eastAsia="zh-CN"/>
        </w:rPr>
      </w:pPr>
      <w:r>
        <w:rPr>
          <w:rFonts w:hint="eastAsia" w:ascii="Times New Roman" w:hAnsi="Times New Roman" w:cs="Times New Roman"/>
          <w:color w:val="000000"/>
          <w:sz w:val="20"/>
          <w:szCs w:val="20"/>
          <w:lang w:val="en-US" w:eastAsia="zh-CN"/>
        </w:rPr>
        <w:fldChar w:fldCharType="begin"/>
      </w:r>
      <w:r>
        <w:rPr>
          <w:rFonts w:hint="eastAsia" w:ascii="Times New Roman" w:hAnsi="Times New Roman" w:cs="Times New Roman"/>
          <w:color w:val="000000"/>
          <w:sz w:val="20"/>
          <w:szCs w:val="20"/>
          <w:lang w:val="en-US" w:eastAsia="zh-CN"/>
        </w:rPr>
        <w:instrText xml:space="preserve"> HYPERLINK \l "_Toc136171537" </w:instrText>
      </w:r>
      <w:r>
        <w:rPr>
          <w:rFonts w:hint="eastAsia" w:ascii="Times New Roman" w:hAnsi="Times New Roman" w:cs="Times New Roman"/>
          <w:color w:val="000000"/>
          <w:sz w:val="20"/>
          <w:szCs w:val="20"/>
          <w:lang w:val="en-US" w:eastAsia="zh-CN"/>
        </w:rPr>
        <w:fldChar w:fldCharType="separate"/>
      </w:r>
      <w:r>
        <w:rPr>
          <w:rFonts w:hint="eastAsia" w:ascii="Times New Roman" w:hAnsi="Times New Roman" w:cs="Times New Roman"/>
          <w:color w:val="000000"/>
          <w:sz w:val="20"/>
          <w:szCs w:val="20"/>
          <w:lang w:val="en-US" w:eastAsia="zh-CN"/>
        </w:rPr>
        <w:t>Figure S1.HLA expression and cellular infiltration in different i</w:t>
      </w:r>
      <w:r>
        <w:rPr>
          <w:rFonts w:hint="default" w:ascii="Times New Roman" w:hAnsi="Times New Roman" w:cs="Times New Roman"/>
          <w:color w:val="000000"/>
          <w:sz w:val="20"/>
          <w:szCs w:val="20"/>
          <w:lang w:val="en-US" w:eastAsia="zh-CN"/>
        </w:rPr>
        <w:t>mmunophenotype</w:t>
      </w:r>
      <w:r>
        <w:rPr>
          <w:rFonts w:hint="eastAsia" w:ascii="Times New Roman" w:hAnsi="Times New Roman" w:cs="Times New Roman"/>
          <w:color w:val="000000"/>
          <w:sz w:val="20"/>
          <w:szCs w:val="20"/>
          <w:lang w:val="en-US" w:eastAsia="zh-CN"/>
        </w:rPr>
        <w:t>s</w:t>
      </w:r>
      <w:r>
        <w:rPr>
          <w:rFonts w:hint="eastAsia" w:ascii="Times New Roman" w:hAnsi="Times New Roman" w:cs="Times New Roman"/>
          <w:color w:val="000000"/>
          <w:sz w:val="20"/>
          <w:szCs w:val="20"/>
          <w:lang w:val="en-US" w:eastAsia="zh-CN"/>
        </w:rPr>
        <w:tab/>
      </w:r>
      <w:r>
        <w:rPr>
          <w:rFonts w:hint="eastAsia" w:ascii="Times New Roman" w:hAnsi="Times New Roman" w:cs="Times New Roman"/>
          <w:color w:val="000000"/>
          <w:sz w:val="20"/>
          <w:szCs w:val="20"/>
          <w:lang w:val="en-US" w:eastAsia="zh-CN"/>
        </w:rPr>
        <w:t>2</w:t>
      </w:r>
      <w:r>
        <w:rPr>
          <w:rFonts w:hint="eastAsia" w:ascii="Times New Roman" w:hAnsi="Times New Roman" w:cs="Times New Roman"/>
          <w:color w:val="000000"/>
          <w:sz w:val="20"/>
          <w:szCs w:val="20"/>
          <w:lang w:val="en-US" w:eastAsia="zh-CN"/>
        </w:rPr>
        <w:fldChar w:fldCharType="end"/>
      </w:r>
    </w:p>
    <w:p w14:paraId="4658088F">
      <w:pPr>
        <w:pStyle w:val="4"/>
        <w:tabs>
          <w:tab w:val="right" w:leader="dot" w:pos="8296"/>
        </w:tabs>
        <w:rPr>
          <w:rFonts w:ascii="Times New Roman" w:hAnsi="Times New Roman" w:cs="Times New Roman"/>
          <w:kern w:val="2"/>
          <w:sz w:val="21"/>
          <w14:ligatures w14:val="standardContextual"/>
        </w:rPr>
      </w:pPr>
      <w:r>
        <w:rPr>
          <w:rFonts w:hint="eastAsia" w:ascii="Times New Roman" w:hAnsi="Times New Roman" w:cs="Times New Roman"/>
          <w:color w:val="000000"/>
          <w:sz w:val="20"/>
          <w:szCs w:val="20"/>
          <w:lang w:val="en-US" w:eastAsia="zh-CN"/>
        </w:rPr>
        <w:fldChar w:fldCharType="begin"/>
      </w:r>
      <w:r>
        <w:rPr>
          <w:rFonts w:hint="eastAsia" w:ascii="Times New Roman" w:hAnsi="Times New Roman" w:cs="Times New Roman"/>
          <w:color w:val="000000"/>
          <w:sz w:val="20"/>
          <w:szCs w:val="20"/>
          <w:lang w:val="en-US" w:eastAsia="zh-CN"/>
        </w:rPr>
        <w:instrText xml:space="preserve"> HYPERLINK \l "_Toc136171537" </w:instrText>
      </w:r>
      <w:r>
        <w:rPr>
          <w:rFonts w:hint="eastAsia" w:ascii="Times New Roman" w:hAnsi="Times New Roman" w:cs="Times New Roman"/>
          <w:color w:val="000000"/>
          <w:sz w:val="20"/>
          <w:szCs w:val="20"/>
          <w:lang w:val="en-US" w:eastAsia="zh-CN"/>
        </w:rPr>
        <w:fldChar w:fldCharType="separate"/>
      </w:r>
      <w:r>
        <w:rPr>
          <w:rFonts w:hint="eastAsia" w:ascii="Times New Roman" w:hAnsi="Times New Roman" w:cs="Times New Roman"/>
          <w:color w:val="000000"/>
          <w:sz w:val="20"/>
          <w:szCs w:val="20"/>
          <w:lang w:val="en-US" w:eastAsia="zh-CN"/>
        </w:rPr>
        <w:t>Figure S2.Survival analysis</w:t>
      </w:r>
      <w:r>
        <w:rPr>
          <w:rFonts w:hint="eastAsia" w:ascii="Times New Roman" w:hAnsi="Times New Roman" w:cs="Times New Roman"/>
          <w:color w:val="000000"/>
          <w:sz w:val="20"/>
          <w:szCs w:val="20"/>
          <w:lang w:val="en-US" w:eastAsia="zh-CN"/>
        </w:rPr>
        <w:tab/>
      </w:r>
      <w:r>
        <w:rPr>
          <w:rFonts w:hint="eastAsia" w:ascii="Times New Roman" w:hAnsi="Times New Roman" w:cs="Times New Roman"/>
          <w:color w:val="000000"/>
          <w:sz w:val="20"/>
          <w:szCs w:val="20"/>
          <w:lang w:val="en-US" w:eastAsia="zh-CN"/>
        </w:rPr>
        <w:t>3</w:t>
      </w:r>
      <w:r>
        <w:rPr>
          <w:rFonts w:hint="eastAsia" w:ascii="Times New Roman" w:hAnsi="Times New Roman" w:cs="Times New Roman"/>
          <w:color w:val="000000"/>
          <w:sz w:val="20"/>
          <w:szCs w:val="20"/>
          <w:lang w:val="en-US" w:eastAsia="zh-CN"/>
        </w:rPr>
        <w:fldChar w:fldCharType="end"/>
      </w:r>
    </w:p>
    <w:p w14:paraId="79396E7F">
      <w:pPr>
        <w:pStyle w:val="4"/>
        <w:tabs>
          <w:tab w:val="right" w:leader="dot" w:pos="8296"/>
        </w:tabs>
        <w:rPr>
          <w:rFonts w:ascii="Times New Roman" w:hAnsi="Times New Roman" w:cs="Times New Roman"/>
        </w:rPr>
      </w:pPr>
      <w:r>
        <w:fldChar w:fldCharType="begin"/>
      </w:r>
      <w:r>
        <w:instrText xml:space="preserve"> HYPERLINK \l "_Toc136171537" </w:instrText>
      </w:r>
      <w:r>
        <w:fldChar w:fldCharType="separate"/>
      </w:r>
      <w:r>
        <w:rPr>
          <w:rFonts w:ascii="Times New Roman" w:hAnsi="Times New Roman" w:cs="Times New Roman"/>
          <w:color w:val="000000"/>
          <w:sz w:val="20"/>
          <w:szCs w:val="20"/>
          <w:lang w:eastAsia="zh-CN"/>
        </w:rPr>
        <w:t xml:space="preserve">Figure </w:t>
      </w:r>
      <w:r>
        <w:rPr>
          <w:rFonts w:hint="eastAsia" w:ascii="Times New Roman" w:hAnsi="Times New Roman" w:cs="Times New Roman"/>
          <w:color w:val="000000"/>
          <w:sz w:val="20"/>
          <w:szCs w:val="20"/>
          <w:lang w:eastAsia="zh-CN"/>
        </w:rPr>
        <w:t>S</w:t>
      </w:r>
      <w:r>
        <w:rPr>
          <w:rFonts w:hint="eastAsia" w:ascii="Times New Roman" w:hAnsi="Times New Roman" w:cs="Times New Roman"/>
          <w:color w:val="000000"/>
          <w:sz w:val="20"/>
          <w:szCs w:val="20"/>
          <w:lang w:val="en-US" w:eastAsia="zh-CN"/>
        </w:rPr>
        <w:t>3.Single cell annotation marker</w:t>
      </w:r>
      <w:r>
        <w:rPr>
          <w:rFonts w:ascii="Times New Roman" w:hAnsi="Times New Roman" w:cs="Times New Roman"/>
        </w:rPr>
        <w:tab/>
      </w:r>
      <w:r>
        <w:rPr>
          <w:rFonts w:hint="eastAsia" w:ascii="Times New Roman" w:hAnsi="Times New Roman" w:cs="Times New Roman"/>
          <w:lang w:eastAsia="zh-CN"/>
        </w:rPr>
        <w:t>4</w:t>
      </w:r>
      <w:r>
        <w:rPr>
          <w:rFonts w:hint="eastAsia" w:ascii="Times New Roman" w:hAnsi="Times New Roman" w:cs="Times New Roman"/>
          <w:lang w:eastAsia="zh-CN"/>
        </w:rPr>
        <w:fldChar w:fldCharType="end"/>
      </w:r>
    </w:p>
    <w:p w14:paraId="3BC66AB9"/>
    <w:p w14:paraId="26F4056B"/>
    <w:p w14:paraId="3A26B03A"/>
    <w:p w14:paraId="504260CF"/>
    <w:p w14:paraId="43CBA649"/>
    <w:p w14:paraId="588FA013"/>
    <w:p w14:paraId="4BECF8E6"/>
    <w:p w14:paraId="42984BE9"/>
    <w:p w14:paraId="5ED2A535"/>
    <w:p w14:paraId="3C9D9070"/>
    <w:p w14:paraId="15B6F41E"/>
    <w:p w14:paraId="06C09E8C"/>
    <w:p w14:paraId="65B15EC3"/>
    <w:p w14:paraId="08022E04"/>
    <w:p w14:paraId="75E74247"/>
    <w:p w14:paraId="0A111D0A"/>
    <w:p w14:paraId="2EA29B5B"/>
    <w:p w14:paraId="5A855DD5"/>
    <w:p w14:paraId="3A68889B"/>
    <w:p w14:paraId="1E891404"/>
    <w:p w14:paraId="4AE50308"/>
    <w:p w14:paraId="29960B97"/>
    <w:p w14:paraId="7504DECC"/>
    <w:p w14:paraId="69535507"/>
    <w:p w14:paraId="22478776"/>
    <w:p w14:paraId="05F9857A"/>
    <w:p w14:paraId="6307E8C8"/>
    <w:p w14:paraId="2742CAC9">
      <w:pPr>
        <w:widowControl/>
        <w:spacing w:after="160" w:line="259" w:lineRule="auto"/>
        <w:jc w:val="both"/>
        <w:rPr>
          <w:rFonts w:hint="eastAsia" w:ascii="Times New Roman" w:hAnsi="Times New Roman" w:cs="Times New Roman"/>
          <w:b w:val="0"/>
          <w:bCs w:val="0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color w:val="000000"/>
          <w:kern w:val="0"/>
          <w:sz w:val="24"/>
          <w:szCs w:val="24"/>
          <w:lang w:val="en-US" w:eastAsia="zh-CN"/>
        </w:rPr>
        <w:t>Figure S1. HLA expression and cellular infiltration in different i</w:t>
      </w:r>
      <w:r>
        <w:rPr>
          <w:rFonts w:hint="default" w:ascii="Times New Roman" w:hAnsi="Times New Roman" w:eastAsia="宋体" w:cs="Times New Roman"/>
          <w:b/>
          <w:bCs/>
          <w:color w:val="0D0D0D"/>
          <w:kern w:val="2"/>
          <w:sz w:val="24"/>
          <w:szCs w:val="24"/>
          <w:shd w:val="clear" w:fill="FFFFFF"/>
          <w:lang w:val="en-US" w:eastAsia="zh-CN" w:bidi="ar"/>
        </w:rPr>
        <w:t>mmunophenotype</w:t>
      </w:r>
      <w:r>
        <w:rPr>
          <w:rFonts w:hint="eastAsia" w:ascii="Times New Roman" w:hAnsi="Times New Roman" w:eastAsia="宋体" w:cs="Times New Roman"/>
          <w:b/>
          <w:bCs/>
          <w:color w:val="0D0D0D"/>
          <w:kern w:val="2"/>
          <w:sz w:val="24"/>
          <w:szCs w:val="24"/>
          <w:shd w:val="clear" w:fill="FFFFFF"/>
          <w:lang w:val="en-US" w:eastAsia="zh-CN" w:bidi="ar"/>
        </w:rPr>
        <w:t>s</w:t>
      </w:r>
      <w:r>
        <w:rPr>
          <w:rFonts w:hint="eastAsia" w:ascii="Times New Roman" w:hAnsi="Times New Roman" w:cs="Times New Roman"/>
          <w:b/>
          <w:bCs/>
          <w:color w:val="000000"/>
          <w:kern w:val="0"/>
          <w:sz w:val="24"/>
          <w:szCs w:val="24"/>
          <w:lang w:val="en-US" w:eastAsia="zh-CN"/>
        </w:rPr>
        <w:t xml:space="preserve">. </w:t>
      </w:r>
      <w:r>
        <w:rPr>
          <w:rFonts w:hint="eastAsia" w:ascii="Times New Roman" w:hAnsi="Times New Roman" w:cs="Times New Roman"/>
          <w:b w:val="0"/>
          <w:bCs w:val="0"/>
          <w:color w:val="000000"/>
          <w:kern w:val="0"/>
          <w:sz w:val="24"/>
          <w:szCs w:val="24"/>
          <w:lang w:val="en-US" w:eastAsia="zh-CN"/>
        </w:rPr>
        <w:t xml:space="preserve">A. Schematic illustration of the differences in HLA expression between the two </w:t>
      </w:r>
      <w:r>
        <w:rPr>
          <w:rFonts w:hint="default" w:ascii="Times New Roman" w:hAnsi="Times New Roman" w:eastAsia="宋体" w:cs="Times New Roman"/>
          <w:b w:val="0"/>
          <w:bCs w:val="0"/>
          <w:color w:val="0D0D0D"/>
          <w:kern w:val="2"/>
          <w:sz w:val="24"/>
          <w:szCs w:val="24"/>
          <w:shd w:val="clear" w:fill="FFFFFF"/>
          <w:lang w:val="en-US" w:eastAsia="zh-CN" w:bidi="ar"/>
        </w:rPr>
        <w:t>Immunophenotype</w:t>
      </w:r>
      <w:r>
        <w:rPr>
          <w:rFonts w:hint="eastAsia" w:ascii="Times New Roman" w:hAnsi="Times New Roman" w:eastAsia="宋体" w:cs="Times New Roman"/>
          <w:b w:val="0"/>
          <w:bCs w:val="0"/>
          <w:color w:val="0D0D0D"/>
          <w:kern w:val="2"/>
          <w:sz w:val="24"/>
          <w:szCs w:val="24"/>
          <w:shd w:val="clear" w:fill="FFFFFF"/>
          <w:lang w:val="en-US" w:eastAsia="zh-CN" w:bidi="ar"/>
        </w:rPr>
        <w:t xml:space="preserve">s; </w:t>
      </w:r>
      <w:r>
        <w:rPr>
          <w:rFonts w:hint="eastAsia" w:ascii="Times New Roman" w:hAnsi="Times New Roman" w:cs="Times New Roman"/>
          <w:b w:val="0"/>
          <w:bCs w:val="0"/>
          <w:color w:val="000000"/>
          <w:kern w:val="0"/>
          <w:sz w:val="24"/>
          <w:szCs w:val="24"/>
          <w:lang w:val="en-US" w:eastAsia="zh-CN"/>
        </w:rPr>
        <w:t xml:space="preserve">B. Schematic illustration of the differences in immune cellular infiltration patterns between the two </w:t>
      </w:r>
      <w:r>
        <w:rPr>
          <w:rFonts w:hint="default" w:ascii="Times New Roman" w:hAnsi="Times New Roman" w:eastAsia="宋体" w:cs="Times New Roman"/>
          <w:b w:val="0"/>
          <w:bCs w:val="0"/>
          <w:color w:val="0D0D0D"/>
          <w:kern w:val="2"/>
          <w:sz w:val="24"/>
          <w:szCs w:val="24"/>
          <w:shd w:val="clear" w:fill="FFFFFF"/>
          <w:lang w:val="en-US" w:eastAsia="zh-CN" w:bidi="ar"/>
        </w:rPr>
        <w:t>Immunophenotype</w:t>
      </w:r>
      <w:r>
        <w:rPr>
          <w:rFonts w:hint="eastAsia" w:ascii="Times New Roman" w:hAnsi="Times New Roman" w:eastAsia="宋体" w:cs="Times New Roman"/>
          <w:b w:val="0"/>
          <w:bCs w:val="0"/>
          <w:color w:val="0D0D0D"/>
          <w:kern w:val="2"/>
          <w:sz w:val="24"/>
          <w:szCs w:val="24"/>
          <w:shd w:val="clear" w:fill="FFFFFF"/>
          <w:lang w:val="en-US" w:eastAsia="zh-CN" w:bidi="ar"/>
        </w:rPr>
        <w:t>s</w:t>
      </w:r>
      <w:r>
        <w:rPr>
          <w:rFonts w:hint="eastAsia" w:ascii="Times New Roman" w:hAnsi="Times New Roman" w:cs="Times New Roman"/>
          <w:b w:val="0"/>
          <w:bCs w:val="0"/>
          <w:color w:val="000000"/>
          <w:kern w:val="0"/>
          <w:sz w:val="24"/>
          <w:szCs w:val="24"/>
          <w:lang w:val="en-US" w:eastAsia="zh-CN"/>
        </w:rPr>
        <w:t>.</w:t>
      </w:r>
    </w:p>
    <w:p w14:paraId="2A7F6383">
      <w:pPr>
        <w:widowControl/>
        <w:spacing w:after="160" w:line="259" w:lineRule="auto"/>
        <w:jc w:val="both"/>
        <w:rPr>
          <w:rFonts w:hint="eastAsia" w:ascii="Times New Roman" w:hAnsi="Times New Roman" w:cs="Times New Roman"/>
          <w:b w:val="0"/>
          <w:bCs w:val="0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color w:val="000000"/>
          <w:kern w:val="0"/>
          <w:sz w:val="24"/>
          <w:szCs w:val="24"/>
          <w:lang w:val="en-US" w:eastAsia="zh-CN"/>
        </w:rPr>
        <w:drawing>
          <wp:inline distT="0" distB="0" distL="114300" distR="114300">
            <wp:extent cx="5482590" cy="6547485"/>
            <wp:effectExtent l="0" t="0" r="3810" b="5715"/>
            <wp:docPr id="1" name="图片 1" descr="Figure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FigureS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82590" cy="6547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BF6190">
      <w:pPr>
        <w:widowControl/>
        <w:spacing w:after="160" w:line="259" w:lineRule="auto"/>
        <w:jc w:val="both"/>
        <w:rPr>
          <w:rFonts w:hint="eastAsia" w:ascii="Times New Roman" w:hAnsi="Times New Roman" w:eastAsia="宋体" w:cs="Times New Roman"/>
          <w:b/>
          <w:bCs/>
          <w:color w:val="0D0D0D"/>
          <w:kern w:val="2"/>
          <w:sz w:val="24"/>
          <w:szCs w:val="24"/>
          <w:shd w:val="clear" w:fill="FFFFFF"/>
          <w:lang w:val="en-US" w:eastAsia="zh-CN" w:bidi="ar"/>
        </w:rPr>
      </w:pPr>
    </w:p>
    <w:p w14:paraId="5812EE5F">
      <w:pPr>
        <w:widowControl/>
        <w:spacing w:after="160" w:line="259" w:lineRule="auto"/>
        <w:jc w:val="both"/>
        <w:rPr>
          <w:rFonts w:hint="eastAsia" w:ascii="Times New Roman" w:hAnsi="Times New Roman" w:eastAsia="宋体" w:cs="Times New Roman"/>
          <w:b w:val="0"/>
          <w:bCs w:val="0"/>
          <w:color w:val="0D0D0D"/>
          <w:kern w:val="2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D0D0D"/>
          <w:kern w:val="2"/>
          <w:sz w:val="24"/>
          <w:szCs w:val="24"/>
          <w:shd w:val="clear" w:fill="FFFFFF"/>
          <w:lang w:val="en-US" w:eastAsia="zh-CN" w:bidi="ar"/>
        </w:rPr>
        <w:t xml:space="preserve">Figure S2. Survival analysis. </w:t>
      </w:r>
      <w:r>
        <w:rPr>
          <w:rFonts w:hint="eastAsia" w:ascii="Times New Roman" w:hAnsi="Times New Roman" w:eastAsia="宋体" w:cs="Times New Roman"/>
          <w:b w:val="0"/>
          <w:bCs w:val="0"/>
          <w:color w:val="0D0D0D"/>
          <w:kern w:val="2"/>
          <w:sz w:val="24"/>
          <w:szCs w:val="24"/>
          <w:shd w:val="clear" w:fill="FFFFFF"/>
          <w:lang w:val="en-US" w:eastAsia="zh-CN" w:bidi="ar"/>
        </w:rPr>
        <w:t>Immunity-Low group of gene survival curves significantly associated with prognosis.</w:t>
      </w:r>
    </w:p>
    <w:p w14:paraId="39A44532">
      <w:pPr>
        <w:widowControl/>
        <w:spacing w:after="160" w:line="259" w:lineRule="auto"/>
        <w:jc w:val="center"/>
        <w:rPr>
          <w:rFonts w:hint="eastAsia" w:ascii="Times New Roman" w:hAnsi="Times New Roman" w:eastAsia="宋体" w:cs="Times New Roman"/>
          <w:b w:val="0"/>
          <w:bCs w:val="0"/>
          <w:color w:val="0D0D0D"/>
          <w:kern w:val="2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Times New Roman" w:hAnsi="Times New Roman" w:eastAsia="宋体" w:cs="Times New Roman"/>
          <w:b w:val="0"/>
          <w:bCs w:val="0"/>
          <w:color w:val="0D0D0D"/>
          <w:kern w:val="2"/>
          <w:sz w:val="24"/>
          <w:szCs w:val="24"/>
          <w:shd w:val="clear" w:fill="FFFFFF"/>
          <w:lang w:val="en-US" w:eastAsia="zh-CN" w:bidi="ar"/>
        </w:rPr>
        <w:drawing>
          <wp:inline distT="0" distB="0" distL="114300" distR="114300">
            <wp:extent cx="5140960" cy="7268845"/>
            <wp:effectExtent l="0" t="0" r="10160" b="635"/>
            <wp:docPr id="2" name="图片 2" descr="FigureS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FigureS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140960" cy="7268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2583C4">
      <w:pPr>
        <w:widowControl/>
        <w:spacing w:after="160" w:line="259" w:lineRule="auto"/>
        <w:jc w:val="both"/>
        <w:rPr>
          <w:rFonts w:hint="eastAsia" w:ascii="Times New Roman" w:hAnsi="Times New Roman" w:eastAsia="宋体" w:cs="Times New Roman"/>
          <w:b w:val="0"/>
          <w:bCs w:val="0"/>
          <w:color w:val="0D0D0D"/>
          <w:kern w:val="2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D0D0D"/>
          <w:kern w:val="2"/>
          <w:sz w:val="24"/>
          <w:szCs w:val="24"/>
          <w:shd w:val="clear" w:fill="FFFFFF"/>
          <w:lang w:val="en-US" w:eastAsia="zh-CN" w:bidi="ar"/>
        </w:rPr>
        <w:t>Figure S3. Single cell annotation marker.</w:t>
      </w:r>
      <w:r>
        <w:rPr>
          <w:rFonts w:hint="eastAsia" w:ascii="Times New Roman" w:hAnsi="Times New Roman" w:eastAsia="宋体" w:cs="Times New Roman"/>
          <w:b w:val="0"/>
          <w:bCs w:val="0"/>
          <w:color w:val="0D0D0D"/>
          <w:kern w:val="2"/>
          <w:sz w:val="24"/>
          <w:szCs w:val="24"/>
          <w:shd w:val="clear" w:fill="FFFFFF"/>
          <w:lang w:val="en-US" w:eastAsia="zh-CN" w:bidi="ar"/>
        </w:rPr>
        <w:t xml:space="preserve"> A. Schematic diagram of the overall cell data annotation marker. B. Schematic diagram of the CD4T cell annotation marker.</w:t>
      </w:r>
    </w:p>
    <w:p w14:paraId="668841A5">
      <w:pPr>
        <w:widowControl/>
        <w:spacing w:after="160" w:line="259" w:lineRule="auto"/>
        <w:jc w:val="center"/>
        <w:rPr>
          <w:rFonts w:hint="default" w:ascii="Times New Roman" w:hAnsi="Times New Roman" w:eastAsia="宋体" w:cs="Times New Roman"/>
          <w:b w:val="0"/>
          <w:bCs w:val="0"/>
          <w:color w:val="0D0D0D"/>
          <w:kern w:val="2"/>
          <w:sz w:val="24"/>
          <w:szCs w:val="24"/>
          <w:shd w:val="clear" w:fill="FFFFFF"/>
          <w:lang w:val="en-US" w:eastAsia="zh-CN" w:bidi="ar"/>
        </w:rPr>
      </w:pPr>
      <w:r>
        <w:rPr>
          <w:rFonts w:hint="default" w:ascii="Times New Roman" w:hAnsi="Times New Roman" w:eastAsia="宋体" w:cs="Times New Roman"/>
          <w:b w:val="0"/>
          <w:bCs w:val="0"/>
          <w:color w:val="0D0D0D"/>
          <w:kern w:val="2"/>
          <w:sz w:val="24"/>
          <w:szCs w:val="24"/>
          <w:shd w:val="clear" w:fill="FFFFFF"/>
          <w:lang w:val="en-US" w:eastAsia="zh-CN" w:bidi="ar"/>
        </w:rPr>
        <w:drawing>
          <wp:inline distT="0" distB="0" distL="114300" distR="114300">
            <wp:extent cx="4974590" cy="6920865"/>
            <wp:effectExtent l="0" t="0" r="8890" b="13335"/>
            <wp:docPr id="3" name="图片 3" descr="FigureS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FigureS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974590" cy="6920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footerReference r:id="rId3" w:type="default"/>
      <w:pgSz w:w="12240" w:h="15840"/>
      <w:pgMar w:top="1440" w:right="1800" w:bottom="1440" w:left="1800" w:header="720" w:footer="720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CE0ED08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2308497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lef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qMOCsyAgAAY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uow4Kz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2308497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kyMmRkMzIzMjMzODE2NjE3Mjg0MzZlM2Q0ZjZjYjMifQ=="/>
  </w:docVars>
  <w:rsids>
    <w:rsidRoot w:val="00000000"/>
    <w:rsid w:val="0783751A"/>
    <w:rsid w:val="1AAD62D2"/>
    <w:rsid w:val="1D9A00EE"/>
    <w:rsid w:val="3B441EBC"/>
    <w:rsid w:val="4D69025E"/>
    <w:rsid w:val="60B077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toc 1"/>
    <w:basedOn w:val="1"/>
    <w:next w:val="1"/>
    <w:autoRedefine/>
    <w:unhideWhenUsed/>
    <w:qFormat/>
    <w:uiPriority w:val="39"/>
    <w:pPr>
      <w:spacing w:after="100"/>
    </w:pPr>
    <w:rPr>
      <w:rFonts w:asciiTheme="minorHAnsi" w:hAnsiTheme="minorHAnsi"/>
    </w:rPr>
  </w:style>
  <w:style w:type="character" w:styleId="7">
    <w:name w:val="Hyperlink"/>
    <w:basedOn w:val="6"/>
    <w:autoRedefine/>
    <w:unhideWhenUsed/>
    <w:qFormat/>
    <w:uiPriority w:val="99"/>
    <w:rPr>
      <w:color w:val="0026E5" w:themeColor="hyperlink"/>
      <w:u w:val="single"/>
      <w14:textFill>
        <w14:solidFill>
          <w14:schemeClr w14:val="hlink"/>
        </w14:solidFill>
      </w14:textFill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111</Words>
  <Characters>744</Characters>
  <Lines>0</Lines>
  <Paragraphs>0</Paragraphs>
  <TotalTime>0</TotalTime>
  <ScaleCrop>false</ScaleCrop>
  <LinksUpToDate>false</LinksUpToDate>
  <CharactersWithSpaces>847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2024-04-03T14:50:00Z</dcterms:created>
  <dc:creator>ROG</dc:creator>
  <cp:lastModifiedBy>Shizhao Zhou</cp:lastModifiedBy>
  <dcterms:modified xsi:type="dcterms:W3CDTF">2024-09-29T01:54:49Z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21FD1E63981544E792AA3C48DAF13C9B_12</vt:lpwstr>
  </property>
</Properties>
</file>