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A1D7D" w14:textId="075CD3F3" w:rsidR="0009224F" w:rsidRDefault="00BD3209">
      <w:pPr>
        <w:rPr>
          <w:rFonts w:ascii="Times New Roman" w:eastAsia="Times New Roman" w:hAnsi="Times New Roman" w:cs="Times New Roman"/>
          <w:b/>
        </w:rPr>
      </w:pPr>
      <w:r>
        <w:rPr>
          <w:rFonts w:ascii="Times New Roman" w:eastAsia="Times New Roman" w:hAnsi="Times New Roman" w:cs="Times New Roman"/>
          <w:b/>
        </w:rPr>
        <w:t>SUPPLEMENTAL METHODS</w:t>
      </w:r>
    </w:p>
    <w:p w14:paraId="15D8C74E" w14:textId="77777777" w:rsidR="00F50240" w:rsidRDefault="00F50240" w:rsidP="00F50240">
      <w:pPr>
        <w:rPr>
          <w:rFonts w:ascii="Times New Roman" w:eastAsia="Times New Roman" w:hAnsi="Times New Roman" w:cs="Times New Roman"/>
          <w:i/>
        </w:rPr>
      </w:pPr>
    </w:p>
    <w:p w14:paraId="02A26A88" w14:textId="4584E1D7" w:rsidR="00F50240" w:rsidRDefault="00F50240" w:rsidP="00F50240">
      <w:pPr>
        <w:rPr>
          <w:rFonts w:ascii="Times New Roman" w:eastAsia="Times New Roman" w:hAnsi="Times New Roman" w:cs="Times New Roman"/>
          <w:i/>
        </w:rPr>
      </w:pPr>
      <w:r>
        <w:rPr>
          <w:rFonts w:ascii="Times New Roman" w:eastAsia="Times New Roman" w:hAnsi="Times New Roman" w:cs="Times New Roman"/>
          <w:i/>
        </w:rPr>
        <w:t>Re-Analysis of Chromatin Immunoprecipitation Sequencing (ChIP-SEQ) Data</w:t>
      </w:r>
    </w:p>
    <w:p w14:paraId="5E741AEC" w14:textId="574F61D0" w:rsidR="00FD0964" w:rsidRPr="002D5E39" w:rsidRDefault="00F50240">
      <w:pPr>
        <w:spacing w:before="240" w:after="240"/>
        <w:jc w:val="both"/>
        <w:rPr>
          <w:rFonts w:ascii="Times New Roman" w:eastAsia="Times New Roman" w:hAnsi="Times New Roman" w:cs="Times New Roman"/>
          <w:iCs/>
          <w:color w:val="333333"/>
        </w:rPr>
      </w:pPr>
      <w:r>
        <w:rPr>
          <w:rFonts w:ascii="Times New Roman" w:eastAsia="Times New Roman" w:hAnsi="Times New Roman" w:cs="Times New Roman"/>
        </w:rPr>
        <w:t>ChIP bigwig files with and without degron treatment were downloaded from GSE197387</w:t>
      </w:r>
      <w:r>
        <w:rPr>
          <w:rFonts w:ascii="Times New Roman" w:eastAsia="Times New Roman" w:hAnsi="Times New Roman" w:cs="Times New Roman"/>
          <w:i/>
          <w:color w:val="333333"/>
        </w:rPr>
        <w:t xml:space="preserve"> </w:t>
      </w:r>
      <w:r w:rsidR="002D5E39">
        <w:rPr>
          <w:rFonts w:ascii="Times New Roman" w:eastAsia="Times New Roman" w:hAnsi="Times New Roman" w:cs="Times New Roman"/>
          <w:iCs/>
          <w:color w:val="333333"/>
        </w:rPr>
        <w:t>(</w:t>
      </w:r>
      <w:r w:rsidR="00FD0964" w:rsidRPr="002D5E39">
        <w:rPr>
          <w:rFonts w:ascii="Times New Roman" w:eastAsia="Times New Roman" w:hAnsi="Times New Roman" w:cs="Times New Roman"/>
          <w:iCs/>
          <w:color w:val="333333"/>
        </w:rPr>
        <w:t>https://doi.org/10.1158/2159-8290.CD-22-0424</w:t>
      </w:r>
      <w:r w:rsidR="002D5E39">
        <w:rPr>
          <w:rFonts w:ascii="Times New Roman" w:eastAsia="Times New Roman" w:hAnsi="Times New Roman" w:cs="Times New Roman"/>
          <w:iCs/>
          <w:color w:val="333333"/>
        </w:rPr>
        <w:t>).</w:t>
      </w:r>
    </w:p>
    <w:p w14:paraId="28BA1D7E" w14:textId="571868AA" w:rsidR="0009224F" w:rsidRDefault="00AF7898">
      <w:pPr>
        <w:spacing w:before="240" w:after="240"/>
        <w:jc w:val="both"/>
        <w:rPr>
          <w:rFonts w:ascii="Times New Roman" w:eastAsia="Times New Roman" w:hAnsi="Times New Roman" w:cs="Times New Roman"/>
          <w:i/>
          <w:color w:val="333333"/>
        </w:rPr>
      </w:pPr>
      <w:r>
        <w:rPr>
          <w:rFonts w:ascii="Times New Roman" w:eastAsia="Times New Roman" w:hAnsi="Times New Roman" w:cs="Times New Roman"/>
          <w:i/>
          <w:color w:val="333333"/>
        </w:rPr>
        <w:t>Clinicopathologic and Laboratory Data</w:t>
      </w:r>
    </w:p>
    <w:p w14:paraId="28BA1D7F" w14:textId="3E59CA3B" w:rsidR="0009224F" w:rsidRDefault="002B6A61">
      <w:pPr>
        <w:spacing w:before="240" w:after="240"/>
        <w:jc w:val="both"/>
        <w:rPr>
          <w:rFonts w:ascii="Times New Roman" w:eastAsia="Times New Roman" w:hAnsi="Times New Roman" w:cs="Times New Roman"/>
          <w:color w:val="333333"/>
        </w:rPr>
      </w:pPr>
      <w:r>
        <w:rPr>
          <w:rFonts w:ascii="Times New Roman" w:eastAsia="Times New Roman" w:hAnsi="Times New Roman" w:cs="Times New Roman"/>
          <w:color w:val="333333"/>
        </w:rPr>
        <w:t>The pathology archives from Weill Cornell Medical College/NewYork-Presbyterian Hospital were queried for</w:t>
      </w:r>
      <w:r w:rsidR="00264DE7">
        <w:rPr>
          <w:rFonts w:ascii="Times New Roman" w:eastAsia="Times New Roman" w:hAnsi="Times New Roman" w:cs="Times New Roman"/>
          <w:color w:val="333333"/>
        </w:rPr>
        <w:t xml:space="preserve"> historical cases of acute myeloid leukemia with mutated </w:t>
      </w:r>
      <w:r w:rsidR="00264DE7" w:rsidRPr="00264DE7">
        <w:rPr>
          <w:rFonts w:ascii="Times New Roman" w:eastAsia="Times New Roman" w:hAnsi="Times New Roman" w:cs="Times New Roman"/>
          <w:i/>
          <w:iCs/>
          <w:color w:val="333333"/>
        </w:rPr>
        <w:t>NPM1</w:t>
      </w:r>
      <w:r w:rsidR="00264DE7">
        <w:rPr>
          <w:rFonts w:ascii="Times New Roman" w:eastAsia="Times New Roman" w:hAnsi="Times New Roman" w:cs="Times New Roman"/>
          <w:color w:val="333333"/>
        </w:rPr>
        <w:t xml:space="preserve">. </w:t>
      </w:r>
      <w:r w:rsidR="00C4152E">
        <w:rPr>
          <w:rFonts w:ascii="Times New Roman" w:eastAsia="Times New Roman" w:hAnsi="Times New Roman" w:cs="Times New Roman"/>
          <w:color w:val="333333"/>
        </w:rPr>
        <w:t>Cases were available formalin-fixed paraffin-embe</w:t>
      </w:r>
      <w:r w:rsidR="001105F5">
        <w:rPr>
          <w:rFonts w:ascii="Times New Roman" w:eastAsia="Times New Roman" w:hAnsi="Times New Roman" w:cs="Times New Roman"/>
          <w:color w:val="333333"/>
        </w:rPr>
        <w:t>d</w:t>
      </w:r>
      <w:r w:rsidR="00C4152E">
        <w:rPr>
          <w:rFonts w:ascii="Times New Roman" w:eastAsia="Times New Roman" w:hAnsi="Times New Roman" w:cs="Times New Roman"/>
          <w:color w:val="333333"/>
        </w:rPr>
        <w:t xml:space="preserve">ded clot section material </w:t>
      </w:r>
      <w:r w:rsidR="001105F5">
        <w:rPr>
          <w:rFonts w:ascii="Times New Roman" w:eastAsia="Times New Roman" w:hAnsi="Times New Roman" w:cs="Times New Roman"/>
          <w:color w:val="333333"/>
        </w:rPr>
        <w:t>were retrieved for further studies (n=33);</w:t>
      </w:r>
      <w:r w:rsidR="00325C84">
        <w:rPr>
          <w:rFonts w:ascii="Times New Roman" w:eastAsia="Times New Roman" w:hAnsi="Times New Roman" w:cs="Times New Roman"/>
          <w:color w:val="333333"/>
        </w:rPr>
        <w:t xml:space="preserve"> </w:t>
      </w:r>
      <w:r w:rsidR="00A7689D">
        <w:rPr>
          <w:rFonts w:ascii="Times New Roman" w:eastAsia="Times New Roman" w:hAnsi="Times New Roman" w:cs="Times New Roman"/>
          <w:color w:val="333333"/>
        </w:rPr>
        <w:t xml:space="preserve">cases included a mixture of </w:t>
      </w:r>
      <w:r w:rsidR="0072015A">
        <w:rPr>
          <w:rFonts w:ascii="Times New Roman" w:eastAsia="Times New Roman" w:hAnsi="Times New Roman" w:cs="Times New Roman"/>
          <w:color w:val="333333"/>
        </w:rPr>
        <w:t>males and females (M:F = 0.83:1) with a median age of</w:t>
      </w:r>
      <w:r w:rsidR="00DB2EFA">
        <w:rPr>
          <w:rFonts w:ascii="Times New Roman" w:eastAsia="Times New Roman" w:hAnsi="Times New Roman" w:cs="Times New Roman"/>
          <w:color w:val="333333"/>
        </w:rPr>
        <w:t xml:space="preserve"> </w:t>
      </w:r>
      <w:r w:rsidR="00892F8B">
        <w:rPr>
          <w:rFonts w:ascii="Times New Roman" w:eastAsia="Times New Roman" w:hAnsi="Times New Roman" w:cs="Times New Roman"/>
          <w:color w:val="333333"/>
        </w:rPr>
        <w:t>58</w:t>
      </w:r>
      <w:r w:rsidR="00325C84">
        <w:rPr>
          <w:rFonts w:ascii="Times New Roman" w:eastAsia="Times New Roman" w:hAnsi="Times New Roman" w:cs="Times New Roman"/>
          <w:color w:val="333333"/>
        </w:rPr>
        <w:t>.</w:t>
      </w:r>
      <w:r w:rsidR="001105F5">
        <w:rPr>
          <w:rFonts w:ascii="Times New Roman" w:eastAsia="Times New Roman" w:hAnsi="Times New Roman" w:cs="Times New Roman"/>
          <w:color w:val="333333"/>
        </w:rPr>
        <w:t xml:space="preserve"> </w:t>
      </w:r>
      <w:r w:rsidR="00325C84">
        <w:rPr>
          <w:rFonts w:ascii="Times New Roman" w:eastAsia="Times New Roman" w:hAnsi="Times New Roman" w:cs="Times New Roman"/>
          <w:color w:val="333333"/>
        </w:rPr>
        <w:t>I</w:t>
      </w:r>
      <w:r w:rsidR="001105F5">
        <w:rPr>
          <w:rFonts w:ascii="Times New Roman" w:eastAsia="Times New Roman" w:hAnsi="Times New Roman" w:cs="Times New Roman"/>
          <w:color w:val="333333"/>
        </w:rPr>
        <w:t xml:space="preserve">n addition, a representative sample of </w:t>
      </w:r>
      <w:r w:rsidR="00FE02D0" w:rsidRPr="00FE02D0">
        <w:rPr>
          <w:rFonts w:ascii="Times New Roman" w:eastAsia="Times New Roman" w:hAnsi="Times New Roman" w:cs="Times New Roman"/>
          <w:i/>
          <w:iCs/>
          <w:color w:val="333333"/>
        </w:rPr>
        <w:t>NPM1</w:t>
      </w:r>
      <w:r w:rsidR="00FE02D0">
        <w:rPr>
          <w:rFonts w:ascii="Times New Roman" w:eastAsia="Times New Roman" w:hAnsi="Times New Roman" w:cs="Times New Roman"/>
          <w:color w:val="333333"/>
        </w:rPr>
        <w:t xml:space="preserve">-wild type </w:t>
      </w:r>
      <w:r w:rsidR="00FE02D0" w:rsidRPr="00FE02D0">
        <w:rPr>
          <w:rFonts w:ascii="Times New Roman" w:eastAsia="Times New Roman" w:hAnsi="Times New Roman" w:cs="Times New Roman"/>
          <w:color w:val="333333"/>
        </w:rPr>
        <w:t>AML</w:t>
      </w:r>
      <w:r w:rsidR="00FE02D0">
        <w:rPr>
          <w:rFonts w:ascii="Times New Roman" w:eastAsia="Times New Roman" w:hAnsi="Times New Roman" w:cs="Times New Roman"/>
          <w:color w:val="333333"/>
        </w:rPr>
        <w:t xml:space="preserve"> cases with either </w:t>
      </w:r>
      <w:r w:rsidR="00FE02D0">
        <w:rPr>
          <w:rFonts w:ascii="Times New Roman" w:eastAsia="Times New Roman" w:hAnsi="Times New Roman" w:cs="Times New Roman"/>
          <w:i/>
          <w:iCs/>
          <w:color w:val="333333"/>
        </w:rPr>
        <w:t xml:space="preserve">TP53 </w:t>
      </w:r>
      <w:r w:rsidR="00FE02D0">
        <w:rPr>
          <w:rFonts w:ascii="Times New Roman" w:eastAsia="Times New Roman" w:hAnsi="Times New Roman" w:cs="Times New Roman"/>
          <w:color w:val="333333"/>
        </w:rPr>
        <w:t>mutation (n=5) or normal karyotype (n=7) were similarly identified</w:t>
      </w:r>
      <w:r w:rsidR="00345B25">
        <w:rPr>
          <w:rFonts w:ascii="Times New Roman" w:eastAsia="Times New Roman" w:hAnsi="Times New Roman" w:cs="Times New Roman"/>
          <w:color w:val="333333"/>
        </w:rPr>
        <w:t>.</w:t>
      </w:r>
      <w:r w:rsidR="0046447F">
        <w:rPr>
          <w:rFonts w:ascii="Times New Roman" w:eastAsia="Times New Roman" w:hAnsi="Times New Roman" w:cs="Times New Roman"/>
          <w:color w:val="333333"/>
        </w:rPr>
        <w:t xml:space="preserve"> Given the limited number of archival material available</w:t>
      </w:r>
      <w:r w:rsidR="00460813">
        <w:rPr>
          <w:rFonts w:ascii="Times New Roman" w:eastAsia="Times New Roman" w:hAnsi="Times New Roman" w:cs="Times New Roman"/>
          <w:color w:val="333333"/>
        </w:rPr>
        <w:t xml:space="preserve"> for additional studies, a specific power analysis was not performed.</w:t>
      </w:r>
      <w:r w:rsidR="00CC386D">
        <w:rPr>
          <w:rFonts w:ascii="Times New Roman" w:eastAsia="Times New Roman" w:hAnsi="Times New Roman" w:cs="Times New Roman"/>
          <w:color w:val="333333"/>
        </w:rPr>
        <w:t xml:space="preserve"> </w:t>
      </w:r>
      <w:r w:rsidR="00AF7898" w:rsidRPr="001105F5">
        <w:rPr>
          <w:rFonts w:ascii="Times New Roman" w:eastAsia="Times New Roman" w:hAnsi="Times New Roman" w:cs="Times New Roman"/>
          <w:color w:val="333333"/>
        </w:rPr>
        <w:t>The</w:t>
      </w:r>
      <w:r w:rsidR="00AF7898">
        <w:rPr>
          <w:rFonts w:ascii="Times New Roman" w:eastAsia="Times New Roman" w:hAnsi="Times New Roman" w:cs="Times New Roman"/>
          <w:color w:val="333333"/>
        </w:rPr>
        <w:t xml:space="preserve"> electronic medical record (EMR) for each patient included in the study was reviewed to obtain data concurrent with the evaluated biopsy specimen, including CBC data including hemoglobin concentration (Hb), white blood cell count (WBC), and platelet count (Plt). All diagnostic hematopathology reports were re-reviewed (PDB, SSP) to confirm the original diagnosis and AML sub-classification, and extract </w:t>
      </w:r>
      <w:r w:rsidR="00FF63BC">
        <w:rPr>
          <w:rFonts w:ascii="Times New Roman" w:eastAsia="Times New Roman" w:hAnsi="Times New Roman" w:cs="Times New Roman"/>
          <w:color w:val="333333"/>
        </w:rPr>
        <w:t xml:space="preserve">demographic information and </w:t>
      </w:r>
      <w:r w:rsidR="00AF7898">
        <w:rPr>
          <w:rFonts w:ascii="Times New Roman" w:eastAsia="Times New Roman" w:hAnsi="Times New Roman" w:cs="Times New Roman"/>
          <w:color w:val="333333"/>
        </w:rPr>
        <w:t xml:space="preserve">data related to manual aspirate differential counting, namely percentages of blasts. Details for all </w:t>
      </w:r>
      <w:r w:rsidR="00AF7898">
        <w:rPr>
          <w:rFonts w:ascii="Times New Roman" w:eastAsia="Times New Roman" w:hAnsi="Times New Roman" w:cs="Times New Roman"/>
          <w:i/>
          <w:color w:val="333333"/>
        </w:rPr>
        <w:t>NPM1</w:t>
      </w:r>
      <w:r w:rsidR="00AF7898">
        <w:rPr>
          <w:rFonts w:ascii="Times New Roman" w:eastAsia="Times New Roman" w:hAnsi="Times New Roman" w:cs="Times New Roman"/>
          <w:color w:val="333333"/>
        </w:rPr>
        <w:t xml:space="preserve">-AML samples are provided in </w:t>
      </w:r>
      <w:r w:rsidR="00AF7898">
        <w:rPr>
          <w:rFonts w:ascii="Times New Roman" w:eastAsia="Times New Roman" w:hAnsi="Times New Roman" w:cs="Times New Roman"/>
          <w:b/>
          <w:color w:val="333333"/>
        </w:rPr>
        <w:t>Table 1</w:t>
      </w:r>
      <w:r w:rsidR="00AF7898">
        <w:rPr>
          <w:rFonts w:ascii="Times New Roman" w:eastAsia="Times New Roman" w:hAnsi="Times New Roman" w:cs="Times New Roman"/>
          <w:color w:val="333333"/>
        </w:rPr>
        <w:t xml:space="preserve">. </w:t>
      </w:r>
    </w:p>
    <w:p w14:paraId="28BA1D80" w14:textId="77777777" w:rsidR="0009224F" w:rsidRDefault="00AF7898">
      <w:pPr>
        <w:rPr>
          <w:rFonts w:ascii="Times New Roman" w:eastAsia="Times New Roman" w:hAnsi="Times New Roman" w:cs="Times New Roman"/>
          <w:i/>
        </w:rPr>
      </w:pPr>
      <w:r>
        <w:rPr>
          <w:rFonts w:ascii="Times New Roman" w:eastAsia="Times New Roman" w:hAnsi="Times New Roman" w:cs="Times New Roman"/>
          <w:i/>
        </w:rPr>
        <w:t>Duplex Chromogenic Immunohistochemistry and MxIF Tissue Staining</w:t>
      </w:r>
    </w:p>
    <w:p w14:paraId="28BA1D81" w14:textId="77777777" w:rsidR="0009224F" w:rsidRDefault="0009224F">
      <w:pPr>
        <w:rPr>
          <w:rFonts w:ascii="Times New Roman" w:eastAsia="Times New Roman" w:hAnsi="Times New Roman" w:cs="Times New Roman"/>
          <w:i/>
        </w:rPr>
      </w:pPr>
    </w:p>
    <w:p w14:paraId="4D305D07" w14:textId="39153BC6" w:rsidR="007A05CE" w:rsidRDefault="00AF7898" w:rsidP="007A05CE">
      <w:pPr>
        <w:rPr>
          <w:rFonts w:ascii="Times New Roman" w:eastAsia="Times New Roman" w:hAnsi="Times New Roman" w:cs="Times New Roman"/>
        </w:rPr>
      </w:pPr>
      <w:r>
        <w:rPr>
          <w:rFonts w:ascii="Times New Roman" w:eastAsia="Times New Roman" w:hAnsi="Times New Roman" w:cs="Times New Roman"/>
        </w:rPr>
        <w:t xml:space="preserve">Duplex chromogenic immunohistochemistry (anti-mutant NPM1 and p53 antibodies, see below for </w:t>
      </w:r>
      <w:r w:rsidR="00385292">
        <w:rPr>
          <w:rFonts w:ascii="Times New Roman" w:eastAsia="Times New Roman" w:hAnsi="Times New Roman" w:cs="Times New Roman"/>
        </w:rPr>
        <w:t xml:space="preserve">clone details and </w:t>
      </w:r>
      <w:r>
        <w:rPr>
          <w:rFonts w:ascii="Times New Roman" w:eastAsia="Times New Roman" w:hAnsi="Times New Roman" w:cs="Times New Roman"/>
        </w:rPr>
        <w:t>conditions) was performed in a BondRx (Leica Biosystems) following standard protocols, after deparaffinized prior to EDTA-based antigen retrieval (Leica ER2 solution, 20 minutes). Multiplex immunofluorescence (MxIF) staining was performed using the Opal system as previously described (see main text references). Formalin-fixed paraffin-embedded sections of bone marrow aspirate material were first deparaffinized prior to EDTA-based antigen retrieval (Leica ER2 solution, 20 minutes). A cyclical staining protocol was then performed using horseradish peroxidase-mediated deposition of tyramide-Opal fluorophore constructs (Akoya Biosciences, Marlborough, MA) in each cycle; between each cycle, a combination of heat, citrate-based epitope retrieval solution (Leica ER1), and Bond Wash Solution (Leica) was used to remove primary/secondary antibody complex. Finally, 4’, 6-diamidino-2-phenylindole (Spectral DAPI, Akoya Biosciences) was applied per provided protocols to label nuclei. The following panel of primary antibody/fluorophore pairs was applied to all cases, in sequential order: 1) Opal 480/B2-microglobulin (A0072, RTU, Agilent</w:t>
      </w:r>
      <w:r w:rsidR="008A4D10">
        <w:rPr>
          <w:rFonts w:ascii="Times New Roman" w:eastAsia="Times New Roman" w:hAnsi="Times New Roman" w:cs="Times New Roman"/>
        </w:rPr>
        <w:t xml:space="preserve">, </w:t>
      </w:r>
      <w:r w:rsidR="008A4D10" w:rsidRPr="008A4D10">
        <w:rPr>
          <w:rFonts w:ascii="Times New Roman" w:eastAsia="Times New Roman" w:hAnsi="Times New Roman" w:cs="Times New Roman"/>
        </w:rPr>
        <w:t>RRID:AB_812325</w:t>
      </w:r>
      <w:r>
        <w:rPr>
          <w:rFonts w:ascii="Times New Roman" w:eastAsia="Times New Roman" w:hAnsi="Times New Roman" w:cs="Times New Roman"/>
        </w:rPr>
        <w:t>), 2) Opal 520/p21 (12D1, 1:200, Cell Signaling Technologies</w:t>
      </w:r>
      <w:r w:rsidR="004E23E3">
        <w:rPr>
          <w:rFonts w:ascii="Times New Roman" w:eastAsia="Times New Roman" w:hAnsi="Times New Roman" w:cs="Times New Roman"/>
        </w:rPr>
        <w:t xml:space="preserve">, </w:t>
      </w:r>
      <w:r w:rsidR="004E23E3" w:rsidRPr="004E23E3">
        <w:rPr>
          <w:rFonts w:ascii="Times New Roman" w:eastAsia="Times New Roman" w:hAnsi="Times New Roman" w:cs="Times New Roman"/>
        </w:rPr>
        <w:t>RRID:AB_823586</w:t>
      </w:r>
      <w:r>
        <w:rPr>
          <w:rFonts w:ascii="Times New Roman" w:eastAsia="Times New Roman" w:hAnsi="Times New Roman" w:cs="Times New Roman"/>
        </w:rPr>
        <w:t>), 3) Opal 570/anti-p53 (DO7, 1:100, Cell Signaling Technologies</w:t>
      </w:r>
      <w:r w:rsidR="00F1201A">
        <w:rPr>
          <w:rFonts w:ascii="Times New Roman" w:eastAsia="Times New Roman" w:hAnsi="Times New Roman" w:cs="Times New Roman"/>
        </w:rPr>
        <w:t xml:space="preserve">, </w:t>
      </w:r>
      <w:r w:rsidR="00F1201A" w:rsidRPr="00F1201A">
        <w:rPr>
          <w:rFonts w:ascii="Times New Roman" w:eastAsia="Times New Roman" w:hAnsi="Times New Roman" w:cs="Times New Roman"/>
        </w:rPr>
        <w:t>RRID:AB_2713958</w:t>
      </w:r>
      <w:r>
        <w:rPr>
          <w:rFonts w:ascii="Times New Roman" w:eastAsia="Times New Roman" w:hAnsi="Times New Roman" w:cs="Times New Roman"/>
        </w:rPr>
        <w:t>), 4) Opal 620/Ki67 (</w:t>
      </w:r>
      <w:r w:rsidR="00586FA9">
        <w:rPr>
          <w:rFonts w:ascii="Times New Roman" w:eastAsia="Times New Roman" w:hAnsi="Times New Roman" w:cs="Times New Roman"/>
        </w:rPr>
        <w:t>MM1</w:t>
      </w:r>
      <w:r>
        <w:rPr>
          <w:rFonts w:ascii="Times New Roman" w:eastAsia="Times New Roman" w:hAnsi="Times New Roman" w:cs="Times New Roman"/>
        </w:rPr>
        <w:t>, RTU, Leica Biosystems), 5) Opal 690/anti-mutant NPM1 (PA1-46356, 1:3000, ThermoFisher</w:t>
      </w:r>
      <w:r w:rsidR="003010A5">
        <w:rPr>
          <w:rFonts w:ascii="Times New Roman" w:eastAsia="Times New Roman" w:hAnsi="Times New Roman" w:cs="Times New Roman"/>
        </w:rPr>
        <w:t xml:space="preserve">, </w:t>
      </w:r>
      <w:r w:rsidR="003010A5" w:rsidRPr="003010A5">
        <w:rPr>
          <w:rFonts w:ascii="Times New Roman" w:eastAsia="Times New Roman" w:hAnsi="Times New Roman" w:cs="Times New Roman"/>
        </w:rPr>
        <w:t>RRID:AB_2267471</w:t>
      </w:r>
      <w:r>
        <w:rPr>
          <w:rFonts w:ascii="Times New Roman" w:eastAsia="Times New Roman" w:hAnsi="Times New Roman" w:cs="Times New Roman"/>
        </w:rPr>
        <w:t xml:space="preserve">). All slides were cover-slipped using ProLong™ Diamond Antifade Mountant (Invitrogen). A second smaller panel including mutant NPM1, p53, and MDM2 (IF2, Invitrogen) was performed in three cases with among the highest p53 co-expression (NPM1c-15, NPMc-17, NPMc-18) to assess for cytoplasmic MDM2 dislocation. WSI scans were subsequently obtained at 20X magnification using the Phenoimager (formerly Vectra Polaris) Automated Quantitative Pathology Imaging System (Akoya Biosciences). </w:t>
      </w:r>
      <w:r w:rsidR="005B02CA">
        <w:rPr>
          <w:rFonts w:ascii="Times New Roman" w:eastAsia="Times New Roman" w:hAnsi="Times New Roman" w:cs="Times New Roman"/>
        </w:rPr>
        <w:t>The</w:t>
      </w:r>
      <w:r w:rsidR="007B6A93">
        <w:rPr>
          <w:rFonts w:ascii="Times New Roman" w:eastAsia="Times New Roman" w:hAnsi="Times New Roman" w:cs="Times New Roman"/>
        </w:rPr>
        <w:t xml:space="preserve"> brightness (66) and </w:t>
      </w:r>
      <w:r w:rsidR="007B6A93">
        <w:rPr>
          <w:rFonts w:ascii="Times New Roman" w:eastAsia="Times New Roman" w:hAnsi="Times New Roman" w:cs="Times New Roman"/>
        </w:rPr>
        <w:lastRenderedPageBreak/>
        <w:t>contrast (-49) settings were adjusted for the</w:t>
      </w:r>
      <w:r w:rsidR="005B02CA">
        <w:rPr>
          <w:rFonts w:ascii="Times New Roman" w:eastAsia="Times New Roman" w:hAnsi="Times New Roman" w:cs="Times New Roman"/>
        </w:rPr>
        <w:t xml:space="preserve"> representative images shown in </w:t>
      </w:r>
      <w:r w:rsidR="00412E9E">
        <w:rPr>
          <w:rFonts w:ascii="Times New Roman" w:eastAsia="Times New Roman" w:hAnsi="Times New Roman" w:cs="Times New Roman"/>
        </w:rPr>
        <w:t xml:space="preserve">Figure 2A </w:t>
      </w:r>
      <w:r w:rsidR="00A66F1B">
        <w:rPr>
          <w:rFonts w:ascii="Times New Roman" w:eastAsia="Times New Roman" w:hAnsi="Times New Roman" w:cs="Times New Roman"/>
        </w:rPr>
        <w:t xml:space="preserve">only to enhance </w:t>
      </w:r>
      <w:r w:rsidR="007B6A93">
        <w:rPr>
          <w:rFonts w:ascii="Times New Roman" w:eastAsia="Times New Roman" w:hAnsi="Times New Roman" w:cs="Times New Roman"/>
        </w:rPr>
        <w:t xml:space="preserve">visualization </w:t>
      </w:r>
      <w:r w:rsidR="00A66F1B">
        <w:rPr>
          <w:rFonts w:ascii="Times New Roman" w:eastAsia="Times New Roman" w:hAnsi="Times New Roman" w:cs="Times New Roman"/>
        </w:rPr>
        <w:t xml:space="preserve">(Photoshop, v 25.11). </w:t>
      </w:r>
      <w:r>
        <w:rPr>
          <w:rFonts w:ascii="Times New Roman" w:eastAsia="Times New Roman" w:hAnsi="Times New Roman" w:cs="Times New Roman"/>
        </w:rPr>
        <w:t xml:space="preserve">WSIs were tiled in Phenochart (v1.1, Akoya Biosciences); image tiles were subsequently spectrally unmixed in InForm (v2.4.8, Akoya Biosciences). Unmixed tiles were finally fused together in HALO (v3.6.4134.95, Indica Labs, Albuquerque, NM) to generate a single multi-layered TIFF image file for each sample, which was used in downstream analyses. Spectrally-unmixed WSIs were processed in HALO by two hematopathologists (P.B., S.S.P.); the analysis was focused on mutant NPM1, p53, and Ki67 staining due to inconsistent staining for p21 and lack of relevance to this study for B2-microglobulin. Steps of analysis included cell segmentation, visual thresholding of antigen expression for individual markers, and phenotyping (e.g. NPM1 mutant vs. WT, p53 positive vs. negative). Single cell matrices were output and further analyzed in </w:t>
      </w:r>
      <w:r w:rsidR="007A05CE">
        <w:rPr>
          <w:rFonts w:ascii="Times New Roman" w:eastAsia="Times New Roman" w:hAnsi="Times New Roman" w:cs="Times New Roman"/>
        </w:rPr>
        <w:t>R v.4.4.1 (RStudio version 2023.06.1 Build 524</w:t>
      </w:r>
      <w:r>
        <w:rPr>
          <w:rFonts w:ascii="Times New Roman" w:eastAsia="Times New Roman" w:hAnsi="Times New Roman" w:cs="Times New Roman"/>
        </w:rPr>
        <w:t xml:space="preserve">, </w:t>
      </w:r>
      <w:r w:rsidRPr="00AF7898">
        <w:rPr>
          <w:rFonts w:ascii="Times New Roman" w:eastAsia="Times New Roman" w:hAnsi="Times New Roman" w:cs="Times New Roman"/>
        </w:rPr>
        <w:t>RRID:SCR_000432</w:t>
      </w:r>
      <w:r w:rsidR="007A05CE">
        <w:rPr>
          <w:rFonts w:ascii="Times New Roman" w:eastAsia="Times New Roman" w:hAnsi="Times New Roman" w:cs="Times New Roman"/>
        </w:rPr>
        <w:t xml:space="preserve">). </w:t>
      </w:r>
      <w:r w:rsidR="00432572">
        <w:rPr>
          <w:rFonts w:ascii="Times New Roman" w:eastAsia="Times New Roman" w:hAnsi="Times New Roman" w:cs="Times New Roman"/>
        </w:rPr>
        <w:t xml:space="preserve">Investigators were blinded to </w:t>
      </w:r>
      <w:r w:rsidR="00784CC2">
        <w:rPr>
          <w:rFonts w:ascii="Times New Roman" w:eastAsia="Times New Roman" w:hAnsi="Times New Roman" w:cs="Times New Roman"/>
        </w:rPr>
        <w:t>p53 expression level and clinical outcome variables</w:t>
      </w:r>
      <w:r w:rsidR="00491D65">
        <w:rPr>
          <w:rFonts w:ascii="Times New Roman" w:eastAsia="Times New Roman" w:hAnsi="Times New Roman" w:cs="Times New Roman"/>
        </w:rPr>
        <w:t xml:space="preserve"> </w:t>
      </w:r>
      <w:r w:rsidR="00992C2D">
        <w:rPr>
          <w:rFonts w:ascii="Times New Roman" w:eastAsia="Times New Roman" w:hAnsi="Times New Roman" w:cs="Times New Roman"/>
        </w:rPr>
        <w:t>when performing</w:t>
      </w:r>
      <w:r w:rsidR="00491D65">
        <w:rPr>
          <w:rFonts w:ascii="Times New Roman" w:eastAsia="Times New Roman" w:hAnsi="Times New Roman" w:cs="Times New Roman"/>
        </w:rPr>
        <w:t xml:space="preserve"> the aforementioned analy</w:t>
      </w:r>
      <w:r w:rsidR="00755CD4">
        <w:rPr>
          <w:rFonts w:ascii="Times New Roman" w:eastAsia="Times New Roman" w:hAnsi="Times New Roman" w:cs="Times New Roman"/>
        </w:rPr>
        <w:t>s</w:t>
      </w:r>
      <w:r w:rsidR="00491D65">
        <w:rPr>
          <w:rFonts w:ascii="Times New Roman" w:eastAsia="Times New Roman" w:hAnsi="Times New Roman" w:cs="Times New Roman"/>
        </w:rPr>
        <w:t>es</w:t>
      </w:r>
      <w:r w:rsidR="00784CC2">
        <w:rPr>
          <w:rFonts w:ascii="Times New Roman" w:eastAsia="Times New Roman" w:hAnsi="Times New Roman" w:cs="Times New Roman"/>
        </w:rPr>
        <w:t xml:space="preserve">. </w:t>
      </w:r>
      <w:r w:rsidR="001C3A0E">
        <w:rPr>
          <w:rFonts w:ascii="Times New Roman" w:eastAsia="Times New Roman" w:hAnsi="Times New Roman" w:cs="Times New Roman"/>
        </w:rPr>
        <w:t>Analysis code is available upon request.</w:t>
      </w:r>
    </w:p>
    <w:p w14:paraId="28BA1D83" w14:textId="536DA68A" w:rsidR="0009224F" w:rsidRDefault="0009224F">
      <w:pPr>
        <w:rPr>
          <w:rFonts w:ascii="Times New Roman" w:eastAsia="Times New Roman" w:hAnsi="Times New Roman" w:cs="Times New Roman"/>
        </w:rPr>
      </w:pPr>
    </w:p>
    <w:sectPr w:rsidR="000922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4F"/>
    <w:rsid w:val="0009224F"/>
    <w:rsid w:val="001105F5"/>
    <w:rsid w:val="001C3A0E"/>
    <w:rsid w:val="00264DE7"/>
    <w:rsid w:val="002B6A61"/>
    <w:rsid w:val="002D5E39"/>
    <w:rsid w:val="003010A5"/>
    <w:rsid w:val="00325C84"/>
    <w:rsid w:val="00345B25"/>
    <w:rsid w:val="00385292"/>
    <w:rsid w:val="00412E9E"/>
    <w:rsid w:val="00432572"/>
    <w:rsid w:val="004505D3"/>
    <w:rsid w:val="00460813"/>
    <w:rsid w:val="0046447F"/>
    <w:rsid w:val="00491D65"/>
    <w:rsid w:val="004E23E3"/>
    <w:rsid w:val="00586FA9"/>
    <w:rsid w:val="005B02CA"/>
    <w:rsid w:val="0072015A"/>
    <w:rsid w:val="00755CD4"/>
    <w:rsid w:val="00784CC2"/>
    <w:rsid w:val="007A05CE"/>
    <w:rsid w:val="007B6A93"/>
    <w:rsid w:val="00892F8B"/>
    <w:rsid w:val="008A4D10"/>
    <w:rsid w:val="00992C2D"/>
    <w:rsid w:val="00A66F1B"/>
    <w:rsid w:val="00A7689D"/>
    <w:rsid w:val="00AC68C8"/>
    <w:rsid w:val="00AF7898"/>
    <w:rsid w:val="00BD3209"/>
    <w:rsid w:val="00C4152E"/>
    <w:rsid w:val="00CC386D"/>
    <w:rsid w:val="00DB2EFA"/>
    <w:rsid w:val="00F1201A"/>
    <w:rsid w:val="00F50240"/>
    <w:rsid w:val="00FD0964"/>
    <w:rsid w:val="00FE02D0"/>
    <w:rsid w:val="00FF6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A1D7C"/>
  <w15:docId w15:val="{3A667CD4-BB34-4B74-A550-0502EEA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19251">
      <w:bodyDiv w:val="1"/>
      <w:marLeft w:val="0"/>
      <w:marRight w:val="0"/>
      <w:marTop w:val="0"/>
      <w:marBottom w:val="0"/>
      <w:divBdr>
        <w:top w:val="none" w:sz="0" w:space="0" w:color="auto"/>
        <w:left w:val="none" w:sz="0" w:space="0" w:color="auto"/>
        <w:bottom w:val="none" w:sz="0" w:space="0" w:color="auto"/>
        <w:right w:val="none" w:sz="0" w:space="0" w:color="auto"/>
      </w:divBdr>
    </w:div>
    <w:div w:id="1531719577">
      <w:bodyDiv w:val="1"/>
      <w:marLeft w:val="0"/>
      <w:marRight w:val="0"/>
      <w:marTop w:val="0"/>
      <w:marBottom w:val="0"/>
      <w:divBdr>
        <w:top w:val="none" w:sz="0" w:space="0" w:color="auto"/>
        <w:left w:val="none" w:sz="0" w:space="0" w:color="auto"/>
        <w:bottom w:val="none" w:sz="0" w:space="0" w:color="auto"/>
        <w:right w:val="none" w:sz="0" w:space="0" w:color="auto"/>
      </w:divBdr>
    </w:div>
    <w:div w:id="1842814611">
      <w:bodyDiv w:val="1"/>
      <w:marLeft w:val="0"/>
      <w:marRight w:val="0"/>
      <w:marTop w:val="0"/>
      <w:marBottom w:val="0"/>
      <w:divBdr>
        <w:top w:val="none" w:sz="0" w:space="0" w:color="auto"/>
        <w:left w:val="none" w:sz="0" w:space="0" w:color="auto"/>
        <w:bottom w:val="none" w:sz="0" w:space="0" w:color="auto"/>
        <w:right w:val="none" w:sz="0" w:space="0" w:color="auto"/>
      </w:divBdr>
    </w:div>
    <w:div w:id="197251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Sanjay Patel</cp:lastModifiedBy>
  <cp:revision>40</cp:revision>
  <dcterms:created xsi:type="dcterms:W3CDTF">2024-09-03T16:35:00Z</dcterms:created>
  <dcterms:modified xsi:type="dcterms:W3CDTF">2024-09-04T15:35:00Z</dcterms:modified>
</cp:coreProperties>
</file>