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9E0E79" w14:textId="77777777" w:rsidR="00DB04FE" w:rsidRDefault="00DB04FE" w:rsidP="00DB04FE">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Material</w:t>
      </w:r>
    </w:p>
    <w:p w14:paraId="139E0FED" w14:textId="77777777" w:rsidR="00DB04FE" w:rsidRDefault="00DB04FE" w:rsidP="00DB04FE">
      <w:pPr>
        <w:widowControl w:val="0"/>
        <w:spacing w:line="240" w:lineRule="auto"/>
        <w:ind w:left="384"/>
        <w:rPr>
          <w:rFonts w:ascii="Times New Roman" w:eastAsia="Times New Roman" w:hAnsi="Times New Roman" w:cs="Times New Roman"/>
          <w:b/>
          <w:sz w:val="24"/>
          <w:szCs w:val="24"/>
        </w:rPr>
      </w:pPr>
    </w:p>
    <w:p w14:paraId="31D5B404" w14:textId="77777777" w:rsidR="00DB04FE" w:rsidRDefault="00DB04FE" w:rsidP="00DB04FE">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Table 1. </w:t>
      </w:r>
      <w:r>
        <w:rPr>
          <w:rFonts w:ascii="Times New Roman" w:eastAsia="Times New Roman" w:hAnsi="Times New Roman" w:cs="Times New Roman"/>
          <w:sz w:val="24"/>
          <w:szCs w:val="24"/>
        </w:rPr>
        <w:t>Host samples from this study (n=195).</w:t>
      </w:r>
    </w:p>
    <w:p w14:paraId="6E67CAC7" w14:textId="77777777" w:rsidR="00DB04FE" w:rsidRDefault="00DB04FE" w:rsidP="00DB04FE">
      <w:pPr>
        <w:widowControl w:val="0"/>
        <w:spacing w:line="240" w:lineRule="auto"/>
        <w:ind w:left="384"/>
        <w:rPr>
          <w:rFonts w:ascii="Times New Roman" w:eastAsia="Times New Roman" w:hAnsi="Times New Roman" w:cs="Times New Roman"/>
          <w:b/>
          <w:sz w:val="24"/>
          <w:szCs w:val="24"/>
        </w:rPr>
      </w:pPr>
    </w:p>
    <w:p w14:paraId="1EDB1F85" w14:textId="77777777" w:rsidR="00DB04FE" w:rsidRPr="009E7C9D" w:rsidRDefault="00DB04FE" w:rsidP="00DB04FE">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Table 2. </w:t>
      </w:r>
      <w:r>
        <w:rPr>
          <w:rFonts w:ascii="Times New Roman" w:eastAsia="Times New Roman" w:hAnsi="Times New Roman" w:cs="Times New Roman"/>
          <w:sz w:val="24"/>
          <w:szCs w:val="24"/>
        </w:rPr>
        <w:t>Fungi isolated from avian lungs.</w:t>
      </w:r>
    </w:p>
    <w:p w14:paraId="5754E218" w14:textId="77777777" w:rsidR="00DB04FE" w:rsidRDefault="00DB04FE" w:rsidP="00DB04FE">
      <w:pPr>
        <w:widowControl w:val="0"/>
        <w:spacing w:line="240" w:lineRule="auto"/>
        <w:ind w:left="384"/>
        <w:rPr>
          <w:rFonts w:ascii="Times New Roman" w:eastAsia="Times New Roman" w:hAnsi="Times New Roman" w:cs="Times New Roman"/>
          <w:b/>
          <w:sz w:val="24"/>
          <w:szCs w:val="24"/>
        </w:rPr>
      </w:pPr>
    </w:p>
    <w:p w14:paraId="6E729612" w14:textId="77777777" w:rsidR="00DB04FE" w:rsidRPr="009E7C9D" w:rsidRDefault="00DB04FE" w:rsidP="00DB04FE">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Table 3. </w:t>
      </w:r>
      <w:r>
        <w:rPr>
          <w:rFonts w:ascii="Times New Roman" w:eastAsia="Times New Roman" w:hAnsi="Times New Roman" w:cs="Times New Roman"/>
          <w:sz w:val="24"/>
          <w:szCs w:val="24"/>
        </w:rPr>
        <w:t xml:space="preserve">Sequence data used for phylogenetic tree building of medically relevant fungi within Aspergillacaeae, </w:t>
      </w:r>
      <w:r>
        <w:rPr>
          <w:rFonts w:ascii="Times New Roman" w:eastAsia="Times New Roman" w:hAnsi="Times New Roman" w:cs="Times New Roman"/>
          <w:i/>
          <w:sz w:val="24"/>
          <w:szCs w:val="24"/>
        </w:rPr>
        <w:t>Cryptococcus</w:t>
      </w:r>
      <w:r>
        <w:rPr>
          <w:rFonts w:ascii="Times New Roman" w:eastAsia="Times New Roman" w:hAnsi="Times New Roman" w:cs="Times New Roman"/>
          <w:sz w:val="24"/>
          <w:szCs w:val="24"/>
        </w:rPr>
        <w:t>-like yeasts, Onygenales, and Saccharomycetales</w:t>
      </w:r>
      <w:r>
        <w:rPr>
          <w:rFonts w:ascii="Times New Roman" w:eastAsia="Times New Roman" w:hAnsi="Times New Roman" w:cs="Times New Roman"/>
          <w:color w:val="201F1E"/>
          <w:sz w:val="24"/>
          <w:szCs w:val="24"/>
          <w:highlight w:val="white"/>
        </w:rPr>
        <w:t xml:space="preserve">. </w:t>
      </w:r>
    </w:p>
    <w:p w14:paraId="3CF42B32" w14:textId="77777777" w:rsidR="00DB04FE" w:rsidRDefault="00DB04FE" w:rsidP="00DB04FE">
      <w:pPr>
        <w:rPr>
          <w:rFonts w:ascii="Times New Roman" w:eastAsia="Times New Roman" w:hAnsi="Times New Roman" w:cs="Times New Roman"/>
          <w:b/>
          <w:sz w:val="24"/>
          <w:szCs w:val="24"/>
        </w:rPr>
      </w:pPr>
    </w:p>
    <w:p w14:paraId="7E2A0456" w14:textId="77777777" w:rsidR="00DB04FE" w:rsidRPr="009E7C9D"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Table 4. </w:t>
      </w:r>
      <w:r>
        <w:rPr>
          <w:rFonts w:ascii="Times New Roman" w:eastAsia="Times New Roman" w:hAnsi="Times New Roman" w:cs="Times New Roman"/>
          <w:sz w:val="24"/>
          <w:szCs w:val="24"/>
        </w:rPr>
        <w:t>Phylogenetic signal measured by Moran’s I, Abouheif’s Cmean, and Pagel’s λ in alpha diversity metrics: zOTU richness, Shannon diversity index, inverse Simpson index, and Chao1 index. P-values from permutation tests (n=10,000) of tip data.</w:t>
      </w:r>
    </w:p>
    <w:p w14:paraId="2CF55C04" w14:textId="77777777" w:rsidR="00DB04FE" w:rsidRDefault="00DB04FE" w:rsidP="00DB04FE">
      <w:pPr>
        <w:rPr>
          <w:rFonts w:ascii="Times New Roman" w:eastAsia="Times New Roman" w:hAnsi="Times New Roman" w:cs="Times New Roman"/>
          <w:sz w:val="24"/>
          <w:szCs w:val="24"/>
        </w:rPr>
      </w:pPr>
    </w:p>
    <w:p w14:paraId="5BD7DA32" w14:textId="77777777" w:rsidR="00DB04FE" w:rsidRPr="009E7C9D"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Table 5. </w:t>
      </w:r>
      <w:r>
        <w:rPr>
          <w:rFonts w:ascii="Times New Roman" w:eastAsia="Times New Roman" w:hAnsi="Times New Roman" w:cs="Times New Roman"/>
          <w:sz w:val="24"/>
          <w:szCs w:val="24"/>
        </w:rPr>
        <w:t>Fungal family-level associations calculated as Spearman rank abundance and significance values for the core lung mycobiome.</w:t>
      </w:r>
    </w:p>
    <w:p w14:paraId="02DA9AB7" w14:textId="77777777" w:rsidR="00DB04FE" w:rsidRDefault="00DB04FE" w:rsidP="00DB04FE">
      <w:pPr>
        <w:rPr>
          <w:rFonts w:ascii="Times New Roman" w:eastAsia="Times New Roman" w:hAnsi="Times New Roman" w:cs="Times New Roman"/>
          <w:sz w:val="24"/>
          <w:szCs w:val="24"/>
        </w:rPr>
      </w:pPr>
    </w:p>
    <w:p w14:paraId="176E1D33" w14:textId="77777777" w:rsidR="00DB04FE" w:rsidRPr="009E7C9D"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Table 6. </w:t>
      </w:r>
      <w:r>
        <w:rPr>
          <w:rFonts w:ascii="Times New Roman" w:eastAsia="Times New Roman" w:hAnsi="Times New Roman" w:cs="Times New Roman"/>
          <w:sz w:val="24"/>
          <w:szCs w:val="24"/>
        </w:rPr>
        <w:t>Significant fungal family-level associations calculated as Spearman rank abundance and significance values for the animal-symbiont subset of the mycobiomes.</w:t>
      </w:r>
    </w:p>
    <w:p w14:paraId="7662E247" w14:textId="77777777" w:rsidR="00DB04FE" w:rsidRDefault="00DB04FE" w:rsidP="00DB04FE">
      <w:pPr>
        <w:rPr>
          <w:rFonts w:ascii="Times New Roman" w:eastAsia="Times New Roman" w:hAnsi="Times New Roman" w:cs="Times New Roman"/>
          <w:b/>
          <w:sz w:val="24"/>
          <w:szCs w:val="24"/>
        </w:rPr>
      </w:pPr>
    </w:p>
    <w:p w14:paraId="4A8FA9D7" w14:textId="77777777" w:rsidR="00DB04FE" w:rsidRDefault="00DB04FE" w:rsidP="00DB04F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Table 7.</w:t>
      </w:r>
      <w:r>
        <w:rPr>
          <w:rFonts w:ascii="Times New Roman" w:eastAsia="Times New Roman" w:hAnsi="Times New Roman" w:cs="Times New Roman"/>
          <w:sz w:val="24"/>
          <w:szCs w:val="24"/>
        </w:rPr>
        <w:t xml:space="preserve"> Predictors of host fungal lung community turnover as measured with Bray-Curtis distance matrices from GDMs. Mean percent deviance explained, model coefficients and relative importance values averaged from the 1000 repeatedly rarefied models including all host individuals. All predictors were scaled or transformed prior to modeling. </w:t>
      </w:r>
      <w:r>
        <w:rPr>
          <w:rFonts w:ascii="Times New Roman" w:eastAsia="Times New Roman" w:hAnsi="Times New Roman" w:cs="Times New Roman"/>
          <w:color w:val="1F1F1F"/>
          <w:sz w:val="24"/>
          <w:szCs w:val="24"/>
        </w:rPr>
        <w:t>Predictor coefficients were calculated by taking the sum of the three I-spline coefficients. Importance was calculated as the percent change in deviance explained between models with and without predictors.</w:t>
      </w:r>
    </w:p>
    <w:p w14:paraId="04737440" w14:textId="77777777" w:rsidR="00DB04FE" w:rsidRDefault="00DB04FE" w:rsidP="00DB04FE">
      <w:pPr>
        <w:rPr>
          <w:rFonts w:ascii="Times New Roman" w:eastAsia="Times New Roman" w:hAnsi="Times New Roman" w:cs="Times New Roman"/>
        </w:rPr>
      </w:pPr>
    </w:p>
    <w:p w14:paraId="5C3F783E" w14:textId="77777777" w:rsidR="00DB04FE" w:rsidRDefault="00DB04FE" w:rsidP="00DB04F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 1.</w:t>
      </w:r>
      <w:r>
        <w:rPr>
          <w:rFonts w:ascii="Times New Roman" w:eastAsia="Times New Roman" w:hAnsi="Times New Roman" w:cs="Times New Roman"/>
        </w:rPr>
        <w:t xml:space="preserve"> ​​</w:t>
      </w:r>
      <w:r>
        <w:rPr>
          <w:rFonts w:ascii="Times New Roman" w:eastAsia="Times New Roman" w:hAnsi="Times New Roman" w:cs="Times New Roman"/>
          <w:sz w:val="24"/>
          <w:szCs w:val="24"/>
        </w:rPr>
        <w:t>Rarefaction curves for fungal zOTU richness given sampling effort (reads) for 183 avian lung tissues.</w:t>
      </w:r>
    </w:p>
    <w:p w14:paraId="09F4B6D2" w14:textId="77777777" w:rsidR="00DB04FE" w:rsidRDefault="00DB04FE" w:rsidP="00DB04FE">
      <w:pPr>
        <w:rPr>
          <w:rFonts w:ascii="Times New Roman" w:eastAsia="Times New Roman" w:hAnsi="Times New Roman" w:cs="Times New Roman"/>
          <w:b/>
          <w:sz w:val="24"/>
          <w:szCs w:val="24"/>
        </w:rPr>
      </w:pPr>
    </w:p>
    <w:p w14:paraId="0C165708" w14:textId="77777777" w:rsidR="00DB04FE" w:rsidRDefault="00DB04FE" w:rsidP="00DB04FE">
      <w:pPr>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rPr>
        <w:t xml:space="preserve">Supplementary Fig. 2. </w:t>
      </w:r>
      <w:r>
        <w:rPr>
          <w:rFonts w:ascii="Times New Roman" w:eastAsia="Times New Roman" w:hAnsi="Times New Roman" w:cs="Times New Roman"/>
          <w:sz w:val="24"/>
          <w:szCs w:val="24"/>
        </w:rPr>
        <w:t xml:space="preserve">Maximum likelihood phylogeny </w:t>
      </w:r>
      <w:r>
        <w:rPr>
          <w:rFonts w:ascii="Times New Roman" w:eastAsia="Times New Roman" w:hAnsi="Times New Roman" w:cs="Times New Roman"/>
          <w:i/>
          <w:sz w:val="24"/>
          <w:szCs w:val="24"/>
        </w:rPr>
        <w:t>Cryptococcus</w:t>
      </w:r>
      <w:r>
        <w:rPr>
          <w:rFonts w:ascii="Times New Roman" w:eastAsia="Times New Roman" w:hAnsi="Times New Roman" w:cs="Times New Roman"/>
          <w:sz w:val="24"/>
          <w:szCs w:val="24"/>
        </w:rPr>
        <w:t>-like yeasts</w:t>
      </w:r>
      <w:r w:rsidRPr="009E7C9D">
        <w:rPr>
          <w:rFonts w:ascii="Times New Roman" w:eastAsia="Times New Roman" w:hAnsi="Times New Roman" w:cs="Times New Roman"/>
          <w:sz w:val="24"/>
          <w:szCs w:val="24"/>
        </w:rPr>
        <w:t xml:space="preserve">. We leveraged partial ITS rDNA alignments to construct </w:t>
      </w:r>
      <w:r>
        <w:rPr>
          <w:rFonts w:ascii="Times New Roman" w:eastAsia="Times New Roman" w:hAnsi="Times New Roman" w:cs="Times New Roman"/>
          <w:sz w:val="24"/>
          <w:szCs w:val="24"/>
        </w:rPr>
        <w:t xml:space="preserve">a </w:t>
      </w:r>
      <w:r w:rsidRPr="009E7C9D">
        <w:rPr>
          <w:rFonts w:ascii="Times New Roman" w:eastAsia="Times New Roman" w:hAnsi="Times New Roman" w:cs="Times New Roman"/>
          <w:sz w:val="24"/>
          <w:szCs w:val="24"/>
        </w:rPr>
        <w:t>phylogen</w:t>
      </w:r>
      <w:r>
        <w:rPr>
          <w:rFonts w:ascii="Times New Roman" w:eastAsia="Times New Roman" w:hAnsi="Times New Roman" w:cs="Times New Roman"/>
          <w:sz w:val="24"/>
          <w:szCs w:val="24"/>
        </w:rPr>
        <w:t>y</w:t>
      </w:r>
      <w:r w:rsidRPr="009E7C9D">
        <w:rPr>
          <w:rFonts w:ascii="Times New Roman" w:eastAsia="Times New Roman" w:hAnsi="Times New Roman" w:cs="Times New Roman"/>
          <w:sz w:val="24"/>
          <w:szCs w:val="24"/>
        </w:rPr>
        <w:t xml:space="preserve"> based on the GTR+GAMMA model with 10,000 ultrafast bootstraps and 10,000 bootstraps for the SH-aLRT. The tree is midpoint-rooted and bootstrap values ≥65 are shown. Sequences derived from avian lung tissues are blue and those from mammal lung tissues are </w:t>
      </w:r>
      <w:r>
        <w:rPr>
          <w:rFonts w:ascii="Times New Roman" w:eastAsia="Times New Roman" w:hAnsi="Times New Roman" w:cs="Times New Roman"/>
          <w:sz w:val="24"/>
          <w:szCs w:val="24"/>
        </w:rPr>
        <w:t>yellow</w:t>
      </w:r>
      <w:r w:rsidRPr="009E7C9D">
        <w:rPr>
          <w:rFonts w:ascii="Times New Roman" w:eastAsia="Times New Roman" w:hAnsi="Times New Roman" w:cs="Times New Roman"/>
          <w:sz w:val="24"/>
          <w:szCs w:val="24"/>
        </w:rPr>
        <w:t>.</w:t>
      </w:r>
    </w:p>
    <w:p w14:paraId="50157EFC" w14:textId="77777777" w:rsidR="00DB04FE" w:rsidRDefault="00DB04FE" w:rsidP="00DB04FE">
      <w:pPr>
        <w:rPr>
          <w:rFonts w:ascii="Times New Roman" w:eastAsia="Times New Roman" w:hAnsi="Times New Roman" w:cs="Times New Roman"/>
          <w:b/>
          <w:sz w:val="24"/>
          <w:szCs w:val="24"/>
        </w:rPr>
      </w:pPr>
    </w:p>
    <w:p w14:paraId="63B56269" w14:textId="77777777" w:rsidR="00DB04FE"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Figure 3. </w:t>
      </w:r>
      <w:r>
        <w:rPr>
          <w:rFonts w:ascii="Times New Roman" w:eastAsia="Times New Roman" w:hAnsi="Times New Roman" w:cs="Times New Roman"/>
          <w:sz w:val="24"/>
          <w:szCs w:val="24"/>
        </w:rPr>
        <w:t>Maximum likelihood phylogeny</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Aspergillaceae fungi</w:t>
      </w:r>
      <w:r>
        <w:rPr>
          <w:rFonts w:ascii="Gungsuh" w:eastAsia="Gungsuh" w:hAnsi="Gungsuh" w:cs="Gungsuh"/>
          <w:sz w:val="24"/>
          <w:szCs w:val="24"/>
        </w:rPr>
        <w:t xml:space="preserve">. </w:t>
      </w:r>
      <w:r w:rsidRPr="009E7C9D">
        <w:rPr>
          <w:rFonts w:ascii="Times New Roman" w:eastAsia="Times New Roman" w:hAnsi="Times New Roman" w:cs="Times New Roman"/>
          <w:sz w:val="24"/>
          <w:szCs w:val="24"/>
        </w:rPr>
        <w:t xml:space="preserve">We leveraged partial ITS rDNA alignments to construct </w:t>
      </w:r>
      <w:r>
        <w:rPr>
          <w:rFonts w:ascii="Times New Roman" w:eastAsia="Times New Roman" w:hAnsi="Times New Roman" w:cs="Times New Roman"/>
          <w:sz w:val="24"/>
          <w:szCs w:val="24"/>
        </w:rPr>
        <w:t xml:space="preserve">a </w:t>
      </w:r>
      <w:r w:rsidRPr="009E7C9D">
        <w:rPr>
          <w:rFonts w:ascii="Times New Roman" w:eastAsia="Times New Roman" w:hAnsi="Times New Roman" w:cs="Times New Roman"/>
          <w:sz w:val="24"/>
          <w:szCs w:val="24"/>
        </w:rPr>
        <w:t>phylogen</w:t>
      </w:r>
      <w:r>
        <w:rPr>
          <w:rFonts w:ascii="Times New Roman" w:eastAsia="Times New Roman" w:hAnsi="Times New Roman" w:cs="Times New Roman"/>
          <w:sz w:val="24"/>
          <w:szCs w:val="24"/>
        </w:rPr>
        <w:t xml:space="preserve">y </w:t>
      </w:r>
      <w:r w:rsidRPr="009E7C9D">
        <w:rPr>
          <w:rFonts w:ascii="Times New Roman" w:eastAsia="Times New Roman" w:hAnsi="Times New Roman" w:cs="Times New Roman"/>
          <w:sz w:val="24"/>
          <w:szCs w:val="24"/>
        </w:rPr>
        <w:t xml:space="preserve">based on the GTR+GAMMA model with 10,000 ultrafast bootstraps and 10,000 bootstraps for the SH-aLRT. The tree is midpoint-rooted and bootstrap values ≥65 are shown. Sequences derived from avian lung tissues are blue and those from mammal lung tissues are </w:t>
      </w:r>
      <w:r>
        <w:rPr>
          <w:rFonts w:ascii="Times New Roman" w:eastAsia="Times New Roman" w:hAnsi="Times New Roman" w:cs="Times New Roman"/>
          <w:sz w:val="24"/>
          <w:szCs w:val="24"/>
        </w:rPr>
        <w:t>yellow</w:t>
      </w:r>
      <w:r w:rsidRPr="009E7C9D">
        <w:rPr>
          <w:rFonts w:ascii="Times New Roman" w:eastAsia="Times New Roman" w:hAnsi="Times New Roman" w:cs="Times New Roman"/>
          <w:sz w:val="24"/>
          <w:szCs w:val="24"/>
        </w:rPr>
        <w:t>.</w:t>
      </w:r>
    </w:p>
    <w:p w14:paraId="408D4051" w14:textId="77777777" w:rsidR="00DB04FE" w:rsidRDefault="00DB04FE" w:rsidP="00DB04FE">
      <w:pPr>
        <w:rPr>
          <w:rFonts w:ascii="Times New Roman" w:eastAsia="Times New Roman" w:hAnsi="Times New Roman" w:cs="Times New Roman"/>
          <w:b/>
          <w:sz w:val="24"/>
          <w:szCs w:val="24"/>
        </w:rPr>
      </w:pPr>
    </w:p>
    <w:p w14:paraId="05E94C08" w14:textId="77777777" w:rsidR="00DB04FE"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Figure 4. </w:t>
      </w:r>
      <w:r>
        <w:rPr>
          <w:rFonts w:ascii="Times New Roman" w:eastAsia="Times New Roman" w:hAnsi="Times New Roman" w:cs="Times New Roman"/>
          <w:sz w:val="24"/>
          <w:szCs w:val="24"/>
        </w:rPr>
        <w:t>Maximum likelihood phylogeny</w:t>
      </w:r>
      <w:r w:rsidRPr="009E7C9D">
        <w:rPr>
          <w:rFonts w:ascii="Times New Roman" w:eastAsia="Times New Roman" w:hAnsi="Times New Roman" w:cs="Times New Roman"/>
          <w:sz w:val="24"/>
          <w:szCs w:val="24"/>
        </w:rPr>
        <w:t xml:space="preserve"> Saccharomycetales fungi.</w:t>
      </w:r>
      <w:r>
        <w:rPr>
          <w:rFonts w:ascii="Gungsuh" w:eastAsia="Gungsuh" w:hAnsi="Gungsuh" w:cs="Gungsuh"/>
          <w:sz w:val="24"/>
          <w:szCs w:val="24"/>
        </w:rPr>
        <w:t xml:space="preserve"> </w:t>
      </w:r>
      <w:r w:rsidRPr="009E7C9D">
        <w:rPr>
          <w:rFonts w:ascii="Times New Roman" w:eastAsia="Times New Roman" w:hAnsi="Times New Roman" w:cs="Times New Roman"/>
          <w:sz w:val="24"/>
          <w:szCs w:val="24"/>
        </w:rPr>
        <w:t xml:space="preserve">We leveraged partial ITS rDNA alignments to construct </w:t>
      </w:r>
      <w:r>
        <w:rPr>
          <w:rFonts w:ascii="Times New Roman" w:eastAsia="Times New Roman" w:hAnsi="Times New Roman" w:cs="Times New Roman"/>
          <w:sz w:val="24"/>
          <w:szCs w:val="24"/>
        </w:rPr>
        <w:t xml:space="preserve">a </w:t>
      </w:r>
      <w:r w:rsidRPr="009E7C9D">
        <w:rPr>
          <w:rFonts w:ascii="Times New Roman" w:eastAsia="Times New Roman" w:hAnsi="Times New Roman" w:cs="Times New Roman"/>
          <w:sz w:val="24"/>
          <w:szCs w:val="24"/>
        </w:rPr>
        <w:t>phylogen</w:t>
      </w:r>
      <w:r>
        <w:rPr>
          <w:rFonts w:ascii="Times New Roman" w:eastAsia="Times New Roman" w:hAnsi="Times New Roman" w:cs="Times New Roman"/>
          <w:sz w:val="24"/>
          <w:szCs w:val="24"/>
        </w:rPr>
        <w:t xml:space="preserve">y </w:t>
      </w:r>
      <w:r w:rsidRPr="009E7C9D">
        <w:rPr>
          <w:rFonts w:ascii="Times New Roman" w:eastAsia="Times New Roman" w:hAnsi="Times New Roman" w:cs="Times New Roman"/>
          <w:sz w:val="24"/>
          <w:szCs w:val="24"/>
        </w:rPr>
        <w:t>based on the</w:t>
      </w:r>
      <w:r>
        <w:rPr>
          <w:rFonts w:ascii="Times New Roman" w:eastAsia="Times New Roman" w:hAnsi="Times New Roman" w:cs="Times New Roman"/>
          <w:sz w:val="24"/>
          <w:szCs w:val="24"/>
        </w:rPr>
        <w:t xml:space="preserve"> </w:t>
      </w:r>
      <w:r w:rsidRPr="009E7C9D">
        <w:rPr>
          <w:rFonts w:ascii="Times New Roman" w:eastAsia="Times New Roman" w:hAnsi="Times New Roman" w:cs="Times New Roman"/>
          <w:sz w:val="24"/>
          <w:szCs w:val="24"/>
        </w:rPr>
        <w:t xml:space="preserve">GTR+GAMMA model with 10,000 ultrafast bootstraps and 10,000 bootstraps for the SH-aLRT. The tree is midpoint-rooted and bootstrap values ≥65 are shown. Sequences derived from avian lung tissues are blue and those from mammal lung tissues are </w:t>
      </w:r>
      <w:r>
        <w:rPr>
          <w:rFonts w:ascii="Times New Roman" w:eastAsia="Times New Roman" w:hAnsi="Times New Roman" w:cs="Times New Roman"/>
          <w:sz w:val="24"/>
          <w:szCs w:val="24"/>
        </w:rPr>
        <w:t>yellow</w:t>
      </w:r>
      <w:r w:rsidRPr="009E7C9D">
        <w:rPr>
          <w:rFonts w:ascii="Times New Roman" w:eastAsia="Times New Roman" w:hAnsi="Times New Roman" w:cs="Times New Roman"/>
          <w:sz w:val="24"/>
          <w:szCs w:val="24"/>
        </w:rPr>
        <w:t>.</w:t>
      </w:r>
    </w:p>
    <w:p w14:paraId="621671E5" w14:textId="77777777" w:rsidR="00DB04FE" w:rsidRDefault="00DB04FE" w:rsidP="00DB04FE">
      <w:pPr>
        <w:rPr>
          <w:rFonts w:ascii="Times New Roman" w:eastAsia="Times New Roman" w:hAnsi="Times New Roman" w:cs="Times New Roman"/>
          <w:b/>
          <w:sz w:val="24"/>
          <w:szCs w:val="24"/>
        </w:rPr>
      </w:pPr>
    </w:p>
    <w:p w14:paraId="121C57BA" w14:textId="77777777" w:rsidR="00DB04FE" w:rsidRDefault="00DB04FE" w:rsidP="00DB04F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5. </w:t>
      </w:r>
      <w:r>
        <w:rPr>
          <w:rFonts w:ascii="Times New Roman" w:eastAsia="Times New Roman" w:hAnsi="Times New Roman" w:cs="Times New Roman"/>
          <w:sz w:val="24"/>
          <w:szCs w:val="24"/>
        </w:rPr>
        <w:t>Boxplots of alpha diversity at the avian order level. Black lines in boxes indicate median values. Single black lines show avian orders with only one host sample. Grey boxes indicate 50% interquartile range of data. Black vertical lines indicate the 95% range of data. Black points show outlier values. (a) Observed zOTU richness from a rarefied dataset. (b) Shannon diversity from a rarefied dataset.</w:t>
      </w:r>
    </w:p>
    <w:p w14:paraId="645E45DF" w14:textId="77777777" w:rsidR="00DB04FE" w:rsidRDefault="00DB04FE" w:rsidP="00DB04FE">
      <w:pPr>
        <w:rPr>
          <w:rFonts w:ascii="Times New Roman" w:eastAsia="Times New Roman" w:hAnsi="Times New Roman" w:cs="Times New Roman"/>
          <w:b/>
          <w:sz w:val="24"/>
          <w:szCs w:val="24"/>
        </w:rPr>
      </w:pPr>
    </w:p>
    <w:p w14:paraId="0FAB6AE9" w14:textId="77777777" w:rsidR="00DB04FE" w:rsidRDefault="00DB04FE" w:rsidP="00DB04F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Figure 6.</w:t>
      </w:r>
      <w:r>
        <w:rPr>
          <w:rFonts w:ascii="Times New Roman" w:eastAsia="Times New Roman" w:hAnsi="Times New Roman" w:cs="Times New Roman"/>
          <w:sz w:val="24"/>
          <w:szCs w:val="24"/>
        </w:rPr>
        <w:t xml:space="preserve"> Observed zOTU richness plotted for each bird species. Grey points represent zOTU richness of each individual bird lung sample. Birds are plotted in order of phylogenetic relationships depicted in a phylogenetic tree beneath the plot.</w:t>
      </w:r>
    </w:p>
    <w:p w14:paraId="3E311987" w14:textId="77777777" w:rsidR="00DB04FE" w:rsidRDefault="00DB04FE" w:rsidP="00DB04FE">
      <w:pPr>
        <w:rPr>
          <w:rFonts w:ascii="Times New Roman" w:eastAsia="Times New Roman" w:hAnsi="Times New Roman" w:cs="Times New Roman"/>
          <w:sz w:val="24"/>
          <w:szCs w:val="24"/>
        </w:rPr>
      </w:pPr>
    </w:p>
    <w:p w14:paraId="7CAD2250" w14:textId="77777777" w:rsidR="00DB04FE" w:rsidRDefault="00DB04FE" w:rsidP="00DB04F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Figure 7. </w:t>
      </w:r>
      <w:r>
        <w:rPr>
          <w:rFonts w:ascii="Times New Roman" w:eastAsia="Times New Roman" w:hAnsi="Times New Roman" w:cs="Times New Roman"/>
          <w:sz w:val="24"/>
          <w:szCs w:val="24"/>
        </w:rPr>
        <w:t>NMDS plots using Bray-Curtis dissimilarities showing 95% ellipses (dashed lines) of ecological groups. Ellipses represent 95% confidence intervals (CI) for each grouping. (a) NMDS of bird migratory strategies. (b) NMDS of trophic classes. (c) NMDS of sampling year.</w:t>
      </w:r>
    </w:p>
    <w:p w14:paraId="190A41D7" w14:textId="77777777" w:rsidR="00DB04FE" w:rsidRDefault="00DB04FE" w:rsidP="00DB04FE">
      <w:pPr>
        <w:spacing w:line="256" w:lineRule="auto"/>
        <w:rPr>
          <w:rFonts w:ascii="Times New Roman" w:eastAsia="Times New Roman" w:hAnsi="Times New Roman" w:cs="Times New Roman"/>
          <w:sz w:val="24"/>
          <w:szCs w:val="24"/>
        </w:rPr>
      </w:pPr>
    </w:p>
    <w:p w14:paraId="398C8270" w14:textId="77777777" w:rsidR="00DB04FE" w:rsidRDefault="00DB04FE" w:rsidP="00DB04FE">
      <w:pPr>
        <w:spacing w:line="25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Figure 8. </w:t>
      </w:r>
      <w:r>
        <w:rPr>
          <w:rFonts w:ascii="Times New Roman" w:eastAsia="Times New Roman" w:hAnsi="Times New Roman" w:cs="Times New Roman"/>
          <w:sz w:val="24"/>
          <w:szCs w:val="24"/>
        </w:rPr>
        <w:t>Spatial structure was assessed using a Mantel correlogram (a) and distance decay plot (b).</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Mantel test showed an insignificant correlation between geographic distance and fungal community dissimilarity (r = 0.0375, </w:t>
      </w:r>
      <w:r>
        <w:rPr>
          <w:rFonts w:ascii="Times New Roman" w:eastAsia="Times New Roman" w:hAnsi="Times New Roman" w:cs="Times New Roman"/>
          <w:i/>
          <w:sz w:val="24"/>
          <w:szCs w:val="24"/>
          <w:highlight w:val="white"/>
        </w:rPr>
        <w:t>P</w:t>
      </w:r>
      <w:r>
        <w:rPr>
          <w:rFonts w:ascii="Times New Roman" w:eastAsia="Times New Roman" w:hAnsi="Times New Roman" w:cs="Times New Roman"/>
          <w:sz w:val="24"/>
          <w:szCs w:val="24"/>
        </w:rPr>
        <w:t xml:space="preserve">=0.11); however, samples collected within 58 km tended to be more similar to each other (solid black boxes, </w:t>
      </w:r>
      <w:r>
        <w:rPr>
          <w:rFonts w:ascii="Times New Roman" w:eastAsia="Times New Roman" w:hAnsi="Times New Roman" w:cs="Times New Roman"/>
          <w:i/>
          <w:sz w:val="24"/>
          <w:szCs w:val="24"/>
          <w:highlight w:val="white"/>
        </w:rPr>
        <w:t>P</w:t>
      </w:r>
      <w:r>
        <w:rPr>
          <w:rFonts w:ascii="Times New Roman" w:eastAsia="Times New Roman" w:hAnsi="Times New Roman" w:cs="Times New Roman"/>
          <w:sz w:val="24"/>
          <w:szCs w:val="24"/>
        </w:rPr>
        <w:t>&lt; 0.05). Distance decay-line of best fit is shown in pink.</w:t>
      </w:r>
    </w:p>
    <w:p w14:paraId="5E74D867" w14:textId="77777777" w:rsidR="00DB04FE" w:rsidRDefault="00DB04FE" w:rsidP="00DB04FE">
      <w:pPr>
        <w:rPr>
          <w:rFonts w:ascii="Times New Roman" w:eastAsia="Times New Roman" w:hAnsi="Times New Roman" w:cs="Times New Roman"/>
          <w:b/>
          <w:sz w:val="24"/>
          <w:szCs w:val="24"/>
        </w:rPr>
      </w:pPr>
    </w:p>
    <w:p w14:paraId="439EDFD4" w14:textId="77777777" w:rsidR="00DB04FE"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Fig. 9. </w:t>
      </w:r>
      <w:r>
        <w:rPr>
          <w:rFonts w:ascii="Times New Roman" w:eastAsia="Times New Roman" w:hAnsi="Times New Roman" w:cs="Times New Roman"/>
          <w:sz w:val="24"/>
          <w:szCs w:val="24"/>
        </w:rPr>
        <w:t>Fungal co-occurrence network showing Spearman rank correlations between fungal families of the family-level core mycobiome. Node colors correspond to fungal families and size corresponds to relative abundance in the dataset. Color of lines connecting nodes indicate positive (black) or negative (red) associations, and width of lines indicate the strength of the correlation.</w:t>
      </w:r>
    </w:p>
    <w:p w14:paraId="40FD9DE2" w14:textId="77777777" w:rsidR="00DB04FE" w:rsidRDefault="00DB04FE" w:rsidP="00DB04FE">
      <w:pPr>
        <w:jc w:val="center"/>
        <w:rPr>
          <w:rFonts w:ascii="Times New Roman" w:eastAsia="Times New Roman" w:hAnsi="Times New Roman" w:cs="Times New Roman"/>
          <w:sz w:val="24"/>
          <w:szCs w:val="24"/>
        </w:rPr>
      </w:pPr>
    </w:p>
    <w:p w14:paraId="5C9EC715" w14:textId="77777777" w:rsidR="00DB04FE"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Fig. 10. </w:t>
      </w:r>
      <w:r>
        <w:rPr>
          <w:rFonts w:ascii="Times New Roman" w:eastAsia="Times New Roman" w:hAnsi="Times New Roman" w:cs="Times New Roman"/>
          <w:sz w:val="24"/>
          <w:szCs w:val="24"/>
        </w:rPr>
        <w:t>Fungal co-occurrence network showing Spearman rank correlations between fungal families of the animal-symbiont subset of the mycobiomes as assigned by FUNGuild. Node colors correspond to fungal families and size corresponds to relative abundance in the dataset. Color of lines connecting nodes indicate positive (black) or negative (red) associations, and width of lines indicate the strength of the correlation.</w:t>
      </w:r>
    </w:p>
    <w:p w14:paraId="5248649E" w14:textId="77777777" w:rsidR="00DB04FE" w:rsidRDefault="00DB04FE" w:rsidP="00DB04FE">
      <w:pPr>
        <w:rPr>
          <w:rFonts w:ascii="Times New Roman" w:eastAsia="Times New Roman" w:hAnsi="Times New Roman" w:cs="Times New Roman"/>
          <w:sz w:val="24"/>
          <w:szCs w:val="24"/>
        </w:rPr>
      </w:pPr>
    </w:p>
    <w:p w14:paraId="3E48E222" w14:textId="77777777" w:rsidR="00DB04FE" w:rsidRDefault="00DB04FE" w:rsidP="00DB04FE">
      <w:pP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Supplementary Fig. 11. </w:t>
      </w:r>
      <w:r>
        <w:rPr>
          <w:rFonts w:ascii="Times New Roman" w:eastAsia="Times New Roman" w:hAnsi="Times New Roman" w:cs="Times New Roman"/>
          <w:sz w:val="24"/>
          <w:szCs w:val="24"/>
        </w:rPr>
        <w:t>I-splines showing partial ecological Bray-Curtis distance as a function of host phylogenetic and ecological traits. Thin lines are GDMs for 1000 data sets repeatedly rarefied to the lowest sampling depth. Relative height of the I-spline indicates importance of the predictor in explaining fungal lung community dissimilarity. Inset shows mean predictor importance over 1000 models for hand-wing index (HWI), migratory distance, phylogenetic distance (PD), range size, and mass.</w:t>
      </w:r>
    </w:p>
    <w:p w14:paraId="0D17F8F0" w14:textId="77777777" w:rsidR="00DB04FE" w:rsidRDefault="00DB04FE" w:rsidP="00DB04FE">
      <w:pPr>
        <w:rPr>
          <w:rFonts w:ascii="Times New Roman" w:eastAsia="Times New Roman" w:hAnsi="Times New Roman" w:cs="Times New Roman"/>
          <w:sz w:val="24"/>
          <w:szCs w:val="24"/>
        </w:rPr>
      </w:pPr>
    </w:p>
    <w:p w14:paraId="6BB5C6B5" w14:textId="77777777" w:rsidR="00DB04FE" w:rsidRPr="009E7C9D" w:rsidRDefault="00DB04FE" w:rsidP="00DB04F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Supplementary </w:t>
      </w:r>
      <w:r w:rsidRPr="009E7C9D">
        <w:rPr>
          <w:rFonts w:ascii="Times New Roman" w:eastAsia="Times New Roman" w:hAnsi="Times New Roman" w:cs="Times New Roman"/>
          <w:b/>
          <w:sz w:val="24"/>
          <w:szCs w:val="24"/>
        </w:rPr>
        <w:t>Fig. 12.</w:t>
      </w:r>
      <w:r w:rsidRPr="009E7C9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Maximum likelihood phylogeny</w:t>
      </w:r>
      <w:r w:rsidRPr="009E7C9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Onygenalean</w:t>
      </w:r>
      <w:r w:rsidRPr="009E7C9D">
        <w:rPr>
          <w:rFonts w:ascii="Times New Roman" w:eastAsia="Times New Roman" w:hAnsi="Times New Roman" w:cs="Times New Roman"/>
          <w:sz w:val="24"/>
          <w:szCs w:val="24"/>
        </w:rPr>
        <w:t xml:space="preserve"> fungi.</w:t>
      </w:r>
      <w:r>
        <w:rPr>
          <w:rFonts w:ascii="Gungsuh" w:eastAsia="Gungsuh" w:hAnsi="Gungsuh" w:cs="Gungsuh"/>
          <w:sz w:val="24"/>
          <w:szCs w:val="24"/>
        </w:rPr>
        <w:t xml:space="preserve"> </w:t>
      </w:r>
      <w:r w:rsidRPr="009E7C9D">
        <w:rPr>
          <w:rFonts w:ascii="Times New Roman" w:eastAsia="Times New Roman" w:hAnsi="Times New Roman" w:cs="Times New Roman"/>
          <w:sz w:val="24"/>
          <w:szCs w:val="24"/>
        </w:rPr>
        <w:t xml:space="preserve">We leveraged partial ITS rDNA alignments to construct </w:t>
      </w:r>
      <w:r>
        <w:rPr>
          <w:rFonts w:ascii="Times New Roman" w:eastAsia="Times New Roman" w:hAnsi="Times New Roman" w:cs="Times New Roman"/>
          <w:sz w:val="24"/>
          <w:szCs w:val="24"/>
        </w:rPr>
        <w:t xml:space="preserve">a </w:t>
      </w:r>
      <w:r w:rsidRPr="009E7C9D">
        <w:rPr>
          <w:rFonts w:ascii="Times New Roman" w:eastAsia="Times New Roman" w:hAnsi="Times New Roman" w:cs="Times New Roman"/>
          <w:sz w:val="24"/>
          <w:szCs w:val="24"/>
        </w:rPr>
        <w:t>phylogen</w:t>
      </w:r>
      <w:r>
        <w:rPr>
          <w:rFonts w:ascii="Times New Roman" w:eastAsia="Times New Roman" w:hAnsi="Times New Roman" w:cs="Times New Roman"/>
          <w:sz w:val="24"/>
          <w:szCs w:val="24"/>
        </w:rPr>
        <w:t xml:space="preserve">y </w:t>
      </w:r>
      <w:r w:rsidRPr="009E7C9D">
        <w:rPr>
          <w:rFonts w:ascii="Times New Roman" w:eastAsia="Times New Roman" w:hAnsi="Times New Roman" w:cs="Times New Roman"/>
          <w:sz w:val="24"/>
          <w:szCs w:val="24"/>
        </w:rPr>
        <w:t>based on the</w:t>
      </w:r>
      <w:r>
        <w:rPr>
          <w:rFonts w:ascii="Times New Roman" w:eastAsia="Times New Roman" w:hAnsi="Times New Roman" w:cs="Times New Roman"/>
          <w:sz w:val="24"/>
          <w:szCs w:val="24"/>
        </w:rPr>
        <w:t xml:space="preserve"> </w:t>
      </w:r>
      <w:r w:rsidRPr="009E7C9D">
        <w:rPr>
          <w:rFonts w:ascii="Times New Roman" w:eastAsia="Times New Roman" w:hAnsi="Times New Roman" w:cs="Times New Roman"/>
          <w:sz w:val="24"/>
          <w:szCs w:val="24"/>
        </w:rPr>
        <w:t xml:space="preserve">GTR+GAMMA model with 10,000 ultrafast bootstraps and 10,000 bootstraps for the SH-aLRT. The tree is midpoint-rooted and bootstrap values ≥65 are shown. Sequences derived from avian lung tissues are blue and those from mammal lung tissues are </w:t>
      </w:r>
      <w:r>
        <w:rPr>
          <w:rFonts w:ascii="Times New Roman" w:eastAsia="Times New Roman" w:hAnsi="Times New Roman" w:cs="Times New Roman"/>
          <w:sz w:val="24"/>
          <w:szCs w:val="24"/>
        </w:rPr>
        <w:t>yellow</w:t>
      </w:r>
      <w:r w:rsidRPr="009E7C9D">
        <w:rPr>
          <w:rFonts w:ascii="Times New Roman" w:eastAsia="Times New Roman" w:hAnsi="Times New Roman" w:cs="Times New Roman"/>
          <w:sz w:val="24"/>
          <w:szCs w:val="24"/>
        </w:rPr>
        <w:t>.</w:t>
      </w:r>
    </w:p>
    <w:p w14:paraId="400C304D"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ungsuh">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4FE"/>
    <w:rsid w:val="002C696D"/>
    <w:rsid w:val="00331A6B"/>
    <w:rsid w:val="00755780"/>
    <w:rsid w:val="00857596"/>
    <w:rsid w:val="00DB04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E6445"/>
  <w15:chartTrackingRefBased/>
  <w15:docId w15:val="{996FF3DC-4732-4595-8C75-23862BEE0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4FE"/>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DB04FE"/>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B04FE"/>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B04FE"/>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B04FE"/>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DB04FE"/>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DB04FE"/>
    <w:pPr>
      <w:keepNext/>
      <w:keepLines/>
      <w:spacing w:before="40" w:line="259"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DB04FE"/>
    <w:pPr>
      <w:keepNext/>
      <w:keepLines/>
      <w:spacing w:before="40" w:line="259"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DB04FE"/>
    <w:pPr>
      <w:keepNext/>
      <w:keepLines/>
      <w:spacing w:line="259"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DB04FE"/>
    <w:pPr>
      <w:keepNext/>
      <w:keepLines/>
      <w:spacing w:line="259"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04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04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04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04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04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04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04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04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04FE"/>
    <w:rPr>
      <w:rFonts w:eastAsiaTheme="majorEastAsia" w:cstheme="majorBidi"/>
      <w:color w:val="272727" w:themeColor="text1" w:themeTint="D8"/>
    </w:rPr>
  </w:style>
  <w:style w:type="paragraph" w:styleId="Title">
    <w:name w:val="Title"/>
    <w:basedOn w:val="Normal"/>
    <w:next w:val="Normal"/>
    <w:link w:val="TitleChar"/>
    <w:uiPriority w:val="10"/>
    <w:qFormat/>
    <w:rsid w:val="00DB04FE"/>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B04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04F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B04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04FE"/>
    <w:pPr>
      <w:spacing w:before="160" w:after="160" w:line="259"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DB04FE"/>
    <w:rPr>
      <w:i/>
      <w:iCs/>
      <w:color w:val="404040" w:themeColor="text1" w:themeTint="BF"/>
    </w:rPr>
  </w:style>
  <w:style w:type="paragraph" w:styleId="ListParagraph">
    <w:name w:val="List Paragraph"/>
    <w:basedOn w:val="Normal"/>
    <w:uiPriority w:val="34"/>
    <w:qFormat/>
    <w:rsid w:val="00DB04FE"/>
    <w:pPr>
      <w:spacing w:after="160" w:line="259"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DB04FE"/>
    <w:rPr>
      <w:i/>
      <w:iCs/>
      <w:color w:val="0F4761" w:themeColor="accent1" w:themeShade="BF"/>
    </w:rPr>
  </w:style>
  <w:style w:type="paragraph" w:styleId="IntenseQuote">
    <w:name w:val="Intense Quote"/>
    <w:basedOn w:val="Normal"/>
    <w:next w:val="Normal"/>
    <w:link w:val="IntenseQuoteChar"/>
    <w:uiPriority w:val="30"/>
    <w:qFormat/>
    <w:rsid w:val="00DB04FE"/>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DB04FE"/>
    <w:rPr>
      <w:i/>
      <w:iCs/>
      <w:color w:val="0F4761" w:themeColor="accent1" w:themeShade="BF"/>
    </w:rPr>
  </w:style>
  <w:style w:type="character" w:styleId="IntenseReference">
    <w:name w:val="Intense Reference"/>
    <w:basedOn w:val="DefaultParagraphFont"/>
    <w:uiPriority w:val="32"/>
    <w:qFormat/>
    <w:rsid w:val="00DB04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890</Words>
  <Characters>5074</Characters>
  <Application>Microsoft Office Word</Application>
  <DocSecurity>0</DocSecurity>
  <Lines>42</Lines>
  <Paragraphs>11</Paragraphs>
  <ScaleCrop>false</ScaleCrop>
  <Company>Springer Nature</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2024-10-14T07:17:00Z</dcterms:created>
  <dcterms:modified xsi:type="dcterms:W3CDTF">2024-10-14T07:17:00Z</dcterms:modified>
</cp:coreProperties>
</file>