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ED" w:rsidRDefault="007B75ED" w:rsidP="00F74EF0">
      <w:pPr>
        <w:spacing w:after="0" w:line="360" w:lineRule="auto"/>
        <w:jc w:val="both"/>
        <w:rPr>
          <w:rFonts w:eastAsia="Times New Roman"/>
          <w:b/>
          <w:lang w:eastAsia="de-DE"/>
        </w:rPr>
      </w:pPr>
      <w:r>
        <w:rPr>
          <w:rFonts w:eastAsia="Times New Roman"/>
          <w:b/>
          <w:lang w:eastAsia="de-DE"/>
        </w:rPr>
        <w:t>Appendix C. Multicriteria evaluation</w:t>
      </w:r>
    </w:p>
    <w:p w:rsidR="0005487B" w:rsidRPr="00174035" w:rsidRDefault="007B75ED" w:rsidP="00F74EF0">
      <w:pPr>
        <w:spacing w:after="0" w:line="360" w:lineRule="auto"/>
        <w:jc w:val="both"/>
        <w:rPr>
          <w:rFonts w:eastAsia="Times New Roman"/>
          <w:b/>
          <w:lang w:eastAsia="de-DE"/>
        </w:rPr>
      </w:pPr>
      <w:r>
        <w:rPr>
          <w:rFonts w:eastAsia="Times New Roman"/>
          <w:b/>
          <w:lang w:eastAsia="de-DE"/>
        </w:rPr>
        <w:t xml:space="preserve">AHP Implementation Steps for </w:t>
      </w:r>
      <w:r w:rsidR="0005487B" w:rsidRPr="00174035">
        <w:rPr>
          <w:rFonts w:eastAsia="Times New Roman"/>
          <w:b/>
          <w:lang w:eastAsia="de-DE"/>
        </w:rPr>
        <w:t>Criteria Quantification</w:t>
      </w:r>
    </w:p>
    <w:p w:rsidR="0005487B" w:rsidRPr="00CF098E" w:rsidRDefault="0005487B" w:rsidP="002548C6">
      <w:pPr>
        <w:spacing w:after="0" w:line="360" w:lineRule="auto"/>
        <w:jc w:val="both"/>
        <w:rPr>
          <w:rFonts w:eastAsia="Times New Roman"/>
          <w:lang w:eastAsia="de-DE"/>
        </w:rPr>
      </w:pPr>
      <w:r w:rsidRPr="00CF098E">
        <w:rPr>
          <w:rFonts w:eastAsia="Times New Roman"/>
          <w:lang w:eastAsia="de-DE"/>
        </w:rPr>
        <w:t xml:space="preserve">The factors </w:t>
      </w:r>
      <w:proofErr w:type="spellStart"/>
      <w:r w:rsidRPr="00CF098E">
        <w:rPr>
          <w:rFonts w:eastAsia="Times New Roman"/>
          <w:i/>
          <w:iCs/>
          <w:lang w:eastAsia="de-DE"/>
        </w:rPr>
        <w:t>a</w:t>
      </w:r>
      <w:r w:rsidRPr="00CF098E">
        <w:rPr>
          <w:rFonts w:eastAsia="Times New Roman"/>
          <w:i/>
          <w:iCs/>
          <w:vertAlign w:val="subscript"/>
          <w:lang w:eastAsia="de-DE"/>
        </w:rPr>
        <w:t>ij</w:t>
      </w:r>
      <w:proofErr w:type="spellEnd"/>
      <w:r w:rsidRPr="00CF098E">
        <w:rPr>
          <w:rFonts w:eastAsia="Times New Roman"/>
          <w:lang w:eastAsia="de-DE"/>
        </w:rPr>
        <w:t xml:space="preserve"> denoting the importance of criterion </w:t>
      </w:r>
      <w:proofErr w:type="spellStart"/>
      <w:r w:rsidRPr="00CF098E">
        <w:rPr>
          <w:rFonts w:eastAsia="Times New Roman"/>
          <w:i/>
          <w:iCs/>
          <w:lang w:eastAsia="de-DE"/>
        </w:rPr>
        <w:t>i</w:t>
      </w:r>
      <w:proofErr w:type="spellEnd"/>
      <w:r w:rsidRPr="00CF098E">
        <w:rPr>
          <w:rFonts w:eastAsia="Times New Roman"/>
          <w:lang w:eastAsia="de-DE"/>
        </w:rPr>
        <w:t xml:space="preserve"> compared to </w:t>
      </w:r>
      <w:r w:rsidRPr="00CF098E">
        <w:rPr>
          <w:rFonts w:eastAsia="Times New Roman"/>
          <w:i/>
          <w:iCs/>
          <w:lang w:eastAsia="de-DE"/>
        </w:rPr>
        <w:t>j</w:t>
      </w:r>
      <w:r w:rsidRPr="00CF098E">
        <w:rPr>
          <w:rFonts w:eastAsia="Times New Roman"/>
          <w:lang w:eastAsia="de-DE"/>
        </w:rPr>
        <w:t xml:space="preserve">, are selected from the following scale (where </w:t>
      </w:r>
      <w:proofErr w:type="spellStart"/>
      <w:r w:rsidRPr="00CF098E">
        <w:rPr>
          <w:rFonts w:eastAsia="Times New Roman"/>
          <w:i/>
          <w:iCs/>
          <w:lang w:eastAsia="de-DE"/>
        </w:rPr>
        <w:t>a</w:t>
      </w:r>
      <w:r w:rsidRPr="00CF098E">
        <w:rPr>
          <w:rFonts w:eastAsia="Times New Roman"/>
          <w:i/>
          <w:iCs/>
          <w:vertAlign w:val="subscript"/>
          <w:lang w:eastAsia="de-DE"/>
        </w:rPr>
        <w:t>ji</w:t>
      </w:r>
      <w:proofErr w:type="spellEnd"/>
      <w:r w:rsidRPr="00CF098E">
        <w:rPr>
          <w:rFonts w:eastAsia="Times New Roman"/>
          <w:i/>
          <w:iCs/>
          <w:lang w:eastAsia="de-DE"/>
        </w:rPr>
        <w:t xml:space="preserve">=1/ </w:t>
      </w:r>
      <w:proofErr w:type="spellStart"/>
      <w:r w:rsidRPr="00CF098E">
        <w:rPr>
          <w:rFonts w:eastAsia="Times New Roman"/>
          <w:i/>
          <w:iCs/>
          <w:lang w:eastAsia="de-DE"/>
        </w:rPr>
        <w:t>a</w:t>
      </w:r>
      <w:r w:rsidRPr="00CF098E">
        <w:rPr>
          <w:rFonts w:eastAsia="Times New Roman"/>
          <w:i/>
          <w:iCs/>
          <w:vertAlign w:val="subscript"/>
          <w:lang w:eastAsia="de-DE"/>
        </w:rPr>
        <w:t>ij</w:t>
      </w:r>
      <w:proofErr w:type="spellEnd"/>
      <w:r w:rsidRPr="00CF098E">
        <w:rPr>
          <w:rFonts w:eastAsia="Times New Roman"/>
          <w:i/>
          <w:iCs/>
          <w:lang w:eastAsia="de-DE"/>
        </w:rPr>
        <w:t>)</w:t>
      </w:r>
      <w:r w:rsidRPr="00CF098E">
        <w:rPr>
          <w:rFonts w:eastAsia="Times New Roman"/>
          <w:i/>
          <w:iCs/>
          <w:vertAlign w:val="subscript"/>
          <w:lang w:eastAsia="de-DE"/>
        </w:rPr>
        <w:t xml:space="preserve"> </w:t>
      </w:r>
      <w:r w:rsidRPr="00CF098E">
        <w:rPr>
          <w:rFonts w:eastAsia="Times New Roman"/>
          <w:lang w:eastAsia="de-DE"/>
        </w:rPr>
        <w:t>: (</w:t>
      </w:r>
      <w:proofErr w:type="spellStart"/>
      <w:r w:rsidRPr="00CF098E">
        <w:rPr>
          <w:rFonts w:eastAsia="Times New Roman"/>
          <w:lang w:eastAsia="de-DE"/>
        </w:rPr>
        <w:t>i</w:t>
      </w:r>
      <w:proofErr w:type="spellEnd"/>
      <w:r w:rsidRPr="00CF098E">
        <w:rPr>
          <w:rFonts w:eastAsia="Times New Roman"/>
          <w:lang w:eastAsia="de-DE"/>
        </w:rPr>
        <w:t>) Strongly less important: 1/5, (ii) Moderately less important: 1/3, (iii) Equal Importance: 1, (iv) Moderately more important: 3, (v) Strongly more important: 5. This creates a square matrix A=[</w:t>
      </w:r>
      <w:proofErr w:type="spellStart"/>
      <w:r w:rsidRPr="00CF098E">
        <w:rPr>
          <w:rFonts w:eastAsia="Times New Roman"/>
          <w:i/>
          <w:iCs/>
          <w:lang w:eastAsia="de-DE"/>
        </w:rPr>
        <w:t>a</w:t>
      </w:r>
      <w:r w:rsidRPr="00CF098E">
        <w:rPr>
          <w:rFonts w:eastAsia="Times New Roman"/>
          <w:i/>
          <w:iCs/>
          <w:vertAlign w:val="subscript"/>
          <w:lang w:eastAsia="de-DE"/>
        </w:rPr>
        <w:t>ij</w:t>
      </w:r>
      <w:proofErr w:type="spellEnd"/>
      <w:r w:rsidRPr="00CF098E">
        <w:rPr>
          <w:rFonts w:eastAsia="Times New Roman"/>
          <w:lang w:eastAsia="de-DE"/>
        </w:rPr>
        <w:t xml:space="preserve">], from which criteria weights are derived by normalizing matrix values across columns, in turn averaging row values. </w:t>
      </w:r>
    </w:p>
    <w:p w:rsidR="0005487B" w:rsidRPr="00174035" w:rsidRDefault="007B75ED" w:rsidP="007B75ED">
      <w:pPr>
        <w:spacing w:after="0" w:line="360" w:lineRule="auto"/>
        <w:jc w:val="both"/>
        <w:rPr>
          <w:rFonts w:eastAsia="Times New Roman"/>
          <w:b/>
          <w:lang w:eastAsia="de-DE"/>
        </w:rPr>
      </w:pPr>
      <w:r>
        <w:rPr>
          <w:rFonts w:eastAsia="Times New Roman"/>
          <w:b/>
          <w:lang w:eastAsia="de-DE"/>
        </w:rPr>
        <w:t>TOPSIS Implementation Steps for Alternatives Multicriteria Evaluation</w:t>
      </w:r>
    </w:p>
    <w:p w:rsidR="00D3268F" w:rsidRDefault="00D3268F" w:rsidP="002548C6">
      <w:pPr>
        <w:spacing w:after="0" w:line="360" w:lineRule="auto"/>
        <w:jc w:val="both"/>
        <w:rPr>
          <w:rFonts w:ascii="Times New Roman" w:eastAsiaTheme="minorEastAsia" w:hAnsi="Times New Roman" w:cs="Times New Roman"/>
        </w:rPr>
      </w:pPr>
      <w:r w:rsidRPr="00CF098E">
        <w:rPr>
          <w:rFonts w:eastAsia="Times New Roman"/>
          <w:lang w:eastAsia="de-DE"/>
        </w:rPr>
        <w:t xml:space="preserve">TOPSIS is applicable to multicriteria decision problems regardless of the number of criteria and alternatives or the scale of the criteria. Let </w:t>
      </w:r>
      <m:oMath>
        <m:r>
          <w:rPr>
            <w:rFonts w:ascii="Cambria Math" w:eastAsia="Times New Roman" w:hAnsi="Cambria Math"/>
            <w:lang w:eastAsia="de-DE"/>
          </w:rPr>
          <m:t>A=</m:t>
        </m:r>
        <m:d>
          <m:dPr>
            <m:begChr m:val="{"/>
            <m:endChr m:val="}"/>
            <m:ctrlPr>
              <w:rPr>
                <w:rFonts w:ascii="Cambria Math" w:eastAsia="Times New Roman" w:hAnsi="Cambria Math"/>
                <w:i/>
                <w:iCs/>
                <w:lang w:eastAsia="de-DE"/>
              </w:rPr>
            </m:ctrlPr>
          </m:dPr>
          <m:e>
            <m:sSub>
              <m:sSubPr>
                <m:ctrlPr>
                  <w:rPr>
                    <w:rFonts w:ascii="Cambria Math" w:eastAsia="Times New Roman" w:hAnsi="Cambria Math"/>
                    <w:i/>
                    <w:iCs/>
                    <w:lang w:eastAsia="de-DE"/>
                  </w:rPr>
                </m:ctrlPr>
              </m:sSubPr>
              <m:e>
                <m:r>
                  <w:rPr>
                    <w:rFonts w:ascii="Cambria Math" w:eastAsia="Times New Roman" w:hAnsi="Cambria Math"/>
                    <w:lang w:eastAsia="de-DE"/>
                  </w:rPr>
                  <m:t>A</m:t>
                </m:r>
              </m:e>
              <m:sub>
                <m:r>
                  <w:rPr>
                    <w:rFonts w:ascii="Cambria Math" w:eastAsia="Times New Roman" w:hAnsi="Cambria Math"/>
                    <w:lang w:eastAsia="de-DE"/>
                  </w:rPr>
                  <m:t>1</m:t>
                </m:r>
              </m:sub>
            </m:sSub>
            <m:r>
              <w:rPr>
                <w:rFonts w:ascii="Cambria Math" w:eastAsia="Times New Roman" w:hAnsi="Cambria Math"/>
                <w:lang w:eastAsia="de-DE"/>
              </w:rPr>
              <m:t>,…,</m:t>
            </m:r>
            <m:sSub>
              <m:sSubPr>
                <m:ctrlPr>
                  <w:rPr>
                    <w:rFonts w:ascii="Cambria Math" w:eastAsia="Times New Roman" w:hAnsi="Cambria Math"/>
                    <w:i/>
                    <w:iCs/>
                    <w:lang w:eastAsia="de-DE"/>
                  </w:rPr>
                </m:ctrlPr>
              </m:sSubPr>
              <m:e>
                <m:r>
                  <w:rPr>
                    <w:rFonts w:ascii="Cambria Math" w:eastAsia="Times New Roman" w:hAnsi="Cambria Math"/>
                    <w:lang w:eastAsia="de-DE"/>
                  </w:rPr>
                  <m:t>A</m:t>
                </m:r>
              </m:e>
              <m:sub>
                <m:r>
                  <w:rPr>
                    <w:rFonts w:ascii="Cambria Math" w:eastAsia="Times New Roman" w:hAnsi="Cambria Math"/>
                    <w:lang w:eastAsia="de-DE"/>
                  </w:rPr>
                  <m:t>m</m:t>
                </m:r>
              </m:sub>
            </m:sSub>
          </m:e>
        </m:d>
      </m:oMath>
      <w:r w:rsidRPr="00CF098E">
        <w:rPr>
          <w:rFonts w:eastAsia="Times New Roman"/>
          <w:i/>
          <w:iCs/>
          <w:lang w:eastAsia="de-DE"/>
        </w:rPr>
        <w:t xml:space="preserve"> </w:t>
      </w:r>
      <w:r w:rsidRPr="00CF098E">
        <w:rPr>
          <w:rFonts w:eastAsia="Times New Roman"/>
          <w:lang w:eastAsia="de-DE"/>
        </w:rPr>
        <w:t>be a set of alternatives</w:t>
      </w:r>
      <w:r w:rsidRPr="00CF098E">
        <w:rPr>
          <w:rFonts w:eastAsia="Times New Roman"/>
          <w:i/>
          <w:iCs/>
          <w:lang w:eastAsia="de-DE"/>
        </w:rPr>
        <w:t xml:space="preserve"> </w:t>
      </w:r>
      <w:r w:rsidRPr="00CF098E">
        <w:rPr>
          <w:rFonts w:eastAsia="Times New Roman"/>
          <w:lang w:eastAsia="de-DE"/>
        </w:rPr>
        <w:t xml:space="preserve">evaluated against a set of criteria </w:t>
      </w:r>
      <m:oMath>
        <m:r>
          <w:rPr>
            <w:rFonts w:ascii="Cambria Math" w:eastAsia="Times New Roman" w:hAnsi="Cambria Math"/>
            <w:lang w:eastAsia="de-DE"/>
          </w:rPr>
          <m:t>C</m:t>
        </m:r>
        <m:r>
          <m:rPr>
            <m:sty m:val="p"/>
          </m:rPr>
          <w:rPr>
            <w:rFonts w:ascii="Cambria Math" w:eastAsia="Times New Roman" w:hAnsi="Cambria Math"/>
            <w:lang w:eastAsia="de-DE"/>
          </w:rPr>
          <m:t>=</m:t>
        </m:r>
        <m:d>
          <m:dPr>
            <m:begChr m:val="{"/>
            <m:endChr m:val="}"/>
            <m:ctrlPr>
              <w:rPr>
                <w:rFonts w:ascii="Cambria Math" w:eastAsia="Times New Roman" w:hAnsi="Cambria Math"/>
                <w:lang w:eastAsia="de-DE"/>
              </w:rPr>
            </m:ctrlPr>
          </m:dPr>
          <m:e>
            <m:sSub>
              <m:sSubPr>
                <m:ctrlPr>
                  <w:rPr>
                    <w:rFonts w:ascii="Cambria Math" w:eastAsia="Times New Roman" w:hAnsi="Cambria Math"/>
                    <w:lang w:eastAsia="de-DE"/>
                  </w:rPr>
                </m:ctrlPr>
              </m:sSubPr>
              <m:e>
                <m:r>
                  <w:rPr>
                    <w:rFonts w:ascii="Cambria Math" w:eastAsia="Times New Roman" w:hAnsi="Cambria Math"/>
                    <w:lang w:eastAsia="de-DE"/>
                  </w:rPr>
                  <m:t>C</m:t>
                </m:r>
              </m:e>
              <m:sub>
                <m:r>
                  <m:rPr>
                    <m:sty m:val="p"/>
                  </m:rPr>
                  <w:rPr>
                    <w:rFonts w:ascii="Cambria Math" w:eastAsia="Times New Roman" w:hAnsi="Cambria Math"/>
                    <w:lang w:eastAsia="de-DE"/>
                  </w:rPr>
                  <m:t>1</m:t>
                </m:r>
              </m:sub>
            </m:sSub>
            <m:r>
              <m:rPr>
                <m:sty m:val="p"/>
              </m:rPr>
              <w:rPr>
                <w:rFonts w:ascii="Cambria Math" w:eastAsia="Times New Roman" w:hAnsi="Cambria Math"/>
                <w:lang w:eastAsia="de-DE"/>
              </w:rPr>
              <m:t>,…,</m:t>
            </m:r>
            <m:sSub>
              <m:sSubPr>
                <m:ctrlPr>
                  <w:rPr>
                    <w:rFonts w:ascii="Cambria Math" w:eastAsia="Times New Roman" w:hAnsi="Cambria Math"/>
                    <w:lang w:eastAsia="de-DE"/>
                  </w:rPr>
                </m:ctrlPr>
              </m:sSubPr>
              <m:e>
                <m:r>
                  <w:rPr>
                    <w:rFonts w:ascii="Cambria Math" w:eastAsia="Times New Roman" w:hAnsi="Cambria Math"/>
                    <w:lang w:eastAsia="de-DE"/>
                  </w:rPr>
                  <m:t>C</m:t>
                </m:r>
              </m:e>
              <m:sub>
                <m:r>
                  <w:rPr>
                    <w:rFonts w:ascii="Cambria Math" w:eastAsia="Times New Roman" w:hAnsi="Cambria Math"/>
                    <w:lang w:eastAsia="de-DE"/>
                  </w:rPr>
                  <m:t>n</m:t>
                </m:r>
              </m:sub>
            </m:sSub>
          </m:e>
        </m:d>
      </m:oMath>
      <w:r w:rsidRPr="00CF098E">
        <w:rPr>
          <w:rFonts w:eastAsia="Times New Roman"/>
          <w:lang w:eastAsia="de-DE"/>
        </w:rPr>
        <w:t xml:space="preserve">, with </w:t>
      </w:r>
      <m:oMath>
        <m:sSub>
          <m:sSubPr>
            <m:ctrlPr>
              <w:rPr>
                <w:rFonts w:ascii="Cambria Math" w:eastAsia="Times New Roman" w:hAnsi="Cambria Math"/>
                <w:lang w:eastAsia="de-DE"/>
              </w:rPr>
            </m:ctrlPr>
          </m:sSubPr>
          <m:e>
            <m:r>
              <w:rPr>
                <w:rFonts w:ascii="Cambria Math" w:eastAsia="Times New Roman" w:hAnsi="Cambria Math"/>
                <w:lang w:eastAsia="de-DE"/>
              </w:rPr>
              <m:t>f</m:t>
            </m:r>
          </m:e>
          <m:sub>
            <m:r>
              <w:rPr>
                <w:rFonts w:ascii="Cambria Math" w:eastAsia="Times New Roman" w:hAnsi="Cambria Math"/>
                <w:lang w:eastAsia="de-DE"/>
              </w:rPr>
              <m:t>ij</m:t>
            </m:r>
          </m:sub>
        </m:sSub>
        <m:r>
          <w:rPr>
            <w:rFonts w:ascii="Cambria Math" w:eastAsia="Times New Roman" w:hAnsi="Cambria Math"/>
            <w:lang w:eastAsia="de-DE"/>
          </w:rPr>
          <m:t xml:space="preserve"> (for i</m:t>
        </m:r>
        <m:r>
          <m:rPr>
            <m:sty m:val="p"/>
          </m:rPr>
          <w:rPr>
            <w:rFonts w:ascii="Cambria Math" w:eastAsia="Times New Roman" w:hAnsi="Cambria Math"/>
            <w:lang w:eastAsia="de-DE"/>
          </w:rPr>
          <m:t>=1,…,</m:t>
        </m:r>
        <m:r>
          <w:rPr>
            <w:rFonts w:ascii="Cambria Math" w:eastAsia="Times New Roman" w:hAnsi="Cambria Math"/>
            <w:lang w:eastAsia="de-DE"/>
          </w:rPr>
          <m:t>m</m:t>
        </m:r>
        <m:r>
          <m:rPr>
            <m:sty m:val="p"/>
          </m:rPr>
          <w:rPr>
            <w:rFonts w:ascii="Cambria Math" w:eastAsia="Times New Roman" w:hAnsi="Cambria Math"/>
            <w:lang w:eastAsia="de-DE"/>
          </w:rPr>
          <m:t xml:space="preserve">; </m:t>
        </m:r>
        <m:r>
          <w:rPr>
            <w:rFonts w:ascii="Cambria Math" w:eastAsia="Times New Roman" w:hAnsi="Cambria Math"/>
            <w:lang w:eastAsia="de-DE"/>
          </w:rPr>
          <m:t>j</m:t>
        </m:r>
        <m:r>
          <m:rPr>
            <m:sty m:val="p"/>
          </m:rPr>
          <w:rPr>
            <w:rFonts w:ascii="Cambria Math" w:eastAsia="Times New Roman" w:hAnsi="Cambria Math"/>
            <w:lang w:eastAsia="de-DE"/>
          </w:rPr>
          <m:t>=1,…,</m:t>
        </m:r>
        <m:r>
          <w:rPr>
            <w:rFonts w:ascii="Cambria Math" w:eastAsia="Times New Roman" w:hAnsi="Cambria Math"/>
            <w:lang w:eastAsia="de-DE"/>
          </w:rPr>
          <m:t>n)</m:t>
        </m:r>
      </m:oMath>
      <w:r w:rsidRPr="00CF098E">
        <w:rPr>
          <w:rFonts w:eastAsia="Times New Roman"/>
          <w:lang w:eastAsia="de-DE"/>
        </w:rPr>
        <w:t xml:space="preserve"> representing the outcomes of alternative across criteria. Let </w:t>
      </w:r>
      <m:oMath>
        <m:sSub>
          <m:sSubPr>
            <m:ctrlPr>
              <w:rPr>
                <w:rFonts w:ascii="Cambria Math" w:eastAsia="Times New Roman" w:hAnsi="Cambria Math"/>
                <w:lang w:eastAsia="de-DE"/>
              </w:rPr>
            </m:ctrlPr>
          </m:sSubPr>
          <m:e>
            <m:r>
              <w:rPr>
                <w:rFonts w:ascii="Cambria Math" w:eastAsia="Times New Roman" w:hAnsi="Cambria Math"/>
                <w:lang w:eastAsia="de-DE"/>
              </w:rPr>
              <m:t>w</m:t>
            </m:r>
          </m:e>
          <m:sub>
            <m:r>
              <w:rPr>
                <w:rFonts w:ascii="Cambria Math" w:eastAsia="Times New Roman" w:hAnsi="Cambria Math"/>
                <w:lang w:eastAsia="de-DE"/>
              </w:rPr>
              <m:t>j</m:t>
            </m:r>
          </m:sub>
        </m:sSub>
        <m:r>
          <w:rPr>
            <w:rFonts w:ascii="Cambria Math" w:eastAsia="Times New Roman" w:hAnsi="Cambria Math"/>
            <w:lang w:eastAsia="de-DE"/>
          </w:rPr>
          <m:t xml:space="preserve"> (for j</m:t>
        </m:r>
        <m:r>
          <m:rPr>
            <m:sty m:val="p"/>
          </m:rPr>
          <w:rPr>
            <w:rFonts w:ascii="Cambria Math" w:eastAsia="Times New Roman" w:hAnsi="Cambria Math"/>
            <w:lang w:eastAsia="de-DE"/>
          </w:rPr>
          <m:t>=1,…,</m:t>
        </m:r>
        <m:r>
          <w:rPr>
            <w:rFonts w:ascii="Cambria Math" w:eastAsia="Times New Roman" w:hAnsi="Cambria Math"/>
            <w:lang w:eastAsia="de-DE"/>
          </w:rPr>
          <m:t>n)</m:t>
        </m:r>
      </m:oMath>
      <w:r w:rsidRPr="00CF098E">
        <w:rPr>
          <w:rFonts w:eastAsia="Times New Roman"/>
          <w:lang w:eastAsia="de-DE"/>
        </w:rPr>
        <w:t xml:space="preserve"> denote the </w:t>
      </w:r>
      <w:r w:rsidR="007B75ED">
        <w:rPr>
          <w:rFonts w:eastAsia="Times New Roman"/>
          <w:lang w:eastAsia="de-DE"/>
        </w:rPr>
        <w:t>i</w:t>
      </w:r>
      <w:r w:rsidRPr="00CF098E">
        <w:rPr>
          <w:rFonts w:eastAsia="Times New Roman"/>
          <w:lang w:eastAsia="de-DE"/>
        </w:rPr>
        <w:t xml:space="preserve">mportance weights assigned to criteria, where </w:t>
      </w:r>
      <w:r w:rsidRPr="00CF098E">
        <w:rPr>
          <w:rFonts w:eastAsia="Times New Roman"/>
          <w:i/>
          <w:iCs/>
          <w:lang w:eastAsia="de-DE"/>
        </w:rPr>
        <w:t>I and J</w:t>
      </w:r>
      <w:r w:rsidRPr="00CF098E">
        <w:rPr>
          <w:rFonts w:eastAsia="Times New Roman"/>
          <w:lang w:eastAsia="de-DE"/>
        </w:rPr>
        <w:t xml:space="preserve"> denote subsets of benefit and cost criteria, respectively. TOPSIS involves the following steps, described also in mathematical notation in Eq</w:t>
      </w:r>
      <w:r w:rsidR="007B75ED">
        <w:rPr>
          <w:rFonts w:eastAsia="Times New Roman"/>
          <w:lang w:eastAsia="de-DE"/>
        </w:rPr>
        <w:t xml:space="preserve">uations </w:t>
      </w:r>
      <w:r w:rsidR="007B75ED" w:rsidRPr="00CF098E">
        <w:rPr>
          <w:rFonts w:eastAsia="Times New Roman"/>
          <w:lang w:eastAsia="de-DE"/>
        </w:rPr>
        <w:t>(</w:t>
      </w:r>
      <w:r w:rsidR="007B75ED">
        <w:rPr>
          <w:rFonts w:eastAsia="Times New Roman"/>
          <w:lang w:eastAsia="de-DE"/>
        </w:rPr>
        <w:t>C.1</w:t>
      </w:r>
      <w:r w:rsidR="007B75ED" w:rsidRPr="00CF098E">
        <w:rPr>
          <w:rFonts w:eastAsia="Times New Roman"/>
          <w:lang w:eastAsia="de-DE"/>
        </w:rPr>
        <w:t>)</w:t>
      </w:r>
      <w:r w:rsidR="007B75ED">
        <w:rPr>
          <w:rFonts w:eastAsia="Times New Roman"/>
          <w:lang w:eastAsia="de-DE"/>
        </w:rPr>
        <w:t>-</w:t>
      </w:r>
      <w:r w:rsidR="007B75ED" w:rsidRPr="00CF098E">
        <w:rPr>
          <w:rFonts w:eastAsia="Times New Roman"/>
          <w:lang w:eastAsia="de-DE"/>
        </w:rPr>
        <w:t>(</w:t>
      </w:r>
      <w:r w:rsidR="007B75ED">
        <w:rPr>
          <w:rFonts w:eastAsia="Times New Roman"/>
          <w:lang w:eastAsia="de-DE"/>
        </w:rPr>
        <w:t>C.7</w:t>
      </w:r>
      <w:r w:rsidR="007B75ED" w:rsidRPr="00CF098E">
        <w:rPr>
          <w:rFonts w:eastAsia="Times New Roman"/>
          <w:lang w:eastAsia="de-DE"/>
        </w:rPr>
        <w:t>)</w:t>
      </w:r>
      <w:r w:rsidRPr="00CF098E">
        <w:rPr>
          <w:rFonts w:eastAsia="Times New Roman"/>
          <w:lang w:eastAsia="de-DE"/>
        </w:rPr>
        <w:t>: (</w:t>
      </w:r>
      <w:proofErr w:type="spellStart"/>
      <w:r w:rsidRPr="00CF098E">
        <w:rPr>
          <w:rFonts w:eastAsia="Times New Roman"/>
          <w:lang w:eastAsia="de-DE"/>
        </w:rPr>
        <w:t>i</w:t>
      </w:r>
      <w:proofErr w:type="spellEnd"/>
      <w:r w:rsidRPr="00CF098E">
        <w:rPr>
          <w:rFonts w:eastAsia="Times New Roman"/>
          <w:lang w:eastAsia="de-DE"/>
        </w:rPr>
        <w:t xml:space="preserve">) </w:t>
      </w:r>
      <w:r w:rsidRPr="00CF098E">
        <w:rPr>
          <w:rFonts w:ascii="Times New Roman" w:hAnsi="Times New Roman" w:cs="Times New Roman"/>
        </w:rPr>
        <w:t>Calculating the normalized decision matrix (Eq</w:t>
      </w:r>
      <w:r w:rsidR="007B75ED">
        <w:rPr>
          <w:rFonts w:ascii="Times New Roman" w:hAnsi="Times New Roman" w:cs="Times New Roman"/>
        </w:rPr>
        <w:t xml:space="preserve">uation </w:t>
      </w:r>
      <w:r w:rsidRPr="00CF098E">
        <w:rPr>
          <w:rFonts w:ascii="Times New Roman" w:hAnsi="Times New Roman" w:cs="Times New Roman"/>
        </w:rPr>
        <w:t>(</w:t>
      </w:r>
      <w:r w:rsidR="00E30D4A">
        <w:rPr>
          <w:rFonts w:ascii="Times New Roman" w:hAnsi="Times New Roman" w:cs="Times New Roman"/>
        </w:rPr>
        <w:t>1</w:t>
      </w:r>
      <w:r w:rsidR="007B75ED">
        <w:rPr>
          <w:rFonts w:ascii="Times New Roman" w:hAnsi="Times New Roman" w:cs="Times New Roman"/>
        </w:rPr>
        <w:t>1</w:t>
      </w:r>
      <w:r w:rsidRPr="00CF098E">
        <w:rPr>
          <w:rFonts w:ascii="Times New Roman" w:hAnsi="Times New Roman" w:cs="Times New Roman"/>
        </w:rPr>
        <w:t>)) and its weighted form (</w:t>
      </w:r>
      <w:r w:rsidR="007B75ED" w:rsidRPr="00CF098E">
        <w:rPr>
          <w:rFonts w:ascii="Times New Roman" w:hAnsi="Times New Roman" w:cs="Times New Roman"/>
        </w:rPr>
        <w:t>Eq</w:t>
      </w:r>
      <w:r w:rsidR="007B75ED">
        <w:rPr>
          <w:rFonts w:ascii="Times New Roman" w:hAnsi="Times New Roman" w:cs="Times New Roman"/>
        </w:rPr>
        <w:t xml:space="preserve">uation </w:t>
      </w:r>
      <w:r w:rsidRPr="00CF098E">
        <w:rPr>
          <w:rFonts w:ascii="Times New Roman" w:hAnsi="Times New Roman" w:cs="Times New Roman"/>
        </w:rPr>
        <w:t>(</w:t>
      </w:r>
      <w:r w:rsidR="00E30D4A">
        <w:rPr>
          <w:rFonts w:ascii="Times New Roman" w:hAnsi="Times New Roman" w:cs="Times New Roman"/>
        </w:rPr>
        <w:t>1</w:t>
      </w:r>
      <w:r w:rsidR="007B75ED">
        <w:rPr>
          <w:rFonts w:ascii="Times New Roman" w:hAnsi="Times New Roman" w:cs="Times New Roman"/>
        </w:rPr>
        <w:t>2</w:t>
      </w:r>
      <w:r w:rsidRPr="00CF098E">
        <w:rPr>
          <w:rFonts w:ascii="Times New Roman" w:hAnsi="Times New Roman" w:cs="Times New Roman"/>
        </w:rPr>
        <w:t xml:space="preserve">)), </w:t>
      </w:r>
      <w:r w:rsidRPr="00CF098E">
        <w:rPr>
          <w:rFonts w:eastAsia="Times New Roman"/>
          <w:lang w:eastAsia="de-DE"/>
        </w:rPr>
        <w:t xml:space="preserve">(ii) </w:t>
      </w:r>
      <w:r w:rsidRPr="00CF098E">
        <w:t xml:space="preserve">Determining the positive ideal solution (PIS), </w:t>
      </w:r>
      <m:oMath>
        <m:sSup>
          <m:sSupPr>
            <m:ctrlPr>
              <w:rPr>
                <w:rFonts w:ascii="Cambria Math" w:eastAsiaTheme="minorEastAsia" w:hAnsi="Cambria Math" w:cs="Times New Roman"/>
                <w:i/>
              </w:rPr>
            </m:ctrlPr>
          </m:sSupPr>
          <m:e>
            <m:r>
              <w:rPr>
                <w:rFonts w:ascii="Cambria Math" w:eastAsiaTheme="minorEastAsia" w:hAnsi="Cambria Math" w:cs="Times New Roman"/>
              </w:rPr>
              <m:t>P</m:t>
            </m:r>
          </m:e>
          <m:sup>
            <m:r>
              <w:rPr>
                <w:rFonts w:ascii="Cambria Math" w:eastAsiaTheme="minorEastAsia" w:hAnsi="Cambria Math" w:cs="Times New Roman"/>
              </w:rPr>
              <m:t>+</m:t>
            </m:r>
          </m:sup>
        </m:sSup>
        <m:r>
          <w:rPr>
            <w:rFonts w:ascii="Cambria Math" w:eastAsiaTheme="minorEastAsia" w:hAnsi="Cambria Math" w:cs="Times New Roman"/>
          </w:rPr>
          <m:t>=</m:t>
        </m:r>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p</m:t>
                </m:r>
              </m:e>
              <m:sub>
                <m:r>
                  <w:rPr>
                    <w:rFonts w:ascii="Cambria Math" w:eastAsiaTheme="minorEastAsia" w:hAnsi="Cambria Math" w:cs="Times New Roman"/>
                  </w:rPr>
                  <m:t>1</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p</m:t>
                </m:r>
              </m:e>
              <m:sub>
                <m:r>
                  <w:rPr>
                    <w:rFonts w:ascii="Cambria Math" w:eastAsiaTheme="minorEastAsia" w:hAnsi="Cambria Math" w:cs="Times New Roman"/>
                  </w:rPr>
                  <m:t>n</m:t>
                </m:r>
              </m:sub>
              <m:sup>
                <m:r>
                  <w:rPr>
                    <w:rFonts w:ascii="Cambria Math" w:eastAsiaTheme="minorEastAsia" w:hAnsi="Cambria Math" w:cs="Times New Roman"/>
                  </w:rPr>
                  <m:t>+</m:t>
                </m:r>
              </m:sup>
            </m:sSubSup>
          </m:e>
        </m:d>
      </m:oMath>
      <w:r w:rsidRPr="00CF098E">
        <w:rPr>
          <w:rFonts w:eastAsiaTheme="minorEastAsia"/>
        </w:rPr>
        <w:t>,</w:t>
      </w:r>
      <w:r w:rsidRPr="00CF098E">
        <w:rPr>
          <w:rFonts w:ascii="Times New Roman" w:eastAsiaTheme="minorEastAsia" w:hAnsi="Times New Roman" w:cs="Times New Roman"/>
        </w:rPr>
        <w:t xml:space="preserve"> and the negative ideal solution (NIS), </w:t>
      </w:r>
      <m:oMath>
        <m:sSup>
          <m:sSupPr>
            <m:ctrlPr>
              <w:rPr>
                <w:rFonts w:ascii="Cambria Math" w:eastAsiaTheme="minorEastAsia" w:hAnsi="Cambria Math" w:cs="Times New Roman"/>
                <w:i/>
              </w:rPr>
            </m:ctrlPr>
          </m:sSupPr>
          <m:e>
            <m:r>
              <w:rPr>
                <w:rFonts w:ascii="Cambria Math" w:eastAsiaTheme="minorEastAsia" w:hAnsi="Cambria Math" w:cs="Times New Roman"/>
              </w:rPr>
              <m:t>P</m:t>
            </m:r>
          </m:e>
          <m:sup>
            <m:r>
              <w:rPr>
                <w:rFonts w:ascii="Cambria Math" w:eastAsiaTheme="minorEastAsia" w:hAnsi="Cambria Math" w:cs="Times New Roman"/>
              </w:rPr>
              <m:t>-</m:t>
            </m:r>
          </m:sup>
        </m:sSup>
        <m:r>
          <w:rPr>
            <w:rFonts w:ascii="Cambria Math" w:eastAsiaTheme="minorEastAsia" w:hAnsi="Cambria Math" w:cs="Times New Roman"/>
          </w:rPr>
          <m:t>=</m:t>
        </m:r>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p</m:t>
                </m:r>
              </m:e>
              <m:sub>
                <m:r>
                  <w:rPr>
                    <w:rFonts w:ascii="Cambria Math" w:eastAsiaTheme="minorEastAsia" w:hAnsi="Cambria Math" w:cs="Times New Roman"/>
                  </w:rPr>
                  <m:t>1</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p</m:t>
                </m:r>
              </m:e>
              <m:sub>
                <m:r>
                  <w:rPr>
                    <w:rFonts w:ascii="Cambria Math" w:eastAsiaTheme="minorEastAsia" w:hAnsi="Cambria Math" w:cs="Times New Roman"/>
                  </w:rPr>
                  <m:t>n</m:t>
                </m:r>
              </m:sub>
              <m:sup>
                <m:r>
                  <w:rPr>
                    <w:rFonts w:ascii="Cambria Math" w:eastAsiaTheme="minorEastAsia" w:hAnsi="Cambria Math" w:cs="Times New Roman"/>
                  </w:rPr>
                  <m:t>-</m:t>
                </m:r>
              </m:sup>
            </m:sSubSup>
          </m:e>
        </m:d>
      </m:oMath>
      <w:r w:rsidRPr="00CF098E">
        <w:rPr>
          <w:rFonts w:ascii="Times New Roman" w:eastAsiaTheme="minorEastAsia" w:hAnsi="Times New Roman" w:cs="Times New Roman"/>
        </w:rPr>
        <w:t xml:space="preserve"> </w:t>
      </w:r>
      <w:r w:rsidRPr="00CF098E">
        <w:rPr>
          <w:rFonts w:ascii="Times New Roman" w:hAnsi="Times New Roman" w:cs="Times New Roman"/>
        </w:rPr>
        <w:t>(Eq</w:t>
      </w:r>
      <w:r w:rsidR="007B75ED">
        <w:rPr>
          <w:rFonts w:ascii="Times New Roman" w:hAnsi="Times New Roman" w:cs="Times New Roman"/>
        </w:rPr>
        <w:t xml:space="preserve">uations </w:t>
      </w:r>
      <w:r w:rsidRPr="00CF098E">
        <w:rPr>
          <w:rFonts w:ascii="Times New Roman" w:hAnsi="Times New Roman" w:cs="Times New Roman"/>
        </w:rPr>
        <w:t>(</w:t>
      </w:r>
      <w:r w:rsidR="00E30D4A">
        <w:rPr>
          <w:rFonts w:ascii="Times New Roman" w:hAnsi="Times New Roman" w:cs="Times New Roman"/>
        </w:rPr>
        <w:t>1</w:t>
      </w:r>
      <w:r w:rsidR="007B75ED">
        <w:rPr>
          <w:rFonts w:ascii="Times New Roman" w:hAnsi="Times New Roman" w:cs="Times New Roman"/>
        </w:rPr>
        <w:t>3</w:t>
      </w:r>
      <w:r w:rsidRPr="00CF098E">
        <w:rPr>
          <w:rFonts w:ascii="Times New Roman" w:hAnsi="Times New Roman" w:cs="Times New Roman"/>
        </w:rPr>
        <w:t>)-(</w:t>
      </w:r>
      <w:r w:rsidR="007B75ED" w:rsidRPr="007B75ED">
        <w:rPr>
          <w:rFonts w:ascii="Times New Roman" w:hAnsi="Times New Roman" w:cs="Times New Roman"/>
        </w:rPr>
        <w:t xml:space="preserve"> </w:t>
      </w:r>
      <w:r w:rsidR="00E30D4A">
        <w:rPr>
          <w:rFonts w:ascii="Times New Roman" w:hAnsi="Times New Roman" w:cs="Times New Roman"/>
        </w:rPr>
        <w:t>1</w:t>
      </w:r>
      <w:r w:rsidR="007B75ED">
        <w:rPr>
          <w:rFonts w:ascii="Times New Roman" w:hAnsi="Times New Roman" w:cs="Times New Roman"/>
        </w:rPr>
        <w:t>4</w:t>
      </w:r>
      <w:r w:rsidRPr="00CF098E">
        <w:rPr>
          <w:rFonts w:ascii="Times New Roman" w:hAnsi="Times New Roman" w:cs="Times New Roman"/>
        </w:rPr>
        <w:t>))</w:t>
      </w:r>
      <w:r w:rsidRPr="00CF098E">
        <w:rPr>
          <w:rFonts w:ascii="Times New Roman" w:eastAsiaTheme="minorEastAsia" w:hAnsi="Times New Roman" w:cs="Times New Roman"/>
        </w:rPr>
        <w:t xml:space="preserve">, (iii) Estimating the </w:t>
      </w:r>
      <w:r w:rsidRPr="00CF098E">
        <w:rPr>
          <w:rFonts w:ascii="Times New Roman" w:hAnsi="Times New Roman" w:cs="Times New Roman"/>
        </w:rPr>
        <w:t>Euclidean distance of alternatives from the PIS and NIS (Eq</w:t>
      </w:r>
      <w:r w:rsidR="007B75ED">
        <w:rPr>
          <w:rFonts w:ascii="Times New Roman" w:hAnsi="Times New Roman" w:cs="Times New Roman"/>
        </w:rPr>
        <w:t xml:space="preserve">uations </w:t>
      </w:r>
      <w:r w:rsidRPr="00CF098E">
        <w:rPr>
          <w:rFonts w:ascii="Times New Roman" w:hAnsi="Times New Roman" w:cs="Times New Roman"/>
        </w:rPr>
        <w:t>(</w:t>
      </w:r>
      <w:r w:rsidR="00E30D4A">
        <w:rPr>
          <w:rFonts w:ascii="Times New Roman" w:hAnsi="Times New Roman" w:cs="Times New Roman"/>
        </w:rPr>
        <w:t>1</w:t>
      </w:r>
      <w:r w:rsidR="007B75ED">
        <w:rPr>
          <w:rFonts w:ascii="Times New Roman" w:hAnsi="Times New Roman" w:cs="Times New Roman"/>
        </w:rPr>
        <w:t>5</w:t>
      </w:r>
      <w:r w:rsidRPr="00CF098E">
        <w:rPr>
          <w:rFonts w:ascii="Times New Roman" w:hAnsi="Times New Roman" w:cs="Times New Roman"/>
        </w:rPr>
        <w:t>)-(</w:t>
      </w:r>
      <w:r w:rsidR="007B75ED" w:rsidRPr="007B75ED">
        <w:rPr>
          <w:rFonts w:ascii="Times New Roman" w:hAnsi="Times New Roman" w:cs="Times New Roman"/>
        </w:rPr>
        <w:t xml:space="preserve"> </w:t>
      </w:r>
      <w:r w:rsidR="00E30D4A">
        <w:rPr>
          <w:rFonts w:ascii="Times New Roman" w:hAnsi="Times New Roman" w:cs="Times New Roman"/>
        </w:rPr>
        <w:t>1</w:t>
      </w:r>
      <w:r w:rsidR="007B75ED">
        <w:rPr>
          <w:rFonts w:ascii="Times New Roman" w:hAnsi="Times New Roman" w:cs="Times New Roman"/>
        </w:rPr>
        <w:t>6</w:t>
      </w:r>
      <w:r w:rsidRPr="00CF098E">
        <w:rPr>
          <w:rFonts w:ascii="Times New Roman" w:hAnsi="Times New Roman" w:cs="Times New Roman"/>
        </w:rPr>
        <w:t xml:space="preserve">)), </w:t>
      </w:r>
      <w:r w:rsidRPr="00CF098E">
        <w:rPr>
          <w:rFonts w:ascii="Times New Roman" w:eastAsiaTheme="minorEastAsia" w:hAnsi="Times New Roman" w:cs="Times New Roman"/>
        </w:rPr>
        <w:t xml:space="preserve">and finally </w:t>
      </w:r>
      <w:r w:rsidRPr="00CF098E">
        <w:rPr>
          <w:rFonts w:ascii="Times New Roman" w:hAnsi="Times New Roman" w:cs="Times New Roman"/>
        </w:rPr>
        <w:t xml:space="preserve">(iv) </w:t>
      </w:r>
      <w:r w:rsidRPr="00CF098E">
        <w:rPr>
          <w:rFonts w:ascii="Times New Roman" w:eastAsiaTheme="minorEastAsia" w:hAnsi="Times New Roman" w:cs="Times New Roman"/>
        </w:rPr>
        <w:t xml:space="preserve">Calculating the relative closeness </w:t>
      </w:r>
      <w:r w:rsidRPr="00CF098E">
        <w:rPr>
          <w:rFonts w:ascii="Times New Roman" w:eastAsiaTheme="minorEastAsia" w:hAnsi="Times New Roman" w:cs="Times New Roman"/>
          <w:i/>
          <w:iCs/>
        </w:rPr>
        <w:t>D</w:t>
      </w:r>
      <w:r w:rsidRPr="00CF098E">
        <w:rPr>
          <w:rFonts w:ascii="Times New Roman" w:eastAsiaTheme="minorEastAsia" w:hAnsi="Times New Roman" w:cs="Times New Roman"/>
        </w:rPr>
        <w:t xml:space="preserve"> of alternatives to the optimal solution </w:t>
      </w:r>
      <w:r w:rsidRPr="00CF098E">
        <w:rPr>
          <w:rFonts w:ascii="Times New Roman" w:hAnsi="Times New Roman" w:cs="Times New Roman"/>
        </w:rPr>
        <w:t>(Eq</w:t>
      </w:r>
      <w:r w:rsidR="007B75ED">
        <w:rPr>
          <w:rFonts w:ascii="Times New Roman" w:hAnsi="Times New Roman" w:cs="Times New Roman"/>
        </w:rPr>
        <w:t xml:space="preserve">uation </w:t>
      </w:r>
      <w:r w:rsidRPr="00CF098E">
        <w:rPr>
          <w:rFonts w:ascii="Times New Roman" w:hAnsi="Times New Roman" w:cs="Times New Roman"/>
        </w:rPr>
        <w:t>(</w:t>
      </w:r>
      <w:r w:rsidR="00E30D4A">
        <w:rPr>
          <w:rFonts w:ascii="Times New Roman" w:hAnsi="Times New Roman" w:cs="Times New Roman"/>
        </w:rPr>
        <w:t>1</w:t>
      </w:r>
      <w:r w:rsidR="007B75ED">
        <w:rPr>
          <w:rFonts w:ascii="Times New Roman" w:hAnsi="Times New Roman" w:cs="Times New Roman"/>
        </w:rPr>
        <w:t>7</w:t>
      </w:r>
      <w:r w:rsidRPr="00CF098E">
        <w:rPr>
          <w:rFonts w:ascii="Times New Roman" w:hAnsi="Times New Roman" w:cs="Times New Roman"/>
        </w:rPr>
        <w:t>))</w:t>
      </w:r>
      <w:r w:rsidRPr="00CF098E">
        <w:rPr>
          <w:rFonts w:ascii="Times New Roman" w:eastAsiaTheme="minorEastAsia" w:hAnsi="Times New Roman" w:cs="Times New Roman"/>
        </w:rPr>
        <w:t>.</w:t>
      </w:r>
    </w:p>
    <w:p w:rsidR="008420C6" w:rsidRPr="00CF098E" w:rsidRDefault="008420C6" w:rsidP="002548C6">
      <w:pPr>
        <w:spacing w:after="0" w:line="360" w:lineRule="auto"/>
        <w:jc w:val="both"/>
        <w:rPr>
          <w:rFonts w:eastAsia="Times New Roman"/>
          <w:lang w:eastAsia="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73"/>
      </w:tblGrid>
      <w:tr w:rsidR="00D3268F" w:rsidRPr="00CF098E" w:rsidTr="00725566">
        <w:trPr>
          <w:trHeight w:hRule="exact" w:val="798"/>
          <w:jc w:val="center"/>
        </w:trPr>
        <w:tc>
          <w:tcPr>
            <w:tcW w:w="7508" w:type="dxa"/>
            <w:vAlign w:val="center"/>
          </w:tcPr>
          <w:p w:rsidR="00D3268F" w:rsidRPr="00E30D4A" w:rsidRDefault="008420C6" w:rsidP="00725566">
            <w:pPr>
              <w:spacing w:line="360" w:lineRule="auto"/>
              <w:jc w:val="center"/>
              <w:rPr>
                <w:rFonts w:eastAsia="Times New Roman"/>
                <w:lang w:eastAsia="de-DE"/>
              </w:rPr>
            </w:pPr>
            <m:oMathPara>
              <m:oMathParaPr>
                <m:jc m:val="left"/>
              </m:oMathPara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ij</m:t>
                        </m:r>
                      </m:sub>
                    </m:sSub>
                  </m:num>
                  <m:den>
                    <m:rad>
                      <m:radPr>
                        <m:degHide m:val="1"/>
                        <m:ctrlPr>
                          <w:rPr>
                            <w:rFonts w:ascii="Cambria Math" w:hAnsi="Cambria Math" w:cs="Times New Roman"/>
                            <w:i/>
                          </w:rPr>
                        </m:ctrlPr>
                      </m:radPr>
                      <m:deg/>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ij</m:t>
                                </m:r>
                              </m:sub>
                              <m:sup>
                                <m:r>
                                  <w:rPr>
                                    <w:rFonts w:ascii="Cambria Math" w:hAnsi="Cambria Math" w:cs="Times New Roman"/>
                                  </w:rPr>
                                  <m:t>2</m:t>
                                </m:r>
                              </m:sup>
                            </m:sSubSup>
                          </m:e>
                        </m:nary>
                      </m:e>
                    </m:rad>
                  </m:den>
                </m:f>
              </m:oMath>
            </m:oMathPara>
          </w:p>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rPr>
              <w:t>,</w:t>
            </w:r>
            <w:r w:rsidRPr="00CF098E">
              <w:rPr>
                <w:rFonts w:ascii="Cambria Math" w:hAnsi="Cambria Math"/>
                <w:i/>
              </w:rPr>
              <w:t xml:space="preserve"> </w:t>
            </w:r>
            <m:oMath>
              <m:r>
                <w:rPr>
                  <w:rFonts w:ascii="Cambria Math" w:hAnsi="Cambria Math"/>
                </w:rPr>
                <m:t>j∈I</m:t>
              </m:r>
            </m:oMath>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 xml:space="preserve"> (</w:t>
            </w:r>
            <w:r w:rsidR="00E30D4A">
              <w:rPr>
                <w:rFonts w:eastAsia="Times New Roman" w:cstheme="minorHAnsi"/>
                <w:lang w:eastAsia="de-DE"/>
              </w:rPr>
              <w:t>1</w:t>
            </w:r>
            <w:r w:rsidR="006F5664">
              <w:rPr>
                <w:rFonts w:eastAsia="Times New Roman" w:cstheme="minorHAnsi"/>
                <w:lang w:eastAsia="de-DE"/>
              </w:rPr>
              <w:t>1</w:t>
            </w:r>
            <w:r w:rsidRPr="00CF098E">
              <w:rPr>
                <w:rFonts w:eastAsia="Times New Roman" w:cstheme="minorHAnsi"/>
                <w:lang w:eastAsia="de-DE"/>
              </w:rPr>
              <w:t>)</w:t>
            </w:r>
          </w:p>
        </w:tc>
      </w:tr>
      <w:tr w:rsidR="00D3268F" w:rsidRPr="00CF098E" w:rsidTr="00725566">
        <w:trPr>
          <w:trHeight w:hRule="exact" w:val="566"/>
          <w:jc w:val="center"/>
        </w:trPr>
        <w:tc>
          <w:tcPr>
            <w:tcW w:w="7508" w:type="dxa"/>
            <w:vAlign w:val="center"/>
          </w:tcPr>
          <w:p w:rsidR="00D3268F" w:rsidRPr="00E30D4A" w:rsidRDefault="008420C6" w:rsidP="00725566">
            <w:pPr>
              <w:spacing w:line="360" w:lineRule="auto"/>
              <w:jc w:val="center"/>
              <w:rPr>
                <w:rFonts w:eastAsia="Times New Roman"/>
                <w:lang w:eastAsia="de-DE"/>
              </w:rPr>
            </w:pPr>
            <m:oMathPara>
              <m:oMathParaPr>
                <m:jc m:val="left"/>
              </m:oMathPara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m:oMathPara>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2</w:t>
            </w:r>
            <w:r w:rsidRPr="00CF098E">
              <w:rPr>
                <w:rFonts w:eastAsia="Times New Roman" w:cstheme="minorHAnsi"/>
                <w:lang w:eastAsia="de-DE"/>
              </w:rPr>
              <w:t>)</w:t>
            </w:r>
          </w:p>
        </w:tc>
      </w:tr>
      <w:tr w:rsidR="00D3268F" w:rsidRPr="00CF098E" w:rsidTr="00725566">
        <w:trPr>
          <w:trHeight w:hRule="exact" w:val="856"/>
          <w:jc w:val="center"/>
        </w:trPr>
        <w:tc>
          <w:tcPr>
            <w:tcW w:w="7508" w:type="dxa"/>
            <w:vAlign w:val="center"/>
          </w:tcPr>
          <w:p w:rsidR="00D3268F" w:rsidRPr="00E30D4A" w:rsidRDefault="008420C6" w:rsidP="00725566">
            <w:pPr>
              <w:jc w:val="center"/>
              <w:rPr>
                <w:rFonts w:ascii="Times New Roman" w:hAnsi="Times New Roman"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j</m:t>
                    </m:r>
                  </m:sub>
                  <m:sup>
                    <m:r>
                      <w:rPr>
                        <w:rFonts w:ascii="Cambria Math" w:hAnsi="Cambria Math" w:cs="Times New Roman"/>
                      </w:rPr>
                      <m:t>+</m:t>
                    </m:r>
                  </m:sup>
                </m:sSubSup>
                <m:r>
                  <w:rPr>
                    <w:rFonts w:ascii="Cambria Math" w:eastAsiaTheme="minorEastAsia"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i</m:t>
                                </m:r>
                              </m:lim>
                            </m:limLow>
                          </m:fName>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func>
                        <m:r>
                          <w:rPr>
                            <w:rFonts w:ascii="Cambria Math" w:hAnsi="Cambria Math" w:cs="Times New Roman"/>
                          </w:rPr>
                          <m:t>, j ∈ I</m:t>
                        </m:r>
                      </m:e>
                      <m:e>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i</m:t>
                                </m:r>
                              </m:lim>
                            </m:limLow>
                          </m:fName>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func>
                        <m:r>
                          <w:rPr>
                            <w:rFonts w:ascii="Cambria Math" w:hAnsi="Cambria Math" w:cs="Times New Roman"/>
                          </w:rPr>
                          <m:t xml:space="preserve">, j ∈ J </m:t>
                        </m:r>
                      </m:e>
                    </m:eqArr>
                  </m:e>
                </m:d>
              </m:oMath>
            </m:oMathPara>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3</w:t>
            </w:r>
            <w:r w:rsidRPr="00CF098E">
              <w:rPr>
                <w:rFonts w:eastAsia="Times New Roman" w:cstheme="minorHAnsi"/>
                <w:lang w:eastAsia="de-DE"/>
              </w:rPr>
              <w:t>)</w:t>
            </w:r>
          </w:p>
        </w:tc>
      </w:tr>
      <w:tr w:rsidR="00D3268F" w:rsidRPr="00CF098E" w:rsidTr="008420C6">
        <w:tblPrEx>
          <w:jc w:val="left"/>
        </w:tblPrEx>
        <w:trPr>
          <w:trHeight w:hRule="exact" w:val="945"/>
        </w:trPr>
        <w:tc>
          <w:tcPr>
            <w:tcW w:w="7508" w:type="dxa"/>
            <w:vAlign w:val="center"/>
          </w:tcPr>
          <w:p w:rsidR="00D3268F" w:rsidRPr="00E30D4A" w:rsidRDefault="008420C6" w:rsidP="00725566">
            <w:pPr>
              <w:jc w:val="center"/>
              <w:rPr>
                <w:rFonts w:ascii="Times New Roman" w:hAnsi="Times New Roman"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j</m:t>
                    </m:r>
                  </m:sub>
                  <m:sup>
                    <m:r>
                      <w:rPr>
                        <w:rFonts w:ascii="Cambria Math" w:hAnsi="Cambria Math" w:cs="Times New Roman"/>
                      </w:rPr>
                      <m:t>-</m:t>
                    </m:r>
                  </m:sup>
                </m:sSubSup>
                <m:r>
                  <w:rPr>
                    <w:rFonts w:ascii="Cambria Math" w:eastAsiaTheme="minorEastAsia"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i</m:t>
                                </m:r>
                              </m:lim>
                            </m:limLow>
                          </m:fName>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func>
                        <m:r>
                          <w:rPr>
                            <w:rFonts w:ascii="Cambria Math" w:hAnsi="Cambria Math" w:cs="Times New Roman"/>
                          </w:rPr>
                          <m:t>,j ∈ J</m:t>
                        </m:r>
                      </m:e>
                      <m:e>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i</m:t>
                                </m:r>
                              </m:lim>
                            </m:limLow>
                          </m:fName>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func>
                        <m:r>
                          <w:rPr>
                            <w:rFonts w:ascii="Cambria Math" w:hAnsi="Cambria Math" w:cs="Times New Roman"/>
                          </w:rPr>
                          <m:t xml:space="preserve">,j ∈ I </m:t>
                        </m:r>
                      </m:e>
                    </m:eqArr>
                  </m:e>
                </m:d>
              </m:oMath>
            </m:oMathPara>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4</w:t>
            </w:r>
            <w:r w:rsidRPr="00CF098E">
              <w:rPr>
                <w:rFonts w:eastAsia="Times New Roman" w:cstheme="minorHAnsi"/>
                <w:lang w:eastAsia="de-DE"/>
              </w:rPr>
              <w:t>)</w:t>
            </w:r>
          </w:p>
        </w:tc>
      </w:tr>
      <w:tr w:rsidR="00D3268F" w:rsidRPr="00CF098E" w:rsidTr="00725566">
        <w:tblPrEx>
          <w:jc w:val="left"/>
        </w:tblPrEx>
        <w:trPr>
          <w:trHeight w:hRule="exact" w:val="1140"/>
        </w:trPr>
        <w:tc>
          <w:tcPr>
            <w:tcW w:w="7508" w:type="dxa"/>
            <w:vAlign w:val="center"/>
          </w:tcPr>
          <w:p w:rsidR="00D3268F" w:rsidRPr="00E30D4A" w:rsidRDefault="008420C6" w:rsidP="00725566">
            <w:pPr>
              <w:jc w:val="center"/>
              <w:rPr>
                <w:rFonts w:ascii="Times New Roman" w:eastAsiaTheme="minorEastAsia" w:hAnsi="Times New Roman"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m:t>
                </m:r>
                <m:rad>
                  <m:radPr>
                    <m:degHide m:val="1"/>
                    <m:ctrlPr>
                      <w:rPr>
                        <w:rFonts w:ascii="Cambria Math" w:hAnsi="Cambria Math" w:cs="Times New Roman"/>
                        <w:i/>
                      </w:rPr>
                    </m:ctrlPr>
                  </m:radPr>
                  <m:deg/>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j</m:t>
                                    </m:r>
                                  </m:sub>
                                  <m:sup>
                                    <m:r>
                                      <w:rPr>
                                        <w:rFonts w:ascii="Cambria Math" w:hAnsi="Cambria Math" w:cs="Times New Roman"/>
                                      </w:rPr>
                                      <m:t>+</m:t>
                                    </m:r>
                                  </m:sup>
                                </m:sSubSup>
                              </m:e>
                            </m:d>
                          </m:e>
                          <m:sup>
                            <m:r>
                              <w:rPr>
                                <w:rFonts w:ascii="Cambria Math" w:hAnsi="Cambria Math" w:cs="Times New Roman"/>
                              </w:rPr>
                              <m:t>2</m:t>
                            </m:r>
                          </m:sup>
                        </m:sSup>
                      </m:e>
                    </m:nary>
                  </m:e>
                </m:rad>
              </m:oMath>
            </m:oMathPara>
          </w:p>
          <w:p w:rsidR="00D3268F" w:rsidRPr="00CF098E" w:rsidRDefault="00D3268F" w:rsidP="00725566">
            <w:pPr>
              <w:jc w:val="center"/>
              <w:rPr>
                <w:rFonts w:eastAsia="Calibri"/>
              </w:rPr>
            </w:pPr>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5</w:t>
            </w:r>
            <w:r w:rsidRPr="00CF098E">
              <w:rPr>
                <w:rFonts w:eastAsia="Times New Roman" w:cstheme="minorHAnsi"/>
                <w:lang w:eastAsia="de-DE"/>
              </w:rPr>
              <w:t>)</w:t>
            </w:r>
          </w:p>
        </w:tc>
      </w:tr>
      <w:tr w:rsidR="00D3268F" w:rsidRPr="00CF098E" w:rsidTr="00725566">
        <w:tblPrEx>
          <w:jc w:val="left"/>
        </w:tblPrEx>
        <w:trPr>
          <w:trHeight w:hRule="exact" w:val="1106"/>
        </w:trPr>
        <w:tc>
          <w:tcPr>
            <w:tcW w:w="7508" w:type="dxa"/>
            <w:vAlign w:val="center"/>
          </w:tcPr>
          <w:p w:rsidR="00D3268F" w:rsidRPr="00E30D4A" w:rsidRDefault="008420C6" w:rsidP="00725566">
            <w:pPr>
              <w:jc w:val="center"/>
              <w:rPr>
                <w:rFonts w:ascii="Times New Roman" w:eastAsiaTheme="minorEastAsia" w:hAnsi="Times New Roman" w:cs="Times New Roman"/>
              </w:rPr>
            </w:pPr>
            <m:oMathPara>
              <m:oMathParaPr>
                <m:jc m:val="left"/>
              </m:oMathParaP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i</m:t>
                    </m:r>
                  </m:sub>
                  <m:sup>
                    <m:r>
                      <w:rPr>
                        <w:rFonts w:ascii="Cambria Math" w:eastAsiaTheme="minorEastAsia" w:hAnsi="Cambria Math" w:cs="Times New Roman"/>
                      </w:rPr>
                      <m:t>-</m:t>
                    </m:r>
                  </m:sup>
                </m:sSubSup>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n</m:t>
                        </m: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ij</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p</m:t>
                                    </m:r>
                                  </m:e>
                                  <m:sub>
                                    <m:r>
                                      <w:rPr>
                                        <w:rFonts w:ascii="Cambria Math" w:eastAsiaTheme="minorEastAsia" w:hAnsi="Cambria Math" w:cs="Times New Roman"/>
                                      </w:rPr>
                                      <m:t>j</m:t>
                                    </m:r>
                                  </m:sub>
                                  <m:sup>
                                    <m:r>
                                      <w:rPr>
                                        <w:rFonts w:ascii="Cambria Math" w:eastAsiaTheme="minorEastAsia" w:hAnsi="Cambria Math" w:cs="Times New Roman"/>
                                      </w:rPr>
                                      <m:t>-</m:t>
                                    </m:r>
                                  </m:sup>
                                </m:sSubSup>
                              </m:e>
                            </m:d>
                          </m:e>
                          <m:sup>
                            <m:r>
                              <w:rPr>
                                <w:rFonts w:ascii="Cambria Math" w:eastAsiaTheme="minorEastAsia" w:hAnsi="Cambria Math" w:cs="Times New Roman"/>
                              </w:rPr>
                              <m:t>2</m:t>
                            </m:r>
                          </m:sup>
                        </m:sSup>
                      </m:e>
                    </m:nary>
                  </m:e>
                </m:rad>
              </m:oMath>
            </m:oMathPara>
          </w:p>
          <w:p w:rsidR="00D3268F" w:rsidRPr="00CF098E" w:rsidRDefault="00D3268F" w:rsidP="00725566">
            <w:pPr>
              <w:jc w:val="center"/>
              <w:rPr>
                <w:rFonts w:eastAsia="Calibri"/>
              </w:rPr>
            </w:pPr>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6</w:t>
            </w:r>
            <w:r w:rsidRPr="00CF098E">
              <w:rPr>
                <w:rFonts w:eastAsia="Times New Roman" w:cstheme="minorHAnsi"/>
                <w:lang w:eastAsia="de-DE"/>
              </w:rPr>
              <w:t>)</w:t>
            </w:r>
          </w:p>
        </w:tc>
      </w:tr>
      <w:tr w:rsidR="00D3268F" w:rsidRPr="00CF098E" w:rsidTr="008420C6">
        <w:tblPrEx>
          <w:jc w:val="left"/>
        </w:tblPrEx>
        <w:trPr>
          <w:trHeight w:hRule="exact" w:val="657"/>
        </w:trPr>
        <w:tc>
          <w:tcPr>
            <w:tcW w:w="7508" w:type="dxa"/>
            <w:vAlign w:val="center"/>
          </w:tcPr>
          <w:p w:rsidR="00D3268F" w:rsidRPr="00E30D4A" w:rsidRDefault="008420C6" w:rsidP="00725566">
            <w:pPr>
              <w:spacing w:line="360" w:lineRule="auto"/>
              <w:ind w:firstLine="232"/>
              <w:jc w:val="center"/>
              <w:rPr>
                <w:rFonts w:eastAsia="Times New Roman"/>
                <w:lang w:eastAsia="de-DE"/>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i</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i</m:t>
                        </m:r>
                      </m:sub>
                      <m:sup>
                        <m:r>
                          <w:rPr>
                            <w:rFonts w:ascii="Cambria Math" w:eastAsiaTheme="minorEastAsia" w:hAnsi="Cambria Math" w:cs="Times New Roman"/>
                          </w:rPr>
                          <m:t>-</m:t>
                        </m:r>
                      </m:sup>
                    </m:sSubSup>
                  </m:num>
                  <m:den>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i</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i</m:t>
                        </m:r>
                      </m:sub>
                      <m:sup>
                        <m:r>
                          <w:rPr>
                            <w:rFonts w:ascii="Cambria Math" w:eastAsiaTheme="minorEastAsia" w:hAnsi="Cambria Math" w:cs="Times New Roman"/>
                          </w:rPr>
                          <m:t>-</m:t>
                        </m:r>
                      </m:sup>
                    </m:sSubSup>
                  </m:den>
                </m:f>
              </m:oMath>
            </m:oMathPara>
          </w:p>
          <w:p w:rsidR="00D3268F" w:rsidRPr="00CF098E" w:rsidRDefault="00D3268F" w:rsidP="00725566">
            <w:pPr>
              <w:jc w:val="center"/>
              <w:rPr>
                <w:rFonts w:eastAsia="Times New Roman" w:cs="Calibri"/>
              </w:rPr>
            </w:pPr>
          </w:p>
        </w:tc>
        <w:tc>
          <w:tcPr>
            <w:tcW w:w="973" w:type="dxa"/>
            <w:vAlign w:val="center"/>
          </w:tcPr>
          <w:p w:rsidR="00D3268F" w:rsidRPr="00CF098E" w:rsidRDefault="00D3268F" w:rsidP="00725566">
            <w:pPr>
              <w:spacing w:before="120" w:after="120" w:line="360" w:lineRule="auto"/>
              <w:jc w:val="center"/>
              <w:rPr>
                <w:rFonts w:eastAsia="Times New Roman" w:cstheme="minorHAnsi"/>
                <w:lang w:eastAsia="de-DE"/>
              </w:rPr>
            </w:pPr>
            <w:r w:rsidRPr="00CF098E">
              <w:rPr>
                <w:rFonts w:eastAsia="Times New Roman" w:cstheme="minorHAnsi"/>
                <w:lang w:eastAsia="de-DE"/>
              </w:rPr>
              <w:t>(</w:t>
            </w:r>
            <w:r w:rsidR="00E30D4A">
              <w:rPr>
                <w:rFonts w:eastAsia="Times New Roman" w:cstheme="minorHAnsi"/>
                <w:lang w:eastAsia="de-DE"/>
              </w:rPr>
              <w:t>1</w:t>
            </w:r>
            <w:r w:rsidR="006F5664">
              <w:rPr>
                <w:rFonts w:eastAsia="Times New Roman" w:cstheme="minorHAnsi"/>
                <w:lang w:eastAsia="de-DE"/>
              </w:rPr>
              <w:t>7</w:t>
            </w:r>
            <w:r w:rsidRPr="00CF098E">
              <w:rPr>
                <w:rFonts w:eastAsia="Times New Roman" w:cstheme="minorHAnsi"/>
                <w:lang w:eastAsia="de-DE"/>
              </w:rPr>
              <w:t>)</w:t>
            </w:r>
          </w:p>
        </w:tc>
      </w:tr>
    </w:tbl>
    <w:p w:rsidR="008420C6" w:rsidRDefault="008420C6" w:rsidP="008420C6">
      <w:pPr>
        <w:spacing w:after="0" w:line="360" w:lineRule="auto"/>
        <w:jc w:val="both"/>
        <w:rPr>
          <w:rFonts w:ascii="Times New Roman" w:eastAsiaTheme="minorEastAsia" w:hAnsi="Times New Roman" w:cs="Times New Roman"/>
          <w:i/>
          <w:iCs/>
        </w:rPr>
      </w:pPr>
    </w:p>
    <w:p w:rsidR="00D3268F" w:rsidRDefault="00D3268F" w:rsidP="008420C6">
      <w:pPr>
        <w:spacing w:after="0" w:line="360" w:lineRule="auto"/>
        <w:jc w:val="both"/>
      </w:pPr>
      <w:bookmarkStart w:id="0" w:name="_GoBack"/>
      <w:bookmarkEnd w:id="0"/>
      <w:r w:rsidRPr="00CF098E">
        <w:rPr>
          <w:rFonts w:ascii="Times New Roman" w:eastAsiaTheme="minorEastAsia" w:hAnsi="Times New Roman" w:cs="Times New Roman"/>
          <w:i/>
          <w:iCs/>
        </w:rPr>
        <w:t>D</w:t>
      </w:r>
      <w:r w:rsidRPr="00CF098E">
        <w:rPr>
          <w:rFonts w:ascii="Times New Roman" w:eastAsiaTheme="minorEastAsia" w:hAnsi="Times New Roman" w:cs="Times New Roman"/>
        </w:rPr>
        <w:t xml:space="preserve">i values belong to the [0,1] </w:t>
      </w:r>
      <w:r w:rsidRPr="00CF098E">
        <w:rPr>
          <w:rFonts w:eastAsia="Times New Roman"/>
          <w:lang w:eastAsia="de-DE"/>
        </w:rPr>
        <w:t xml:space="preserve">range and compose the key outcomes of the TOPSIS method, describing the desirability of examined alternatives. A </w:t>
      </w:r>
      <w:r w:rsidRPr="00CF098E">
        <w:rPr>
          <w:rFonts w:eastAsia="Times New Roman"/>
          <w:i/>
          <w:iCs/>
          <w:lang w:eastAsia="de-DE"/>
        </w:rPr>
        <w:t>D</w:t>
      </w:r>
      <w:r w:rsidRPr="00CF098E">
        <w:rPr>
          <w:rFonts w:eastAsia="Times New Roman"/>
          <w:lang w:eastAsia="de-DE"/>
        </w:rPr>
        <w:t xml:space="preserve"> </w:t>
      </w:r>
      <w:r w:rsidRPr="00CF098E">
        <w:rPr>
          <w:rFonts w:ascii="Cambria Math" w:eastAsiaTheme="minorEastAsia" w:hAnsi="Cambria Math" w:cs="Cambria Math"/>
        </w:rPr>
        <w:t xml:space="preserve">value of 0 accounts for the </w:t>
      </w:r>
      <w:r w:rsidRPr="00CF098E">
        <w:rPr>
          <w:rFonts w:ascii="Times New Roman" w:eastAsiaTheme="minorEastAsia" w:hAnsi="Times New Roman" w:cs="Times New Roman"/>
        </w:rPr>
        <w:t xml:space="preserve">negative ideal solution, whereas a </w:t>
      </w:r>
      <w:r w:rsidRPr="00CF098E">
        <w:rPr>
          <w:rFonts w:ascii="Times New Roman" w:eastAsiaTheme="minorEastAsia" w:hAnsi="Times New Roman" w:cs="Times New Roman"/>
          <w:i/>
          <w:iCs/>
        </w:rPr>
        <w:t>D</w:t>
      </w:r>
      <w:r w:rsidRPr="00CF098E">
        <w:rPr>
          <w:rFonts w:ascii="Times New Roman" w:eastAsiaTheme="minorEastAsia" w:hAnsi="Times New Roman" w:cs="Times New Roman"/>
        </w:rPr>
        <w:t xml:space="preserve"> value of 1 represents the positive ideal solution. Alternatives </w:t>
      </w:r>
      <w:r w:rsidRPr="00CF098E">
        <w:rPr>
          <w:rFonts w:eastAsia="Times New Roman"/>
          <w:lang w:eastAsia="de-DE"/>
        </w:rPr>
        <w:t xml:space="preserve">with higher </w:t>
      </w:r>
      <w:r w:rsidRPr="00CF098E">
        <w:rPr>
          <w:rFonts w:eastAsia="Times New Roman"/>
          <w:i/>
          <w:iCs/>
          <w:lang w:eastAsia="de-DE"/>
        </w:rPr>
        <w:t>D</w:t>
      </w:r>
      <w:r w:rsidRPr="00CF098E">
        <w:rPr>
          <w:rFonts w:eastAsia="Times New Roman"/>
          <w:lang w:eastAsia="de-DE"/>
        </w:rPr>
        <w:t xml:space="preserve"> values are closer to the positive ideal </w:t>
      </w:r>
      <w:r w:rsidRPr="00CF098E">
        <w:rPr>
          <w:rFonts w:eastAsia="Times New Roman"/>
          <w:lang w:eastAsia="de-DE"/>
        </w:rPr>
        <w:lastRenderedPageBreak/>
        <w:t xml:space="preserve">solution, also known as utopia, and further from the negative ideal solution, also called nadir, compared to competing alternatives. Consequently, such alternatives feature greater robustness across evaluation criteria and are consequently more likely to better serve decision maker targets than competing options. It is noteworthy that TOPSIS utilizes vectorized normalization </w:t>
      </w:r>
      <w:r w:rsidR="006F5664">
        <w:rPr>
          <w:rFonts w:eastAsia="Times New Roman"/>
          <w:lang w:eastAsia="de-DE"/>
        </w:rPr>
        <w:t>(</w:t>
      </w:r>
      <w:r w:rsidRPr="00CF098E">
        <w:rPr>
          <w:rFonts w:eastAsia="Times New Roman"/>
          <w:lang w:eastAsia="de-DE"/>
        </w:rPr>
        <w:t>Eq</w:t>
      </w:r>
      <w:r w:rsidR="006F5664">
        <w:rPr>
          <w:rFonts w:eastAsia="Times New Roman"/>
          <w:lang w:eastAsia="de-DE"/>
        </w:rPr>
        <w:t>uation</w:t>
      </w:r>
      <w:r w:rsidRPr="00CF098E">
        <w:rPr>
          <w:rFonts w:eastAsia="Times New Roman"/>
          <w:lang w:eastAsia="de-DE"/>
        </w:rPr>
        <w:t xml:space="preserve"> (</w:t>
      </w:r>
      <w:r w:rsidR="00E30D4A">
        <w:rPr>
          <w:rFonts w:eastAsia="Times New Roman"/>
          <w:lang w:eastAsia="de-DE"/>
        </w:rPr>
        <w:t>1</w:t>
      </w:r>
      <w:r w:rsidR="006F5664">
        <w:rPr>
          <w:rFonts w:eastAsia="Times New Roman"/>
          <w:lang w:eastAsia="de-DE"/>
        </w:rPr>
        <w:t>1</w:t>
      </w:r>
      <w:r w:rsidRPr="00CF098E">
        <w:rPr>
          <w:rFonts w:eastAsia="Times New Roman"/>
          <w:lang w:eastAsia="de-DE"/>
        </w:rPr>
        <w:t>)). Consequently, while its results can be influenced by the measurement units of the criteria, TOPSIS features robustness against outliers (i.e., vectorized normalization offers more resistance to outliers than the Min-Max scaling)</w:t>
      </w:r>
      <w:r w:rsidR="008420C6">
        <w:rPr>
          <w:rFonts w:eastAsia="Times New Roman"/>
          <w:lang w:eastAsia="de-DE"/>
        </w:rPr>
        <w:t>.</w:t>
      </w:r>
    </w:p>
    <w:sectPr w:rsidR="00D32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8F"/>
    <w:rsid w:val="0005487B"/>
    <w:rsid w:val="00174035"/>
    <w:rsid w:val="002548C6"/>
    <w:rsid w:val="006F5664"/>
    <w:rsid w:val="00731473"/>
    <w:rsid w:val="007B75ED"/>
    <w:rsid w:val="008420C6"/>
    <w:rsid w:val="00BB5C3F"/>
    <w:rsid w:val="00BE5CD9"/>
    <w:rsid w:val="00D3268F"/>
    <w:rsid w:val="00E30D4A"/>
    <w:rsid w:val="00F74E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6512"/>
  <w15:chartTrackingRefBased/>
  <w15:docId w15:val="{BC7C8183-C7C8-4635-AD84-EF569E1F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8F"/>
    <w:rPr>
      <w:rFonts w:ascii="Times" w:hAnsi="Times" w:cs="Time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68F"/>
    <w:pPr>
      <w:spacing w:after="0" w:line="240" w:lineRule="auto"/>
    </w:pPr>
    <w:rPr>
      <w:rFonts w:ascii="Times" w:hAnsi="Times" w:cs="Time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Adamantios Koutsandreas</dc:creator>
  <cp:keywords/>
  <dc:description/>
  <cp:lastModifiedBy>Diamantis Koutsandreas</cp:lastModifiedBy>
  <cp:revision>10</cp:revision>
  <dcterms:created xsi:type="dcterms:W3CDTF">2025-02-05T10:19:00Z</dcterms:created>
  <dcterms:modified xsi:type="dcterms:W3CDTF">2025-03-12T13:06:00Z</dcterms:modified>
</cp:coreProperties>
</file>