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FA47B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Tables 1-</w:t>
      </w:r>
      <w:r>
        <w:rPr>
          <w:rFonts w:hint="eastAsia" w:ascii="Times New Roman" w:hAnsi="Times New Roman" w:cs="Times New Roman"/>
          <w:b/>
          <w:bCs/>
          <w:sz w:val="16"/>
          <w:szCs w:val="16"/>
        </w:rPr>
        <w:t>3</w:t>
      </w:r>
    </w:p>
    <w:p w14:paraId="4B8DB620">
      <w:pPr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b/>
          <w:bCs/>
          <w:sz w:val="16"/>
          <w:szCs w:val="16"/>
        </w:rPr>
        <w:t>Table 1</w:t>
      </w:r>
      <w:r>
        <w:rPr>
          <w:rFonts w:ascii="Times New Roman" w:hAnsi="Times New Roman" w:eastAsia="宋体" w:cs="Times New Roman"/>
          <w:sz w:val="16"/>
          <w:szCs w:val="16"/>
        </w:rPr>
        <w:t xml:space="preserve"> Univariate analysis of clinical </w:t>
      </w:r>
      <w:r>
        <w:rPr>
          <w:rFonts w:hint="eastAsia" w:ascii="Times New Roman" w:hAnsi="Times New Roman" w:eastAsia="宋体" w:cs="Times New Roman"/>
          <w:sz w:val="16"/>
          <w:szCs w:val="16"/>
        </w:rPr>
        <w:t>factor</w:t>
      </w:r>
      <w:r>
        <w:rPr>
          <w:rFonts w:ascii="Times New Roman" w:hAnsi="Times New Roman" w:eastAsia="宋体" w:cs="Times New Roman"/>
          <w:sz w:val="16"/>
          <w:szCs w:val="16"/>
        </w:rPr>
        <w:t xml:space="preserve">s with preoperative </w:t>
      </w:r>
      <w:r>
        <w:rPr>
          <w:rFonts w:hint="eastAsia" w:ascii="Times New Roman" w:hAnsi="Times New Roman" w:eastAsia="宋体" w:cs="Times New Roman"/>
          <w:sz w:val="16"/>
          <w:szCs w:val="16"/>
        </w:rPr>
        <w:t>anxiety</w:t>
      </w:r>
      <w:r>
        <w:rPr>
          <w:rFonts w:ascii="Times New Roman" w:hAnsi="Times New Roman" w:eastAsia="宋体" w:cs="Times New Roman"/>
          <w:sz w:val="16"/>
          <w:szCs w:val="16"/>
        </w:rPr>
        <w:t xml:space="preserve"> and </w:t>
      </w:r>
      <w:r>
        <w:rPr>
          <w:rFonts w:hint="eastAsia" w:ascii="Times New Roman" w:hAnsi="Times New Roman" w:eastAsia="宋体" w:cs="Times New Roman"/>
          <w:sz w:val="16"/>
          <w:szCs w:val="16"/>
        </w:rPr>
        <w:t>depression</w:t>
      </w:r>
      <w:r>
        <w:rPr>
          <w:rFonts w:ascii="Times New Roman" w:hAnsi="Times New Roman" w:eastAsia="宋体" w:cs="Times New Roman"/>
          <w:sz w:val="16"/>
          <w:szCs w:val="16"/>
        </w:rPr>
        <w:t xml:space="preserve"> in patients</w:t>
      </w:r>
      <w:r>
        <w:rPr>
          <w:rFonts w:hint="eastAsia" w:ascii="Times New Roman" w:hAnsi="Times New Roman" w:eastAsia="宋体" w:cs="Times New Roman"/>
          <w:sz w:val="16"/>
          <w:szCs w:val="16"/>
        </w:rPr>
        <w:t xml:space="preserve"> with epilepsy and low-grade brain tumors</w:t>
      </w:r>
    </w:p>
    <w:tbl>
      <w:tblPr>
        <w:tblStyle w:val="8"/>
        <w:tblW w:w="497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869"/>
        <w:gridCol w:w="1259"/>
        <w:gridCol w:w="1209"/>
        <w:gridCol w:w="712"/>
        <w:gridCol w:w="241"/>
        <w:gridCol w:w="1200"/>
        <w:gridCol w:w="1324"/>
        <w:gridCol w:w="644"/>
      </w:tblGrid>
      <w:tr w14:paraId="244BA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56" w:type="pct"/>
            <w:tcBorders>
              <w:top w:val="single" w:color="auto" w:sz="8" w:space="0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2C06A32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single" w:color="auto" w:sz="8" w:space="0"/>
              <w:bottom w:val="nil"/>
            </w:tcBorders>
            <w:shd w:val="clear" w:color="auto" w:fill="auto"/>
            <w:noWrap/>
            <w:vAlign w:val="center"/>
          </w:tcPr>
          <w:p w14:paraId="50B3B60D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407" w:type="pct"/>
            <w:gridSpan w:val="3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 w14:paraId="7C093F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Presence of anxiety</w:t>
            </w:r>
          </w:p>
        </w:tc>
        <w:tc>
          <w:tcPr>
            <w:tcW w:w="106" w:type="pct"/>
            <w:tcBorders>
              <w:top w:val="single" w:color="auto" w:sz="8" w:space="0"/>
              <w:bottom w:val="nil"/>
            </w:tcBorders>
            <w:shd w:val="clear" w:color="auto" w:fill="auto"/>
            <w:noWrap/>
            <w:vAlign w:val="center"/>
          </w:tcPr>
          <w:p w14:paraId="32BE563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402" w:type="pct"/>
            <w:gridSpan w:val="3"/>
            <w:tcBorders>
              <w:top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28393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Presence of depression</w:t>
            </w:r>
          </w:p>
        </w:tc>
      </w:tr>
      <w:tr w14:paraId="61EDD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6" w:type="pct"/>
            <w:tcBorders>
              <w:top w:val="nil"/>
              <w:left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7E721E3E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sz w:val="16"/>
                <w:szCs w:val="16"/>
              </w:rPr>
              <w:t>Variables</w:t>
            </w:r>
          </w:p>
        </w:tc>
        <w:tc>
          <w:tcPr>
            <w:tcW w:w="827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6EE914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Subtype</w:t>
            </w:r>
          </w:p>
        </w:tc>
        <w:tc>
          <w:tcPr>
            <w:tcW w:w="557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01F76A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</w:p>
        </w:tc>
        <w:tc>
          <w:tcPr>
            <w:tcW w:w="535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2133BB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315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118531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P value</w:t>
            </w:r>
          </w:p>
        </w:tc>
        <w:tc>
          <w:tcPr>
            <w:tcW w:w="106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3493ACC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2C4A2B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</w:p>
        </w:tc>
        <w:tc>
          <w:tcPr>
            <w:tcW w:w="585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BC07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285" w:type="pct"/>
            <w:tcBorders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57714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P value</w:t>
            </w:r>
          </w:p>
        </w:tc>
      </w:tr>
      <w:tr w14:paraId="1A5BE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single" w:color="auto" w:sz="8" w:space="0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8DAFACC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04F13E3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557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E578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86 (80.4%)</w:t>
            </w:r>
          </w:p>
        </w:tc>
        <w:tc>
          <w:tcPr>
            <w:tcW w:w="535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3AE1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21 (19.6%)</w:t>
            </w:r>
          </w:p>
        </w:tc>
        <w:tc>
          <w:tcPr>
            <w:tcW w:w="315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6027E0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030248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5AD98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81 (75.7%)</w:t>
            </w:r>
          </w:p>
        </w:tc>
        <w:tc>
          <w:tcPr>
            <w:tcW w:w="585" w:type="pct"/>
            <w:tcBorders>
              <w:top w:val="single" w:color="auto" w:sz="8" w:space="0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52CD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26 (24.3%)</w:t>
            </w:r>
          </w:p>
        </w:tc>
        <w:tc>
          <w:tcPr>
            <w:tcW w:w="285" w:type="pct"/>
            <w:tcBorders>
              <w:top w:val="single" w:color="auto" w:sz="8" w:space="0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7CB5A86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</w:tr>
      <w:tr w14:paraId="18746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FD343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Presence of depression/anxiety,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E85F8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5B55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72 (88.9%)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5F1D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(11.1%)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188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DEB360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3581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72 (83.7%)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347B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(16.3%)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80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</w:t>
            </w:r>
          </w:p>
        </w:tc>
      </w:tr>
      <w:tr w14:paraId="39899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451B0DB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7E12D1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(n=26)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0881F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(53.8%)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B03E2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12 (46.2%)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F512D3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DF672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A794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(42.9%)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A0B5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12 (57.1%)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6D40A6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C521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13905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Patient gender,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262B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ale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(n=65)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A703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51 (78.5%)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179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(21.5%)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5D2D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0.536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A29F2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C3A8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49 (75.4%)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DBE4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(24.6%)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17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0.924</w:t>
            </w:r>
          </w:p>
        </w:tc>
      </w:tr>
      <w:tr w14:paraId="32B8C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5EB8FAF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5AB71F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f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emale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(n=42)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D8E84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35 (83.3%)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F2371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(16.7%)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074A98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3A8D4A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30908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32 (76.2%)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186BA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(23.8%)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5959FD1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D889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C6B3A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Patient population,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F2637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hildren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(n=28)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803A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24 (85.7%)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D07A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(14.3%)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E9D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0.408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3BED8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5F3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22 (78.6%)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0A6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(21.4%)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7D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0.680 </w:t>
            </w:r>
          </w:p>
        </w:tc>
      </w:tr>
      <w:tr w14:paraId="622DE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30E31CE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A39DB6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dult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62CEC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62 (78.5%)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4B736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17 (21.5%)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C75FB9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17C0C2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FA8A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59 (74.7%)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229E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20 (25.3%)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8654E6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E037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28259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Seizure type,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0D744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f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ocal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E09F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65 (80.2%)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176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(19.8%)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0DB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0.953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C77D3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00BE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62 (76.5%)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5405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19 (23.5%)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FAB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0.720 </w:t>
            </w:r>
          </w:p>
        </w:tc>
      </w:tr>
      <w:tr w14:paraId="0044F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1FEBF57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E69C9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g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eneralized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(n=26)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5A3D2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21 (80.8%)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5FDD0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(19.2%)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CC580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A25612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E9A7A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19 (73.1%)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F408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(26.9%)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06F317C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2F9C4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2424C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History of GTCS,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A242D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(n=36)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1976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29 (80.6%)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227B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(19.4%)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5C4B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0.973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469E4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130C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29 (80.6%)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771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(19.4%)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77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0.404</w:t>
            </w:r>
          </w:p>
        </w:tc>
      </w:tr>
      <w:tr w14:paraId="5F738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892FE5D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2E67C9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B74C4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57 (80.3%)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2EB6A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(19.7%)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C6A9A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C65646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7E6D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52 (73.2%)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0E2C1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19 (26.8%)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5F4696B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9757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AC23F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History of SE,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72010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(n=103)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E53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83 (80.6%)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DBB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20 (19.4%)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4CCD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B2B584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044B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78 (75.7%)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D5EA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25 (24.3%)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498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</w:tr>
      <w:tr w14:paraId="6D71C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090A0EF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51D0F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(n=4)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D7AFB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(75%)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38BA9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(25%)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D53D0D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C61441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5F7B6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(75%)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853C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(25%)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504BBE8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22A36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5907E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Seizure frequency,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998E0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daily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(n=30)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EE7A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24 (80%)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E22F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(20%)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7BF5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0.981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3744C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21F1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22 (73.3%)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7E02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(26.7%)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8D2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0.826</w:t>
            </w:r>
          </w:p>
        </w:tc>
      </w:tr>
      <w:tr w14:paraId="7E67F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65DDACB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271225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weekly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(n=45)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B8718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36 (80%)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23E5F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(20%)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9B52947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C287024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BC314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33 (73.3%)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BAC19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12 (26.7%)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569DA23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C5E3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353DD9B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27BE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monthly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6C0F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(78.9%)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AA87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(21.1%)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DE0B10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7BD11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A604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(78.9%)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D321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(21.1%)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C1FB4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7890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8347DF6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96991B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yearly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(n=13)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E68F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11 (84.6%)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BCF8D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(15.4%)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083A77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A80A16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59A13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11 (84.6%)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B7105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(15.4%)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FA5A20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ECE5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4039B0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Drug-resistant epilepsy,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75FC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(n=18)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09FE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17 (94.4%)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EF5B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(5.6%)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3836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0.186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D2626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86AD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(77.8%)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D54C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(22.2%)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5A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</w:tr>
      <w:tr w14:paraId="297F8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BB58181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FDEED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07F10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69 (77.5%)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10511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20 (22.5%)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DFF219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031631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8F627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67 (75.3%)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5B409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22 (24.7%)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13E2A1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AF47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DCF9D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Interictal EEG findings,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FA92A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concordant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(n=77)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7B4A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67 (87%)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F506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(13%)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14E2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0.017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2714C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0A83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60 (77.9%)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7DFB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17 (22.1%)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DF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0.666</w:t>
            </w:r>
          </w:p>
        </w:tc>
      </w:tr>
      <w:tr w14:paraId="1997B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96B08F7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353890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discordant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31DD7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(66.7%)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36AB2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(33.3%)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E647C77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749533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65B5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(71.4%)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57438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(28.6%)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7D7A06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55F97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AF0A68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43052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unknown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(n=9)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786B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(55.6%)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9D84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(44.4%)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86257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BA260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E715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(66.7%)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F5AD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(33.3%)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400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19A76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46383A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Ictal EEG findings,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1537E4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concordant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(n=56)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D8961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44 (78.6%)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6837A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12 (21.4%)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1EB0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0.867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A72316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14DB4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46 (82.1%)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C451B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(17.9%)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94E0BFB"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23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</w:tr>
      <w:tr w14:paraId="2C560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11B1951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E779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discordant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46BC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17 (81%)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078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(19%)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1C3B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8BFDA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5D1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12 (57.1%)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06B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(42.9%)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123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FCCA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5203A31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D9B74B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unknown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(n=30)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91DC4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25 (83.3%)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31197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(16.7%)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EB45EF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4A2754E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D4BF7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23 (76.7%)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F91CB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(23.3%)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E3A5FE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73EDF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5EBFE3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Resection extent,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D8297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simple tumor resection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(n=41)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DA72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35 (85.4%)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B9C2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(14.6%)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4A84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0.305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76070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485B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36 (87.8%)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675E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(12.2%)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86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0.021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</w:tr>
      <w:tr w14:paraId="4224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DEA5EAE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8E0EF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extensive tumor resection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(n=66)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EE756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51 (77.3%)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00CFD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(22.7%)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BFC138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441394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2BD0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45 (68.2%)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5011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21 (31.8%)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1568D3E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B760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5B19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Tumor side,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D96E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right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(n=54)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57B4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46 (85.2%)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6DBA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(14.8%)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C531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0.206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5E513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6F8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46 (85.2%)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560D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(14.8%)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6E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0.206</w:t>
            </w:r>
          </w:p>
        </w:tc>
      </w:tr>
      <w:tr w14:paraId="0667E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CE5C8F2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8FDB79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left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(n=53)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4FA7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40 (75.5%)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A6F94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13 (24.5%)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BA94D14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F6B3B3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09D5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40 (75.5%)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22B9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13 (24.5%)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1A1B6E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4C292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D7EC2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Tumor location,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A0AB4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temporal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(n=73)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D26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57 (78.1%)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D536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(21.9%)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7329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0.602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F5E28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255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49 (67.1%)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2C80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24 (32.9%)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40B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0.009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</w:tr>
      <w:tr w14:paraId="62B31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8DAAFC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E8ABD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non-temporal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(n=24)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33DFC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21 (87.5%)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EDEEE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(12.5%)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244AAF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855C0E4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FB6DE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23 (95.8%)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7CA8F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(4.2%)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6F3D19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05014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B3DFA03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08495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multilobe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(n=10)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4A3E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(80%)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4D76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(20%)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D1F8B7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73885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D4D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(90%)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3E21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(10%)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2AF2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3A392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80E67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Concomitant HS,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99F8B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(n=98)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0AA19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78 (79.6%)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AF487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20 (20.4%)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A704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0.815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BF32B0E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76ED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74 (75.5%)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84E2F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24 (24.5%)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898A3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</w:tr>
      <w:tr w14:paraId="077E7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4FF2BE9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8389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87B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(88.9%)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BD03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(11.1%)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05CEC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8B5A0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C800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(77.8%)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2610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(22.2%)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33CDF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2EAD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905A58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Tumor-associated FCD,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3DF82E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(n=72)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01459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61 (84.7%)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6773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11 (15.3%)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D728D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0.104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149A69E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5D0C0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54 (75%)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B8562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18 (25%)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3D725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0.808</w:t>
            </w:r>
          </w:p>
        </w:tc>
      </w:tr>
      <w:tr w14:paraId="721CE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60BEE3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77E3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yes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(n=35)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8213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25 (71.4%)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7348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(28.6%)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D76AA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D170E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A6CC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27 (77.1%)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2702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(22.9%)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71F7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190D4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370ECC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Seizure outcome,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429A84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Engel class I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(n=85)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8D5C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70 (82.4%)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BC2AB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(17.6%)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788D7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0.931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253374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52DC4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65 (76.5%)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70EB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20 (23.5%)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42997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0.827</w:t>
            </w:r>
          </w:p>
        </w:tc>
      </w:tr>
      <w:tr w14:paraId="51F20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05C3D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89D18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Engel class II-IV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(n=13)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3A84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(76.9%)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578E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(23.1%)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ED808C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01065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ACAA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(69.2%)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D08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(30.8%)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3A9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2A930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7741F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Neurological outcome,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7FE70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mRS 0-1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(n=99)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274BB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81 (81.8%)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19139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18 (18.2%)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3D26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0.389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527B99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F6CF8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76 (76.8%)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F91BA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23 (23.2%)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8261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0.634</w:t>
            </w:r>
          </w:p>
        </w:tc>
      </w:tr>
      <w:tr w14:paraId="12890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2032E79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715AC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mRS 2-5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1748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(62.5%)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9EC3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(37.5%)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8A30D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B28CD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EB9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 (62.5%)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EAB8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(37.5%)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2BA17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23F1A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0EF689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Full-scale IQ,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FDBE0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normal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(n=84)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89211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68 (81%)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C7EC3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(19%)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B2FB9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0.688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30EBEA0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F3D9B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68 (81%)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664CC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(19%)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FE4E0E7"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0.017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</w:tr>
      <w:tr w14:paraId="69BB7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922601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8AE80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deficit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(n=15)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3C87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11 (73.3%)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02BF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(26.7%)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8C1B21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99B44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904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(46.7%)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2C19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(53.3%)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BF93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111B1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DADE4F9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76AD9D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unknown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(n=8)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2E9DB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 (87.5%)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063CA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(12.5%)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58505B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5779810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162B8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(75%)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BF727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(25%)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D9F8B3B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C6D9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6BD6C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Full-scale MQ, n (%)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43627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normal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(n=79)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69E9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63 (79.7%)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6339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(20.3%)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D526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0.710 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4753F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605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63 (79.7%)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7F48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16 (20.3%)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16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0.092</w:t>
            </w:r>
          </w:p>
        </w:tc>
      </w:tr>
      <w:tr w14:paraId="5F9F2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B9C8691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423523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deficit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(n=18)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3B8AE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14 (77.8%)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C0FD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(22.2%)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7D5F1F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A152F3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DE17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 (55.6%)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886C1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(44.4%)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93EE38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6DD6B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65C9E23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926C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unknown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(n=10)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EE44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(90%)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0541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(10%)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A4C2B8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088FA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5DFE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 (80%)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47C2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(20%)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8D5D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</w:tr>
      <w:tr w14:paraId="5156F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2751B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Age at surgery/assessment, median (IQR)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F219F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years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92000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22 (17-27)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77254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25 (18-31)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7A42F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0.065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5E8C8E5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88AF2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22 (17-27)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BBD15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24.5 (17.5-30.5)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50C7D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0.246</w:t>
            </w:r>
          </w:p>
        </w:tc>
      </w:tr>
      <w:tr w14:paraId="19A53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8C307D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Age at seizure onset, median (IQR)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41E1E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years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CA66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11 (6-16.25)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204F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(7-24)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0939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0.140 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57CFB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1C13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12 (6-26)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9D0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12 (7.5-18.1)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28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0.796</w:t>
            </w:r>
          </w:p>
        </w:tc>
      </w:tr>
      <w:tr w14:paraId="2182B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146AC8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Duration of epilepsy, median (IQR)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821C2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months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9CD61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78 (33-183)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51074A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108 (51-186)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E8BCA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0.671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A72B452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1049A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72 (36-162)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015817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162 (69-213)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2C071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0.197</w:t>
            </w:r>
          </w:p>
        </w:tc>
      </w:tr>
      <w:tr w14:paraId="00820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700C0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Tumor size, median (IQR)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E928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millimeter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142B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(15-21.3)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63A6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15 (13.8-20)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EDE0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0.190 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C160D3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805A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15 (15-25)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4423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15 (15-25)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119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0.691</w:t>
            </w:r>
          </w:p>
        </w:tc>
      </w:tr>
      <w:tr w14:paraId="6B40C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4157BF7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Hospitalization time, median (IQR)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777B14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days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52BF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27 (20-33)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3F2D9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29 (23.5-32.5)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6755A4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0.588</w:t>
            </w:r>
          </w:p>
        </w:tc>
        <w:tc>
          <w:tcPr>
            <w:tcW w:w="106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197616C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30E610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25 (19.5-30.5)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1F1F1" w:themeFill="background1" w:themeFillShade="F2"/>
            <w:noWrap/>
            <w:vAlign w:val="center"/>
          </w:tcPr>
          <w:p w14:paraId="234EBE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31.5 (24.5-35.5)</w:t>
            </w:r>
          </w:p>
        </w:tc>
        <w:tc>
          <w:tcPr>
            <w:tcW w:w="285" w:type="pct"/>
            <w:tcBorders>
              <w:top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43FB216"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0.011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6"/>
                <w:szCs w:val="16"/>
                <w:vertAlign w:val="superscript"/>
                <w:lang w:bidi="ar"/>
              </w:rPr>
              <w:t>c</w:t>
            </w:r>
          </w:p>
        </w:tc>
      </w:tr>
      <w:tr w14:paraId="70A73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6" w:type="pct"/>
            <w:tcBorders>
              <w:top w:val="nil"/>
              <w:left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0E1699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Follow-up time, median (IQR)</w:t>
            </w:r>
          </w:p>
        </w:tc>
        <w:tc>
          <w:tcPr>
            <w:tcW w:w="827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E3B737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in months</w:t>
            </w:r>
          </w:p>
        </w:tc>
        <w:tc>
          <w:tcPr>
            <w:tcW w:w="557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1274CA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38.5 (24-78.3)</w:t>
            </w:r>
          </w:p>
        </w:tc>
        <w:tc>
          <w:tcPr>
            <w:tcW w:w="535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0B0764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54 (24.5-89)</w:t>
            </w:r>
          </w:p>
        </w:tc>
        <w:tc>
          <w:tcPr>
            <w:tcW w:w="315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73417A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0.325</w:t>
            </w:r>
          </w:p>
        </w:tc>
        <w:tc>
          <w:tcPr>
            <w:tcW w:w="106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64F35F1A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382BE3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40 (24-77.5)</w:t>
            </w:r>
          </w:p>
        </w:tc>
        <w:tc>
          <w:tcPr>
            <w:tcW w:w="585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01B2C2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50.5 (24-84.5)</w:t>
            </w:r>
          </w:p>
        </w:tc>
        <w:tc>
          <w:tcPr>
            <w:tcW w:w="285" w:type="pct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B63EA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0.337</w:t>
            </w:r>
          </w:p>
        </w:tc>
      </w:tr>
    </w:tbl>
    <w:p w14:paraId="6952CC59">
      <w:pPr>
        <w:spacing w:line="23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EEG, electroencephalography; </w:t>
      </w:r>
      <w:r>
        <w:rPr>
          <w:rFonts w:hint="eastAsia" w:ascii="Times New Roman" w:hAnsi="Times New Roman" w:cs="Times New Roman"/>
          <w:sz w:val="16"/>
          <w:szCs w:val="16"/>
        </w:rPr>
        <w:t xml:space="preserve">FCD, focal cortical dysplasia; </w:t>
      </w:r>
      <w:r>
        <w:rPr>
          <w:rFonts w:ascii="Times New Roman" w:hAnsi="Times New Roman" w:eastAsia="宋体" w:cs="Times New Roman"/>
          <w:sz w:val="16"/>
          <w:szCs w:val="16"/>
        </w:rPr>
        <w:t>GTCS, generalized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eastAsia="宋体" w:cs="Times New Roman"/>
          <w:sz w:val="16"/>
          <w:szCs w:val="16"/>
        </w:rPr>
        <w:t>tonic</w:t>
      </w:r>
      <w:r>
        <w:rPr>
          <w:rFonts w:ascii="Times New Roman" w:hAnsi="Times New Roman" w:cs="Times New Roman"/>
          <w:sz w:val="16"/>
          <w:szCs w:val="16"/>
        </w:rPr>
        <w:t>-</w:t>
      </w:r>
      <w:r>
        <w:rPr>
          <w:rFonts w:ascii="Times New Roman" w:hAnsi="Times New Roman" w:eastAsia="宋体" w:cs="Times New Roman"/>
          <w:sz w:val="16"/>
          <w:szCs w:val="16"/>
        </w:rPr>
        <w:t>clonic seizure</w:t>
      </w:r>
      <w:r>
        <w:rPr>
          <w:rFonts w:ascii="Times New Roman" w:hAnsi="Times New Roman" w:cs="Times New Roman"/>
          <w:sz w:val="16"/>
          <w:szCs w:val="16"/>
        </w:rPr>
        <w:t xml:space="preserve">; HS, hippocampus sclerosis; </w:t>
      </w:r>
      <w:r>
        <w:rPr>
          <w:rFonts w:hint="eastAsia" w:ascii="Times New Roman" w:hAnsi="Times New Roman" w:cs="Times New Roman"/>
          <w:sz w:val="16"/>
          <w:szCs w:val="16"/>
        </w:rPr>
        <w:t xml:space="preserve">IQR, interquartile range; </w:t>
      </w:r>
      <w:r>
        <w:rPr>
          <w:rFonts w:ascii="Times New Roman" w:hAnsi="Times New Roman" w:cs="Times New Roman"/>
          <w:sz w:val="16"/>
          <w:szCs w:val="16"/>
        </w:rPr>
        <w:t xml:space="preserve">IQ, intelligence quotient; MQ, memory quotient; </w:t>
      </w:r>
      <w:r>
        <w:rPr>
          <w:rFonts w:ascii="Times New Roman" w:hAnsi="Times New Roman" w:eastAsia="宋体" w:cs="Times New Roman"/>
          <w:sz w:val="16"/>
          <w:szCs w:val="16"/>
        </w:rPr>
        <w:t>SE, status epilepticus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5EE6B9C3">
      <w:pPr>
        <w:spacing w:line="23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>
        <w:rPr>
          <w:rFonts w:ascii="Times New Roman" w:hAnsi="Times New Roman" w:cs="Times New Roman"/>
          <w:sz w:val="16"/>
          <w:szCs w:val="16"/>
        </w:rPr>
        <w:t xml:space="preserve">Patients who had unknown results in </w:t>
      </w:r>
      <w:r>
        <w:rPr>
          <w:rFonts w:ascii="Times New Roman" w:hAnsi="Times New Roman" w:eastAsia="宋体" w:cs="Times New Roman"/>
          <w:kern w:val="0"/>
          <w:sz w:val="16"/>
          <w:szCs w:val="16"/>
          <w:lang w:bidi="ar"/>
        </w:rPr>
        <w:t>lateral concordance of</w:t>
      </w:r>
      <w:r>
        <w:rPr>
          <w:rFonts w:ascii="Times New Roman" w:hAnsi="Times New Roman" w:cs="Times New Roman"/>
          <w:sz w:val="16"/>
          <w:szCs w:val="16"/>
        </w:rPr>
        <w:t xml:space="preserve"> interictal or ictal</w:t>
      </w:r>
      <w:r>
        <w:rPr>
          <w:rFonts w:ascii="Times New Roman" w:hAnsi="Times New Roman" w:cs="Times New Roman"/>
          <w:kern w:val="0"/>
          <w:sz w:val="16"/>
          <w:szCs w:val="16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16"/>
          <w:szCs w:val="16"/>
          <w:lang w:bidi="ar"/>
        </w:rPr>
        <w:t xml:space="preserve">EEG </w:t>
      </w:r>
      <w:r>
        <w:rPr>
          <w:rFonts w:ascii="Times New Roman" w:hAnsi="Times New Roman" w:cs="Times New Roman"/>
          <w:kern w:val="0"/>
          <w:sz w:val="16"/>
          <w:szCs w:val="16"/>
          <w:lang w:bidi="ar"/>
        </w:rPr>
        <w:t xml:space="preserve">finding with tumor </w:t>
      </w:r>
      <w:r>
        <w:rPr>
          <w:rFonts w:hint="eastAsia" w:ascii="Times New Roman" w:hAnsi="Times New Roman" w:cs="Times New Roman"/>
          <w:kern w:val="0"/>
          <w:sz w:val="16"/>
          <w:szCs w:val="16"/>
          <w:lang w:bidi="ar"/>
        </w:rPr>
        <w:t>lateralization</w:t>
      </w:r>
      <w:r>
        <w:rPr>
          <w:rFonts w:ascii="Times New Roman" w:hAnsi="Times New Roman" w:eastAsia="宋体" w:cs="Times New Roman"/>
          <w:kern w:val="0"/>
          <w:sz w:val="16"/>
          <w:szCs w:val="16"/>
          <w:lang w:bidi="ar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were recorded in </w:t>
      </w:r>
      <w:r>
        <w:rPr>
          <w:rFonts w:hint="eastAsia" w:ascii="Times New Roman" w:hAnsi="Times New Roman" w:cs="Times New Roman"/>
          <w:sz w:val="16"/>
          <w:szCs w:val="16"/>
        </w:rPr>
        <w:t xml:space="preserve">9 </w:t>
      </w:r>
      <w:r>
        <w:rPr>
          <w:rFonts w:ascii="Times New Roman" w:hAnsi="Times New Roman" w:cs="Times New Roman"/>
          <w:sz w:val="16"/>
          <w:szCs w:val="16"/>
        </w:rPr>
        <w:t xml:space="preserve"> patients (with no EDs or normal video EEG findings) and </w:t>
      </w:r>
      <w:r>
        <w:rPr>
          <w:rFonts w:hint="eastAsia" w:ascii="Times New Roman" w:hAnsi="Times New Roman" w:cs="Times New Roman"/>
          <w:sz w:val="16"/>
          <w:szCs w:val="16"/>
        </w:rPr>
        <w:t>30</w:t>
      </w:r>
      <w:r>
        <w:rPr>
          <w:rFonts w:ascii="Times New Roman" w:hAnsi="Times New Roman" w:cs="Times New Roman"/>
          <w:sz w:val="16"/>
          <w:szCs w:val="16"/>
        </w:rPr>
        <w:t xml:space="preserve"> patients (with no ictus during video EEG monitoring), respectively.</w:t>
      </w:r>
    </w:p>
    <w:p w14:paraId="4F3CEDCB">
      <w:pPr>
        <w:spacing w:line="23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 xml:space="preserve">Patients who had unknown results </w:t>
      </w:r>
      <w:r>
        <w:rPr>
          <w:rFonts w:hint="eastAsia" w:ascii="Times New Roman" w:hAnsi="Times New Roman" w:cs="Times New Roman"/>
          <w:sz w:val="16"/>
          <w:szCs w:val="16"/>
        </w:rPr>
        <w:t>of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eastAsia" w:ascii="Times New Roman" w:hAnsi="Times New Roman" w:cs="Times New Roman"/>
          <w:sz w:val="16"/>
          <w:szCs w:val="16"/>
        </w:rPr>
        <w:t>IQ and MQ</w:t>
      </w:r>
      <w:r>
        <w:rPr>
          <w:rFonts w:ascii="Times New Roman" w:hAnsi="Times New Roman" w:eastAsia="宋体" w:cs="Times New Roman"/>
          <w:kern w:val="0"/>
          <w:sz w:val="16"/>
          <w:szCs w:val="16"/>
          <w:lang w:bidi="ar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were </w:t>
      </w:r>
      <w:r>
        <w:rPr>
          <w:rFonts w:hint="eastAsia" w:ascii="Times New Roman" w:hAnsi="Times New Roman" w:cs="Times New Roman"/>
          <w:sz w:val="16"/>
          <w:szCs w:val="16"/>
        </w:rPr>
        <w:t>those without evaluations.</w:t>
      </w:r>
    </w:p>
    <w:p w14:paraId="42CB8522">
      <w:pPr>
        <w:spacing w:line="23" w:lineRule="atLeast"/>
        <w:rPr>
          <w:rFonts w:ascii="Times New Roman" w:hAnsi="Times New Roman" w:eastAsia="宋体" w:cs="Times New Roman"/>
          <w:sz w:val="16"/>
          <w:szCs w:val="16"/>
        </w:rPr>
      </w:pPr>
      <w:r>
        <w:rPr>
          <w:rFonts w:hint="eastAsia" w:ascii="Times New Roman" w:hAnsi="Times New Roman" w:cs="Times New Roman"/>
          <w:sz w:val="16"/>
          <w:szCs w:val="16"/>
          <w:vertAlign w:val="superscript"/>
        </w:rPr>
        <w:t>c</w:t>
      </w:r>
      <w:r>
        <w:rPr>
          <w:rFonts w:ascii="Times New Roman" w:hAnsi="Times New Roman" w:cs="Times New Roman"/>
          <w:sz w:val="16"/>
          <w:szCs w:val="16"/>
        </w:rPr>
        <w:t>P &lt; 0.05, with significance.</w:t>
      </w:r>
    </w:p>
    <w:p w14:paraId="3EC9E38B">
      <w:pPr>
        <w:rPr>
          <w:rFonts w:ascii="Times New Roman" w:hAnsi="Times New Roman" w:cs="Times New Roman"/>
          <w:sz w:val="16"/>
          <w:szCs w:val="16"/>
        </w:rPr>
      </w:pPr>
    </w:p>
    <w:p w14:paraId="2FFB4EC9">
      <w:pPr>
        <w:rPr>
          <w:rFonts w:ascii="Times New Roman" w:hAnsi="Times New Roman" w:cs="Times New Roman"/>
          <w:sz w:val="16"/>
          <w:szCs w:val="16"/>
        </w:rPr>
      </w:pPr>
    </w:p>
    <w:p w14:paraId="685291E9">
      <w:pPr>
        <w:spacing w:line="288" w:lineRule="auto"/>
        <w:rPr>
          <w:rFonts w:ascii="Times New Roman" w:hAnsi="Times New Roman" w:cs="Times New Roman"/>
          <w:sz w:val="16"/>
          <w:szCs w:val="16"/>
          <w:vertAlign w:val="superscript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Table 2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eastAsia" w:ascii="Times New Roman" w:hAnsi="Times New Roman" w:cs="Times New Roman"/>
          <w:sz w:val="16"/>
          <w:szCs w:val="16"/>
        </w:rPr>
        <w:t>The number</w:t>
      </w:r>
      <w:r>
        <w:rPr>
          <w:rFonts w:ascii="Times New Roman" w:hAnsi="Times New Roman" w:cs="Times New Roman"/>
          <w:sz w:val="16"/>
          <w:szCs w:val="16"/>
        </w:rPr>
        <w:t xml:space="preserve"> of patients who underwent neuropsychological evaluations</w:t>
      </w:r>
      <w:r>
        <w:rPr>
          <w:rFonts w:hint="eastAsia" w:ascii="Times New Roman" w:hAnsi="Times New Roman" w:cs="Times New Roman"/>
          <w:sz w:val="16"/>
          <w:szCs w:val="16"/>
        </w:rPr>
        <w:t xml:space="preserve"> of anxiety and depression by different scales.</w:t>
      </w:r>
      <w:r>
        <w:rPr>
          <w:rFonts w:hint="eastAsia" w:ascii="Times New Roman" w:hAnsi="Times New Roman" w:cs="Times New Roman"/>
          <w:sz w:val="16"/>
          <w:szCs w:val="16"/>
          <w:vertAlign w:val="superscript"/>
        </w:rPr>
        <w:t>a</w:t>
      </w:r>
    </w:p>
    <w:tbl>
      <w:tblPr>
        <w:tblStyle w:val="8"/>
        <w:tblW w:w="4999" w:type="pct"/>
        <w:tblInd w:w="0" w:type="dxa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2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2195"/>
        <w:gridCol w:w="3415"/>
        <w:gridCol w:w="2342"/>
      </w:tblGrid>
      <w:tr w14:paraId="48E591B9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9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289DE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Evaluation of anxiety</w:t>
            </w:r>
          </w:p>
        </w:tc>
        <w:tc>
          <w:tcPr>
            <w:tcW w:w="96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98C11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No. of cases</w:t>
            </w:r>
          </w:p>
        </w:tc>
        <w:tc>
          <w:tcPr>
            <w:tcW w:w="1503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B57218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Evaluation of depression</w:t>
            </w:r>
          </w:p>
        </w:tc>
        <w:tc>
          <w:tcPr>
            <w:tcW w:w="103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0C060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No. of cases</w:t>
            </w:r>
          </w:p>
        </w:tc>
      </w:tr>
      <w:tr w14:paraId="40BD8730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213A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SAS, n (%)</w:t>
            </w:r>
          </w:p>
        </w:tc>
        <w:tc>
          <w:tcPr>
            <w:tcW w:w="96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EEA75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03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4A5F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SDS, n (%)</w:t>
            </w:r>
          </w:p>
        </w:tc>
        <w:tc>
          <w:tcPr>
            <w:tcW w:w="1031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F7B62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</w:tr>
      <w:tr w14:paraId="63EF3AAC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8D9DD3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normal (&lt;50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C9C67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83 (87.4%)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305BA72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normal (&lt;50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43AD3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81 (85.3%)</w:t>
            </w:r>
          </w:p>
        </w:tc>
      </w:tr>
      <w:tr w14:paraId="42ACBC22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BE9D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mild (50-59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641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(9.5%)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C67C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mild (50-59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AF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9 (9.5%)</w:t>
            </w:r>
          </w:p>
        </w:tc>
      </w:tr>
      <w:tr w14:paraId="21EC1864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41F1A4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moderate (60-69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36AEFA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(1.1%)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CE091F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moderate (60-69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81F7B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 (4.2%)</w:t>
            </w:r>
          </w:p>
        </w:tc>
      </w:tr>
      <w:tr w14:paraId="596DC969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6928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severe (</w:t>
            </w:r>
            <w:r>
              <w:rPr>
                <w:rStyle w:val="17"/>
                <w:color w:val="auto"/>
                <w:sz w:val="16"/>
                <w:szCs w:val="16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69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594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 (2.1%)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AA1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severe (</w:t>
            </w:r>
            <w:r>
              <w:rPr>
                <w:rStyle w:val="17"/>
                <w:color w:val="auto"/>
                <w:sz w:val="16"/>
                <w:szCs w:val="16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69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4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 (1.1%)</w:t>
            </w:r>
          </w:p>
        </w:tc>
      </w:tr>
      <w:tr w14:paraId="6C50F9CB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202566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HAMA, n (%)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D8CBE4A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75E91C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HAMD, n (%)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775B3A7C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</w:tr>
      <w:tr w14:paraId="2AEBA27A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2304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normal (&lt;7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B8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(25%)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19E2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normal (&lt;7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7F2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 (0%)</w:t>
            </w:r>
          </w:p>
        </w:tc>
      </w:tr>
      <w:tr w14:paraId="067BF29B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0BAF6E9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potential (7-13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53251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(25%)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5F238B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potential (7-16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15F1EA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(25%)</w:t>
            </w:r>
          </w:p>
        </w:tc>
      </w:tr>
      <w:tr w14:paraId="44AFB909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0E63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definite (14-28 scores)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16F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(50%)</w:t>
            </w:r>
          </w:p>
        </w:tc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0A5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definite (17-23 scores)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518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6 (50%)</w:t>
            </w:r>
          </w:p>
        </w:tc>
      </w:tr>
      <w:tr w14:paraId="41E55B24"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98" w:type="pc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055E37D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severe (≥ 29 scores)</w:t>
            </w:r>
          </w:p>
        </w:tc>
        <w:tc>
          <w:tcPr>
            <w:tcW w:w="966" w:type="pc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60C922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 (0%)</w:t>
            </w:r>
          </w:p>
        </w:tc>
        <w:tc>
          <w:tcPr>
            <w:tcW w:w="1503" w:type="pc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0DD316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 xml:space="preserve">  severe (≥ 24 scores)</w:t>
            </w:r>
          </w:p>
        </w:tc>
        <w:tc>
          <w:tcPr>
            <w:tcW w:w="1031" w:type="pc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 w14:paraId="32A527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 (25%)</w:t>
            </w:r>
          </w:p>
        </w:tc>
      </w:tr>
    </w:tbl>
    <w:p w14:paraId="14C7042F">
      <w:pPr>
        <w:rPr>
          <w:rFonts w:ascii="Times New Roman" w:hAnsi="Times New Roman" w:cs="Times New Roman"/>
          <w:sz w:val="16"/>
          <w:szCs w:val="16"/>
        </w:rPr>
      </w:pPr>
      <w:r>
        <w:rPr>
          <w:rFonts w:hint="eastAsia" w:ascii="Times New Roman" w:hAnsi="Times New Roman" w:cs="Times New Roman"/>
          <w:sz w:val="16"/>
          <w:szCs w:val="16"/>
          <w:vertAlign w:val="superscript"/>
        </w:rPr>
        <w:t>a</w:t>
      </w:r>
      <w:r>
        <w:rPr>
          <w:rFonts w:hint="eastAsia" w:ascii="Times New Roman" w:hAnsi="Times New Roman" w:cs="Times New Roman"/>
          <w:sz w:val="16"/>
          <w:szCs w:val="16"/>
        </w:rPr>
        <w:t>Self-Rating Anxiety Scale (SAS) with 20 items of questions or Hamilton Anxiety Scale (HAMA) with 14 items were performed for the evaluation of presence of anxiety in patients, and Self-Rating Depression Scale (SDS) with 20 items of questions or Hamilton Depression Scale (HAMD) with 17 items were performed for the evaluation of presence of depression in patients.</w:t>
      </w:r>
      <w:bookmarkStart w:id="1" w:name="_GoBack"/>
      <w:bookmarkEnd w:id="1"/>
    </w:p>
    <w:p w14:paraId="75BA2F0B">
      <w:pPr>
        <w:rPr>
          <w:rFonts w:ascii="Times New Roman" w:hAnsi="Times New Roman" w:cs="Times New Roman"/>
          <w:sz w:val="16"/>
          <w:szCs w:val="16"/>
        </w:rPr>
      </w:pPr>
    </w:p>
    <w:p w14:paraId="3D655C94">
      <w:pPr>
        <w:rPr>
          <w:rFonts w:ascii="Times New Roman" w:hAnsi="Times New Roman" w:cs="Times New Roman"/>
          <w:sz w:val="16"/>
          <w:szCs w:val="16"/>
        </w:rPr>
      </w:pPr>
    </w:p>
    <w:p w14:paraId="03B1622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6"/>
          <w:szCs w:val="16"/>
        </w:rPr>
        <w:t>3</w:t>
      </w:r>
      <w:r>
        <w:rPr>
          <w:rFonts w:ascii="Times New Roman" w:hAnsi="Times New Roman" w:cs="Times New Roman"/>
          <w:sz w:val="16"/>
          <w:szCs w:val="16"/>
        </w:rPr>
        <w:t xml:space="preserve"> Clinical predictors of </w:t>
      </w:r>
      <w:r>
        <w:rPr>
          <w:rFonts w:hint="eastAsia" w:ascii="Times New Roman" w:hAnsi="Times New Roman" w:cs="Times New Roman"/>
          <w:sz w:val="16"/>
          <w:szCs w:val="16"/>
        </w:rPr>
        <w:t>anxiety and depression</w:t>
      </w:r>
      <w:r>
        <w:rPr>
          <w:rFonts w:ascii="Times New Roman" w:hAnsi="Times New Roman" w:cs="Times New Roman"/>
          <w:sz w:val="16"/>
          <w:szCs w:val="16"/>
        </w:rPr>
        <w:t xml:space="preserve"> in multivariate logistic regression model </w:t>
      </w:r>
    </w:p>
    <w:tbl>
      <w:tblPr>
        <w:tblStyle w:val="8"/>
        <w:tblW w:w="4634" w:type="pct"/>
        <w:tblInd w:w="0" w:type="dxa"/>
        <w:tblBorders>
          <w:top w:val="single" w:color="auto" w:sz="4" w:space="0"/>
          <w:left w:val="single" w:color="FEFEFE" w:sz="8" w:space="0"/>
          <w:bottom w:val="single" w:color="auto" w:sz="4" w:space="0"/>
          <w:right w:val="single" w:color="FEFEFE" w:sz="8" w:space="0"/>
          <w:insideH w:val="none" w:color="auto" w:sz="0" w:space="0"/>
          <w:insideV w:val="single" w:color="FEFEFE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3256"/>
        <w:gridCol w:w="1491"/>
        <w:gridCol w:w="2556"/>
        <w:gridCol w:w="1539"/>
      </w:tblGrid>
      <w:tr w14:paraId="3BC5D045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99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EFEFE"/>
            <w:noWrap/>
            <w:vAlign w:val="center"/>
          </w:tcPr>
          <w:p w14:paraId="457C6590">
            <w:pP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46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EFEFE"/>
            <w:noWrap/>
            <w:vAlign w:val="center"/>
          </w:tcPr>
          <w:p w14:paraId="4699FD89">
            <w:pP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Predictors</w:t>
            </w:r>
          </w:p>
        </w:tc>
        <w:tc>
          <w:tcPr>
            <w:tcW w:w="708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EFEFE"/>
            <w:noWrap/>
            <w:vAlign w:val="center"/>
          </w:tcPr>
          <w:p w14:paraId="297185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bidi="ar"/>
              </w:rPr>
              <w:t>B</w:t>
            </w:r>
          </w:p>
        </w:tc>
        <w:tc>
          <w:tcPr>
            <w:tcW w:w="1214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EFEFE"/>
            <w:noWrap/>
            <w:vAlign w:val="center"/>
          </w:tcPr>
          <w:p w14:paraId="7B2ED0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bidi="ar"/>
              </w:rPr>
              <w:t>OR (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bidi="ar"/>
              </w:rPr>
              <w:t>95% CI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731" w:type="pct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EFEFE"/>
            <w:noWrap/>
            <w:vAlign w:val="center"/>
          </w:tcPr>
          <w:p w14:paraId="3AC1E9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bidi="ar"/>
              </w:rPr>
              <w:t>P</w:t>
            </w:r>
          </w:p>
        </w:tc>
      </w:tr>
      <w:tr w14:paraId="0515ADB2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59AA6A4C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Presence of anxiety</w:t>
            </w: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23A94900">
            <w:pPr>
              <w:widowControl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sz w:val="16"/>
                <w:szCs w:val="16"/>
              </w:rPr>
              <w:t>Interictal EEG findings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DA9F543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4A4A10B4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0F668B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0.024</w:t>
            </w:r>
          </w:p>
        </w:tc>
      </w:tr>
      <w:tr w14:paraId="12FAEA5C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7E5AAFBB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1386108B">
            <w:pPr>
              <w:widowControl/>
              <w:ind w:firstLine="160" w:firstLineChars="100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iscordant vs. concordant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7E0D78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1.209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0FA906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3.35 (1.09-10.31)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638863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0.035</w:t>
            </w:r>
          </w:p>
        </w:tc>
      </w:tr>
      <w:tr w14:paraId="23E36D7E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50826BA8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538CA149">
            <w:pPr>
              <w:widowControl/>
              <w:ind w:firstLine="160" w:firstLineChars="100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nknown vs. concordant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307EA8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1.679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6A59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5.36 (1.23-23.38)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1EB10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0.025</w:t>
            </w:r>
          </w:p>
        </w:tc>
      </w:tr>
      <w:tr w14:paraId="08DBF2EF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7DB93092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35FBD3F5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3AFBCF5F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76031943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5C1FED41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</w:tr>
      <w:tr w14:paraId="2BE197F9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1C34B9A8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Presence of depression</w:t>
            </w: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25A94DE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Ictal EEG findings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2956FC8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59B74F1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4B9E82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0.053</w:t>
            </w:r>
          </w:p>
        </w:tc>
      </w:tr>
      <w:tr w14:paraId="61EF899F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59CC65E3">
            <w:pPr>
              <w:widowControl/>
              <w:textAlignment w:val="top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7C4ACF9D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sz w:val="16"/>
                <w:szCs w:val="16"/>
              </w:rPr>
              <w:t xml:space="preserve">  discordant vs. concordant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F99E6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1.491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7246F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4.44 (1.33-14.81)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2E4573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0.015</w:t>
            </w:r>
          </w:p>
        </w:tc>
      </w:tr>
      <w:tr w14:paraId="4D6D1106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1F1F1" w:themeFill="background1" w:themeFillShade="F2"/>
            <w:noWrap/>
            <w:vAlign w:val="center"/>
          </w:tcPr>
          <w:p w14:paraId="077C9EC4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4EE0ED0A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sz w:val="16"/>
                <w:szCs w:val="16"/>
              </w:rPr>
              <w:t xml:space="preserve">  unknown vs. concordant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6E8B0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0.501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21EA6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1.65 (0.53-5.17)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20F0E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0.389</w:t>
            </w:r>
          </w:p>
        </w:tc>
      </w:tr>
      <w:tr w14:paraId="60E2D30B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5A46C079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D52888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Tumor location, n (%)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A65CEB9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9D6D65C">
            <w:pPr>
              <w:jc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1D001C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0.023</w:t>
            </w:r>
          </w:p>
        </w:tc>
      </w:tr>
      <w:tr w14:paraId="77E778F0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0075C5F1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  <w:bookmarkStart w:id="0" w:name="OLE_LINK3"/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407D252F">
            <w:pP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 temporal vs. non-temporal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4E73B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2.604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688BB2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13.52 (1.65-110.41)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7F86B3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0.015</w:t>
            </w:r>
          </w:p>
        </w:tc>
      </w:tr>
      <w:tr w14:paraId="2088C66A">
        <w:tblPrEx>
          <w:tblBorders>
            <w:top w:val="single" w:color="auto" w:sz="4" w:space="0"/>
            <w:left w:val="single" w:color="FEFEFE" w:sz="8" w:space="0"/>
            <w:bottom w:val="single" w:color="auto" w:sz="4" w:space="0"/>
            <w:right w:val="single" w:color="FEFEFE" w:sz="8" w:space="0"/>
            <w:insideH w:val="none" w:color="auto" w:sz="0" w:space="0"/>
            <w:insideV w:val="single" w:color="FEFEFE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FEFEFE"/>
            <w:noWrap/>
            <w:vAlign w:val="center"/>
          </w:tcPr>
          <w:p w14:paraId="56F8400D">
            <w:pPr>
              <w:rPr>
                <w:rFonts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46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23964915">
            <w:pP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 xml:space="preserve">  m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ultilobe vs. non-temporal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749C8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0.993</w:t>
            </w:r>
          </w:p>
        </w:tc>
        <w:tc>
          <w:tcPr>
            <w:tcW w:w="1214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37271B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  <w:lang w:bidi="ar"/>
              </w:rPr>
              <w:t>2.70 (0.14-50.06)</w:t>
            </w:r>
          </w:p>
        </w:tc>
        <w:tc>
          <w:tcPr>
            <w:tcW w:w="731" w:type="pct"/>
            <w:tcBorders>
              <w:tl2br w:val="nil"/>
              <w:tr2bl w:val="nil"/>
            </w:tcBorders>
            <w:shd w:val="clear" w:color="auto" w:fill="FEFEFE"/>
            <w:vAlign w:val="center"/>
          </w:tcPr>
          <w:p w14:paraId="36CCDE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16"/>
                <w:szCs w:val="16"/>
                <w:lang w:bidi="ar"/>
              </w:rPr>
              <w:t>0.505</w:t>
            </w:r>
          </w:p>
        </w:tc>
      </w:tr>
    </w:tbl>
    <w:p w14:paraId="28D5745E">
      <w:pPr>
        <w:spacing w:line="23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CI, confidence interval</w:t>
      </w:r>
      <w:bookmarkEnd w:id="0"/>
      <w:r>
        <w:rPr>
          <w:rFonts w:ascii="Times New Roman" w:hAnsi="Times New Roman" w:cs="Times New Roman"/>
          <w:sz w:val="16"/>
          <w:szCs w:val="16"/>
        </w:rPr>
        <w:t>; EEG, electroencephalography;</w:t>
      </w:r>
      <w:r>
        <w:rPr>
          <w:rFonts w:hint="eastAsia"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OR, odds ratio.</w:t>
      </w:r>
    </w:p>
    <w:p w14:paraId="0772EF8D">
      <w:pPr>
        <w:rPr>
          <w:rFonts w:ascii="Times New Roman" w:hAnsi="Times New Roman" w:cs="Times New Roman"/>
          <w:sz w:val="16"/>
          <w:szCs w:val="16"/>
        </w:rPr>
      </w:pPr>
    </w:p>
    <w:sectPr>
      <w:pgSz w:w="14740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2010609000101010101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mZmM2NjNhMDkzNDA1YzI4YjQyMjliOWI0ZmVhZTcifQ=="/>
  </w:docVars>
  <w:rsids>
    <w:rsidRoot w:val="00172A27"/>
    <w:rsid w:val="000A6440"/>
    <w:rsid w:val="000E2A08"/>
    <w:rsid w:val="000E6138"/>
    <w:rsid w:val="00143D64"/>
    <w:rsid w:val="00172A27"/>
    <w:rsid w:val="001756BC"/>
    <w:rsid w:val="002660C1"/>
    <w:rsid w:val="003D75F0"/>
    <w:rsid w:val="004803ED"/>
    <w:rsid w:val="004E093D"/>
    <w:rsid w:val="005523EB"/>
    <w:rsid w:val="006A23DC"/>
    <w:rsid w:val="006F798D"/>
    <w:rsid w:val="00927240"/>
    <w:rsid w:val="009E7415"/>
    <w:rsid w:val="00AE5391"/>
    <w:rsid w:val="00B95759"/>
    <w:rsid w:val="00D75633"/>
    <w:rsid w:val="00DF7CDF"/>
    <w:rsid w:val="00E6066C"/>
    <w:rsid w:val="00EA43AB"/>
    <w:rsid w:val="00F01682"/>
    <w:rsid w:val="00FD2520"/>
    <w:rsid w:val="028A55E1"/>
    <w:rsid w:val="041A0778"/>
    <w:rsid w:val="09F07236"/>
    <w:rsid w:val="0A2F0D53"/>
    <w:rsid w:val="0A7E0CDB"/>
    <w:rsid w:val="0B3F1A28"/>
    <w:rsid w:val="0BB16E07"/>
    <w:rsid w:val="0BBC083C"/>
    <w:rsid w:val="0C360518"/>
    <w:rsid w:val="0E974848"/>
    <w:rsid w:val="10C12995"/>
    <w:rsid w:val="15AD5E66"/>
    <w:rsid w:val="1BCE354E"/>
    <w:rsid w:val="205D7DF7"/>
    <w:rsid w:val="23456FFC"/>
    <w:rsid w:val="23617BF1"/>
    <w:rsid w:val="25EF5C39"/>
    <w:rsid w:val="283C5BD3"/>
    <w:rsid w:val="28E76302"/>
    <w:rsid w:val="2A9768E6"/>
    <w:rsid w:val="2AAF513E"/>
    <w:rsid w:val="2D747949"/>
    <w:rsid w:val="328B1E41"/>
    <w:rsid w:val="35C13A7C"/>
    <w:rsid w:val="36331BFB"/>
    <w:rsid w:val="36343134"/>
    <w:rsid w:val="39287032"/>
    <w:rsid w:val="3A1B4F79"/>
    <w:rsid w:val="3A264EE0"/>
    <w:rsid w:val="3AB64281"/>
    <w:rsid w:val="41230A45"/>
    <w:rsid w:val="420411BD"/>
    <w:rsid w:val="429817BC"/>
    <w:rsid w:val="443D6A5F"/>
    <w:rsid w:val="446D027A"/>
    <w:rsid w:val="49BE4054"/>
    <w:rsid w:val="49D2378C"/>
    <w:rsid w:val="4CB524CA"/>
    <w:rsid w:val="4CE2267B"/>
    <w:rsid w:val="4D01600E"/>
    <w:rsid w:val="4E4750A2"/>
    <w:rsid w:val="4FBF1D20"/>
    <w:rsid w:val="4FD8099D"/>
    <w:rsid w:val="516966A8"/>
    <w:rsid w:val="541B19C6"/>
    <w:rsid w:val="581A29C0"/>
    <w:rsid w:val="5879365B"/>
    <w:rsid w:val="593803E0"/>
    <w:rsid w:val="5AF9642A"/>
    <w:rsid w:val="5C3A283D"/>
    <w:rsid w:val="5CF54620"/>
    <w:rsid w:val="5D1944E6"/>
    <w:rsid w:val="5D265E12"/>
    <w:rsid w:val="5E800D5D"/>
    <w:rsid w:val="5F8B5953"/>
    <w:rsid w:val="646A5DEF"/>
    <w:rsid w:val="65561589"/>
    <w:rsid w:val="66901B75"/>
    <w:rsid w:val="6778109F"/>
    <w:rsid w:val="67CF4511"/>
    <w:rsid w:val="67E54FFD"/>
    <w:rsid w:val="68E06D50"/>
    <w:rsid w:val="6B946BA8"/>
    <w:rsid w:val="6C1268DF"/>
    <w:rsid w:val="6DDA538F"/>
    <w:rsid w:val="6EE511D7"/>
    <w:rsid w:val="706678E6"/>
    <w:rsid w:val="7199795A"/>
    <w:rsid w:val="73580151"/>
    <w:rsid w:val="75E926A4"/>
    <w:rsid w:val="76931368"/>
    <w:rsid w:val="7BB408EF"/>
    <w:rsid w:val="7DD149FD"/>
    <w:rsid w:val="7DEA493F"/>
    <w:rsid w:val="7FF5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nhideWhenUsed/>
    <w:uiPriority w:val="99"/>
    <w:pPr>
      <w:widowControl w:val="0"/>
      <w:autoSpaceDE w:val="0"/>
      <w:autoSpaceDN w:val="0"/>
      <w:adjustRightInd w:val="0"/>
      <w:outlineLvl w:val="0"/>
    </w:pPr>
    <w:rPr>
      <w:rFonts w:ascii="MingLiU" w:hAnsi="MingLiU" w:eastAsia="MingLiU" w:cs="Times New Roman"/>
      <w:b/>
      <w:color w:val="000000"/>
      <w:sz w:val="32"/>
      <w:szCs w:val="24"/>
      <w:lang w:val="en-US" w:eastAsia="zh-CN" w:bidi="ar-SA"/>
    </w:rPr>
  </w:style>
  <w:style w:type="paragraph" w:styleId="3">
    <w:name w:val="heading 2"/>
    <w:next w:val="1"/>
    <w:unhideWhenUsed/>
    <w:qFormat/>
    <w:uiPriority w:val="99"/>
    <w:pPr>
      <w:widowControl w:val="0"/>
      <w:autoSpaceDE w:val="0"/>
      <w:autoSpaceDN w:val="0"/>
      <w:adjustRightInd w:val="0"/>
      <w:outlineLvl w:val="1"/>
    </w:pPr>
    <w:rPr>
      <w:rFonts w:ascii="MingLiU" w:hAnsi="MingLiU" w:eastAsia="MingLiU" w:cs="Times New Roman"/>
      <w:b/>
      <w:i/>
      <w:color w:val="000000"/>
      <w:sz w:val="28"/>
      <w:szCs w:val="24"/>
      <w:lang w:val="en-US" w:eastAsia="zh-CN" w:bidi="ar-SA"/>
    </w:rPr>
  </w:style>
  <w:style w:type="paragraph" w:styleId="4">
    <w:name w:val="heading 3"/>
    <w:next w:val="1"/>
    <w:unhideWhenUsed/>
    <w:qFormat/>
    <w:uiPriority w:val="99"/>
    <w:pPr>
      <w:widowControl w:val="0"/>
      <w:autoSpaceDE w:val="0"/>
      <w:autoSpaceDN w:val="0"/>
      <w:adjustRightInd w:val="0"/>
      <w:outlineLvl w:val="2"/>
    </w:pPr>
    <w:rPr>
      <w:rFonts w:ascii="MingLiU" w:hAnsi="MingLiU" w:eastAsia="MingLiU" w:cs="Times New Roman"/>
      <w:b/>
      <w:color w:val="000000"/>
      <w:sz w:val="26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101"/>
    <w:basedOn w:val="10"/>
    <w:qFormat/>
    <w:uiPriority w:val="0"/>
    <w:rPr>
      <w:rFonts w:hint="eastAsia" w:ascii="宋体" w:hAnsi="宋体" w:eastAsia="宋体" w:cs="宋体"/>
      <w:b/>
      <w:bCs/>
      <w:color w:val="FF0000"/>
      <w:sz w:val="22"/>
      <w:szCs w:val="22"/>
      <w:u w:val="none"/>
    </w:rPr>
  </w:style>
  <w:style w:type="character" w:customStyle="1" w:styleId="12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6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font31"/>
    <w:basedOn w:val="10"/>
    <w:qFormat/>
    <w:uiPriority w:val="0"/>
    <w:rPr>
      <w:rFonts w:ascii="微软雅黑" w:hAnsi="微软雅黑" w:eastAsia="微软雅黑" w:cs="微软雅黑"/>
      <w:i/>
      <w:i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1081</Words>
  <Characters>5428</Characters>
  <Lines>48</Lines>
  <Paragraphs>13</Paragraphs>
  <TotalTime>6</TotalTime>
  <ScaleCrop>false</ScaleCrop>
  <LinksUpToDate>false</LinksUpToDate>
  <CharactersWithSpaces>6130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2024-10-06T09:36:00Z</dcterms:created>
  <dc:creator>Xie Sungel</dc:creator>
  <cp:lastModifiedBy>Xie Sungel</cp:lastModifiedBy>
  <dcterms:modified xsi:type="dcterms:W3CDTF">2024-10-06T09:43:35Z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2FAF5E310E914AEEB4A2A5BD9EA0BF50_13</vt:lpwstr>
  </property>
</Properties>
</file>