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E8F781" w14:textId="77777777" w:rsidR="00CE309E" w:rsidRDefault="00CE309E" w:rsidP="00CE309E">
      <w:pPr>
        <w:pStyle w:val="EndNoteBibliography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Supplementary Figure 1</w:t>
      </w:r>
      <w:r>
        <w:rPr>
          <w:rFonts w:ascii="Times New Roman" w:hAnsi="Times New Roman" w:cs="Times New Roman"/>
          <w:sz w:val="24"/>
        </w:rPr>
        <w:t>：</w:t>
      </w:r>
      <w:r>
        <w:rPr>
          <w:rFonts w:ascii="Times New Roman" w:hAnsi="Times New Roman" w:cs="Times New Roman"/>
          <w:sz w:val="24"/>
        </w:rPr>
        <w:t>(A).The number of links between individual cells is visualized by plotting a heatmap. (B). TC0 has the closest communication with other immune cells.</w:t>
      </w:r>
    </w:p>
    <w:p w14:paraId="3E6BB0D5" w14:textId="77777777" w:rsidR="00CE309E" w:rsidRDefault="00CE309E" w:rsidP="00CE309E">
      <w:pPr>
        <w:pStyle w:val="EndNoteBibliography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Supplementary Figure 2</w:t>
      </w:r>
      <w:r>
        <w:rPr>
          <w:rFonts w:ascii="Times New Roman" w:hAnsi="Times New Roman" w:cs="Times New Roman"/>
          <w:sz w:val="24"/>
        </w:rPr>
        <w:t>：</w:t>
      </w:r>
      <w:r>
        <w:rPr>
          <w:rFonts w:ascii="Times New Roman" w:hAnsi="Times New Roman" w:cs="Times New Roman"/>
          <w:sz w:val="24"/>
        </w:rPr>
        <w:t>(A-B). A total of 272 genes with significant differences were obtained, and most of them were highly expressed with C2 subtype. (C-F). The distribution of lymphatic invasion (lymphatic invasion) and venous invasion (venous invasion) were significantly different between C1 and C2 subtype.</w:t>
      </w:r>
    </w:p>
    <w:p w14:paraId="446BB239" w14:textId="77777777" w:rsidR="00CE309E" w:rsidRDefault="00CE309E" w:rsidP="00CE309E">
      <w:pPr>
        <w:pStyle w:val="EndNoteBibliography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Supplementary Figure 3</w:t>
      </w:r>
      <w:r>
        <w:rPr>
          <w:rFonts w:ascii="Times New Roman" w:hAnsi="Times New Roman" w:cs="Times New Roman"/>
          <w:sz w:val="24"/>
        </w:rPr>
        <w:t>：</w:t>
      </w:r>
      <w:r>
        <w:rPr>
          <w:rFonts w:ascii="Times New Roman" w:hAnsi="Times New Roman" w:cs="Times New Roman"/>
          <w:sz w:val="24"/>
        </w:rPr>
        <w:t>(A). The prognosis of the samples in the high-risk group was worse. (B). The AUC values at 1/3/5 years were: 0.600/0.686/0.665, respectively. (C-E). The higher the risk score and mortality rate of patients with the higher gene expression of 9 risk model genes.</w:t>
      </w:r>
    </w:p>
    <w:p w14:paraId="72A11330" w14:textId="77777777" w:rsidR="00CE309E" w:rsidRDefault="00CE309E" w:rsidP="00CE309E">
      <w:pPr>
        <w:pStyle w:val="EndNoteBibliography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Supplementary Figure 4</w:t>
      </w:r>
      <w:r>
        <w:rPr>
          <w:rFonts w:ascii="Times New Roman" w:hAnsi="Times New Roman" w:cs="Times New Roman"/>
          <w:sz w:val="24"/>
        </w:rPr>
        <w:t>：</w:t>
      </w:r>
      <w:r>
        <w:rPr>
          <w:rFonts w:ascii="Times New Roman" w:hAnsi="Times New Roman" w:cs="Times New Roman"/>
          <w:sz w:val="24"/>
        </w:rPr>
        <w:t>(A). The prognosis of the samples in the high-risk group was worse. (B). AUCs at 1/3/5 years were 0.784/0.763/0.645, respectively. (C-E). The higher the risk score and mortality rate of patients with the higher gene expression of 9 risk model genes (F-J).</w:t>
      </w:r>
    </w:p>
    <w:p w14:paraId="286A1A84" w14:textId="77777777" w:rsidR="00CE309E" w:rsidRDefault="00CE309E" w:rsidP="00CE309E">
      <w:pPr>
        <w:pStyle w:val="EndNoteBibliography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Supplementary Figure 5</w:t>
      </w:r>
      <w:r>
        <w:rPr>
          <w:rFonts w:ascii="Times New Roman" w:hAnsi="Times New Roman" w:cs="Times New Roman"/>
          <w:sz w:val="24"/>
        </w:rPr>
        <w:t>：</w:t>
      </w:r>
      <w:r>
        <w:rPr>
          <w:rFonts w:ascii="Times New Roman" w:hAnsi="Times New Roman" w:cs="Times New Roman"/>
          <w:sz w:val="24"/>
        </w:rPr>
        <w:t>(A). The prognosis of the samples in the high-risk group was worse. (B). The 1/2/5-year AUC values in plot B were: 0.667/0.645/0.602, respectively. (C-E). The higher the risk score and mortality rate of patients with the higher gene expression of 9 risk model genes.</w:t>
      </w:r>
    </w:p>
    <w:p w14:paraId="0987FA05" w14:textId="77777777" w:rsidR="00CE309E" w:rsidRDefault="00CE309E" w:rsidP="00CE309E">
      <w:pPr>
        <w:pStyle w:val="EndNoteBibliography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Supplementary Figure 6</w:t>
      </w:r>
      <w:r>
        <w:rPr>
          <w:rFonts w:ascii="Times New Roman" w:hAnsi="Times New Roman" w:cs="Times New Roman"/>
          <w:sz w:val="24"/>
        </w:rPr>
        <w:t>：</w:t>
      </w:r>
      <w:r>
        <w:rPr>
          <w:rFonts w:ascii="Times New Roman" w:hAnsi="Times New Roman" w:cs="Times New Roman"/>
          <w:sz w:val="24"/>
        </w:rPr>
        <w:t>More than 30 pathway enrichment scores with significant differences between model subgroups.</w:t>
      </w:r>
    </w:p>
    <w:p w14:paraId="408F50E8" w14:textId="77777777" w:rsidR="00CE309E" w:rsidRDefault="00CE309E" w:rsidP="00CE309E">
      <w:pPr>
        <w:pStyle w:val="EndNoteBibliography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Supplementary Table 1</w:t>
      </w:r>
      <w:r>
        <w:rPr>
          <w:rFonts w:ascii="Times New Roman" w:hAnsi="Times New Roman" w:cs="Times New Roman"/>
          <w:sz w:val="24"/>
        </w:rPr>
        <w:t>：</w:t>
      </w:r>
      <w:r>
        <w:rPr>
          <w:rFonts w:ascii="Times New Roman" w:hAnsi="Times New Roman" w:cs="Times New Roman"/>
          <w:sz w:val="24"/>
        </w:rPr>
        <w:t>A total of 272 genes with significant differences.</w:t>
      </w:r>
    </w:p>
    <w:p w14:paraId="551FABDF" w14:textId="77777777" w:rsidR="00CE309E" w:rsidRDefault="00CE309E" w:rsidP="00CE309E">
      <w:pPr>
        <w:pStyle w:val="EndNoteBibliography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Supplementary Table 2</w:t>
      </w:r>
      <w:r>
        <w:rPr>
          <w:rFonts w:ascii="Times New Roman" w:hAnsi="Times New Roman" w:cs="Times New Roman"/>
          <w:sz w:val="24"/>
        </w:rPr>
        <w:t>：</w:t>
      </w:r>
      <w:r>
        <w:rPr>
          <w:rFonts w:ascii="Times New Roman" w:hAnsi="Times New Roman" w:cs="Times New Roman"/>
          <w:sz w:val="24"/>
        </w:rPr>
        <w:t>19 genes associated with ovarian cancer prognosis.</w:t>
      </w:r>
    </w:p>
    <w:p w14:paraId="3B1170D0" w14:textId="77777777" w:rsidR="00CE309E" w:rsidRDefault="00CE309E" w:rsidP="00CE309E">
      <w:pPr>
        <w:pStyle w:val="EndNoteBibliography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Supplementary Table 3</w:t>
      </w:r>
      <w:r>
        <w:rPr>
          <w:rFonts w:ascii="Times New Roman" w:hAnsi="Times New Roman" w:cs="Times New Roman"/>
          <w:sz w:val="24"/>
        </w:rPr>
        <w:t>：</w:t>
      </w:r>
      <w:r>
        <w:rPr>
          <w:rFonts w:ascii="Times New Roman" w:hAnsi="Times New Roman" w:cs="Times New Roman"/>
          <w:sz w:val="24"/>
        </w:rPr>
        <w:t>The IC50 values of 138 drugs in the GDSC database.</w:t>
      </w:r>
    </w:p>
    <w:p w14:paraId="2721BD7F" w14:textId="77777777" w:rsidR="00CE309E" w:rsidRDefault="00CE309E" w:rsidP="00CE309E"/>
    <w:p w14:paraId="6CCCB416" w14:textId="77777777" w:rsidR="00AC0449" w:rsidRDefault="00AC0449"/>
    <w:sectPr w:rsidR="00AC0449" w:rsidSect="00CE309E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EEC341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D18B4A" w14:textId="77777777" w:rsidR="00000000" w:rsidRDefault="000000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5E1450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6F741F" w14:textId="77777777" w:rsidR="00000000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A51483" w14:textId="77777777" w:rsidR="00000000" w:rsidRDefault="000000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48F3B8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09E"/>
    <w:rsid w:val="00732981"/>
    <w:rsid w:val="00A165E3"/>
    <w:rsid w:val="00AC0449"/>
    <w:rsid w:val="00AD604E"/>
    <w:rsid w:val="00CE3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39E83"/>
  <w15:chartTrackingRefBased/>
  <w15:docId w15:val="{DA147646-61E0-4209-97B5-9020E80B0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309E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val="en-GB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309E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309E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309E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309E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309E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szCs w:val="2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309E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309E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szCs w:val="2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309E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309E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szCs w:val="2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30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30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30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30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30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30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30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30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30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309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E30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309E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E30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309E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E30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309E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szCs w:val="2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E30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309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30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309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qFormat/>
    <w:rsid w:val="00CE309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rsid w:val="00CE309E"/>
    <w:rPr>
      <w:rFonts w:eastAsiaTheme="minorEastAsia"/>
      <w:sz w:val="18"/>
      <w:szCs w:val="24"/>
      <w:lang w:val="en-GB" w:eastAsia="zh-CN"/>
      <w14:ligatures w14:val="none"/>
    </w:rPr>
  </w:style>
  <w:style w:type="paragraph" w:styleId="Header">
    <w:name w:val="header"/>
    <w:basedOn w:val="Normal"/>
    <w:link w:val="HeaderChar"/>
    <w:qFormat/>
    <w:rsid w:val="00CE309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rsid w:val="00CE309E"/>
    <w:rPr>
      <w:rFonts w:eastAsiaTheme="minorEastAsia"/>
      <w:sz w:val="18"/>
      <w:szCs w:val="24"/>
      <w:lang w:val="en-GB" w:eastAsia="zh-CN"/>
      <w14:ligatures w14:val="none"/>
    </w:rPr>
  </w:style>
  <w:style w:type="paragraph" w:customStyle="1" w:styleId="EndNoteBibliography">
    <w:name w:val="EndNote Bibliography"/>
    <w:basedOn w:val="Normal"/>
    <w:qFormat/>
    <w:rsid w:val="00CE309E"/>
    <w:rPr>
      <w:rFonts w:ascii="DengXian" w:eastAsia="DengXian" w:hAnsi="DengXi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250</Words>
  <Characters>1425</Characters>
  <Application>Microsoft Office Word</Application>
  <DocSecurity>0</DocSecurity>
  <Lines>11</Lines>
  <Paragraphs>3</Paragraphs>
  <ScaleCrop>false</ScaleCrop>
  <Company>Springer Nature</Company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2024-12-10T10:42:00Z</dcterms:created>
  <dcterms:modified xsi:type="dcterms:W3CDTF">2024-12-10T10:42:00Z</dcterms:modified>
</cp:coreProperties>
</file>