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07393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inline distT="0" distB="0" distL="114300" distR="114300">
            <wp:extent cx="4808855" cy="2823845"/>
            <wp:effectExtent l="0" t="0" r="698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44EEE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>Fig.1</w:t>
      </w:r>
    </w:p>
    <w:p w14:paraId="10D76FD5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  <w:t>Comparison of NMV/RTV concentration distributions</w:t>
      </w:r>
    </w:p>
    <w:p w14:paraId="6D67345E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  <w:t>The drug concentration was compared between the two groups and the difference was statistically significant (P&lt;0.05).</w:t>
      </w:r>
    </w:p>
    <w:p w14:paraId="195553FF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02B416C9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1628A335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75C72D97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17F22C04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20DDCAE8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0C7B12F4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6897E73F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49DFDCE0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2AC5A84B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50256CAA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4188D5DA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0F77D461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bookmarkStart w:id="0" w:name="OLE_LINK24"/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>Table.2</w:t>
      </w:r>
    </w:p>
    <w:p w14:paraId="5094C892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  <w:t>The scores and diagnostic grades of the two groups were compared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  <w:t>There was no significant difference in the severity of the disease between the standard group</w:t>
      </w: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  <w:t>and the failure group (P &gt; 0.05).</w:t>
      </w:r>
      <w:bookmarkStart w:id="1" w:name="_GoBack"/>
      <w:bookmarkEnd w:id="1"/>
    </w:p>
    <w:bookmarkEnd w:id="0"/>
    <w:tbl>
      <w:tblPr>
        <w:tblStyle w:val="4"/>
        <w:tblpPr w:leftFromText="180" w:rightFromText="180" w:vertAnchor="text" w:horzAnchor="page" w:tblpX="1604" w:tblpY="382"/>
        <w:tblOverlap w:val="never"/>
        <w:tblW w:w="8853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985"/>
        <w:gridCol w:w="1843"/>
        <w:gridCol w:w="909"/>
        <w:gridCol w:w="1173"/>
      </w:tblGrid>
      <w:tr w14:paraId="76845EF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943" w:type="dxa"/>
            <w:tcBorders>
              <w:top w:val="single" w:color="000000" w:sz="4" w:space="0"/>
              <w:bottom w:val="single" w:color="000000" w:sz="4" w:space="0"/>
            </w:tcBorders>
          </w:tcPr>
          <w:p w14:paraId="1F06D389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Score</w:t>
            </w:r>
          </w:p>
        </w:tc>
        <w:tc>
          <w:tcPr>
            <w:tcW w:w="1985" w:type="dxa"/>
            <w:tcBorders>
              <w:top w:val="single" w:color="000000" w:sz="4" w:space="0"/>
              <w:bottom w:val="single" w:color="000000" w:sz="4" w:space="0"/>
            </w:tcBorders>
          </w:tcPr>
          <w:p w14:paraId="2DE5812B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Group 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(74)</w:t>
            </w:r>
          </w:p>
        </w:tc>
        <w:tc>
          <w:tcPr>
            <w:tcW w:w="1843" w:type="dxa"/>
            <w:tcBorders>
              <w:top w:val="single" w:color="000000" w:sz="4" w:space="0"/>
              <w:bottom w:val="single" w:color="000000" w:sz="4" w:space="0"/>
            </w:tcBorders>
          </w:tcPr>
          <w:p w14:paraId="727C63E6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Group 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09" w:type="dxa"/>
            <w:tcBorders>
              <w:top w:val="single" w:color="000000" w:sz="4" w:space="0"/>
              <w:bottom w:val="single" w:color="000000" w:sz="4" w:space="0"/>
            </w:tcBorders>
          </w:tcPr>
          <w:p w14:paraId="091A5924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χ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bottom w:val="single" w:color="000000" w:sz="4" w:space="0"/>
            </w:tcBorders>
          </w:tcPr>
          <w:p w14:paraId="577D1841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P</w:t>
            </w:r>
          </w:p>
        </w:tc>
      </w:tr>
      <w:tr w14:paraId="2B6E805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943" w:type="dxa"/>
            <w:tcBorders>
              <w:top w:val="single" w:color="000000" w:sz="4" w:space="0"/>
            </w:tcBorders>
          </w:tcPr>
          <w:p w14:paraId="1EA5F140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CURB-65 (%)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 w14:paraId="305DAF21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color="000000" w:sz="4" w:space="0"/>
            </w:tcBorders>
          </w:tcPr>
          <w:p w14:paraId="114748D0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909" w:type="dxa"/>
            <w:tcBorders>
              <w:top w:val="single" w:color="000000" w:sz="4" w:space="0"/>
            </w:tcBorders>
          </w:tcPr>
          <w:p w14:paraId="2B09EDB9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0.045</w:t>
            </w:r>
          </w:p>
        </w:tc>
        <w:tc>
          <w:tcPr>
            <w:tcW w:w="1173" w:type="dxa"/>
            <w:tcBorders>
              <w:top w:val="single" w:color="000000" w:sz="4" w:space="0"/>
            </w:tcBorders>
          </w:tcPr>
          <w:p w14:paraId="6D0CF651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0.964</w:t>
            </w:r>
          </w:p>
        </w:tc>
      </w:tr>
      <w:tr w14:paraId="23F4D88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63D0352C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Low risk</w:t>
            </w:r>
          </w:p>
        </w:tc>
        <w:tc>
          <w:tcPr>
            <w:tcW w:w="1985" w:type="dxa"/>
          </w:tcPr>
          <w:p w14:paraId="7AEB5CB2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37(50)</w:t>
            </w:r>
          </w:p>
        </w:tc>
        <w:tc>
          <w:tcPr>
            <w:tcW w:w="1843" w:type="dxa"/>
          </w:tcPr>
          <w:p w14:paraId="4ECD7785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550" w:firstLineChars="250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19(47.5)</w:t>
            </w:r>
          </w:p>
        </w:tc>
        <w:tc>
          <w:tcPr>
            <w:tcW w:w="909" w:type="dxa"/>
          </w:tcPr>
          <w:p w14:paraId="1BADF0B1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0DE46EE6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4190CA7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693DACEA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Moderate risk</w:t>
            </w:r>
          </w:p>
        </w:tc>
        <w:tc>
          <w:tcPr>
            <w:tcW w:w="1985" w:type="dxa"/>
          </w:tcPr>
          <w:p w14:paraId="5CD8CFF0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24(32.4)</w:t>
            </w:r>
          </w:p>
        </w:tc>
        <w:tc>
          <w:tcPr>
            <w:tcW w:w="1843" w:type="dxa"/>
          </w:tcPr>
          <w:p w14:paraId="75408875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550" w:firstLineChars="250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16 (40)</w:t>
            </w:r>
          </w:p>
        </w:tc>
        <w:tc>
          <w:tcPr>
            <w:tcW w:w="909" w:type="dxa"/>
          </w:tcPr>
          <w:p w14:paraId="21267E4B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61C3194F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285125C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3B1F51E4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High risk</w:t>
            </w:r>
          </w:p>
        </w:tc>
        <w:tc>
          <w:tcPr>
            <w:tcW w:w="1985" w:type="dxa"/>
          </w:tcPr>
          <w:p w14:paraId="4EC9C593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13(17.6)</w:t>
            </w:r>
          </w:p>
        </w:tc>
        <w:tc>
          <w:tcPr>
            <w:tcW w:w="1843" w:type="dxa"/>
          </w:tcPr>
          <w:p w14:paraId="61D5343D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5(12.5)</w:t>
            </w:r>
          </w:p>
        </w:tc>
        <w:tc>
          <w:tcPr>
            <w:tcW w:w="909" w:type="dxa"/>
          </w:tcPr>
          <w:p w14:paraId="4EA1EEDC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52CCE2CE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037C402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6420C949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Diagnosticclassification (%)</w:t>
            </w:r>
          </w:p>
        </w:tc>
        <w:tc>
          <w:tcPr>
            <w:tcW w:w="1985" w:type="dxa"/>
          </w:tcPr>
          <w:p w14:paraId="0A21A011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33390AB8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909" w:type="dxa"/>
          </w:tcPr>
          <w:p w14:paraId="7AE8AF46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0.247</w:t>
            </w:r>
          </w:p>
        </w:tc>
        <w:tc>
          <w:tcPr>
            <w:tcW w:w="1173" w:type="dxa"/>
          </w:tcPr>
          <w:p w14:paraId="2F5C363F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0.805</w:t>
            </w:r>
          </w:p>
        </w:tc>
      </w:tr>
      <w:tr w14:paraId="31CFFDF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28909CFF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Light weight</w:t>
            </w:r>
          </w:p>
        </w:tc>
        <w:tc>
          <w:tcPr>
            <w:tcW w:w="1985" w:type="dxa"/>
          </w:tcPr>
          <w:p w14:paraId="49CBF344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13 (17.6)</w:t>
            </w:r>
          </w:p>
        </w:tc>
        <w:tc>
          <w:tcPr>
            <w:tcW w:w="1843" w:type="dxa"/>
          </w:tcPr>
          <w:p w14:paraId="17AA1899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 xml:space="preserve"> 8(20)</w:t>
            </w:r>
          </w:p>
        </w:tc>
        <w:tc>
          <w:tcPr>
            <w:tcW w:w="909" w:type="dxa"/>
          </w:tcPr>
          <w:p w14:paraId="6B902ED7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6DD45F10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1A10597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2943" w:type="dxa"/>
          </w:tcPr>
          <w:p w14:paraId="3DA331BF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Medium size</w:t>
            </w:r>
          </w:p>
        </w:tc>
        <w:tc>
          <w:tcPr>
            <w:tcW w:w="1985" w:type="dxa"/>
          </w:tcPr>
          <w:p w14:paraId="1F576C75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36(48.6)</w:t>
            </w:r>
          </w:p>
        </w:tc>
        <w:tc>
          <w:tcPr>
            <w:tcW w:w="1843" w:type="dxa"/>
          </w:tcPr>
          <w:p w14:paraId="2A1B6AC2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17( 42.5)</w:t>
            </w:r>
          </w:p>
        </w:tc>
        <w:tc>
          <w:tcPr>
            <w:tcW w:w="909" w:type="dxa"/>
          </w:tcPr>
          <w:p w14:paraId="5077CAC8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55A17738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38ADBAC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43" w:type="dxa"/>
          </w:tcPr>
          <w:p w14:paraId="0496EB36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Heavy duty</w:t>
            </w:r>
          </w:p>
        </w:tc>
        <w:tc>
          <w:tcPr>
            <w:tcW w:w="1985" w:type="dxa"/>
          </w:tcPr>
          <w:p w14:paraId="74CEBD1F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19(25.7)</w:t>
            </w:r>
          </w:p>
        </w:tc>
        <w:tc>
          <w:tcPr>
            <w:tcW w:w="1843" w:type="dxa"/>
          </w:tcPr>
          <w:p w14:paraId="79570222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 xml:space="preserve">  10(25)</w:t>
            </w:r>
          </w:p>
        </w:tc>
        <w:tc>
          <w:tcPr>
            <w:tcW w:w="909" w:type="dxa"/>
          </w:tcPr>
          <w:p w14:paraId="70687344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2987A0B2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  <w:tr w14:paraId="6C3C8FC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943" w:type="dxa"/>
          </w:tcPr>
          <w:p w14:paraId="1EA81F3A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Critical illness type</w:t>
            </w:r>
          </w:p>
        </w:tc>
        <w:tc>
          <w:tcPr>
            <w:tcW w:w="1985" w:type="dxa"/>
          </w:tcPr>
          <w:p w14:paraId="5AA0EDAB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6(8.1)</w:t>
            </w:r>
          </w:p>
        </w:tc>
        <w:tc>
          <w:tcPr>
            <w:tcW w:w="1843" w:type="dxa"/>
          </w:tcPr>
          <w:p w14:paraId="692E3F12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5 (12.5)</w:t>
            </w:r>
          </w:p>
        </w:tc>
        <w:tc>
          <w:tcPr>
            <w:tcW w:w="909" w:type="dxa"/>
          </w:tcPr>
          <w:p w14:paraId="6D334EE5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173" w:type="dxa"/>
          </w:tcPr>
          <w:p w14:paraId="4B6EA827">
            <w:pPr>
              <w:pStyle w:val="2"/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N w:val="0"/>
              <w:bidi w:val="0"/>
              <w:adjustRightInd w:val="0"/>
              <w:snapToGrid w:val="0"/>
              <w:spacing w:before="61" w:line="480" w:lineRule="auto"/>
              <w:ind w:firstLine="440" w:firstLineChars="20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</w:p>
        </w:tc>
      </w:tr>
    </w:tbl>
    <w:p w14:paraId="62A39574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ind w:firstLine="442" w:firstLineChars="200"/>
        <w:rPr>
          <w:rFonts w:hint="default" w:ascii="Times New Roman" w:hAnsi="Times New Roman" w:cs="Times New Roman" w:eastAsiaTheme="minorEastAsia"/>
          <w:b/>
          <w:sz w:val="22"/>
          <w:szCs w:val="22"/>
          <w:lang w:eastAsia="zh-CN"/>
        </w:rPr>
      </w:pPr>
    </w:p>
    <w:p w14:paraId="43639981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</w:p>
    <w:p w14:paraId="027F998E">
      <w:pPr>
        <w:pStyle w:val="2"/>
        <w:keepNext w:val="0"/>
        <w:keepLines w:val="0"/>
        <w:pageBreakBefore w:val="0"/>
        <w:kinsoku w:val="0"/>
        <w:wordWrap/>
        <w:overflowPunct/>
        <w:topLinePunct w:val="0"/>
        <w:autoSpaceDN w:val="0"/>
        <w:bidi w:val="0"/>
        <w:adjustRightInd w:val="0"/>
        <w:snapToGrid w:val="0"/>
        <w:spacing w:before="61" w:line="480" w:lineRule="auto"/>
        <w:rPr>
          <w:rFonts w:hint="default" w:ascii="Times New Roman" w:hAnsi="Times New Roman" w:cs="Times New Roman" w:eastAsiaTheme="minorEastAsia"/>
          <w:sz w:val="22"/>
          <w:szCs w:val="22"/>
          <w:lang w:val="en-US" w:eastAsia="zh-CN"/>
        </w:rPr>
      </w:pPr>
    </w:p>
    <w:p w14:paraId="0C102B32"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9216BB1"/>
    <w:rsid w:val="0921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sz w:val="19"/>
      <w:szCs w:val="19"/>
    </w:rPr>
  </w:style>
  <w:style w:type="table" w:styleId="4">
    <w:name w:val="Table Grid"/>
    <w:basedOn w:val="3"/>
    <w:unhideWhenUsed/>
    <w:qFormat/>
    <w:uiPriority w:val="99"/>
    <w:rPr>
      <w:rFonts w:eastAsia="Times New Roman"/>
      <w:sz w:val="21"/>
      <w:szCs w:val="2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2024-10-06T02:24:00Z</dcterms:created>
  <dc:creator>徐萍</dc:creator>
  <cp:lastModifiedBy>徐萍</cp:lastModifiedBy>
  <dcterms:modified xsi:type="dcterms:W3CDTF">2024-10-06T02:40:21Z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6A598AC2A6814C7EAE17CE7FD383D4F3_11</vt:lpwstr>
  </property>
</Properties>
</file>