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B9E56F" w14:textId="77777777" w:rsidR="007F0AE0" w:rsidRPr="00EA69AA" w:rsidRDefault="007F0AE0" w:rsidP="007F0AE0">
      <w:pPr>
        <w:pStyle w:val="ChapterHeading"/>
        <w:spacing w:after="120"/>
        <w:rPr>
          <w:rFonts w:asciiTheme="minorHAnsi" w:hAnsiTheme="minorHAnsi"/>
          <w:sz w:val="22"/>
          <w:szCs w:val="22"/>
        </w:rPr>
      </w:pPr>
      <w:r w:rsidRPr="00EA69AA">
        <w:rPr>
          <w:rFonts w:asciiTheme="minorHAnsi" w:hAnsiTheme="minorHAnsi"/>
          <w:sz w:val="22"/>
          <w:szCs w:val="22"/>
        </w:rPr>
        <w:t xml:space="preserve">SUPPLEMENTAL SECTION 1: References Included for Full-Text </w:t>
      </w:r>
      <w:r>
        <w:rPr>
          <w:rFonts w:asciiTheme="minorHAnsi" w:hAnsiTheme="minorHAnsi"/>
          <w:sz w:val="22"/>
          <w:szCs w:val="22"/>
        </w:rPr>
        <w:t>R</w:t>
      </w:r>
      <w:r w:rsidRPr="00EA69AA">
        <w:rPr>
          <w:rFonts w:asciiTheme="minorHAnsi" w:hAnsiTheme="minorHAnsi"/>
          <w:sz w:val="22"/>
          <w:szCs w:val="22"/>
        </w:rPr>
        <w:t>eview (n=423)</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335"/>
        <w:gridCol w:w="36"/>
        <w:gridCol w:w="9261"/>
      </w:tblGrid>
      <w:tr w:rsidR="007F0AE0" w:rsidRPr="005762E6" w14:paraId="77373E6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DA3A79E" w14:textId="77777777" w:rsidR="007F0AE0" w:rsidRPr="005762E6" w:rsidRDefault="007F0AE0" w:rsidP="00453DE3">
            <w:pPr>
              <w:spacing w:after="120" w:line="240" w:lineRule="auto"/>
              <w:contextualSpacing/>
              <w:rPr>
                <w:sz w:val="20"/>
                <w:szCs w:val="20"/>
              </w:rPr>
            </w:pPr>
            <w:r w:rsidRPr="005762E6">
              <w:rPr>
                <w:sz w:val="20"/>
                <w:szCs w:val="20"/>
              </w:rPr>
              <w:t>11</w:t>
            </w:r>
          </w:p>
        </w:tc>
        <w:tc>
          <w:tcPr>
            <w:tcW w:w="0" w:type="auto"/>
            <w:tcBorders>
              <w:top w:val="single" w:sz="6" w:space="0" w:color="auto"/>
              <w:left w:val="single" w:sz="6" w:space="0" w:color="auto"/>
              <w:bottom w:val="single" w:sz="6" w:space="0" w:color="auto"/>
              <w:right w:val="single" w:sz="6" w:space="0" w:color="auto"/>
            </w:tcBorders>
          </w:tcPr>
          <w:p w14:paraId="1A623F8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62AE8F1" w14:textId="77777777" w:rsidR="007F0AE0" w:rsidRPr="005762E6" w:rsidRDefault="007F0AE0" w:rsidP="00453DE3">
            <w:pPr>
              <w:spacing w:after="120" w:line="240" w:lineRule="auto"/>
              <w:contextualSpacing/>
              <w:rPr>
                <w:sz w:val="20"/>
                <w:szCs w:val="20"/>
              </w:rPr>
            </w:pPr>
            <w:r w:rsidRPr="005762E6">
              <w:rPr>
                <w:sz w:val="20"/>
                <w:szCs w:val="20"/>
              </w:rPr>
              <w:t>Centre for Reviews and Dissemination Aromatherapy: a systematic review (Structured abstract).. Database of Abstracts of Reviews of Effects; 2015;:</w:t>
            </w:r>
            <w:r w:rsidRPr="005762E6">
              <w:rPr>
                <w:sz w:val="20"/>
                <w:szCs w:val="20"/>
              </w:rPr>
              <w:br/>
            </w:r>
            <w:r w:rsidRPr="005762E6">
              <w:rPr>
                <w:sz w:val="20"/>
                <w:szCs w:val="20"/>
              </w:rPr>
              <w:br/>
            </w:r>
            <w:r w:rsidRPr="005762E6">
              <w:rPr>
                <w:b/>
                <w:bCs/>
                <w:sz w:val="20"/>
                <w:szCs w:val="20"/>
              </w:rPr>
              <w:t>Keywords:</w:t>
            </w:r>
            <w:r w:rsidRPr="005762E6">
              <w:rPr>
                <w:sz w:val="20"/>
                <w:szCs w:val="20"/>
              </w:rPr>
              <w:br/>
              <w:t>Humans,​Anxiety/therapy,​Aromatherapy/methods,​Clinical Trials as Topic,​Massage/methods,​Oils,​ Volatile/therapeutic use,​Treatment Outcome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58BC56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6252AF" w14:textId="77777777" w:rsidR="007F0AE0" w:rsidRPr="005762E6" w:rsidRDefault="007F0AE0" w:rsidP="00453DE3">
            <w:pPr>
              <w:spacing w:after="120" w:line="240" w:lineRule="auto"/>
              <w:contextualSpacing/>
              <w:rPr>
                <w:sz w:val="20"/>
                <w:szCs w:val="20"/>
              </w:rPr>
            </w:pPr>
            <w:r w:rsidRPr="005762E6">
              <w:rPr>
                <w:sz w:val="20"/>
                <w:szCs w:val="20"/>
              </w:rPr>
              <w:t>13</w:t>
            </w:r>
          </w:p>
        </w:tc>
        <w:tc>
          <w:tcPr>
            <w:tcW w:w="0" w:type="auto"/>
            <w:tcBorders>
              <w:top w:val="single" w:sz="6" w:space="0" w:color="auto"/>
              <w:left w:val="single" w:sz="6" w:space="0" w:color="auto"/>
              <w:bottom w:val="single" w:sz="6" w:space="0" w:color="auto"/>
              <w:right w:val="single" w:sz="6" w:space="0" w:color="auto"/>
            </w:tcBorders>
          </w:tcPr>
          <w:p w14:paraId="600AC5E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85665CA" w14:textId="77777777" w:rsidR="007F0AE0" w:rsidRPr="005762E6" w:rsidRDefault="007F0AE0" w:rsidP="00453DE3">
            <w:pPr>
              <w:spacing w:after="120" w:line="240" w:lineRule="auto"/>
              <w:contextualSpacing/>
              <w:rPr>
                <w:sz w:val="20"/>
                <w:szCs w:val="20"/>
              </w:rPr>
            </w:pPr>
            <w:r w:rsidRPr="005762E6">
              <w:rPr>
                <w:sz w:val="20"/>
                <w:szCs w:val="20"/>
              </w:rPr>
              <w:t>Glantz S.A.,​Gardiner P. Local movement to ban menthol tobacco products as a result of federal inaction. JAMA Internal Medicine; 2018;178:711.</w:t>
            </w:r>
            <w:r w:rsidRPr="005762E6">
              <w:rPr>
                <w:sz w:val="20"/>
                <w:szCs w:val="20"/>
              </w:rPr>
              <w:br/>
            </w:r>
            <w:r w:rsidRPr="005762E6">
              <w:rPr>
                <w:sz w:val="20"/>
                <w:szCs w:val="20"/>
              </w:rPr>
              <w:br/>
            </w:r>
            <w:r w:rsidRPr="005762E6">
              <w:rPr>
                <w:b/>
                <w:bCs/>
                <w:sz w:val="20"/>
                <w:szCs w:val="20"/>
              </w:rPr>
              <w:t>Keywords:</w:t>
            </w:r>
            <w:r w:rsidRPr="005762E6">
              <w:rPr>
                <w:sz w:val="20"/>
                <w:szCs w:val="20"/>
              </w:rPr>
              <w:br/>
              <w:t>Canada,​food and drug administration,​government,​human,​letter,​priority journal,​*public health,​smoking,​*smoking ban,​smoking cessation,​*tobacco,​United States,​*menthol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967171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21FF01" w14:textId="77777777" w:rsidR="007F0AE0" w:rsidRPr="005762E6" w:rsidRDefault="007F0AE0" w:rsidP="00453DE3">
            <w:pPr>
              <w:spacing w:after="120" w:line="240" w:lineRule="auto"/>
              <w:contextualSpacing/>
              <w:rPr>
                <w:sz w:val="20"/>
                <w:szCs w:val="20"/>
              </w:rPr>
            </w:pPr>
            <w:r w:rsidRPr="005762E6">
              <w:rPr>
                <w:sz w:val="20"/>
                <w:szCs w:val="20"/>
              </w:rPr>
              <w:t>14</w:t>
            </w:r>
          </w:p>
        </w:tc>
        <w:tc>
          <w:tcPr>
            <w:tcW w:w="0" w:type="auto"/>
            <w:tcBorders>
              <w:top w:val="single" w:sz="6" w:space="0" w:color="auto"/>
              <w:left w:val="single" w:sz="6" w:space="0" w:color="auto"/>
              <w:bottom w:val="single" w:sz="6" w:space="0" w:color="auto"/>
              <w:right w:val="single" w:sz="6" w:space="0" w:color="auto"/>
            </w:tcBorders>
          </w:tcPr>
          <w:p w14:paraId="19408E6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A2B783" w14:textId="77777777" w:rsidR="007F0AE0" w:rsidRPr="005762E6" w:rsidRDefault="007F0AE0" w:rsidP="00453DE3">
            <w:pPr>
              <w:spacing w:after="120" w:line="240" w:lineRule="auto"/>
              <w:contextualSpacing/>
              <w:rPr>
                <w:sz w:val="20"/>
                <w:szCs w:val="20"/>
              </w:rPr>
            </w:pPr>
            <w:r w:rsidRPr="005762E6">
              <w:rPr>
                <w:sz w:val="20"/>
                <w:szCs w:val="20"/>
              </w:rPr>
              <w:t>Printz C. US Food and Drug Administration considers comments on proposed nicotine product regulations: Some criticize the agency for not moving fast enough to stop youth e-cigarette use. Cancer; 2018;124:3959.</w:t>
            </w:r>
            <w:r w:rsidRPr="005762E6">
              <w:rPr>
                <w:sz w:val="20"/>
                <w:szCs w:val="20"/>
              </w:rPr>
              <w:br/>
            </w:r>
            <w:r w:rsidRPr="005762E6">
              <w:rPr>
                <w:sz w:val="20"/>
                <w:szCs w:val="20"/>
              </w:rPr>
              <w:br/>
            </w:r>
            <w:r w:rsidRPr="005762E6">
              <w:rPr>
                <w:b/>
                <w:bCs/>
                <w:sz w:val="20"/>
                <w:szCs w:val="20"/>
              </w:rPr>
              <w:t>Keywords:</w:t>
            </w:r>
            <w:r w:rsidRPr="005762E6">
              <w:rPr>
                <w:sz w:val="20"/>
                <w:szCs w:val="20"/>
              </w:rPr>
              <w:br/>
              <w:t>adolescent smoking,​device approval,​flavor,​*food and drug administration,​note,​priority journal,​public health,​smoking cessation,​*tobacco,​tobacco dependence,​United States,​vaping,​menthol,​nicotine,​*electronic cigarette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9388D6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EDF33F" w14:textId="77777777" w:rsidR="007F0AE0" w:rsidRPr="005762E6" w:rsidRDefault="007F0AE0" w:rsidP="00453DE3">
            <w:pPr>
              <w:spacing w:after="120" w:line="240" w:lineRule="auto"/>
              <w:contextualSpacing/>
              <w:rPr>
                <w:sz w:val="20"/>
                <w:szCs w:val="20"/>
              </w:rPr>
            </w:pPr>
            <w:r w:rsidRPr="005762E6">
              <w:rPr>
                <w:sz w:val="20"/>
                <w:szCs w:val="20"/>
              </w:rPr>
              <w:t>17</w:t>
            </w:r>
          </w:p>
        </w:tc>
        <w:tc>
          <w:tcPr>
            <w:tcW w:w="0" w:type="auto"/>
            <w:tcBorders>
              <w:top w:val="single" w:sz="6" w:space="0" w:color="auto"/>
              <w:left w:val="single" w:sz="6" w:space="0" w:color="auto"/>
              <w:bottom w:val="single" w:sz="6" w:space="0" w:color="auto"/>
              <w:right w:val="single" w:sz="6" w:space="0" w:color="auto"/>
            </w:tcBorders>
          </w:tcPr>
          <w:p w14:paraId="6D99979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8589428" w14:textId="77777777" w:rsidR="007F0AE0" w:rsidRPr="005762E6" w:rsidRDefault="007F0AE0" w:rsidP="00453DE3">
            <w:pPr>
              <w:spacing w:after="120" w:line="240" w:lineRule="auto"/>
              <w:contextualSpacing/>
              <w:rPr>
                <w:sz w:val="20"/>
                <w:szCs w:val="20"/>
              </w:rPr>
            </w:pPr>
            <w:r w:rsidRPr="005762E6">
              <w:rPr>
                <w:sz w:val="20"/>
                <w:szCs w:val="20"/>
              </w:rPr>
              <w:t>Stanfill S.B.,​Croucher R.E.,​Gupta P.C.,​Lisko J.G.,​Lawler T.S.,​Kuklenyik P.,​Dahiya M.,​Duncan B.,​Kimbrell J.B.,​Peuchen E.H.,​Watson C.H. Chemical characterization of smokeless tobacco products from South Asia: Nicotine,​ unprotonated nicotine,​ tobacco-specific N'-Nitrosamines,​ and flavor compounds. Food and Chemical Toxicology; 2018;118:626.</w:t>
            </w:r>
            <w:r w:rsidRPr="005762E6">
              <w:rPr>
                <w:sz w:val="20"/>
                <w:szCs w:val="20"/>
              </w:rPr>
              <w:br/>
            </w:r>
            <w:r w:rsidRPr="005762E6">
              <w:rPr>
                <w:sz w:val="20"/>
                <w:szCs w:val="20"/>
              </w:rPr>
              <w:br/>
            </w:r>
            <w:r w:rsidRPr="005762E6">
              <w:rPr>
                <w:b/>
                <w:bCs/>
                <w:sz w:val="20"/>
                <w:szCs w:val="20"/>
              </w:rPr>
              <w:t>Keywords:</w:t>
            </w:r>
            <w:r w:rsidRPr="005762E6">
              <w:rPr>
                <w:sz w:val="20"/>
                <w:szCs w:val="20"/>
              </w:rPr>
              <w:br/>
              <w:t>alkalinity,​areca nut,​article,​betel quid,​chemical composition,​controlled study,​mass fragmentography,​moisture,​Nicotiana,​Nicotiana tabacum,​pH,​*smokeless tobacco,​South Asia,​Southeast Asian,​tobacco,​arecaidine,​arecoline,​biphenyl,​camphor,​cineole,​cinnamaldehyde,​coumarin,​diphenyl ether,​eugenol,​*flavoring agent,​guvacine,​guvacoline,​magnesium carbonate,​menthol,​*nicotine,​*nicotine derivative,​*nitrosamine,​pulegone,​salicylic acid,​salicylic acid methyl ester,​unclassified drug,​Nicotiana glauca,​Nicotiana rustica,​*n' nitrosamine derivative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42DEF7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994D40C" w14:textId="77777777" w:rsidR="007F0AE0" w:rsidRPr="005762E6" w:rsidRDefault="007F0AE0" w:rsidP="00453DE3">
            <w:pPr>
              <w:spacing w:after="120" w:line="240" w:lineRule="auto"/>
              <w:contextualSpacing/>
              <w:rPr>
                <w:sz w:val="20"/>
                <w:szCs w:val="20"/>
              </w:rPr>
            </w:pPr>
            <w:r w:rsidRPr="005762E6">
              <w:rPr>
                <w:sz w:val="20"/>
                <w:szCs w:val="20"/>
              </w:rPr>
              <w:t>20</w:t>
            </w:r>
          </w:p>
        </w:tc>
        <w:tc>
          <w:tcPr>
            <w:tcW w:w="0" w:type="auto"/>
            <w:tcBorders>
              <w:top w:val="single" w:sz="6" w:space="0" w:color="auto"/>
              <w:left w:val="single" w:sz="6" w:space="0" w:color="auto"/>
              <w:bottom w:val="single" w:sz="6" w:space="0" w:color="auto"/>
              <w:right w:val="single" w:sz="6" w:space="0" w:color="auto"/>
            </w:tcBorders>
          </w:tcPr>
          <w:p w14:paraId="6D97BC5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20D8E6" w14:textId="77777777" w:rsidR="007F0AE0" w:rsidRPr="005762E6" w:rsidRDefault="007F0AE0" w:rsidP="00453DE3">
            <w:pPr>
              <w:spacing w:after="120" w:line="240" w:lineRule="auto"/>
              <w:contextualSpacing/>
              <w:rPr>
                <w:sz w:val="20"/>
                <w:szCs w:val="20"/>
              </w:rPr>
            </w:pPr>
            <w:r w:rsidRPr="005762E6">
              <w:rPr>
                <w:sz w:val="20"/>
                <w:szCs w:val="20"/>
              </w:rPr>
              <w:t>Schneller L.M.,​McIntosh S.,​Li D.,​Rahman I.,​Ossip D.,​Goniewicz M.,​O'Connor R.J. Tobacco use and chemosensory impairments among current adult tobacco users in the US: Data from NHANES 2013-2014. Tobacco Induced Diseases; 2018;16:94202.</w:t>
            </w:r>
            <w:r w:rsidRPr="005762E6">
              <w:rPr>
                <w:sz w:val="20"/>
                <w:szCs w:val="20"/>
              </w:rPr>
              <w:br/>
            </w:r>
            <w:r w:rsidRPr="005762E6">
              <w:rPr>
                <w:sz w:val="20"/>
                <w:szCs w:val="20"/>
              </w:rPr>
              <w:br/>
            </w:r>
            <w:r w:rsidRPr="005762E6">
              <w:rPr>
                <w:b/>
                <w:bCs/>
                <w:sz w:val="20"/>
                <w:szCs w:val="20"/>
              </w:rPr>
              <w:t>Keywords:</w:t>
            </w:r>
            <w:r w:rsidRPr="005762E6">
              <w:rPr>
                <w:sz w:val="20"/>
                <w:szCs w:val="20"/>
              </w:rPr>
              <w:br/>
              <w:t>adult,​age,​article,​bitter taste,​disease association,​ethnicity,​female,​gender,​health survey,​human,​major clinical study,​male,​middle aged,​odor,​priority journal,​race,​self-report,​*sensory dysfunction/di [Diagnosis],​*smelling disorder/di [Diagnosis],​*taste disorder/di [Diagnosis],​*tobacco use,​United States,​nicotine,​quinine,​*chemosensory impairment/di [Diagnosis]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Among US adults 40 years and older,​ about 23% report problems with their ability to smell,​ and 19% report problems with their ability to taste. Chemosenses are a first line of defense against environmental hazards (e.g. fires and leaking gas). A potential risk factor of chemosensory disorders includes nicotine product use,​ such as cigarette use. This study aims to assess the relationship of taste and smell alterations with type of recent nicotine product use (e.g. inhaled versus smokeless),​ recent cigarette use,​ and </w:t>
            </w:r>
            <w:r w:rsidRPr="005762E6">
              <w:rPr>
                <w:sz w:val="20"/>
                <w:szCs w:val="20"/>
              </w:rPr>
              <w:lastRenderedPageBreak/>
              <w:t>mentholation status based on data from NHANES 2013-2014. Methods: A total of 3186 men and women,​ 40 years and older,​ from NHANES 2013-2014 were assessed for smell and taste impairment,​ according to their recent nicotine product use. Taste impairment was identified as inability to identify quinine as bitter in the whole-mouth taste test. Impairment of smell was defined as failing to identify six or more of eight specific odors. Logistic regression models were adjusted for age,​ gender,​ and race/ethnicity. Results: Approximately 13% of participants failed the smell examination. No significant association between smell examination outcome and recent nicotine product use was found,​ though recent cigarette use showed a trend toward positive association (OR=1.66,​ 95% CI: 0.76-3.63) and mentholation status showed a trend toward negative association (OR=0.57,​ 95% CI: 0.22-1.49) on smell examination results. About 17% of participants failed the taste examination,​ and trends toward positive association were seen between taste examination outcomes and both recent nicotine product use (OR=1.28,​ 95% CI: 0.99-1.65) and recent cigarette use (OR=1.30,​ 95% CI: 0.50-3.40). Conclusions: Findings indicate that recent use of nicotine products has an inconsistent relationship to dysfunctions in taste and smell. However,​ limiting the use of inhaled nicotine products,​ such as from cigarette use,​ could prove beneficial to a person's taste and smell ability. Copyright © 2018 Schneller L. M.</w:t>
            </w:r>
          </w:p>
        </w:tc>
      </w:tr>
      <w:tr w:rsidR="007F0AE0" w:rsidRPr="005762E6" w14:paraId="07550CD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4837BE" w14:textId="77777777" w:rsidR="007F0AE0" w:rsidRPr="005762E6" w:rsidRDefault="007F0AE0" w:rsidP="00453DE3">
            <w:pPr>
              <w:spacing w:after="120" w:line="240" w:lineRule="auto"/>
              <w:contextualSpacing/>
              <w:rPr>
                <w:sz w:val="20"/>
                <w:szCs w:val="20"/>
              </w:rPr>
            </w:pPr>
            <w:r w:rsidRPr="005762E6">
              <w:rPr>
                <w:sz w:val="20"/>
                <w:szCs w:val="20"/>
              </w:rPr>
              <w:lastRenderedPageBreak/>
              <w:t>25</w:t>
            </w:r>
          </w:p>
        </w:tc>
        <w:tc>
          <w:tcPr>
            <w:tcW w:w="0" w:type="auto"/>
            <w:tcBorders>
              <w:top w:val="single" w:sz="6" w:space="0" w:color="auto"/>
              <w:left w:val="single" w:sz="6" w:space="0" w:color="auto"/>
              <w:bottom w:val="single" w:sz="6" w:space="0" w:color="auto"/>
              <w:right w:val="single" w:sz="6" w:space="0" w:color="auto"/>
            </w:tcBorders>
          </w:tcPr>
          <w:p w14:paraId="0A8F3E8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45DA378" w14:textId="77777777" w:rsidR="007F0AE0" w:rsidRPr="005762E6" w:rsidRDefault="007F0AE0" w:rsidP="00453DE3">
            <w:pPr>
              <w:spacing w:after="120" w:line="240" w:lineRule="auto"/>
              <w:contextualSpacing/>
              <w:rPr>
                <w:sz w:val="20"/>
                <w:szCs w:val="20"/>
              </w:rPr>
            </w:pPr>
            <w:r w:rsidRPr="005762E6">
              <w:rPr>
                <w:sz w:val="20"/>
                <w:szCs w:val="20"/>
              </w:rPr>
              <w:t>Kong A.Y.,​Golden S.D.,​Berger M.T. An intersectional approach to the menthol cigarette problem: what's race(ism) got to do with it?. Critical Public Health; 2018;:1.</w:t>
            </w:r>
            <w:r w:rsidRPr="005762E6">
              <w:rPr>
                <w:sz w:val="20"/>
                <w:szCs w:val="20"/>
              </w:rPr>
              <w:br/>
            </w:r>
            <w:r w:rsidRPr="005762E6">
              <w:rPr>
                <w:sz w:val="20"/>
                <w:szCs w:val="20"/>
              </w:rPr>
              <w:br/>
            </w:r>
            <w:r w:rsidRPr="005762E6">
              <w:rPr>
                <w:b/>
                <w:bCs/>
                <w:sz w:val="20"/>
                <w:szCs w:val="20"/>
              </w:rPr>
              <w:t>Keywords:</w:t>
            </w:r>
            <w:r w:rsidRPr="005762E6">
              <w:rPr>
                <w:sz w:val="20"/>
                <w:szCs w:val="20"/>
              </w:rPr>
              <w:br/>
              <w:t>article,​*cigarette,​death,​*health behavior,​human,​market,​public health,​*racism,​smoking,​smoking prevention,​social segregation,​tobacco industry,​United States,​*menthol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Tobacco use remains the leading cause of preventable death in the United States. Tobacco industry reports document the systematic targeting of menthol cigarettes in Black communities,​ and 84.6% of all Black smokers use menthol cigarettes. Despite evidence that menthol cigarettes are more addictive and harmful,​ Congress chose not to ban the sales of menthol cigarettes,​ despite banning all other flavored cigarettes in the 2009 Family Smoking Prevention and Tobacco Control Act. In this commentary,​ we employ an intersectional framework that discusses and analyzes how institutionalized racism through the form of residential segregation has perpetuated the menthol problem. Using an intersectional framework,​ public health may be better able to understand and intervene on the menthol cigarette problems centering around: (1) why menthol cigarette rates are so high among Black smokers; and (2) why menthol cigarettes remain the only flavored cigarette left on the domestic market. Copyright © 2018 Informa UK Limited,​ trading as Taylor &amp; Francis Group</w:t>
            </w:r>
          </w:p>
        </w:tc>
      </w:tr>
      <w:tr w:rsidR="007F0AE0" w:rsidRPr="005762E6" w14:paraId="234853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4D92F59" w14:textId="77777777" w:rsidR="007F0AE0" w:rsidRPr="005762E6" w:rsidRDefault="007F0AE0" w:rsidP="00453DE3">
            <w:pPr>
              <w:spacing w:after="120" w:line="240" w:lineRule="auto"/>
              <w:contextualSpacing/>
              <w:rPr>
                <w:sz w:val="20"/>
                <w:szCs w:val="20"/>
              </w:rPr>
            </w:pPr>
            <w:r w:rsidRPr="005762E6">
              <w:rPr>
                <w:sz w:val="20"/>
                <w:szCs w:val="20"/>
              </w:rPr>
              <w:t>27</w:t>
            </w:r>
          </w:p>
        </w:tc>
        <w:tc>
          <w:tcPr>
            <w:tcW w:w="0" w:type="auto"/>
            <w:tcBorders>
              <w:top w:val="single" w:sz="6" w:space="0" w:color="auto"/>
              <w:left w:val="single" w:sz="6" w:space="0" w:color="auto"/>
              <w:bottom w:val="single" w:sz="6" w:space="0" w:color="auto"/>
              <w:right w:val="single" w:sz="6" w:space="0" w:color="auto"/>
            </w:tcBorders>
          </w:tcPr>
          <w:p w14:paraId="7AFA547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087C2C8" w14:textId="77777777" w:rsidR="007F0AE0" w:rsidRPr="005762E6" w:rsidRDefault="007F0AE0" w:rsidP="00453DE3">
            <w:pPr>
              <w:spacing w:after="120" w:line="240" w:lineRule="auto"/>
              <w:contextualSpacing/>
              <w:rPr>
                <w:sz w:val="20"/>
                <w:szCs w:val="20"/>
              </w:rPr>
            </w:pPr>
            <w:r w:rsidRPr="005762E6">
              <w:rPr>
                <w:sz w:val="20"/>
                <w:szCs w:val="20"/>
              </w:rPr>
              <w:t>Rath J.M.,​Greenberg M.,​Pitzer L.,​Emelle B.,​Green M.,​Liu S.,​Willett J.,​Rose S.W.,​Hair E.C.,​Vallone D. The association between menthol perceptions and support for a policy ban among US smokers. Ethnicity and Disease; 2018;28:177.</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American,​age,​aged,​article,​*attitude to health,​Caucasian,​cigarette smoking,​controlled study,​cross-sectional study,​educational status,​ethnicity,​female,​Hispanic,​human,​male,​middle aged,​sex,​*smoking ban,​*social support,​young adult,​*menthol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 To examine the relationship between menthol perceptions and support for a national menthol ban. Design: Descriptive cross-sectional study. Participants: Data were collected from a nationally representative probability-based panel of adults aged =18 years during June 21,​ 2016 through July 18,​ 2016. A total of 1,​ 303 respondents,​ including an oversample of 300 African Americans,​ completed the survey. Main Outcome Measures: Weighted logistic regression models examined the relationship between menthol perceptions,​ specifically related to health and addiction,​ and the outcome measure: support for a menthol ban,​ by menthol smoking status. All models controlled for age,​ sex,​ education level,​ and race/ethnicity. Results: The association between reporting accurate menthol health perceptions differed by menthol preference. Among non-menthol smokers,​ there was no association between accurate menthol health perceptions and support of a menthol ban while more accurate menthol perceptions of addiction were associated with greater support of a menthol ban (aOR=2.83,​ CI=1.19-6.72). Among menthol smokers,​ more accurate health-related menthol perceptions were associated with increased odds of supporting a menthol ban (aOR=3.90,​ CI=1.02-14.79) while more accurate menthol addiction perceptions were not. Conclusions: Fewer current menthol smokers support a menthol ban than current non-menthol smokers given its effect on their preferred product. Given the large </w:t>
            </w:r>
            <w:r w:rsidRPr="005762E6">
              <w:rPr>
                <w:sz w:val="20"/>
                <w:szCs w:val="20"/>
              </w:rPr>
              <w:lastRenderedPageBreak/>
              <w:t>proportions of smokers who have misperceptions of the health consequences and addictive properties of menthol,​ there is a moral imperative to inform those who use these products. Findings suggest the need for tailored messaging strategies targeted to reach menthol smokers who will be most impacted by a ban,​ but also have the most to gain from such a policy change. Ethn Dis. 2018;28(3):177-186.Copyright © 2018 ISHIB. All rights reserved.</w:t>
            </w:r>
          </w:p>
        </w:tc>
      </w:tr>
      <w:tr w:rsidR="007F0AE0" w:rsidRPr="005762E6" w14:paraId="1459E2C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AE2A3F" w14:textId="77777777" w:rsidR="007F0AE0" w:rsidRPr="005762E6" w:rsidRDefault="007F0AE0" w:rsidP="00453DE3">
            <w:pPr>
              <w:spacing w:after="120" w:line="240" w:lineRule="auto"/>
              <w:contextualSpacing/>
              <w:rPr>
                <w:sz w:val="20"/>
                <w:szCs w:val="20"/>
              </w:rPr>
            </w:pPr>
            <w:r w:rsidRPr="005762E6">
              <w:rPr>
                <w:sz w:val="20"/>
                <w:szCs w:val="20"/>
              </w:rPr>
              <w:lastRenderedPageBreak/>
              <w:t>36</w:t>
            </w:r>
          </w:p>
        </w:tc>
        <w:tc>
          <w:tcPr>
            <w:tcW w:w="0" w:type="auto"/>
            <w:tcBorders>
              <w:top w:val="single" w:sz="6" w:space="0" w:color="auto"/>
              <w:left w:val="single" w:sz="6" w:space="0" w:color="auto"/>
              <w:bottom w:val="single" w:sz="6" w:space="0" w:color="auto"/>
              <w:right w:val="single" w:sz="6" w:space="0" w:color="auto"/>
            </w:tcBorders>
          </w:tcPr>
          <w:p w14:paraId="3C97799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A218E39" w14:textId="77777777" w:rsidR="007F0AE0" w:rsidRPr="005762E6" w:rsidRDefault="007F0AE0" w:rsidP="00453DE3">
            <w:pPr>
              <w:spacing w:after="120" w:line="240" w:lineRule="auto"/>
              <w:contextualSpacing/>
              <w:rPr>
                <w:sz w:val="20"/>
                <w:szCs w:val="20"/>
              </w:rPr>
            </w:pPr>
            <w:r w:rsidRPr="005762E6">
              <w:rPr>
                <w:sz w:val="20"/>
                <w:szCs w:val="20"/>
              </w:rPr>
              <w:t>White W.B. Menthol cigarette use and subclinical cardiovascular disease in african americans in the jackson heart study. Circulation; 2018;137:</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American,​arterial wall thickness,​*carotid atherosclerosis,​*cigarette smoking,​computer assisted tomography,​*coronary artery,​death,​disease course,​female,​human,​iliac bone,​linear regression analysis,​major clinical study,​male,​calcium,​*menthol,​conference abstract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African Americans smoke menthol cigarettes at higher rates than other races and have a disproportionate burden of cardiovascular disease (CVD). Whereas smoking is a well described risk factor for CVD,​ it is unclear if menthol cigarettes are associated with more or less risk. Therefore,​ our aim was to evaluate the association between menthol cigarette use and subclinical atherosclerosis in the Jackson Heart Study (JHS). Methods: JHS participants (n=5,​301) were classified by self-reported smoking status as current,​ past (smoked &gt;=400 cigarettes/life),​ or never smokers at Visit 1 (V1,​ 2000-2004). Menthol cigarette use data were captured at Visit 3 (V3,​ 2009-2013). We used multivariable logistic and robust linear regression models to examine the associations between cigarette type and measures of subclinical atherosclerosis [carotid intimal medial thickness (CIMT,​ Visit 1) and coronary artery calcium (CAC) or aorto-iliac calcium (AIC) by computed tomography (Visit 2,​ V2,​ 2005-2008)] to estimate beta-coefficients (adjusted differences) comparing menthol to non-menthol (reference group) smoking. Results: There were 401 current smokers with available data on cigarette preference including 326 menthol (81%) and 75 non-menthol (19%) smokers at V3. Menthol cigarette preference in current smokers was not associated with significant differences in measures of subclinical atherosclerosis: CIMT (beta-0.003,​ 95% CI-0.053,​ 0.046,​ p=0.90); CAC (beta-0.20,​ 95% CI-1.09,​ 0.69,​ p=0.66) or AIC (beta-0.32,​ 95% CI-1.23,​ 0.59,​ p=0.48). Conclusion: Our study provides no evidence for an association of menthol cigarette use with subclinical atherosclerosis in African Americans. These findings warrant replication by studies that address the limitations of this study,​ including the assumption that menthol smokers in V3 were long-term menthol smokers before V1 and V2,​ potential selection by exclusions of deaths related to smoking and CVD among participants at V3 and lack of longitudinal data on outcomes after the collection of menthol use data at V3.</w:t>
            </w:r>
          </w:p>
        </w:tc>
      </w:tr>
      <w:tr w:rsidR="007F0AE0" w:rsidRPr="005762E6" w14:paraId="73ED7F0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5E6787" w14:textId="77777777" w:rsidR="007F0AE0" w:rsidRPr="005762E6" w:rsidRDefault="007F0AE0" w:rsidP="00453DE3">
            <w:pPr>
              <w:spacing w:after="120" w:line="240" w:lineRule="auto"/>
              <w:contextualSpacing/>
              <w:rPr>
                <w:sz w:val="20"/>
                <w:szCs w:val="20"/>
              </w:rPr>
            </w:pPr>
            <w:r w:rsidRPr="005762E6">
              <w:rPr>
                <w:sz w:val="20"/>
                <w:szCs w:val="20"/>
              </w:rPr>
              <w:t>37</w:t>
            </w:r>
          </w:p>
        </w:tc>
        <w:tc>
          <w:tcPr>
            <w:tcW w:w="0" w:type="auto"/>
            <w:tcBorders>
              <w:top w:val="single" w:sz="6" w:space="0" w:color="auto"/>
              <w:left w:val="single" w:sz="6" w:space="0" w:color="auto"/>
              <w:bottom w:val="single" w:sz="6" w:space="0" w:color="auto"/>
              <w:right w:val="single" w:sz="6" w:space="0" w:color="auto"/>
            </w:tcBorders>
          </w:tcPr>
          <w:p w14:paraId="5BB6817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913010" w14:textId="77777777" w:rsidR="007F0AE0" w:rsidRPr="005762E6" w:rsidRDefault="007F0AE0" w:rsidP="00453DE3">
            <w:pPr>
              <w:spacing w:after="120" w:line="240" w:lineRule="auto"/>
              <w:contextualSpacing/>
              <w:rPr>
                <w:sz w:val="20"/>
                <w:szCs w:val="20"/>
              </w:rPr>
            </w:pPr>
            <w:r w:rsidRPr="005762E6">
              <w:rPr>
                <w:sz w:val="20"/>
                <w:szCs w:val="20"/>
              </w:rPr>
              <w:t>McKelvey K.,​Halpern-Felsher B.,​Lazaro A. Youth-ascribed cigarette pack color meaning: Correct perceptions of green menthol flavor color,​ yet confusion over other colors. Journal of Adolescent Health; 2018;62:S137.</w:t>
            </w:r>
            <w:r w:rsidRPr="005762E6">
              <w:rPr>
                <w:sz w:val="20"/>
                <w:szCs w:val="20"/>
              </w:rPr>
              <w:br/>
            </w:r>
            <w:r w:rsidRPr="005762E6">
              <w:rPr>
                <w:sz w:val="20"/>
                <w:szCs w:val="20"/>
              </w:rPr>
              <w:br/>
            </w:r>
            <w:r w:rsidRPr="005762E6">
              <w:rPr>
                <w:b/>
                <w:bCs/>
                <w:sz w:val="20"/>
                <w:szCs w:val="20"/>
              </w:rPr>
              <w:t>Keywords:</w:t>
            </w:r>
            <w:r w:rsidRPr="005762E6">
              <w:rPr>
                <w:sz w:val="20"/>
                <w:szCs w:val="20"/>
              </w:rPr>
              <w:br/>
              <w:t>adolescent,​*cigarette,​female,​*flavor,​food and drug administration,​human,​human experiment,​*juvenile,​major clinical study,​male,​marketing,​national health organization,​*perception,​tobacco industry,​menthol,​conference abstract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Purpose: Recent tobacco-advertising regulations greatly restrict the number and type of descriptors allowed on cigarette packages. Hence,​ tobacco companies rely heavily on unregulated use of colors on cigarette packages to influence consumer perceptions of product attributes,​ including reduced health risks and specific flavor qualities. We endeavored to determine whether and what attributes youth attribute to colored cigarette packs. Methods: We showed 508 study participants (65.2% female; mean age 17.5) five Marlboro packs in colors commonly used by Philip Morris in the U.S. and abroad and a list of 12 cigarette-attributes also used by Philip Morris. We asked them to assign attributes to the cigarettes contained in the packages based solely on the pack color. Results: Participants demonstrated little agreement with industry and each other on cigarette-attributes associated with pack-colors,​ with the exception of "menthol" with green. "Low tar" and "ultra light" were most often chosen to describe the silver blue package. The correct interpretation of green as "menthol" could be due to tobacco-industry marketing of menthol to youth and youth being more likely to smoke menthol. Conclusions: Participants were likely too young to remember when cigarette packs included descriptors like "light" and "low tar;" thus the lack of association with pack-colors. The 2009 ban of descriptive words on cigarette packs may have been effective for youth. However,​ since youth associated "light" with the "whitest" color and menthol with </w:t>
            </w:r>
            <w:r w:rsidRPr="005762E6">
              <w:rPr>
                <w:sz w:val="20"/>
                <w:szCs w:val="20"/>
              </w:rPr>
              <w:lastRenderedPageBreak/>
              <w:t>green suggests further regulation of packaging may be needed. Plain packaging and unflavored cigarettes may reduce uptake among youth. Sources of Support: Grant number 1P50CA180890 from the National Cancer Institute (NCI) and the Food and Drug Administration Center for Tobacco Products. Dr. McKelvey was supported by NCI grant number T32 CA113710-11.</w:t>
            </w:r>
          </w:p>
        </w:tc>
      </w:tr>
      <w:tr w:rsidR="007F0AE0" w:rsidRPr="005762E6" w14:paraId="77F432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92EDF45" w14:textId="77777777" w:rsidR="007F0AE0" w:rsidRPr="005762E6" w:rsidRDefault="007F0AE0" w:rsidP="00453DE3">
            <w:pPr>
              <w:spacing w:after="120" w:line="240" w:lineRule="auto"/>
              <w:contextualSpacing/>
              <w:rPr>
                <w:sz w:val="20"/>
                <w:szCs w:val="20"/>
              </w:rPr>
            </w:pPr>
            <w:r w:rsidRPr="005762E6">
              <w:rPr>
                <w:sz w:val="20"/>
                <w:szCs w:val="20"/>
              </w:rPr>
              <w:lastRenderedPageBreak/>
              <w:t>42</w:t>
            </w:r>
          </w:p>
        </w:tc>
        <w:tc>
          <w:tcPr>
            <w:tcW w:w="0" w:type="auto"/>
            <w:tcBorders>
              <w:top w:val="single" w:sz="6" w:space="0" w:color="auto"/>
              <w:left w:val="single" w:sz="6" w:space="0" w:color="auto"/>
              <w:bottom w:val="single" w:sz="6" w:space="0" w:color="auto"/>
              <w:right w:val="single" w:sz="6" w:space="0" w:color="auto"/>
            </w:tcBorders>
          </w:tcPr>
          <w:p w14:paraId="16384F0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93CAE37" w14:textId="77777777" w:rsidR="007F0AE0" w:rsidRPr="005762E6" w:rsidRDefault="007F0AE0" w:rsidP="00453DE3">
            <w:pPr>
              <w:spacing w:after="120" w:line="240" w:lineRule="auto"/>
              <w:contextualSpacing/>
              <w:rPr>
                <w:sz w:val="20"/>
                <w:szCs w:val="20"/>
              </w:rPr>
            </w:pPr>
            <w:r w:rsidRPr="005762E6">
              <w:rPr>
                <w:sz w:val="20"/>
                <w:szCs w:val="20"/>
              </w:rPr>
              <w:t>Folan P.,​Abramova R.,​Fardellone C.,​Neptune E.,​Sockrider M. Atient education ,​ Information series: What is menthol?. American Journal of Respiratory and Critical Care Medicine; 2017;196:P9.</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American,​health hazard,​human,​population,​priority journal,​short survey,​smoking,​smoking cessation,​*tobacco,​tobacco dependence,​tobacco industry,​cigarette smoke,​*menthol,​peppermint</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B0BDE9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3B526C" w14:textId="77777777" w:rsidR="007F0AE0" w:rsidRPr="005762E6" w:rsidRDefault="007F0AE0" w:rsidP="00453DE3">
            <w:pPr>
              <w:spacing w:after="120" w:line="240" w:lineRule="auto"/>
              <w:contextualSpacing/>
              <w:rPr>
                <w:sz w:val="20"/>
                <w:szCs w:val="20"/>
              </w:rPr>
            </w:pPr>
            <w:r w:rsidRPr="005762E6">
              <w:rPr>
                <w:sz w:val="20"/>
                <w:szCs w:val="20"/>
              </w:rPr>
              <w:t>43</w:t>
            </w:r>
          </w:p>
        </w:tc>
        <w:tc>
          <w:tcPr>
            <w:tcW w:w="0" w:type="auto"/>
            <w:tcBorders>
              <w:top w:val="single" w:sz="6" w:space="0" w:color="auto"/>
              <w:left w:val="single" w:sz="6" w:space="0" w:color="auto"/>
              <w:bottom w:val="single" w:sz="6" w:space="0" w:color="auto"/>
              <w:right w:val="single" w:sz="6" w:space="0" w:color="auto"/>
            </w:tcBorders>
          </w:tcPr>
          <w:p w14:paraId="74D5E2F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C70B63B" w14:textId="77777777" w:rsidR="007F0AE0" w:rsidRPr="005762E6" w:rsidRDefault="007F0AE0" w:rsidP="00453DE3">
            <w:pPr>
              <w:spacing w:after="120" w:line="240" w:lineRule="auto"/>
              <w:contextualSpacing/>
              <w:rPr>
                <w:sz w:val="20"/>
                <w:szCs w:val="20"/>
              </w:rPr>
            </w:pPr>
            <w:r w:rsidRPr="005762E6">
              <w:rPr>
                <w:sz w:val="20"/>
                <w:szCs w:val="20"/>
              </w:rPr>
              <w:t>Farber H.J.,​Folan P. The tobacco industry targets youth. American Journal of Respiratory and Critical Care Medicine; 2017;196:11.</w:t>
            </w:r>
            <w:r w:rsidRPr="005762E6">
              <w:rPr>
                <w:sz w:val="20"/>
                <w:szCs w:val="20"/>
              </w:rPr>
              <w:br/>
            </w:r>
            <w:r w:rsidRPr="005762E6">
              <w:rPr>
                <w:sz w:val="20"/>
                <w:szCs w:val="20"/>
              </w:rPr>
              <w:br/>
            </w:r>
            <w:r w:rsidRPr="005762E6">
              <w:rPr>
                <w:b/>
                <w:bCs/>
                <w:sz w:val="20"/>
                <w:szCs w:val="20"/>
              </w:rPr>
              <w:t>Keywords:</w:t>
            </w:r>
            <w:r w:rsidRPr="005762E6">
              <w:rPr>
                <w:sz w:val="20"/>
                <w:szCs w:val="20"/>
              </w:rPr>
              <w:br/>
              <w:t>advertising,​electronic cigarette,​flavor,​human,​law suit,​note,​priority journal,​smoking,​tax,​tobacco,​tobacco dependence,​*tobacco industry,​United States,​menthol,​nicotine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94950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65E7B8" w14:textId="77777777" w:rsidR="007F0AE0" w:rsidRPr="005762E6" w:rsidRDefault="007F0AE0" w:rsidP="00453DE3">
            <w:pPr>
              <w:spacing w:after="120" w:line="240" w:lineRule="auto"/>
              <w:contextualSpacing/>
              <w:rPr>
                <w:sz w:val="20"/>
                <w:szCs w:val="20"/>
              </w:rPr>
            </w:pPr>
            <w:r w:rsidRPr="005762E6">
              <w:rPr>
                <w:sz w:val="20"/>
                <w:szCs w:val="20"/>
              </w:rPr>
              <w:t>44</w:t>
            </w:r>
          </w:p>
        </w:tc>
        <w:tc>
          <w:tcPr>
            <w:tcW w:w="0" w:type="auto"/>
            <w:tcBorders>
              <w:top w:val="single" w:sz="6" w:space="0" w:color="auto"/>
              <w:left w:val="single" w:sz="6" w:space="0" w:color="auto"/>
              <w:bottom w:val="single" w:sz="6" w:space="0" w:color="auto"/>
              <w:right w:val="single" w:sz="6" w:space="0" w:color="auto"/>
            </w:tcBorders>
          </w:tcPr>
          <w:p w14:paraId="2D775A8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6D8E155" w14:textId="77777777" w:rsidR="007F0AE0" w:rsidRPr="005762E6" w:rsidRDefault="007F0AE0" w:rsidP="00453DE3">
            <w:pPr>
              <w:spacing w:after="120" w:line="240" w:lineRule="auto"/>
              <w:contextualSpacing/>
              <w:rPr>
                <w:sz w:val="20"/>
                <w:szCs w:val="20"/>
              </w:rPr>
            </w:pPr>
            <w:r w:rsidRPr="005762E6">
              <w:rPr>
                <w:sz w:val="20"/>
                <w:szCs w:val="20"/>
              </w:rPr>
              <w:t>Munafo M. Understanding the role of additives in tobacco products. Nicotine and Tobacco Research; 2016;18:1545.</w:t>
            </w:r>
            <w:r w:rsidRPr="005762E6">
              <w:rPr>
                <w:sz w:val="20"/>
                <w:szCs w:val="20"/>
              </w:rPr>
              <w:br/>
            </w:r>
            <w:r w:rsidRPr="005762E6">
              <w:rPr>
                <w:sz w:val="20"/>
                <w:szCs w:val="20"/>
              </w:rPr>
              <w:br/>
            </w:r>
            <w:r w:rsidRPr="005762E6">
              <w:rPr>
                <w:b/>
                <w:bCs/>
                <w:sz w:val="20"/>
                <w:szCs w:val="20"/>
              </w:rPr>
              <w:t>Keywords:</w:t>
            </w:r>
            <w:r w:rsidRPr="005762E6">
              <w:rPr>
                <w:sz w:val="20"/>
                <w:szCs w:val="20"/>
              </w:rPr>
              <w:br/>
              <w:t>drug self-administration,​editorial,​human,​nonhuman,​practice guideline,​priority journal,​risk assessment,​*smoking,​tobacco dependence,​tobacco use,​ammonia,​menthol,​nicotine,​tobacco smoke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ABB2E2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C9391B9" w14:textId="77777777" w:rsidR="007F0AE0" w:rsidRPr="005762E6" w:rsidRDefault="007F0AE0" w:rsidP="00453DE3">
            <w:pPr>
              <w:spacing w:after="120" w:line="240" w:lineRule="auto"/>
              <w:contextualSpacing/>
              <w:rPr>
                <w:sz w:val="20"/>
                <w:szCs w:val="20"/>
              </w:rPr>
            </w:pPr>
            <w:r w:rsidRPr="005762E6">
              <w:rPr>
                <w:sz w:val="20"/>
                <w:szCs w:val="20"/>
              </w:rPr>
              <w:t>45</w:t>
            </w:r>
          </w:p>
        </w:tc>
        <w:tc>
          <w:tcPr>
            <w:tcW w:w="0" w:type="auto"/>
            <w:tcBorders>
              <w:top w:val="single" w:sz="6" w:space="0" w:color="auto"/>
              <w:left w:val="single" w:sz="6" w:space="0" w:color="auto"/>
              <w:bottom w:val="single" w:sz="6" w:space="0" w:color="auto"/>
              <w:right w:val="single" w:sz="6" w:space="0" w:color="auto"/>
            </w:tcBorders>
          </w:tcPr>
          <w:p w14:paraId="744A459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05C9489" w14:textId="77777777" w:rsidR="007F0AE0" w:rsidRPr="005762E6" w:rsidRDefault="007F0AE0" w:rsidP="00453DE3">
            <w:pPr>
              <w:spacing w:after="120" w:line="240" w:lineRule="auto"/>
              <w:contextualSpacing/>
              <w:rPr>
                <w:sz w:val="20"/>
                <w:szCs w:val="20"/>
              </w:rPr>
            </w:pPr>
            <w:r w:rsidRPr="005762E6">
              <w:rPr>
                <w:sz w:val="20"/>
                <w:szCs w:val="20"/>
              </w:rPr>
              <w:t>Warner K.E.,​Schroeder S.A. FDA's innovative plan to address the enormous toll of smoking. JAMA - Journal of the American Medical Association; 2017;318:1755.</w:t>
            </w:r>
            <w:r w:rsidRPr="005762E6">
              <w:rPr>
                <w:sz w:val="20"/>
                <w:szCs w:val="20"/>
              </w:rPr>
              <w:br/>
            </w:r>
            <w:r w:rsidRPr="005762E6">
              <w:rPr>
                <w:sz w:val="20"/>
                <w:szCs w:val="20"/>
              </w:rPr>
              <w:br/>
            </w:r>
            <w:r w:rsidRPr="005762E6">
              <w:rPr>
                <w:b/>
                <w:bCs/>
                <w:sz w:val="20"/>
                <w:szCs w:val="20"/>
              </w:rPr>
              <w:t>Keywords:</w:t>
            </w:r>
            <w:r w:rsidRPr="005762E6">
              <w:rPr>
                <w:sz w:val="20"/>
                <w:szCs w:val="20"/>
              </w:rPr>
              <w:br/>
              <w:t>addiction,​disease burden,​*food and drug administration,​government regulation,​harm reduction,​*health care planning,​health care policy,​human,​priority journal,​product development,​product safety,​risk reduction,​short survey,​*smoking,​smoking cessation,​tobacco dependence,​tobacco use,​vaping,​menthol,​nicotine,​tobacco smoke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45FAF4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E65499" w14:textId="77777777" w:rsidR="007F0AE0" w:rsidRPr="005762E6" w:rsidRDefault="007F0AE0" w:rsidP="00453DE3">
            <w:pPr>
              <w:spacing w:after="120" w:line="240" w:lineRule="auto"/>
              <w:contextualSpacing/>
              <w:rPr>
                <w:sz w:val="20"/>
                <w:szCs w:val="20"/>
              </w:rPr>
            </w:pPr>
            <w:r w:rsidRPr="005762E6">
              <w:rPr>
                <w:sz w:val="20"/>
                <w:szCs w:val="20"/>
              </w:rPr>
              <w:t>49</w:t>
            </w:r>
          </w:p>
        </w:tc>
        <w:tc>
          <w:tcPr>
            <w:tcW w:w="0" w:type="auto"/>
            <w:tcBorders>
              <w:top w:val="single" w:sz="6" w:space="0" w:color="auto"/>
              <w:left w:val="single" w:sz="6" w:space="0" w:color="auto"/>
              <w:bottom w:val="single" w:sz="6" w:space="0" w:color="auto"/>
              <w:right w:val="single" w:sz="6" w:space="0" w:color="auto"/>
            </w:tcBorders>
          </w:tcPr>
          <w:p w14:paraId="744867E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8C68EC4" w14:textId="77777777" w:rsidR="007F0AE0" w:rsidRPr="005762E6" w:rsidRDefault="007F0AE0" w:rsidP="00453DE3">
            <w:pPr>
              <w:spacing w:after="120" w:line="240" w:lineRule="auto"/>
              <w:contextualSpacing/>
              <w:rPr>
                <w:sz w:val="20"/>
                <w:szCs w:val="20"/>
              </w:rPr>
            </w:pPr>
            <w:r w:rsidRPr="005762E6">
              <w:rPr>
                <w:sz w:val="20"/>
                <w:szCs w:val="20"/>
              </w:rPr>
              <w:t>Montgomery L.T. Mentholated cigarette use among African American women and men: What's blunt smoking got to do with it?. Drug and Alcohol Dependence; 2017;171:e148.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American,​female,​human,​major clinical study,​male,​onset age,​probability,​public health problem,​secondary analysis,​*smoking,​menthol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Aims: The present study was designed to examine the relationship between two significant public health problems,​ blunt and mentholated cigarette use,​ among African American women and men. Methods: A secondary analysis of data from the 2013 National Survey on Drug Use and Health was conducted to examine if past month blunt use and age of onset of first blunt use predicted past month mentholated cigarette use among African American women (n = 320) and men (n = 447). Results: Approximately 43% of past month menthol cigarette smokers reported smoking blunts in the past month. Logistic regression analyses revealed that past month blunt use did not predict past month mentholated cigarette use among women or men. Further,​ the age of blunt use onset did not predict past month mentholated cigarette use among men. However,​ late onset of blunt use among women was associated with a greater probability of past month mentholated cigarette use (AOR = 1.19,​ 95% CI = 1.10-1.29,​ p &lt; 0.01). Conclusions: More research is needed to examine the relationship </w:t>
            </w:r>
            <w:r w:rsidRPr="005762E6">
              <w:rPr>
                <w:sz w:val="20"/>
                <w:szCs w:val="20"/>
              </w:rPr>
              <w:lastRenderedPageBreak/>
              <w:t>between blunts and menthol cigarettes,​ especially among African American women who initiate blunt use as an adult.</w:t>
            </w:r>
          </w:p>
        </w:tc>
      </w:tr>
      <w:tr w:rsidR="007F0AE0" w:rsidRPr="005762E6" w14:paraId="43550F3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D3E181" w14:textId="77777777" w:rsidR="007F0AE0" w:rsidRPr="005762E6" w:rsidRDefault="007F0AE0" w:rsidP="00453DE3">
            <w:pPr>
              <w:spacing w:after="120" w:line="240" w:lineRule="auto"/>
              <w:contextualSpacing/>
              <w:rPr>
                <w:sz w:val="20"/>
                <w:szCs w:val="20"/>
              </w:rPr>
            </w:pPr>
            <w:r w:rsidRPr="005762E6">
              <w:rPr>
                <w:sz w:val="20"/>
                <w:szCs w:val="20"/>
              </w:rPr>
              <w:lastRenderedPageBreak/>
              <w:t>59</w:t>
            </w:r>
          </w:p>
        </w:tc>
        <w:tc>
          <w:tcPr>
            <w:tcW w:w="0" w:type="auto"/>
            <w:tcBorders>
              <w:top w:val="single" w:sz="6" w:space="0" w:color="auto"/>
              <w:left w:val="single" w:sz="6" w:space="0" w:color="auto"/>
              <w:bottom w:val="single" w:sz="6" w:space="0" w:color="auto"/>
              <w:right w:val="single" w:sz="6" w:space="0" w:color="auto"/>
            </w:tcBorders>
          </w:tcPr>
          <w:p w14:paraId="1C7ED9D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7908D7" w14:textId="77777777" w:rsidR="007F0AE0" w:rsidRPr="005762E6" w:rsidRDefault="007F0AE0" w:rsidP="00453DE3">
            <w:pPr>
              <w:spacing w:after="120" w:line="240" w:lineRule="auto"/>
              <w:contextualSpacing/>
              <w:rPr>
                <w:sz w:val="20"/>
                <w:szCs w:val="20"/>
              </w:rPr>
            </w:pPr>
            <w:r w:rsidRPr="005762E6">
              <w:rPr>
                <w:sz w:val="20"/>
                <w:szCs w:val="20"/>
              </w:rPr>
              <w:t>Anonymous. A growing gulf in the terrain of tobacco control. The Lancet; 2016;387:2163.</w:t>
            </w:r>
            <w:r w:rsidRPr="005762E6">
              <w:rPr>
                <w:sz w:val="20"/>
                <w:szCs w:val="20"/>
              </w:rPr>
              <w:br/>
            </w:r>
            <w:r w:rsidRPr="005762E6">
              <w:rPr>
                <w:sz w:val="20"/>
                <w:szCs w:val="20"/>
              </w:rPr>
              <w:br/>
            </w:r>
            <w:r w:rsidRPr="005762E6">
              <w:rPr>
                <w:b/>
                <w:bCs/>
                <w:sz w:val="20"/>
                <w:szCs w:val="20"/>
              </w:rPr>
              <w:t>Keywords:</w:t>
            </w:r>
            <w:r w:rsidRPr="005762E6">
              <w:rPr>
                <w:sz w:val="20"/>
                <w:szCs w:val="20"/>
              </w:rPr>
              <w:br/>
              <w:t>advertising,​Australia,​Canada,​editorial,​England,​Europe,​France,​human,​India,​Ireland,​law suit,​lowest income group,​New Zealand,​non communicable disease,​*packaging,​patent,​priority journal,​smoking,​*smoking ban,​South Africa,​sustainable development,​tax,​United Kingdom,​world health organization,​menthol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AF3A81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35E5DC" w14:textId="77777777" w:rsidR="007F0AE0" w:rsidRPr="005762E6" w:rsidRDefault="007F0AE0" w:rsidP="00453DE3">
            <w:pPr>
              <w:spacing w:after="120" w:line="240" w:lineRule="auto"/>
              <w:contextualSpacing/>
              <w:rPr>
                <w:sz w:val="20"/>
                <w:szCs w:val="20"/>
              </w:rPr>
            </w:pPr>
            <w:r w:rsidRPr="005762E6">
              <w:rPr>
                <w:sz w:val="20"/>
                <w:szCs w:val="20"/>
              </w:rPr>
              <w:t>60</w:t>
            </w:r>
          </w:p>
        </w:tc>
        <w:tc>
          <w:tcPr>
            <w:tcW w:w="0" w:type="auto"/>
            <w:tcBorders>
              <w:top w:val="single" w:sz="6" w:space="0" w:color="auto"/>
              <w:left w:val="single" w:sz="6" w:space="0" w:color="auto"/>
              <w:bottom w:val="single" w:sz="6" w:space="0" w:color="auto"/>
              <w:right w:val="single" w:sz="6" w:space="0" w:color="auto"/>
            </w:tcBorders>
          </w:tcPr>
          <w:p w14:paraId="7BBFEED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D3A26EA" w14:textId="77777777" w:rsidR="007F0AE0" w:rsidRPr="005762E6" w:rsidRDefault="007F0AE0" w:rsidP="00453DE3">
            <w:pPr>
              <w:spacing w:after="120" w:line="240" w:lineRule="auto"/>
              <w:contextualSpacing/>
              <w:rPr>
                <w:sz w:val="20"/>
                <w:szCs w:val="20"/>
              </w:rPr>
            </w:pPr>
            <w:r w:rsidRPr="005762E6">
              <w:rPr>
                <w:sz w:val="20"/>
                <w:szCs w:val="20"/>
              </w:rPr>
              <w:t>Meier E.,​Vogel R.I.,​O'Connor R.J.,​Severson H.H.,​Shields P.G.,​Hatsukami D.K. Preference for flavored noncombustible nicotine products among smokers motivated to switch from cigarettes. Nicotine and Tobacco Research; 2016;18:892.</w:t>
            </w:r>
            <w:r w:rsidRPr="005762E6">
              <w:rPr>
                <w:sz w:val="20"/>
                <w:szCs w:val="20"/>
              </w:rPr>
              <w:br/>
            </w:r>
            <w:r w:rsidRPr="005762E6">
              <w:rPr>
                <w:sz w:val="20"/>
                <w:szCs w:val="20"/>
              </w:rPr>
              <w:br/>
            </w:r>
            <w:r w:rsidRPr="005762E6">
              <w:rPr>
                <w:b/>
                <w:bCs/>
                <w:sz w:val="20"/>
                <w:szCs w:val="20"/>
              </w:rPr>
              <w:t>Keywords:</w:t>
            </w:r>
            <w:r w:rsidRPr="005762E6">
              <w:rPr>
                <w:sz w:val="20"/>
                <w:szCs w:val="20"/>
              </w:rPr>
              <w:br/>
              <w:t>adult,​*attitude to health,​Caucasian,​commercial phenomena,​comparative study,​controlled study,​demography,​female,​human,​letter,​male,​motivation,​onset age,​parameters,​priority journal,​questionnaire,​randomized controlled trial (topic),​smokeless tobacco,​*smoking,​*smoking and smoking related phenomena,​*nicotine derivative,​nicotine gum,​unclassified drug,​*cigarette switch,​cigarettes per day,​cinnamon flavor,​fruit flavor,​mint flavor,​non menthol cigarette,​*flavored noncombustible nicotine product</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391143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834B79" w14:textId="77777777" w:rsidR="007F0AE0" w:rsidRPr="005762E6" w:rsidRDefault="007F0AE0" w:rsidP="00453DE3">
            <w:pPr>
              <w:spacing w:after="120" w:line="240" w:lineRule="auto"/>
              <w:contextualSpacing/>
              <w:rPr>
                <w:sz w:val="20"/>
                <w:szCs w:val="20"/>
              </w:rPr>
            </w:pPr>
            <w:r w:rsidRPr="005762E6">
              <w:rPr>
                <w:sz w:val="20"/>
                <w:szCs w:val="20"/>
              </w:rPr>
              <w:t>62</w:t>
            </w:r>
          </w:p>
        </w:tc>
        <w:tc>
          <w:tcPr>
            <w:tcW w:w="0" w:type="auto"/>
            <w:tcBorders>
              <w:top w:val="single" w:sz="6" w:space="0" w:color="auto"/>
              <w:left w:val="single" w:sz="6" w:space="0" w:color="auto"/>
              <w:bottom w:val="single" w:sz="6" w:space="0" w:color="auto"/>
              <w:right w:val="single" w:sz="6" w:space="0" w:color="auto"/>
            </w:tcBorders>
          </w:tcPr>
          <w:p w14:paraId="07F33CB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96E326C" w14:textId="77777777" w:rsidR="007F0AE0" w:rsidRPr="005762E6" w:rsidRDefault="007F0AE0" w:rsidP="00453DE3">
            <w:pPr>
              <w:spacing w:after="120" w:line="240" w:lineRule="auto"/>
              <w:contextualSpacing/>
              <w:rPr>
                <w:sz w:val="20"/>
                <w:szCs w:val="20"/>
              </w:rPr>
            </w:pPr>
            <w:r w:rsidRPr="005762E6">
              <w:rPr>
                <w:sz w:val="20"/>
                <w:szCs w:val="20"/>
              </w:rPr>
              <w:t>Munro H.M.,​Tarone R.E.,​Wang T.J.,​Blot W.J. Menthol and nonmenthol cigarette smoking. Circulation; 2016;133:1861.</w:t>
            </w:r>
            <w:r w:rsidRPr="005762E6">
              <w:rPr>
                <w:sz w:val="20"/>
                <w:szCs w:val="20"/>
              </w:rPr>
              <w:br/>
            </w:r>
            <w:r w:rsidRPr="005762E6">
              <w:rPr>
                <w:sz w:val="20"/>
                <w:szCs w:val="20"/>
              </w:rPr>
              <w:br/>
            </w:r>
            <w:r w:rsidRPr="005762E6">
              <w:rPr>
                <w:b/>
                <w:bCs/>
                <w:sz w:val="20"/>
                <w:szCs w:val="20"/>
              </w:rPr>
              <w:t>Keywords:</w:t>
            </w:r>
            <w:r w:rsidRPr="005762E6">
              <w:rPr>
                <w:sz w:val="20"/>
                <w:szCs w:val="20"/>
              </w:rPr>
              <w:br/>
              <w:t>article,​Black person,​body mass,​*cardiovascular disease,​Caucasian,​cause of death,​cerebrovascular accident,​chronic obstructive lung disease,​cohort analysis,​disease association,​female,​follow up,​heart disease,​human,​lung cancer,​major clinical study,​male,​mortality,​priority journal,​prospective study,​*smoking,​*menthol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 In contrast to whites,​ black smokers prefer menthol cigarettes over nonmenthol cigarettes by a large margin and tend to have higher mortality from several smoking-related diseases than whites,​ raising the possibility that menthol cigarettes contribute to racial disparities in risk. Evidence for differential associations between menthol and nonmenthol cigarettes indicates lower cancer risk for menthol smokers,​ but for cardiovascular disease (CVD) mortality,​ evidence has been inconsistent. Methods and Results - Cox proportional hazards models were used to compute hazard ratios and accompanying 95% confidence intervals for all-cause and CVD mortality for menthol compared with nonmenthol cigarette smokers among 65 600 participants in the Southern Community Cohort Study,​ an ongoing community-based cohort with the largest number of menthol smokers being traced. Among the 27 619 current cigarette smokers,​ 4224 died during follow-up,​ with 1130 deaths attributed to CVD. Both all-cause (hazard ratio=0.93; 95% confidence interval=0.86-1.01; P=0.10) and CVD (hazard ratio=0.88; 95% confidence interval=0.76-1.03; P=0.10) mortality risks were similar in menthol compared with nonmenthol cigarette smokers. Conclusions - Smoking regardless of cigarette type is hazardous to health,​ but these results do not indicate that menthol cigarettes are associated with greater CVD risks than nonmenthol cigarettes. Copyright © 2016 American Heart Association,​ Inc.</w:t>
            </w:r>
          </w:p>
        </w:tc>
      </w:tr>
      <w:tr w:rsidR="007F0AE0" w:rsidRPr="005762E6" w14:paraId="2E710A2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C0E6DB" w14:textId="77777777" w:rsidR="007F0AE0" w:rsidRPr="005762E6" w:rsidRDefault="007F0AE0" w:rsidP="00453DE3">
            <w:pPr>
              <w:spacing w:after="120" w:line="240" w:lineRule="auto"/>
              <w:contextualSpacing/>
              <w:rPr>
                <w:sz w:val="20"/>
                <w:szCs w:val="20"/>
              </w:rPr>
            </w:pPr>
            <w:r w:rsidRPr="005762E6">
              <w:rPr>
                <w:sz w:val="20"/>
                <w:szCs w:val="20"/>
              </w:rPr>
              <w:t>69</w:t>
            </w:r>
          </w:p>
        </w:tc>
        <w:tc>
          <w:tcPr>
            <w:tcW w:w="0" w:type="auto"/>
            <w:tcBorders>
              <w:top w:val="single" w:sz="6" w:space="0" w:color="auto"/>
              <w:left w:val="single" w:sz="6" w:space="0" w:color="auto"/>
              <w:bottom w:val="single" w:sz="6" w:space="0" w:color="auto"/>
              <w:right w:val="single" w:sz="6" w:space="0" w:color="auto"/>
            </w:tcBorders>
          </w:tcPr>
          <w:p w14:paraId="066542D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C1FF6E" w14:textId="77777777" w:rsidR="007F0AE0" w:rsidRPr="005762E6" w:rsidRDefault="007F0AE0" w:rsidP="00453DE3">
            <w:pPr>
              <w:spacing w:after="120" w:line="240" w:lineRule="auto"/>
              <w:contextualSpacing/>
              <w:rPr>
                <w:sz w:val="20"/>
                <w:szCs w:val="20"/>
              </w:rPr>
            </w:pPr>
            <w:r w:rsidRPr="005762E6">
              <w:rPr>
                <w:sz w:val="20"/>
                <w:szCs w:val="20"/>
              </w:rPr>
              <w:t>Mitchell K.A.,​Zingone A.,​Ryan B. Lung cancer in African Americans is characterized by histone modifying enzyme gene signatures. Cancer Epidemiology Biomarkers and Prevention; 2016;25:</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American,​biology,​breast tumor,​cancer incidence,​cancer mortality,​cancer susceptibility,​case control study,​cell line,​controlled study,​disease course,​DNA transcription,​ethnic group,​European American,​female,​gene expression,​gene inactivation,​health disparity,​human,​human cell,​human tissue,​immune response gene,​landscape,​*lung cancer,​major clinical study,​male,​organ,​phenotype,​prediction,​prevalence,​prostate cancer,​race,​risk factor,​smoking,​endogenous compound,​*histone,​histone deacetylase,​histone deacetylase inhibitor,​hormone receptor,​menthol,​microRNA,​transcriptome</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Lung cancer is the second most common cancer in the US and the leading cause of cancer-related death. African Americans (AA) have the highest lung cancer incidence rates compared with any other population in the country. Smoking is the strongest risk factor for lung cancer development; however research to date does not fully explain the disparities in incidence. For example,​ the prevalence of both smoking and heavy smoking is lower among AA. In addition,​ although most AA choose menthol cigarettes,​ a recent study has shown there is no increased risk of lung cancer among menthol cigarette smokers compared with nonmenthol cigarette smokers. Furthermore,​ a large study of never smokers demonstrated that AA still had a higher incidence of lung cancer and when matched for number of cigarettes smoked per day,​ AA still have a higher lung cancer incidence. Combined,​ these data suggest that smoking behavior alone does not account for the lung cancer disparities observed among AA. While the different causes of lung cancer across ethnic groups have not been resolved,​ few studies have examined whether there are differences in the tumor biology between AA and European American (EA) patients. Indeed,​ numerous cancer disparities studies in other organ types report clear differences in tumor biology between AA and EA patients. For example,​ immune response gene signatures can accurately differentiate between AA and EA prostate cancers,​ and AA breast tumors are more likely to lack hormone receptors linked with high survival than EA women. To date,​ few studies have investigated molecular differences between lung cancer in AA and EA patients. We hypothesized AA and EA lung cancers have different tumor biology,​ and that these differences can both inform disease etiology and be leveraged for translational means. Using the NCI-MD case control study,​ we profiled the coding transcriptome of 66 matched lung tumor and normal tissues (n = 33 AA,​ n = 33 EA) and performed subsequent Gene Set Enrichment Analysis (GSEA) and Connectivity Mapping (CM). Here we demonstrated that AA lung tumors have distinct molecular phenotypes when compared with EA. Approximately 1,​000 genes were differentially expressed between cancer and normal tissue in AA tumors only. Genes specifically upregulated in prostate and breast tumors from AA compared with EA were also upregulated in lung tumors from AA,​ suggesting some common differences in tumor biology by race. However,​ GSEA revealed novel differences also: histone modifying enzyme signatures were positively enriched in lung tumors from AA and inversely enriched in EA. Furthermore,​ CM strongly suggested that lung tumors from AA and EA would have varying sensitivities to histone deacetylase inhibitors (HDACi). Treatment of population-specific cell lines confirmed these CM predictions. HDACs were also found to be differentially regulated in AA tumors,​ suggesting a mechanistic basis for differential responses to HDACi treatment. We also conducted non-coding transcriptome profiling of 199 individuals (n = 86 AA,​ n = 113 EA). We found that there were 23 differentially expressed microRNAs in lung cancer tissues from AA. Moreover,​ using a hypergeometric test we observed that differential expression of miRNAs within lung cancer from AA and EA does not drive differences in the observed gene expression signatures. Understanding the biological factors that contribute to cancer health disparities and exploring the causes and consequences of such can help to reduce or limit the outcomes of these disparities. To our knowledge,​ this study is the first to profile the coding and non-coding landscape of lung cancer in AA and provides the first evidence that HDAC tumor biology differs in lung cancers from AA and EA. This may allow for more precise molecular targeting for responsive patients and improve cancer outcomes.</w:t>
            </w:r>
          </w:p>
        </w:tc>
      </w:tr>
      <w:tr w:rsidR="007F0AE0" w:rsidRPr="005762E6" w14:paraId="3BD966D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A08437" w14:textId="77777777" w:rsidR="007F0AE0" w:rsidRPr="005762E6" w:rsidRDefault="007F0AE0" w:rsidP="00453DE3">
            <w:pPr>
              <w:spacing w:after="120" w:line="240" w:lineRule="auto"/>
              <w:contextualSpacing/>
              <w:rPr>
                <w:sz w:val="20"/>
                <w:szCs w:val="20"/>
              </w:rPr>
            </w:pPr>
            <w:r w:rsidRPr="005762E6">
              <w:rPr>
                <w:sz w:val="20"/>
                <w:szCs w:val="20"/>
              </w:rPr>
              <w:lastRenderedPageBreak/>
              <w:t>72</w:t>
            </w:r>
          </w:p>
        </w:tc>
        <w:tc>
          <w:tcPr>
            <w:tcW w:w="0" w:type="auto"/>
            <w:tcBorders>
              <w:top w:val="single" w:sz="6" w:space="0" w:color="auto"/>
              <w:left w:val="single" w:sz="6" w:space="0" w:color="auto"/>
              <w:bottom w:val="single" w:sz="6" w:space="0" w:color="auto"/>
              <w:right w:val="single" w:sz="6" w:space="0" w:color="auto"/>
            </w:tcBorders>
          </w:tcPr>
          <w:p w14:paraId="45FD155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928588A" w14:textId="77777777" w:rsidR="007F0AE0" w:rsidRPr="005762E6" w:rsidRDefault="007F0AE0" w:rsidP="00453DE3">
            <w:pPr>
              <w:spacing w:after="120" w:line="240" w:lineRule="auto"/>
              <w:contextualSpacing/>
              <w:rPr>
                <w:sz w:val="20"/>
                <w:szCs w:val="20"/>
              </w:rPr>
            </w:pPr>
            <w:r w:rsidRPr="005762E6">
              <w:rPr>
                <w:sz w:val="20"/>
                <w:szCs w:val="20"/>
              </w:rPr>
              <w:t>Azagba S.,​Minaker L.M.,​Hammond D.,​Manske S. Tobacco industry sponsored advocates have a different interpretation of science: a response to: Even anti-tobacco studies must be held to basic scientific standards. Cancer Causes and Control; 2015;26:1363.</w:t>
            </w:r>
            <w:r w:rsidRPr="005762E6">
              <w:rPr>
                <w:sz w:val="20"/>
                <w:szCs w:val="20"/>
              </w:rPr>
              <w:br/>
            </w:r>
            <w:r w:rsidRPr="005762E6">
              <w:rPr>
                <w:sz w:val="20"/>
                <w:szCs w:val="20"/>
              </w:rPr>
              <w:br/>
            </w:r>
            <w:r w:rsidRPr="005762E6">
              <w:rPr>
                <w:b/>
                <w:bCs/>
                <w:sz w:val="20"/>
                <w:szCs w:val="20"/>
              </w:rPr>
              <w:t>Keywords:</w:t>
            </w:r>
            <w:r w:rsidRPr="005762E6">
              <w:rPr>
                <w:sz w:val="20"/>
                <w:szCs w:val="20"/>
              </w:rPr>
              <w:br/>
              <w:t>cancer mortality,​cardiovascular mortality,​cause of death,​chronic obstructive lung disease,​human,​letter,​marketing,​peripheral occlusive artery disease,​priority journal,​*smoking,​smoking cessation,​tobacco dependence,​tobacco industry,​*menthol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689237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4C5075" w14:textId="77777777" w:rsidR="007F0AE0" w:rsidRPr="005762E6" w:rsidRDefault="007F0AE0" w:rsidP="00453DE3">
            <w:pPr>
              <w:spacing w:after="120" w:line="240" w:lineRule="auto"/>
              <w:contextualSpacing/>
              <w:rPr>
                <w:sz w:val="20"/>
                <w:szCs w:val="20"/>
              </w:rPr>
            </w:pPr>
            <w:r w:rsidRPr="005762E6">
              <w:rPr>
                <w:sz w:val="20"/>
                <w:szCs w:val="20"/>
              </w:rPr>
              <w:t>77</w:t>
            </w:r>
          </w:p>
        </w:tc>
        <w:tc>
          <w:tcPr>
            <w:tcW w:w="0" w:type="auto"/>
            <w:tcBorders>
              <w:top w:val="single" w:sz="6" w:space="0" w:color="auto"/>
              <w:left w:val="single" w:sz="6" w:space="0" w:color="auto"/>
              <w:bottom w:val="single" w:sz="6" w:space="0" w:color="auto"/>
              <w:right w:val="single" w:sz="6" w:space="0" w:color="auto"/>
            </w:tcBorders>
          </w:tcPr>
          <w:p w14:paraId="70B74B0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2C54F89" w14:textId="77777777" w:rsidR="007F0AE0" w:rsidRPr="005762E6" w:rsidRDefault="007F0AE0" w:rsidP="00453DE3">
            <w:pPr>
              <w:spacing w:after="120" w:line="240" w:lineRule="auto"/>
              <w:contextualSpacing/>
              <w:rPr>
                <w:sz w:val="20"/>
                <w:szCs w:val="20"/>
              </w:rPr>
            </w:pPr>
            <w:r w:rsidRPr="005762E6">
              <w:rPr>
                <w:sz w:val="20"/>
                <w:szCs w:val="20"/>
              </w:rPr>
              <w:t>Sulsky S.I.,​Fuller W.G.,​Van Landingham C.,​Ogden M.W.,​Swauger J.E.,​Curtin G.M. Corrigendum to "Evaluating the association between menthol cigarette use and the likelihood of being a former versus current smoker" [Regul. Toxicol. Pharmacol. 70/1 (2014) 231-241]. Regulatory Toxicology and Pharmacology; 2015;73:114.</w:t>
            </w:r>
            <w:r w:rsidRPr="005762E6">
              <w:rPr>
                <w:sz w:val="20"/>
                <w:szCs w:val="20"/>
              </w:rPr>
              <w:br/>
            </w:r>
            <w:r w:rsidRPr="005762E6">
              <w:rPr>
                <w:sz w:val="20"/>
                <w:szCs w:val="20"/>
              </w:rPr>
              <w:br/>
            </w:r>
            <w:r w:rsidRPr="005762E6">
              <w:rPr>
                <w:b/>
                <w:bCs/>
                <w:sz w:val="20"/>
                <w:szCs w:val="20"/>
              </w:rPr>
              <w:t>Keywords:</w:t>
            </w:r>
            <w:r w:rsidRPr="005762E6">
              <w:rPr>
                <w:sz w:val="20"/>
                <w:szCs w:val="20"/>
              </w:rPr>
              <w:br/>
              <w:t>erratum,​*error,​priority journal</w:t>
            </w:r>
            <w:r w:rsidRPr="005762E6">
              <w:rPr>
                <w:sz w:val="20"/>
                <w:szCs w:val="20"/>
              </w:rPr>
              <w:br/>
            </w:r>
            <w:r w:rsidRPr="005762E6">
              <w:rPr>
                <w:sz w:val="20"/>
                <w:szCs w:val="20"/>
              </w:rPr>
              <w:lastRenderedPageBreak/>
              <w:br/>
            </w:r>
            <w:r w:rsidRPr="005762E6">
              <w:rPr>
                <w:b/>
                <w:bCs/>
                <w:sz w:val="20"/>
                <w:szCs w:val="20"/>
              </w:rPr>
              <w:t xml:space="preserve">Abstract: </w:t>
            </w:r>
          </w:p>
        </w:tc>
      </w:tr>
      <w:tr w:rsidR="007F0AE0" w:rsidRPr="005762E6" w14:paraId="5F7258F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219CBC" w14:textId="77777777" w:rsidR="007F0AE0" w:rsidRPr="005762E6" w:rsidRDefault="007F0AE0" w:rsidP="00453DE3">
            <w:pPr>
              <w:spacing w:after="120" w:line="240" w:lineRule="auto"/>
              <w:contextualSpacing/>
              <w:rPr>
                <w:sz w:val="20"/>
                <w:szCs w:val="20"/>
              </w:rPr>
            </w:pPr>
            <w:r w:rsidRPr="005762E6">
              <w:rPr>
                <w:sz w:val="20"/>
                <w:szCs w:val="20"/>
              </w:rPr>
              <w:lastRenderedPageBreak/>
              <w:t>85</w:t>
            </w:r>
          </w:p>
        </w:tc>
        <w:tc>
          <w:tcPr>
            <w:tcW w:w="0" w:type="auto"/>
            <w:tcBorders>
              <w:top w:val="single" w:sz="6" w:space="0" w:color="auto"/>
              <w:left w:val="single" w:sz="6" w:space="0" w:color="auto"/>
              <w:bottom w:val="single" w:sz="6" w:space="0" w:color="auto"/>
              <w:right w:val="single" w:sz="6" w:space="0" w:color="auto"/>
            </w:tcBorders>
          </w:tcPr>
          <w:p w14:paraId="0286CDB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88E8AE0" w14:textId="77777777" w:rsidR="007F0AE0" w:rsidRPr="005762E6" w:rsidRDefault="007F0AE0" w:rsidP="00453DE3">
            <w:pPr>
              <w:spacing w:after="120" w:line="240" w:lineRule="auto"/>
              <w:contextualSpacing/>
              <w:rPr>
                <w:sz w:val="20"/>
                <w:szCs w:val="20"/>
              </w:rPr>
            </w:pPr>
            <w:r w:rsidRPr="005762E6">
              <w:rPr>
                <w:sz w:val="20"/>
                <w:szCs w:val="20"/>
              </w:rPr>
              <w:t>Chirila C.,​Trofor L.,​Frunza A.,​Albu A.M.,​Gherghesanu R.,​Trofor A.C. The problem of low rate-smokers: Smoking pattern and cessation outcomes. European Respiratory Journal; 2015;46:</w:t>
            </w:r>
            <w:r w:rsidRPr="005762E6">
              <w:rPr>
                <w:sz w:val="20"/>
                <w:szCs w:val="20"/>
              </w:rPr>
              <w:br/>
            </w:r>
            <w:r w:rsidRPr="005762E6">
              <w:rPr>
                <w:sz w:val="20"/>
                <w:szCs w:val="20"/>
              </w:rPr>
              <w:br/>
            </w:r>
            <w:r w:rsidRPr="005762E6">
              <w:rPr>
                <w:b/>
                <w:bCs/>
                <w:sz w:val="20"/>
                <w:szCs w:val="20"/>
              </w:rPr>
              <w:t>Keywords:</w:t>
            </w:r>
            <w:r w:rsidRPr="005762E6">
              <w:rPr>
                <w:sz w:val="20"/>
                <w:szCs w:val="20"/>
              </w:rPr>
              <w:br/>
              <w:t>*smoking,​*society,​*European,​human,​tobacco dependence,​smoking cessation,​abstinence,​patient,​physician,​gender,​counseling,​follow up,​morbidity,​female,​menthol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Low-rate smokers,​ defined as no more than 5 cigarettes per day (CPD) or 1 - 5 CPD smokers are often a challenge to smoking cessation practitioners. Aim: To determine smoking cessation outcomes in low-rate smokers treated in our centre,​ in relation with pattern of smoking in this particular category of patients. Material and methods: Low-rate smokers included in a tobacco dependence 3 months pharmacological and counselling treatment program were evaluated for age,​ gender,​ smoking history,​ nicotine dependence score and co-morbidities. Abstinence rate was determined at 3 months end of treatment (3-EOT) and in 6 months follow-up (6 -FU). Results: We analyzed 180 subjects,​ age average 35. 6 yrs,​ in majority women (70%),​ with various comorbidities (psychiatric - 11 %,​ COPD- 5%,​ cardio-vascular - 4.2% ). At a CPD consumption &lt;= 5,​ paradoxically,​ we found a moderate-severe degree of nicotine dependence in majority of subjects ( only in 30.5% the nicotine dependence Fagerstrom score was &lt; 3). Nicotine withdrawal history was described in 15% of subjects,​ also 23.3 % started smoking under the age of 14 and 26.1% declared they prefer nonfiltered or menthol cigarettes. Abstinence rate was 34.4% in 3-EOT versus 16.1% in 6-FU. Conclusions: Even if low-rate smokers,​ quitting may be difficult in this category of patients,​ due to a particular smoking pattern and frequent moderate-severe nicotine dependence,​ resulting in lower than expected abstinence rates.</w:t>
            </w:r>
          </w:p>
        </w:tc>
      </w:tr>
      <w:tr w:rsidR="007F0AE0" w:rsidRPr="005762E6" w14:paraId="7CE095E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CCD9C9" w14:textId="77777777" w:rsidR="007F0AE0" w:rsidRPr="005762E6" w:rsidRDefault="007F0AE0" w:rsidP="00453DE3">
            <w:pPr>
              <w:spacing w:after="120" w:line="240" w:lineRule="auto"/>
              <w:contextualSpacing/>
              <w:rPr>
                <w:sz w:val="20"/>
                <w:szCs w:val="20"/>
              </w:rPr>
            </w:pPr>
            <w:r w:rsidRPr="005762E6">
              <w:rPr>
                <w:sz w:val="20"/>
                <w:szCs w:val="20"/>
              </w:rPr>
              <w:t>93</w:t>
            </w:r>
          </w:p>
        </w:tc>
        <w:tc>
          <w:tcPr>
            <w:tcW w:w="0" w:type="auto"/>
            <w:tcBorders>
              <w:top w:val="single" w:sz="6" w:space="0" w:color="auto"/>
              <w:left w:val="single" w:sz="6" w:space="0" w:color="auto"/>
              <w:bottom w:val="single" w:sz="6" w:space="0" w:color="auto"/>
              <w:right w:val="single" w:sz="6" w:space="0" w:color="auto"/>
            </w:tcBorders>
          </w:tcPr>
          <w:p w14:paraId="0DCBD68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FF2B397" w14:textId="77777777" w:rsidR="007F0AE0" w:rsidRPr="005762E6" w:rsidRDefault="007F0AE0" w:rsidP="00453DE3">
            <w:pPr>
              <w:spacing w:after="120" w:line="240" w:lineRule="auto"/>
              <w:contextualSpacing/>
              <w:rPr>
                <w:sz w:val="20"/>
                <w:szCs w:val="20"/>
              </w:rPr>
            </w:pPr>
            <w:r w:rsidRPr="005762E6">
              <w:rPr>
                <w:sz w:val="20"/>
                <w:szCs w:val="20"/>
              </w:rPr>
              <w:t>Suh Y.,​Lee Y.,​Lee H.,​Kim S.,​Choe Y.,​Park S.,​Bowler R.P. Relationship of menthol cigarette smoking with COPD,​ comorbidities,​ and CT metrics. American Journal of Respiratory and Critical Care Medicine; 2015;191:</w:t>
            </w:r>
            <w:r w:rsidRPr="005762E6">
              <w:rPr>
                <w:sz w:val="20"/>
                <w:szCs w:val="20"/>
              </w:rPr>
              <w:br/>
            </w:r>
            <w:r w:rsidRPr="005762E6">
              <w:rPr>
                <w:sz w:val="20"/>
                <w:szCs w:val="20"/>
              </w:rPr>
              <w:br/>
            </w:r>
            <w:r w:rsidRPr="005762E6">
              <w:rPr>
                <w:b/>
                <w:bCs/>
                <w:sz w:val="20"/>
                <w:szCs w:val="20"/>
              </w:rPr>
              <w:t>Keywords:</w:t>
            </w:r>
            <w:r w:rsidRPr="005762E6">
              <w:rPr>
                <w:sz w:val="20"/>
                <w:szCs w:val="20"/>
              </w:rPr>
              <w:br/>
              <w:t>*smoking,​*American,​*society,​chronic obstructive lung disease,​risk,​lung function,​congestive heart failure,​coronary artery disease,​peripheral vascular disease,​cerebrovascular disease,​hypertension,​flavor,​sensation,​confidence interval,​regression analysis,​female,​gender,​African American,​follow up,​osteoporosis,​diabetes mellitus,​parameters,​cooling,​*menthol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Rationale: Menthol cigarettes contain higher levels of menthol to produce a characteristic mint flavor and cooling sensation. Compared to non-menthol cigarettes,​ little information on the effects of menthol cigarette smoking on clinical and radiologic characteristics of chronic obstructive pulmonary disease (COPD). The main objective of the present study was to examine associations between menthol use and the risk of COPD and its characteristics such as exacerbation,​ comorbidities,​ and CT abnormalities. Methods: We analyzed the data from 5,​699 current smokers in the COPDGene cohort to evaluate whether lung function,​ comorbidities,​ exacerbations,​ and CT parameters would be different between menthol and non-menthol cigarette smokers. Results: 3,​758 (65.9%) reported use of menthol cigarettes. Multivariable regression analysis revealed that younger age,​ female gender,​ and African-American were significantly associated with smoking of menthol cigarettes. No significant associations were found between menthol cigarette use and COPD,​ major CT findings,​ or comorbidities such as coronary artery disease,​ congestive heart failure,​ peripheral vascular disease,​ cerebrovascular disease,​ hypertension,​ diabetes,​ gastroesophageal reflux,​ and osteoporosis; however,​ menthol smokers were more likely to experience a severe exacerbation of COPD during longitudinal follow-up (odds ratio 1.29: 95% confidence interval,​ 1.01-1.54) compared to the non-menthol smokers. Conclusions: These results confirm that menthol cigarettes are not safer than traditional cigarettes and suggest that menthol cigarette smokers may have more frequent severe exacerbations than non-menthol smokers.</w:t>
            </w:r>
          </w:p>
        </w:tc>
      </w:tr>
      <w:tr w:rsidR="007F0AE0" w:rsidRPr="005762E6" w14:paraId="24AFF4A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E4786B" w14:textId="77777777" w:rsidR="007F0AE0" w:rsidRPr="005762E6" w:rsidRDefault="007F0AE0" w:rsidP="00453DE3">
            <w:pPr>
              <w:spacing w:after="120" w:line="240" w:lineRule="auto"/>
              <w:contextualSpacing/>
              <w:rPr>
                <w:sz w:val="20"/>
                <w:szCs w:val="20"/>
              </w:rPr>
            </w:pPr>
            <w:r w:rsidRPr="005762E6">
              <w:rPr>
                <w:sz w:val="20"/>
                <w:szCs w:val="20"/>
              </w:rPr>
              <w:t>94</w:t>
            </w:r>
          </w:p>
        </w:tc>
        <w:tc>
          <w:tcPr>
            <w:tcW w:w="0" w:type="auto"/>
            <w:tcBorders>
              <w:top w:val="single" w:sz="6" w:space="0" w:color="auto"/>
              <w:left w:val="single" w:sz="6" w:space="0" w:color="auto"/>
              <w:bottom w:val="single" w:sz="6" w:space="0" w:color="auto"/>
              <w:right w:val="single" w:sz="6" w:space="0" w:color="auto"/>
            </w:tcBorders>
          </w:tcPr>
          <w:p w14:paraId="2DEC7A1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156AD2" w14:textId="77777777" w:rsidR="007F0AE0" w:rsidRPr="005762E6" w:rsidRDefault="007F0AE0" w:rsidP="00453DE3">
            <w:pPr>
              <w:spacing w:after="120" w:line="240" w:lineRule="auto"/>
              <w:contextualSpacing/>
              <w:rPr>
                <w:sz w:val="20"/>
                <w:szCs w:val="20"/>
              </w:rPr>
            </w:pPr>
            <w:r w:rsidRPr="005762E6">
              <w:rPr>
                <w:sz w:val="20"/>
                <w:szCs w:val="20"/>
              </w:rPr>
              <w:t>Pratt-Chapman M.,​Hatcher E.,​Brooks J.,​Davies M. Tailoring tobacco cessation interventions for special populations served by federally qualified health centers. Psycho-Oncology; 2015;24:50.</w:t>
            </w:r>
            <w:r w:rsidRPr="005762E6">
              <w:rPr>
                <w:sz w:val="20"/>
                <w:szCs w:val="20"/>
              </w:rPr>
              <w:br/>
            </w:r>
            <w:r w:rsidRPr="005762E6">
              <w:rPr>
                <w:sz w:val="20"/>
                <w:szCs w:val="20"/>
              </w:rPr>
              <w:br/>
            </w:r>
            <w:r w:rsidRPr="005762E6">
              <w:rPr>
                <w:b/>
                <w:bCs/>
                <w:sz w:val="20"/>
                <w:szCs w:val="20"/>
              </w:rPr>
              <w:t>Keywords:</w:t>
            </w:r>
            <w:r w:rsidRPr="005762E6">
              <w:rPr>
                <w:sz w:val="20"/>
                <w:szCs w:val="20"/>
              </w:rPr>
              <w:br/>
              <w:t>*population,​*health center,​*oncology,​*tobacco,​human,​smoking,​African American,​feedback system,​information processing,​Human immunodeficiency virus,​counseling,​self-help,​Health Belief Model,​smoke,​community,​hygiene,​</w:t>
            </w:r>
            <w:r w:rsidRPr="005762E6">
              <w:rPr>
                <w:sz w:val="20"/>
                <w:szCs w:val="20"/>
              </w:rPr>
              <w:lastRenderedPageBreak/>
              <w:t>hypothesis,​money,​policy,​hospital,​parent,​lung,​American,​menthol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BACKGROUND/PURPOSE: This evaluation was designed to assist a federally qualified health center (FQHC) translate evidence into practice improvements for tobacco cessation due to limited class retention and sustained quit attempts. METHODS: Methods included a review of existing evidence and a focus group with HIV+,​ LGBT-Q,​ homeless and African American individuals who participated in the American Lung Association Freedom from Smoking intervention. A focus group guide was crafted from themes in the literature using the Health Belief Model. Data were transcribed and analyzed deductively using NVivo 10. Parent nodes were benefits of changing,​ cost of smoking,​ cues to action,​ efficacy to quit,​ impact of no smoking policies,​ reasons to smoke,​ resources used to quit and feedback to improve intervention. RESULTS: Population-specific recommendations included need to (1) advocate for tobacco cessation to reduce HIV symptoms,​ (2) address smoking in bars and incorporate culturally specific content for LGBT-Q clients,​ (3) engage homeless clients in person,​ (4) address the additive effect of menthol for African American smokers and (5) combine self-help,​ counseling and pharmacotherapies to increase effectiveness of quit attempts. Focus group findings supported the literature and conveyed rich feedback on additional cues to action for special populations,​ including improved hygiene,​ money saved and a sense of accomplishment. Most participants indicated they had not heard of the tobacco cessation quit line. CONCLUSIONS: This evaluation supports findings in existing literature on special needs of these target populations and yields additional data regarding cues to action,​ reasons for unsuccessful quit attempts and retention. Feedback from FQHC clients was critical to the evaluation. Research Implications: Next steps involve conducting matrix analyses across two additional cohorts. While not generalizable,​ these data will add to the evidence base for tobacco cessation interventions for HIV+,​ LGBT-Q,​ homeless and African American populations-currently sparse in the literature. This evaluation provides rich data for hypothesis generation. Practice Implications: Given insufficient data in randomized control trials for tobacco cessation approaches that benefit HIV+,​ LGBT-Q,​ homeless and African American smokers,​ this evaluation provides important data to directly inform practice change in community clinics serving these populations.</w:t>
            </w:r>
          </w:p>
        </w:tc>
      </w:tr>
      <w:tr w:rsidR="007F0AE0" w:rsidRPr="005762E6" w14:paraId="3B86E2C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494F89" w14:textId="77777777" w:rsidR="007F0AE0" w:rsidRPr="005762E6" w:rsidRDefault="007F0AE0" w:rsidP="00453DE3">
            <w:pPr>
              <w:spacing w:after="120" w:line="240" w:lineRule="auto"/>
              <w:contextualSpacing/>
              <w:rPr>
                <w:sz w:val="20"/>
                <w:szCs w:val="20"/>
              </w:rPr>
            </w:pPr>
            <w:r w:rsidRPr="005762E6">
              <w:rPr>
                <w:sz w:val="20"/>
                <w:szCs w:val="20"/>
              </w:rPr>
              <w:lastRenderedPageBreak/>
              <w:t>95</w:t>
            </w:r>
          </w:p>
        </w:tc>
        <w:tc>
          <w:tcPr>
            <w:tcW w:w="0" w:type="auto"/>
            <w:tcBorders>
              <w:top w:val="single" w:sz="6" w:space="0" w:color="auto"/>
              <w:left w:val="single" w:sz="6" w:space="0" w:color="auto"/>
              <w:bottom w:val="single" w:sz="6" w:space="0" w:color="auto"/>
              <w:right w:val="single" w:sz="6" w:space="0" w:color="auto"/>
            </w:tcBorders>
          </w:tcPr>
          <w:p w14:paraId="507CFC5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5E9203E" w14:textId="77777777" w:rsidR="007F0AE0" w:rsidRPr="005762E6" w:rsidRDefault="007F0AE0" w:rsidP="00453DE3">
            <w:pPr>
              <w:spacing w:after="120" w:line="240" w:lineRule="auto"/>
              <w:contextualSpacing/>
              <w:rPr>
                <w:sz w:val="20"/>
                <w:szCs w:val="20"/>
              </w:rPr>
            </w:pPr>
            <w:r w:rsidRPr="005762E6">
              <w:rPr>
                <w:sz w:val="20"/>
                <w:szCs w:val="20"/>
              </w:rPr>
              <w:t>Paschke M.,​Hutzler C.,​Tkachenko A.,​Henkler F.,​Luch A. Effect of the menthol content of cigarettes on the cold-menthol receptor TRPM8. Naunyn-Schmiedeberg's Archives of Pharmacology; 2015;388:S78.</w:t>
            </w:r>
            <w:r w:rsidRPr="005762E6">
              <w:rPr>
                <w:sz w:val="20"/>
                <w:szCs w:val="20"/>
              </w:rPr>
              <w:br/>
            </w:r>
            <w:r w:rsidRPr="005762E6">
              <w:rPr>
                <w:sz w:val="20"/>
                <w:szCs w:val="20"/>
              </w:rPr>
              <w:br/>
            </w:r>
            <w:r w:rsidRPr="005762E6">
              <w:rPr>
                <w:b/>
                <w:bCs/>
                <w:sz w:val="20"/>
                <w:szCs w:val="20"/>
              </w:rPr>
              <w:t>Keywords:</w:t>
            </w:r>
            <w:r w:rsidRPr="005762E6">
              <w:rPr>
                <w:sz w:val="20"/>
                <w:szCs w:val="20"/>
              </w:rPr>
              <w:br/>
              <w:t>*smoking,​agonist,​fluorescence,​human,​inhalation,​solid phase microextraction,​European,​respiratory system,​sensation,​gas,​standard,​cardiac resynchronization therapy device,​plasmid,​tobacco,​cooling,​digestion,​receptor potential,​bioassay,​immunohistochemistry,​analytic method,​calcium transport,​fluorescence microscopy,​spectrometry,​flavor,​*menthol,​*receptor,​tobacco smoke,​nicotine,​calcium,​linalool,​flavoring agent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For cigarettes,​ more than 600 ingredients are used in manufacturing processes. Menthol is a widely used additive in cigarettes to modify the flavour,​ but it has also physiological properties that might promote the inhalation of tobacco smoke. Menthol is a well-known agonist of the cold-menthol receptor "transient receptor potential melastatin 8" (TRPM8) resulting in a cooling sensation in the respiratory tract during smoking of mentholated cigarettes. Thus,​ mentholated cigarettes are suspected to increase the depth of inhalation and concurrent nicotine uptake. With the revision of the European Tobacco Products Directive (2014/40/EU) mentholated cigarettes will be prohibited. However,​ the TRPM8 can also be activated by other agonists,​ e.g. by the frequently used flavoring agent linalool. Product control will therefore require analytical methods to define and subsequently detect agonists of TRPM8. According to this background a bioassay was developed to characterize the effect of menthol and other agonists on TRPM8 in HEK293 cells using fluo-4 AM as calcium indicator. Human TRPM8 was inserted into pcDNA3 and controlled digestion of the generated plasmid was performed thereby confirming the expected sequence. The expression of TRPM8 in HEK293 cells was shown by immunohistochemistry. The increase of fluorescence in transfected HEK293 cells triggered by menthol-mediated calcium influx,​ was visualized via confocal fluorescence microscopy and quantified for single cells. An increase in fluorescence through activation of TRPM8 was achieved with menthol at concentrations of 0.25 muM and higher. To quantify the menthol content in cigarettes a headspace-solid phase microextraction (HS-SPME) technique was developed and coupled to subsequent gas chromatography</w:t>
            </w:r>
            <w:r>
              <w:rPr>
                <w:sz w:val="20"/>
                <w:szCs w:val="20"/>
              </w:rPr>
              <w:t xml:space="preserve"> </w:t>
            </w:r>
            <w:r w:rsidRPr="005762E6">
              <w:rPr>
                <w:sz w:val="20"/>
                <w:szCs w:val="20"/>
              </w:rPr>
              <w:t>mass spectrometry (GC/MS). A standard addition method using isomenthol as internal standard was applied.</w:t>
            </w:r>
          </w:p>
        </w:tc>
      </w:tr>
      <w:tr w:rsidR="007F0AE0" w:rsidRPr="005762E6" w14:paraId="6791996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B700F3" w14:textId="77777777" w:rsidR="007F0AE0" w:rsidRPr="005762E6" w:rsidRDefault="007F0AE0" w:rsidP="00453DE3">
            <w:pPr>
              <w:spacing w:after="120" w:line="240" w:lineRule="auto"/>
              <w:contextualSpacing/>
              <w:rPr>
                <w:sz w:val="20"/>
                <w:szCs w:val="20"/>
              </w:rPr>
            </w:pPr>
            <w:r w:rsidRPr="005762E6">
              <w:rPr>
                <w:sz w:val="20"/>
                <w:szCs w:val="20"/>
              </w:rPr>
              <w:t>101</w:t>
            </w:r>
          </w:p>
        </w:tc>
        <w:tc>
          <w:tcPr>
            <w:tcW w:w="0" w:type="auto"/>
            <w:tcBorders>
              <w:top w:val="single" w:sz="6" w:space="0" w:color="auto"/>
              <w:left w:val="single" w:sz="6" w:space="0" w:color="auto"/>
              <w:bottom w:val="single" w:sz="6" w:space="0" w:color="auto"/>
              <w:right w:val="single" w:sz="6" w:space="0" w:color="auto"/>
            </w:tcBorders>
          </w:tcPr>
          <w:p w14:paraId="47AC528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8E5EBBE" w14:textId="77777777" w:rsidR="007F0AE0" w:rsidRPr="005762E6" w:rsidRDefault="007F0AE0" w:rsidP="00453DE3">
            <w:pPr>
              <w:spacing w:after="120" w:line="240" w:lineRule="auto"/>
              <w:contextualSpacing/>
              <w:rPr>
                <w:sz w:val="20"/>
                <w:szCs w:val="20"/>
              </w:rPr>
            </w:pPr>
            <w:r w:rsidRPr="005762E6">
              <w:rPr>
                <w:sz w:val="20"/>
                <w:szCs w:val="20"/>
              </w:rPr>
              <w:t>Cunningham R. Prohibitions/restrictions on flavoured tobacco products: Updated overview of international developments. Asia-Pacific Journal of Clinical Oncology; 2014;10:182.</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*neoplasm,​*tobacco,​flavor,​smoking,​government,​United States,​tobacco industry,​tube,​law,​Canadian,​Vanilla,​cherry,​cacao,​Germany,​European Union,​smoke,​politics,​herb,​Glycyrrhiza,​palatability,​spice,​tobacco use,​juvenile,​Brazil,​food and drug administration,​world health organization,​menthol,​water,​tobacco smoke,​sweetening agent,​sugar</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and Context: The tobacco industry has increasingly been using flavours to make tobacco products more attractive. Flavours such as chocolate,​ sugar,​ licorice,​ cherry,​ vanilla,​ as well as other sweeteners,​ spices and herbs have been used,​ including menthol. Flavours make it easier to smoke,​ can encourage youth initiation,​ and can discourage cessation. Flavoured products may also be perceived as less harmful. For water pipe tobacco,​ the extensive use of flavours has contributed to increased water pipe smoking in many countries. International guidelines under the WHO Framework Convention on Tobacco Control recommend that governments "should regulate,​ by prohibiting or restricting,​ ingredients that may be used to increase palatability in tobacco products." The guidelines recognize that "masking tobacco smoke harshness with flavours contributes to promoting and sustaining tobacco use." Aim: This presentation will provide an updated overview of international developments related to prohibitions/restrictions on flavoured tobacco products. Strategy/Tactics: In recent years,​ a growing number of countries/ jurisdictions have adopted legislation to curb flavours. Programme/Policy Process: In April 2014,​ despite strong tobacco industry lobbying,​ the European Union adopted a new Directive that will ban menthol cigarettes in all 28 EU countries. Germany previously banned menthol capsules. The US has prohibited "characterizing" flavours in cigarettes and roll-your own tobacco (menthol excepted). In 2013,​ the US FDA has announced that it intends to regulate menthol. New York City and Providence (Rhode Island) have banned almost all characterizing flavours (menthol excepted) in all tobacco products. Canadian national legislation prohibits all flavours (except menthol) in cigarettes,​ little cigars and blunt wraps. In 2013-2014,​ some Canadian provinces adopted laws applying to other tobacco products. In Brazil,​ a national regulation bans flavours (including menthol) in all tobacco products,​ but this has not yet been implemented. Outcomes/What was learned: Governments should ban flavours in all tobacco products,​ continuing the international trend.</w:t>
            </w:r>
          </w:p>
        </w:tc>
      </w:tr>
      <w:tr w:rsidR="007F0AE0" w:rsidRPr="005762E6" w14:paraId="3E242CD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B8271E" w14:textId="77777777" w:rsidR="007F0AE0" w:rsidRPr="005762E6" w:rsidRDefault="007F0AE0" w:rsidP="00453DE3">
            <w:pPr>
              <w:spacing w:after="120" w:line="240" w:lineRule="auto"/>
              <w:contextualSpacing/>
              <w:rPr>
                <w:sz w:val="20"/>
                <w:szCs w:val="20"/>
              </w:rPr>
            </w:pPr>
            <w:r w:rsidRPr="005762E6">
              <w:rPr>
                <w:sz w:val="20"/>
                <w:szCs w:val="20"/>
              </w:rPr>
              <w:lastRenderedPageBreak/>
              <w:t>110</w:t>
            </w:r>
          </w:p>
        </w:tc>
        <w:tc>
          <w:tcPr>
            <w:tcW w:w="0" w:type="auto"/>
            <w:tcBorders>
              <w:top w:val="single" w:sz="6" w:space="0" w:color="auto"/>
              <w:left w:val="single" w:sz="6" w:space="0" w:color="auto"/>
              <w:bottom w:val="single" w:sz="6" w:space="0" w:color="auto"/>
              <w:right w:val="single" w:sz="6" w:space="0" w:color="auto"/>
            </w:tcBorders>
          </w:tcPr>
          <w:p w14:paraId="4EC1840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0F33AD0" w14:textId="77777777" w:rsidR="007F0AE0" w:rsidRPr="005762E6" w:rsidRDefault="007F0AE0" w:rsidP="00453DE3">
            <w:pPr>
              <w:spacing w:after="120" w:line="240" w:lineRule="auto"/>
              <w:contextualSpacing/>
              <w:rPr>
                <w:sz w:val="20"/>
                <w:szCs w:val="20"/>
              </w:rPr>
            </w:pPr>
            <w:r w:rsidRPr="005762E6">
              <w:rPr>
                <w:sz w:val="20"/>
                <w:szCs w:val="20"/>
              </w:rPr>
              <w:t>Schneider M.E. ASCO issues to-do list on initiatives for tobacco control. Oncology Report; 2013;:15.</w:t>
            </w:r>
            <w:r w:rsidRPr="005762E6">
              <w:rPr>
                <w:sz w:val="20"/>
                <w:szCs w:val="20"/>
              </w:rPr>
              <w:br/>
            </w:r>
            <w:r w:rsidRPr="005762E6">
              <w:rPr>
                <w:sz w:val="20"/>
                <w:szCs w:val="20"/>
              </w:rPr>
              <w:br/>
            </w:r>
            <w:r w:rsidRPr="005762E6">
              <w:rPr>
                <w:b/>
                <w:bCs/>
                <w:sz w:val="20"/>
                <w:szCs w:val="20"/>
              </w:rPr>
              <w:t>Keywords:</w:t>
            </w:r>
            <w:r w:rsidRPr="005762E6">
              <w:rPr>
                <w:sz w:val="20"/>
                <w:szCs w:val="20"/>
              </w:rPr>
              <w:br/>
              <w:t>health care organization,​health care policy,​health care survey,​human,​medical education,​medical fee,​note,​oncologist,​patient compliance,​physician,​*practice guideline,​smoking,​*smoking cessation,​menthol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492C69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D8B72E" w14:textId="77777777" w:rsidR="007F0AE0" w:rsidRPr="005762E6" w:rsidRDefault="007F0AE0" w:rsidP="00453DE3">
            <w:pPr>
              <w:spacing w:after="120" w:line="240" w:lineRule="auto"/>
              <w:contextualSpacing/>
              <w:rPr>
                <w:sz w:val="20"/>
                <w:szCs w:val="20"/>
              </w:rPr>
            </w:pPr>
            <w:r w:rsidRPr="005762E6">
              <w:rPr>
                <w:sz w:val="20"/>
                <w:szCs w:val="20"/>
              </w:rPr>
              <w:t>113</w:t>
            </w:r>
          </w:p>
        </w:tc>
        <w:tc>
          <w:tcPr>
            <w:tcW w:w="0" w:type="auto"/>
            <w:tcBorders>
              <w:top w:val="single" w:sz="6" w:space="0" w:color="auto"/>
              <w:left w:val="single" w:sz="6" w:space="0" w:color="auto"/>
              <w:bottom w:val="single" w:sz="6" w:space="0" w:color="auto"/>
              <w:right w:val="single" w:sz="6" w:space="0" w:color="auto"/>
            </w:tcBorders>
          </w:tcPr>
          <w:p w14:paraId="70F8245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A972C7E" w14:textId="77777777" w:rsidR="007F0AE0" w:rsidRPr="005762E6" w:rsidRDefault="007F0AE0" w:rsidP="00453DE3">
            <w:pPr>
              <w:spacing w:after="120" w:line="240" w:lineRule="auto"/>
              <w:contextualSpacing/>
              <w:rPr>
                <w:sz w:val="20"/>
                <w:szCs w:val="20"/>
              </w:rPr>
            </w:pPr>
            <w:r w:rsidRPr="005762E6">
              <w:rPr>
                <w:sz w:val="20"/>
                <w:szCs w:val="20"/>
              </w:rPr>
              <w:t>Alabi T. Menthol cigarette use among African Americans. Drug Topics; 2013;:4.</w:t>
            </w:r>
            <w:r w:rsidRPr="005762E6">
              <w:rPr>
                <w:sz w:val="20"/>
                <w:szCs w:val="20"/>
              </w:rPr>
              <w:br/>
            </w:r>
            <w:r w:rsidRPr="005762E6">
              <w:rPr>
                <w:sz w:val="20"/>
                <w:szCs w:val="20"/>
              </w:rPr>
              <w:br/>
            </w:r>
            <w:r w:rsidRPr="005762E6">
              <w:rPr>
                <w:b/>
                <w:bCs/>
                <w:sz w:val="20"/>
                <w:szCs w:val="20"/>
              </w:rPr>
              <w:t>Keywords:</w:t>
            </w:r>
            <w:r w:rsidRPr="005762E6">
              <w:rPr>
                <w:sz w:val="20"/>
                <w:szCs w:val="20"/>
              </w:rPr>
              <w:br/>
              <w:t>adolescent smoking,​advertising,​*African American,​health hazard,​health promotion,​high school student,​human,​marketing,​note,​*smoking,​smoking ban,​tobacco industry,​*menthol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F10F2E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D9B9EA" w14:textId="77777777" w:rsidR="007F0AE0" w:rsidRPr="005762E6" w:rsidRDefault="007F0AE0" w:rsidP="00453DE3">
            <w:pPr>
              <w:spacing w:after="120" w:line="240" w:lineRule="auto"/>
              <w:contextualSpacing/>
              <w:rPr>
                <w:sz w:val="20"/>
                <w:szCs w:val="20"/>
              </w:rPr>
            </w:pPr>
            <w:r w:rsidRPr="005762E6">
              <w:rPr>
                <w:sz w:val="20"/>
                <w:szCs w:val="20"/>
              </w:rPr>
              <w:t>114</w:t>
            </w:r>
          </w:p>
        </w:tc>
        <w:tc>
          <w:tcPr>
            <w:tcW w:w="0" w:type="auto"/>
            <w:tcBorders>
              <w:top w:val="single" w:sz="6" w:space="0" w:color="auto"/>
              <w:left w:val="single" w:sz="6" w:space="0" w:color="auto"/>
              <w:bottom w:val="single" w:sz="6" w:space="0" w:color="auto"/>
              <w:right w:val="single" w:sz="6" w:space="0" w:color="auto"/>
            </w:tcBorders>
          </w:tcPr>
          <w:p w14:paraId="04BE3A2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0C98C1D" w14:textId="77777777" w:rsidR="007F0AE0" w:rsidRPr="005762E6" w:rsidRDefault="007F0AE0" w:rsidP="00453DE3">
            <w:pPr>
              <w:spacing w:after="120" w:line="240" w:lineRule="auto"/>
              <w:contextualSpacing/>
              <w:rPr>
                <w:sz w:val="20"/>
                <w:szCs w:val="20"/>
              </w:rPr>
            </w:pPr>
            <w:r w:rsidRPr="005762E6">
              <w:rPr>
                <w:sz w:val="20"/>
                <w:szCs w:val="20"/>
              </w:rPr>
              <w:t>McKee M. European Union's tobacco products directive: Many questions remain about the influence of industry. BMJ (Online); 2013;347:f6196.</w:t>
            </w:r>
            <w:r w:rsidRPr="005762E6">
              <w:rPr>
                <w:sz w:val="20"/>
                <w:szCs w:val="20"/>
              </w:rPr>
              <w:br/>
            </w:r>
            <w:r w:rsidRPr="005762E6">
              <w:rPr>
                <w:sz w:val="20"/>
                <w:szCs w:val="20"/>
              </w:rPr>
              <w:br/>
            </w:r>
            <w:r w:rsidRPr="005762E6">
              <w:rPr>
                <w:b/>
                <w:bCs/>
                <w:sz w:val="20"/>
                <w:szCs w:val="20"/>
              </w:rPr>
              <w:t>Keywords:</w:t>
            </w:r>
            <w:r w:rsidRPr="005762E6">
              <w:rPr>
                <w:sz w:val="20"/>
                <w:szCs w:val="20"/>
              </w:rPr>
              <w:br/>
              <w:t>chemical composition,​chemical parameters,​*drug legislation,​editorial,​*European Union,​*government regulation,​health care policy,​information dissemination,​marketing,​packaging,​priority journal,​public health service,​smoking,​smoking cessation,​standardization,​*tobacco,​tobacco industry,​menthol,​nicotine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574EA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425A02" w14:textId="77777777" w:rsidR="007F0AE0" w:rsidRPr="005762E6" w:rsidRDefault="007F0AE0" w:rsidP="00453DE3">
            <w:pPr>
              <w:spacing w:after="120" w:line="240" w:lineRule="auto"/>
              <w:contextualSpacing/>
              <w:rPr>
                <w:sz w:val="20"/>
                <w:szCs w:val="20"/>
              </w:rPr>
            </w:pPr>
            <w:r w:rsidRPr="005762E6">
              <w:rPr>
                <w:sz w:val="20"/>
                <w:szCs w:val="20"/>
              </w:rPr>
              <w:t>121</w:t>
            </w:r>
          </w:p>
        </w:tc>
        <w:tc>
          <w:tcPr>
            <w:tcW w:w="0" w:type="auto"/>
            <w:tcBorders>
              <w:top w:val="single" w:sz="6" w:space="0" w:color="auto"/>
              <w:left w:val="single" w:sz="6" w:space="0" w:color="auto"/>
              <w:bottom w:val="single" w:sz="6" w:space="0" w:color="auto"/>
              <w:right w:val="single" w:sz="6" w:space="0" w:color="auto"/>
            </w:tcBorders>
          </w:tcPr>
          <w:p w14:paraId="5483E86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376890F" w14:textId="77777777" w:rsidR="007F0AE0" w:rsidRPr="005762E6" w:rsidRDefault="007F0AE0" w:rsidP="00453DE3">
            <w:pPr>
              <w:spacing w:after="120" w:line="240" w:lineRule="auto"/>
              <w:contextualSpacing/>
              <w:rPr>
                <w:sz w:val="20"/>
                <w:szCs w:val="20"/>
              </w:rPr>
            </w:pPr>
            <w:r w:rsidRPr="005762E6">
              <w:rPr>
                <w:sz w:val="20"/>
                <w:szCs w:val="20"/>
              </w:rPr>
              <w:t>Sarkar M.,​Wang J.,​Liang Q. Metabolism of nicotine and 4-(methylnitrosamino)-l-(3-pyridyl)-l-butanone (NNK) in Menthol and Non-menthol Cigarette Smokers. Drug Metabolism Letters; 2012;6:198.</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adult,​African American,​age distribution,​alcoholic beverage,​article,​Caucasian,​*drug metabolism,​female,​human,​liver function,​major clinical study,​male,​multicenter study,​observational study,​priority journal,​race difference,​*smoking,​statistical significance,​urinary excretion,​*3' hydroxycotinine,​*4 (methylnitrosamino) 1 (3 pyridyl) 1 butanone,​*cotinine,​glucuronide,​*menthol,​*nicotine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Purpose: Menthol in cigarettes has been suggested to inhibit metabolism of nicotine and 4-(methylnitrosamino)-1-(3-pyridyl)-1-butanone (NNK). The objective of this study was to investigate the glucuronide metabolite ratios (MR) for nicotine (NICGLUC/NIC),​ cotinine (COTGLUC/COT),​ trans 3'-hydroxy cotinine (3OHCOTGLUC/3OHCOT). 4-methylnitrosamino-1-(3-pyridyl)-1-butanol (NNAL - NNALGLUC/NNAL); and the ratio of trans 3'-hydroxy cotinine to cotinine (3OHCOT/COT) between adult menthol and non-menthol smokers (AS). Methods: The data was collected from the Total Exposure Study (TES),​ a stratified,​ multi-center,​ cross-sectional study that included 3,​ 585 AS and 1,​ 077 non-smokers. Daily urinary excretion of nicotine and five metabolites,​ NNAL and NNAL glucuronides,​ and serum cotinine were measured in the AS. The analysis included 1044 menthol (448 African-Americans,​ AA) and 2297 non-menthol (161 AA) AS. Results: Smoking mentholated cigarettes did not decrease any of the MR. Race was the most important significant main effect for all the MRs. AAs exhibited statistically significantly lower NICGLUC/NIC,​ COTGLUC/COT,​ NNALGLUC/ NNAL and 3OHCOT/COT,​ but higher 3OHCOTGLUC/3OHCOT compared to Whites. Age,​ liver function,​ alcoholic beverages,​ etc.,​ were some of the other significant effects for some MRs. Menthol was not a statistically significant effect,​ e.g. the adjusted mean NNALGLUC/NNAL between menthol and non-menthol AS was 2.93 vs. 2.80 (p&gt;0.05,​ AA) and 3.38 vs. 3.35 (p&gt;0.05,​ Whites). The models only explained 2.6-12.6% of the MR variability. Number of cigarettes was the most important factor affecting serum cotinine levels. Conclusions: Menthol does not inhibit the metabolism of nicotine or NNK. The daily exposure of related constituents is primarily influenced by number of cigarettes smoked per day. © 2012 Bentham Science Publishers.</w:t>
            </w:r>
          </w:p>
        </w:tc>
      </w:tr>
      <w:tr w:rsidR="007F0AE0" w:rsidRPr="005762E6" w14:paraId="0E186A8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5AD938" w14:textId="77777777" w:rsidR="007F0AE0" w:rsidRPr="005762E6" w:rsidRDefault="007F0AE0" w:rsidP="00453DE3">
            <w:pPr>
              <w:spacing w:after="120" w:line="240" w:lineRule="auto"/>
              <w:contextualSpacing/>
              <w:rPr>
                <w:sz w:val="20"/>
                <w:szCs w:val="20"/>
              </w:rPr>
            </w:pPr>
            <w:r w:rsidRPr="005762E6">
              <w:rPr>
                <w:sz w:val="20"/>
                <w:szCs w:val="20"/>
              </w:rPr>
              <w:lastRenderedPageBreak/>
              <w:t>122</w:t>
            </w:r>
          </w:p>
        </w:tc>
        <w:tc>
          <w:tcPr>
            <w:tcW w:w="0" w:type="auto"/>
            <w:tcBorders>
              <w:top w:val="single" w:sz="6" w:space="0" w:color="auto"/>
              <w:left w:val="single" w:sz="6" w:space="0" w:color="auto"/>
              <w:bottom w:val="single" w:sz="6" w:space="0" w:color="auto"/>
              <w:right w:val="single" w:sz="6" w:space="0" w:color="auto"/>
            </w:tcBorders>
          </w:tcPr>
          <w:p w14:paraId="154BF6F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E4D1481" w14:textId="77777777" w:rsidR="007F0AE0" w:rsidRPr="005762E6" w:rsidRDefault="007F0AE0" w:rsidP="00453DE3">
            <w:pPr>
              <w:spacing w:after="120" w:line="240" w:lineRule="auto"/>
              <w:contextualSpacing/>
              <w:rPr>
                <w:sz w:val="20"/>
                <w:szCs w:val="20"/>
              </w:rPr>
            </w:pPr>
            <w:r w:rsidRPr="005762E6">
              <w:rPr>
                <w:sz w:val="20"/>
                <w:szCs w:val="20"/>
              </w:rPr>
              <w:t>King A.,​Zhang L.,​Roche D.,​Cao D.,​Tyndale R. Nicotine metabolism: Sex differences in African-American and Caucasian smokers. Neuropsychopharmacology; 2012;38:S419.</w:t>
            </w:r>
            <w:r w:rsidRPr="005762E6">
              <w:rPr>
                <w:sz w:val="20"/>
                <w:szCs w:val="20"/>
              </w:rPr>
              <w:br/>
            </w:r>
            <w:r w:rsidRPr="005762E6">
              <w:rPr>
                <w:sz w:val="20"/>
                <w:szCs w:val="20"/>
              </w:rPr>
              <w:br/>
            </w:r>
            <w:r w:rsidRPr="005762E6">
              <w:rPr>
                <w:b/>
                <w:bCs/>
                <w:sz w:val="20"/>
                <w:szCs w:val="20"/>
              </w:rPr>
              <w:t>Keywords:</w:t>
            </w:r>
            <w:r w:rsidRPr="005762E6">
              <w:rPr>
                <w:sz w:val="20"/>
                <w:szCs w:val="20"/>
              </w:rPr>
              <w:br/>
              <w:t>*metabolism,​*African American,​*sex difference,​*smoking,​*Caucasian,​*psychopharmacology,​*college,​human,​female,​male,​smoking cessation,​ethnicity,​lung cancer,​biotransformation,​exposure,​pharmacokinetics,​extraction,​health,​tobacco dependence,​university,​saliva,​metabolite,​*nicotine,​*cotinine,​*3' hydroxycotinine,​menthol,​liver enzyme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Nicotine undergoes rapid biotransformation by the genetically variable liver enzyme CYP2A6 into its main metabolite,​ cotinine (COT),​ which is further metabolized exclusively by CYP2A6 to 3-hydroxycotinine (3HC). The ratio of 3HC/COT is highly correlated with CYP2A6 activity and with the rate of nicotine metabolism. Genetic and environmental variation in the rates of CYP2A6-mediated nicotine metabolism importantly alter numerous smoking behaviors,​ as tested primarily in heavy smoking Caucasians,​ including level of smoking,​ duration of smoking,​ ability to stop smoking,​ and health outcomes such as lung cancer. Previous studies in light smoking African American (AA) or heavy smoking Caucasians (C) have shown that the rate of nicotine metabolism,​ proxied by 3HC/COT,​ contributes to differences in response to smoking cessation treatments. Level of smoking,​ ethnicity and sex can all alter the rate of nicotine metabolism. Therefore a direct comparison of AA and C,​ in males and females,​ using one recruitment strategy for smokers of similar intensity,​ has not been performed. Methods: This study directly compared levels of COT,​ 3HC,​ and their ratio among 254 treatment-seeking,​ heavy smoking AA and C enrolled in a smoking cessation trial. The AA (n=95,​ 58% women) and C (n=159,​ 51% women) smokers were enrolled concurrently in a cessation treatment trial and met the same inclusion eligibility,​ including smoking 12-40 cigarettes weekly for at least the past two years. During the week prior to the designated quit date they provided a saliva sample,​ assayed by LCMS at the University of Toronto labs. Results: The AA and C smokers did not differ on number of cigarettes smoked per day (AA: 17.8+/-6.0 SD; C: 18.5+/-5.6). As African Americans were older,​ had higher BMI,​ smoked menthol at higher rates (84 vs 25%),​ and had higher nicotine dependence scores than C (pso0.01),​ these were included as covariates in all analyses. There was a main effect of sex for 3HC (p&lt;.001) and the ratio of 3HC/COT ratio (p&lt;.001) with women having higher levels than men. There was also a race effect on the 3HC/COT ratio with C higher than AA (p&lt;.05). Race</w:t>
            </w:r>
            <w:r>
              <w:rPr>
                <w:sz w:val="20"/>
                <w:szCs w:val="20"/>
              </w:rPr>
              <w:t xml:space="preserve"> </w:t>
            </w:r>
            <w:r w:rsidRPr="005762E6">
              <w:rPr>
                <w:sz w:val="20"/>
                <w:szCs w:val="20"/>
              </w:rPr>
              <w:t>x</w:t>
            </w:r>
            <w:r>
              <w:rPr>
                <w:sz w:val="20"/>
                <w:szCs w:val="20"/>
              </w:rPr>
              <w:t xml:space="preserve"> </w:t>
            </w:r>
            <w:r w:rsidRPr="005762E6">
              <w:rPr>
                <w:sz w:val="20"/>
                <w:szCs w:val="20"/>
              </w:rPr>
              <w:t xml:space="preserve">sex interactions were observed for levels of COT (p=.02) and the sum of COT and 3HC (p=.03),​ with AA females having higher levels than all others (pso0.05). Consistent with what has been demonstrated in studies of these variables </w:t>
            </w:r>
            <w:r w:rsidRPr="005762E6">
              <w:rPr>
                <w:sz w:val="20"/>
                <w:szCs w:val="20"/>
              </w:rPr>
              <w:lastRenderedPageBreak/>
              <w:t>separately,​ and here examined directly,​ we found that: 1) women had higher 3HC/COT ratios than men,​ 2) C had higher ratios than AA,​ and 3) COT levels were higher among AA (particularly women) than C,​ despite similar smoking levels. Conclusions: The results provide support for differences in nicotine metabolism by race and sex in heavy smokers with faster metabolism in C and in women. Despite similar levels of reported smoking,​ COT levels were higher in AA,​ particularly AA women. This may be a combination of greater nicotine intake (as usually interpreted) and reduced CYP2A6 activity. COT is both formed and removed by CYP2A6,​ and due to differential extraction ratios,​ being slower (i.e.,​ in AA and/or men) will alter the second metabolic step (removal to 3HC) more than the first (formation from nicotine). This differential impact on COT's pharmacokinetics may lead to an accumulation of COT in those with slower CYP2A6 which may be reflective of differing rates of metabolism rather than differential nicotine intake. The difference in nicotine metabolism by race and sex,​ and the resulting effects on COT levels,​ may alter interpretation of epidemiological smoking exposure data (an overestimation of intake in AA and in males relative to C and to females for the same nicotine intake). Differential rates of nicotine metabolism may also alter levels of smoking and response to smoking cessation and thus may play a critical role in disease burden.</w:t>
            </w:r>
          </w:p>
        </w:tc>
      </w:tr>
      <w:tr w:rsidR="007F0AE0" w:rsidRPr="005762E6" w14:paraId="3322D0D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BA7339" w14:textId="77777777" w:rsidR="007F0AE0" w:rsidRPr="005762E6" w:rsidRDefault="007F0AE0" w:rsidP="00453DE3">
            <w:pPr>
              <w:spacing w:after="120" w:line="240" w:lineRule="auto"/>
              <w:contextualSpacing/>
              <w:rPr>
                <w:sz w:val="20"/>
                <w:szCs w:val="20"/>
              </w:rPr>
            </w:pPr>
            <w:r w:rsidRPr="005762E6">
              <w:rPr>
                <w:sz w:val="20"/>
                <w:szCs w:val="20"/>
              </w:rPr>
              <w:lastRenderedPageBreak/>
              <w:t>123</w:t>
            </w:r>
          </w:p>
        </w:tc>
        <w:tc>
          <w:tcPr>
            <w:tcW w:w="0" w:type="auto"/>
            <w:tcBorders>
              <w:top w:val="single" w:sz="6" w:space="0" w:color="auto"/>
              <w:left w:val="single" w:sz="6" w:space="0" w:color="auto"/>
              <w:bottom w:val="single" w:sz="6" w:space="0" w:color="auto"/>
              <w:right w:val="single" w:sz="6" w:space="0" w:color="auto"/>
            </w:tcBorders>
          </w:tcPr>
          <w:p w14:paraId="60E3352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7BCAE1" w14:textId="77777777" w:rsidR="007F0AE0" w:rsidRPr="005762E6" w:rsidRDefault="007F0AE0" w:rsidP="00453DE3">
            <w:pPr>
              <w:spacing w:after="120" w:line="240" w:lineRule="auto"/>
              <w:contextualSpacing/>
              <w:rPr>
                <w:sz w:val="20"/>
                <w:szCs w:val="20"/>
              </w:rPr>
            </w:pPr>
            <w:r w:rsidRPr="005762E6">
              <w:rPr>
                <w:sz w:val="20"/>
                <w:szCs w:val="20"/>
              </w:rPr>
              <w:t>Uhl G.,​Walther D.,​Behm F.,​Rose J. Trpa1 ''menthol preference'' haplotypes are associated with levels of trpa1 expression and smoking cessation success. Neuropsychopharmacology; 2012;38:S212.</w:t>
            </w:r>
            <w:r w:rsidRPr="005762E6">
              <w:rPr>
                <w:sz w:val="20"/>
                <w:szCs w:val="20"/>
              </w:rPr>
              <w:br/>
            </w:r>
            <w:r w:rsidRPr="005762E6">
              <w:rPr>
                <w:sz w:val="20"/>
                <w:szCs w:val="20"/>
              </w:rPr>
              <w:br/>
            </w:r>
            <w:r w:rsidRPr="005762E6">
              <w:rPr>
                <w:b/>
                <w:bCs/>
                <w:sz w:val="20"/>
                <w:szCs w:val="20"/>
              </w:rPr>
              <w:t>Keywords:</w:t>
            </w:r>
            <w:r w:rsidRPr="005762E6">
              <w:rPr>
                <w:sz w:val="20"/>
                <w:szCs w:val="20"/>
              </w:rPr>
              <w:br/>
              <w:t>*smoking cessation,​*ethnic difference,​*college,​*haplotype,​*gene expression,​*psychopharmacology,​*genetics,​smoking,​allele,​human,​genotype,​European American,​species,​clinical trial,​risk,​clinical trial (topic),​abstinence,​gender,​African American,​gene linkage disequilibrium,​blood,​arm,​*menthol,​messenger RNA,​acrolein,​cigarette smoke,​DNA,​transient receptor potential channel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Among smokers,​ there are substantial individual differences in preference for mentholated brands of cigarettes and abilities to quit smoking. Menthol exerts complex species specific actions at transient receptor potential (TRP) channels that include the TRPA1 channel that is likely to mediate many menthol effects in pulmonary afferents. Animals with reduced TRPA1 expression display substantially-reduced responses to noxious cigarette smoke and its constituents (eg acrolein). We have recently reported association of a TRPA1 haplotype with menthol preference in each of two independent samples of European-American smokers (Uhl et al,​ 2011). This haplotype is defined by a missense SNP and 10 intronic SNPs whose minor alleles confer 4 1.3 odds ratio of menthol preference in heavier (4 15 cigarettes/day) smokers,​ and more modest influences in lighter smokers. We now report association of tis haplotype with levels of expression of TRPA1 and with ability to quit smoking in two clinical trial samples. Methods: Genotypes from smokers who participated in each of two smoking cessation clinical trials and maintained continuous biochemically-verified abstinence for at least 11 weeks beyond the targeted quit date were compared to those of individuals who were abstinent at neither 4 nor 11 weeks,​ but who were matched for European-American ancestry,​ gender,​ and arm of the study. Genotypes were performed using DNA extracted from blood using a mass spec/primer extension method. Allele specific expression was performed using RT PCR identification of allele-specific amplimers in mRNA extracted from 30 ventral medullary samples from heterozygous individuals. Results: mRNA from the major haplotype of TRPA1 was expressed at significantly higher levels than that expressed from the minor haplotype. Homozygous individuals thus differ by about 25% in TRPA1 expression. The TRPA1 menthol preference haplotype was present at significantly higher frequencies in successful quitters than in unsuccessful matched non-quitters. These differences were highly significant in the combined samples. Conclusions: These results improve our understanding of TRPA1 quit success haplotypes. They document influences on levels of expression. SNPs studied here are in strong linkage disequilibrium with other intronic and missense SNPs,​ including those that have recently been shown to influence TRPA1 regulation by cold (May et al,​ 2012) and other missense SNPs. The data provide links between individual difference,​ menthol preferences among smokers and ability to quit smoking that have both scientific and regulatory implications. Since menthol preference and frequencies of the ''menthol preference'' haplotypes are both higher in African Americans,​ extension of this work will be important to understand such links in individuals from this racial/ethnic background.</w:t>
            </w:r>
          </w:p>
        </w:tc>
      </w:tr>
      <w:tr w:rsidR="007F0AE0" w:rsidRPr="005762E6" w14:paraId="08D75B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B18272" w14:textId="77777777" w:rsidR="007F0AE0" w:rsidRPr="005762E6" w:rsidRDefault="007F0AE0" w:rsidP="00453DE3">
            <w:pPr>
              <w:spacing w:after="120" w:line="240" w:lineRule="auto"/>
              <w:contextualSpacing/>
              <w:rPr>
                <w:sz w:val="20"/>
                <w:szCs w:val="20"/>
              </w:rPr>
            </w:pPr>
            <w:r w:rsidRPr="005762E6">
              <w:rPr>
                <w:sz w:val="20"/>
                <w:szCs w:val="20"/>
              </w:rPr>
              <w:t>125</w:t>
            </w:r>
          </w:p>
        </w:tc>
        <w:tc>
          <w:tcPr>
            <w:tcW w:w="0" w:type="auto"/>
            <w:tcBorders>
              <w:top w:val="single" w:sz="6" w:space="0" w:color="auto"/>
              <w:left w:val="single" w:sz="6" w:space="0" w:color="auto"/>
              <w:bottom w:val="single" w:sz="6" w:space="0" w:color="auto"/>
              <w:right w:val="single" w:sz="6" w:space="0" w:color="auto"/>
            </w:tcBorders>
          </w:tcPr>
          <w:p w14:paraId="09E622D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D23F68" w14:textId="77777777" w:rsidR="007F0AE0" w:rsidRPr="005762E6" w:rsidRDefault="007F0AE0" w:rsidP="00453DE3">
            <w:pPr>
              <w:spacing w:after="120" w:line="240" w:lineRule="auto"/>
              <w:contextualSpacing/>
              <w:rPr>
                <w:sz w:val="20"/>
                <w:szCs w:val="20"/>
              </w:rPr>
            </w:pPr>
            <w:r w:rsidRPr="005762E6">
              <w:rPr>
                <w:sz w:val="20"/>
                <w:szCs w:val="20"/>
              </w:rPr>
              <w:t>Vozoris N.T. The association between mentholated cigarettes and cardiovascular and pulmonary diseases in the United States population. American Journal of Respiratory and Critical Care Medicine; 2012;185: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*smoking,​*lung disease,​*United States,​*population,​*American,​*society,​human,​cerebrovascular accident,​heart infarction,​hypertension,​public health,​congestive heart failure,​female,​examination,​chronic obstructive lung disease,​African American,​study design,​cross-sectional study,​health practitioner,​safety,​administrative personnel,​health status,​nutrition,​health,​North America,​menthol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Rationale: Although mentholated cigarettes have been marketed for nearly a century in North America,​ the potential adverse health effects of added menthol to cigarettes is largely unknown. The purpose of this study was to determine if cardiovascular and pulmonary diseases were increased in smokers of mentholated cigarettes compared to smokers of non-mentholated cigarettes. Methods: A multi-year cross-sectional study design was used. Current smokers ages 20+ years were identified from the large,​ nationally representative 2001-2008 United States National Health and Nutrition Examination Surveys (NHANES) (n=5,​028). Cigarette mentholation status was largely determined objectively by survey administrator examination of smokers' cigarette packages. Health professional diagnosed self-reported hypertension,​ myocardial infarction,​ congestive heart failure,​ stroke,​ and chronic obstructive pulmonary disease (COPD) made at any point up to the time of survey administration were examined. Results: Among the 5,​028 current smokers identified,​ 1,​286 individuals (25.6%) usually smoked mentholated cigarettes,​ and 3,​742 individuals (74.4%) usually smoked non-mentholated cigarettes. After adjusting for multiple sociodemographic,​ smoking behavior,​ and health status confounders,​ mentholated cigarette smokers were found to have significantly increased odds of stroke compared to non-mentholated cigarette smokers (OR 2.19,​ 95% CI 1.05-4.58),​ and this was particularly observed among women smokers (OR 3.54,​ 95% CI 1.60-7.84) and non-African American smokers (OR 3.02,​ 95% CI 1.24-7.34). After adjusting for confounders,​ there were no significant associations between mentholated cigarette smoking and hypertension,​ myocardial infarction,​ congestive heart failure,​ and COPD. Conclusions: The significantly increased odds of stroke among mentholated cigarette smokers compared to non-mentholated cigarette smokers in the United States population,​ and in particular among women and non-African American smokers,​ is a novel finding. Although potential causal links cannot be established in this study and further research is required to confirm the findings,​ the strong independent association between mentholated cigarette smoking and stroke raises very important public health safety concerns regarding mentholated cigarettes.</w:t>
            </w:r>
          </w:p>
        </w:tc>
      </w:tr>
      <w:tr w:rsidR="007F0AE0" w:rsidRPr="005762E6" w14:paraId="069E525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D6E06E" w14:textId="77777777" w:rsidR="007F0AE0" w:rsidRPr="005762E6" w:rsidRDefault="007F0AE0" w:rsidP="00453DE3">
            <w:pPr>
              <w:spacing w:after="120" w:line="240" w:lineRule="auto"/>
              <w:contextualSpacing/>
              <w:rPr>
                <w:sz w:val="20"/>
                <w:szCs w:val="20"/>
              </w:rPr>
            </w:pPr>
            <w:r w:rsidRPr="005762E6">
              <w:rPr>
                <w:sz w:val="20"/>
                <w:szCs w:val="20"/>
              </w:rPr>
              <w:lastRenderedPageBreak/>
              <w:t>128</w:t>
            </w:r>
          </w:p>
        </w:tc>
        <w:tc>
          <w:tcPr>
            <w:tcW w:w="0" w:type="auto"/>
            <w:tcBorders>
              <w:top w:val="single" w:sz="6" w:space="0" w:color="auto"/>
              <w:left w:val="single" w:sz="6" w:space="0" w:color="auto"/>
              <w:bottom w:val="single" w:sz="6" w:space="0" w:color="auto"/>
              <w:right w:val="single" w:sz="6" w:space="0" w:color="auto"/>
            </w:tcBorders>
          </w:tcPr>
          <w:p w14:paraId="766CCA0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68F683A" w14:textId="77777777" w:rsidR="007F0AE0" w:rsidRPr="005762E6" w:rsidRDefault="007F0AE0" w:rsidP="00453DE3">
            <w:pPr>
              <w:spacing w:after="120" w:line="240" w:lineRule="auto"/>
              <w:contextualSpacing/>
              <w:rPr>
                <w:sz w:val="20"/>
                <w:szCs w:val="20"/>
              </w:rPr>
            </w:pPr>
            <w:r w:rsidRPr="005762E6">
              <w:rPr>
                <w:sz w:val="20"/>
                <w:szCs w:val="20"/>
              </w:rPr>
              <w:t>Bethea T.N.,​Rosenberg L.,​Boggs D.A.,​Palmer J.R. Menthol cigarettes in relation to breast cancer incidence in African American women. Cancer Research; 2012;72:</w:t>
            </w:r>
            <w:r w:rsidRPr="005762E6">
              <w:rPr>
                <w:sz w:val="20"/>
                <w:szCs w:val="20"/>
              </w:rPr>
              <w:br/>
            </w:r>
            <w:r w:rsidRPr="005762E6">
              <w:rPr>
                <w:sz w:val="20"/>
                <w:szCs w:val="20"/>
              </w:rPr>
              <w:br/>
            </w:r>
            <w:r w:rsidRPr="005762E6">
              <w:rPr>
                <w:b/>
                <w:bCs/>
                <w:sz w:val="20"/>
                <w:szCs w:val="20"/>
              </w:rPr>
              <w:t>Keywords:</w:t>
            </w:r>
            <w:r w:rsidRPr="005762E6">
              <w:rPr>
                <w:sz w:val="20"/>
                <w:szCs w:val="20"/>
              </w:rPr>
              <w:br/>
              <w:t>*smoking,​*breast cancer,​*cancer incidence,​*African American,​*female,​*human,​*cancer research,​cancer risk,​follow up,​questionnaire,​health,​risk,​confidence interval,​passive smoking,​hazard ratio,​risk factor,​smoking cessation,​proportional hazards model,​advisory committee,​tobacco,​exposure,​*menthol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Tobacco Products Scientific Advisory Committee has found that smokers of menthol cigarettes have an earlier age at smoking initiation,​ less success in smoking cessation,​ and are more likely to be African American than smokers of non-menthol cigarettes. However,​ whether menthol cigarettes are associated with higher cancer risk relative to non-menthol cigarettes is unclear. Recent studies of smoking and breast cancer suggest that long-term smoking may associated with a small increase in risk,​ but no data are available on type of cigarette. We assessed the relative effects of menthol and non-menthol cigarettes on incidence of breast cancer in a large prospective cohort of African American women. The Black Women's Health Study has followed approximately 59,​000 women with biennial questionnaires since enrollment in 1995. Beginning in 2003,​ data has been collected on whether cigarettes smoked were menthol or non-menthol; menthol cigarettes were reported by 64.7% of smokers who provided information. During follow-up from 2003 through 2010,​ 739 incident breast cancer cases occurred. In proportional hazard models that controlled for age and numerous breast cancer risk factors,​ hazard ratios (HR) were computed for categories of pack-years of smoking of the two types of cigarettes relative to a reference group of never-smokers who reported no regular exposure to second-hand smoke. The HR for &gt;=20 pack-years of smoking non-menthol cigarettes was 1.70 (95% confidence interval (CI) 1.04-2.76); for &gt;=20 pack-years of smoking menthol cigarettes,​ the HR was 1.14 (95% CI,​ 0.72-1.82). Our findings suggest that,​ to the extent that higher pack-years of smoking may be associated with breast cancer,​ smoking menthol cigarettes is not more harmful than smoking non-menthol cigarettes.</w:t>
            </w:r>
          </w:p>
        </w:tc>
      </w:tr>
      <w:tr w:rsidR="007F0AE0" w:rsidRPr="005762E6" w14:paraId="2F8B19F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C8875B" w14:textId="77777777" w:rsidR="007F0AE0" w:rsidRPr="005762E6" w:rsidRDefault="007F0AE0" w:rsidP="00453DE3">
            <w:pPr>
              <w:spacing w:after="120" w:line="240" w:lineRule="auto"/>
              <w:contextualSpacing/>
              <w:rPr>
                <w:sz w:val="20"/>
                <w:szCs w:val="20"/>
              </w:rPr>
            </w:pPr>
            <w:r w:rsidRPr="005762E6">
              <w:rPr>
                <w:sz w:val="20"/>
                <w:szCs w:val="20"/>
              </w:rPr>
              <w:t>129</w:t>
            </w:r>
          </w:p>
        </w:tc>
        <w:tc>
          <w:tcPr>
            <w:tcW w:w="0" w:type="auto"/>
            <w:tcBorders>
              <w:top w:val="single" w:sz="6" w:space="0" w:color="auto"/>
              <w:left w:val="single" w:sz="6" w:space="0" w:color="auto"/>
              <w:bottom w:val="single" w:sz="6" w:space="0" w:color="auto"/>
              <w:right w:val="single" w:sz="6" w:space="0" w:color="auto"/>
            </w:tcBorders>
          </w:tcPr>
          <w:p w14:paraId="61FD5BB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FB36088" w14:textId="77777777" w:rsidR="007F0AE0" w:rsidRPr="005762E6" w:rsidRDefault="007F0AE0" w:rsidP="00453DE3">
            <w:pPr>
              <w:spacing w:after="120" w:line="240" w:lineRule="auto"/>
              <w:contextualSpacing/>
              <w:rPr>
                <w:sz w:val="20"/>
                <w:szCs w:val="20"/>
              </w:rPr>
            </w:pPr>
            <w:r w:rsidRPr="005762E6">
              <w:rPr>
                <w:sz w:val="20"/>
                <w:szCs w:val="20"/>
              </w:rPr>
              <w:t>Jones M.R.,​Apelberg B.J.,​Navas-Acien A. Smoking,​ menthol cigarettes and peripheral arterial disease in the 1999- 2004 national health and nutrition examination survey (nhanes). Circulation; 2012;125:</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*smoking,​*public health,​*peripheral occlusive artery disease,​*nutrition,​*metabolism,​*epidemiology,​*examination,​prevalence,​risk,​population,​human,​adult,​cardiovascular risk,​blood pressure,​health,​ankle,​leg,​questionnaire,​tobacco,​statistical significance,​serum,​prevention,​*menthol,​cotinine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Cigarette flavorings,​ with the exception of menthol,​ have been banned under the Family Smoking Prevention and Tobacco Control Act. Previous studies have found strong associations between active smoking and peripheral arterial disease. While there is substantial interest in evaluating the health effects of menthol as compared to regular cigarette use,​ no information is available on the influence of cigarette type (non-menthol or menthol) on the risk of peripheral arterial disease. Objective: To investigate the association of cigarette smoking,​ menthol cigarette use and the prevalence of peripheral arterial disease in US adults Methods: We studied 5,​978 adults 40 years of age and older who participated in the National Health and Nutrition Examination Survey (NHANES) from 1999-2004. Information on participant smoking status and cigarette type were derived from self-reported questionnaire data. Peripheral arterial disease was defined as an ankle-brachial blood pressure index &lt;0.9 in at least one leg. Results: The weighted prevalence of peripheral arterial disease in the study population was 4.9%. Fifty percent of participants were never smokers compared to 31%,​ 14% and 5% of former,​ current non-menthol and current menthol cigarette smokers,​ respectively. After adjustment for demographics and cardiovascular risk factors,​ the odds ratio for peripheral arterial disease was 1.98 (95% CI: 1.41,​ 2.80),​ 5.24 (95% CI: 3.41,​ 8.05),​ 3.37 (95% CI: 1.86,​ 6.10) comparing former,​ current regular cigarette smokers and current menthol cigarette smokers to never smokers. After further adjustment for pack-years and serum cotinine,​ the odds ratio for peripheral arterial disease was 1.44 (95% CI: 0.97,​ 2.15),​ 3.65 (95% CI: 1.57,​ 8.50) and 2.51 (95% CI: 1.09,​ 5.80) comparing former,​ current regular cigarette smokers and current menthol cigarette smokers to never smokers. The significant association between smoking and peripheral arterial disease was similar for smokers of non-menthol and menthol cigarettes (p-value for heterogeneity= 0.53). Conclusions: In a representative sample of the US population,​ current menthol cigarette use was associated with increased prevalence of peripheral arterial disease with no difference compared to smoking non-menthol cigarettes.</w:t>
            </w:r>
          </w:p>
        </w:tc>
      </w:tr>
      <w:tr w:rsidR="007F0AE0" w:rsidRPr="005762E6" w14:paraId="678D98D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7033C3" w14:textId="77777777" w:rsidR="007F0AE0" w:rsidRPr="005762E6" w:rsidRDefault="007F0AE0" w:rsidP="00453DE3">
            <w:pPr>
              <w:spacing w:after="120" w:line="240" w:lineRule="auto"/>
              <w:contextualSpacing/>
              <w:rPr>
                <w:sz w:val="20"/>
                <w:szCs w:val="20"/>
              </w:rPr>
            </w:pPr>
            <w:r w:rsidRPr="005762E6">
              <w:rPr>
                <w:sz w:val="20"/>
                <w:szCs w:val="20"/>
              </w:rPr>
              <w:lastRenderedPageBreak/>
              <w:t>134</w:t>
            </w:r>
          </w:p>
        </w:tc>
        <w:tc>
          <w:tcPr>
            <w:tcW w:w="0" w:type="auto"/>
            <w:tcBorders>
              <w:top w:val="single" w:sz="6" w:space="0" w:color="auto"/>
              <w:left w:val="single" w:sz="6" w:space="0" w:color="auto"/>
              <w:bottom w:val="single" w:sz="6" w:space="0" w:color="auto"/>
              <w:right w:val="single" w:sz="6" w:space="0" w:color="auto"/>
            </w:tcBorders>
          </w:tcPr>
          <w:p w14:paraId="197E6C3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209A863" w14:textId="77777777" w:rsidR="007F0AE0" w:rsidRPr="005762E6" w:rsidRDefault="007F0AE0" w:rsidP="00453DE3">
            <w:pPr>
              <w:spacing w:after="120" w:line="240" w:lineRule="auto"/>
              <w:contextualSpacing/>
              <w:rPr>
                <w:sz w:val="20"/>
                <w:szCs w:val="20"/>
              </w:rPr>
            </w:pPr>
            <w:r w:rsidRPr="005762E6">
              <w:rPr>
                <w:sz w:val="20"/>
                <w:szCs w:val="20"/>
              </w:rPr>
              <w:t>Thomas K.V.,​Reid M.J. What else can the analysis of sewage for urinary biomarkers reveal about communities?. Environmental Science and Technology; 2011;45:7611.</w:t>
            </w:r>
            <w:r w:rsidRPr="005762E6">
              <w:rPr>
                <w:sz w:val="20"/>
                <w:szCs w:val="20"/>
              </w:rPr>
              <w:br/>
            </w:r>
            <w:r w:rsidRPr="005762E6">
              <w:rPr>
                <w:sz w:val="20"/>
                <w:szCs w:val="20"/>
              </w:rPr>
              <w:br/>
            </w:r>
            <w:r w:rsidRPr="005762E6">
              <w:rPr>
                <w:b/>
                <w:bCs/>
                <w:sz w:val="20"/>
                <w:szCs w:val="20"/>
              </w:rPr>
              <w:t>Keywords:</w:t>
            </w:r>
            <w:r w:rsidRPr="005762E6">
              <w:rPr>
                <w:sz w:val="20"/>
                <w:szCs w:val="20"/>
              </w:rPr>
              <w:br/>
              <w:t>alcohol consumption,​allergy,​breast cancer,​colon cancer,​community,​diet,​digestive system cancer,​drug monitoring,​drug screening,​drug use,​environment,​glucose urine level,​health,​lifestyle,​liver cell carcinoma,​lung cancer,​neoplasm,​note,​ovary cancer,​oxidative stress,​pancreas cancer,​pregnancy,​prostate cancer,​*public health,​*sewage,​smoking,​testis cancer,​tobacco,​waste water,​3 methylhistidine,​3,​4 methylenedioxymethamphetamine,​8 hydroxydeoxyguanosine,​alcohol,​amphetamine,​anserine,​*biological marker,​caffeine,​cannabinoid,​chorionic gonadotropin,​cocaine,​creatinine,​drug residue,​ecgonine,​ecgonine methyl ester,​flavonoid,​isoprostane derivative,​menthol,​methamphetamine,​morphine 6 acetate,​nicotine,​nitrosamine,​norpseudoephedrine,​phenanthroline,​phytoestrogen,​sweetening agent,​taurine,​tetrahydrocannabinol,​tetrahydrocannabinolic acid,​unindexed drug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F3FCC7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E2E00EB" w14:textId="77777777" w:rsidR="007F0AE0" w:rsidRPr="005762E6" w:rsidRDefault="007F0AE0" w:rsidP="00453DE3">
            <w:pPr>
              <w:spacing w:after="120" w:line="240" w:lineRule="auto"/>
              <w:contextualSpacing/>
              <w:rPr>
                <w:sz w:val="20"/>
                <w:szCs w:val="20"/>
              </w:rPr>
            </w:pPr>
            <w:r w:rsidRPr="005762E6">
              <w:rPr>
                <w:sz w:val="20"/>
                <w:szCs w:val="20"/>
              </w:rPr>
              <w:t>139</w:t>
            </w:r>
          </w:p>
        </w:tc>
        <w:tc>
          <w:tcPr>
            <w:tcW w:w="0" w:type="auto"/>
            <w:tcBorders>
              <w:top w:val="single" w:sz="6" w:space="0" w:color="auto"/>
              <w:left w:val="single" w:sz="6" w:space="0" w:color="auto"/>
              <w:bottom w:val="single" w:sz="6" w:space="0" w:color="auto"/>
              <w:right w:val="single" w:sz="6" w:space="0" w:color="auto"/>
            </w:tcBorders>
          </w:tcPr>
          <w:p w14:paraId="05E61EC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8375EE1" w14:textId="77777777" w:rsidR="007F0AE0" w:rsidRPr="005762E6" w:rsidRDefault="007F0AE0" w:rsidP="00453DE3">
            <w:pPr>
              <w:spacing w:after="120" w:line="240" w:lineRule="auto"/>
              <w:contextualSpacing/>
              <w:rPr>
                <w:sz w:val="20"/>
                <w:szCs w:val="20"/>
              </w:rPr>
            </w:pPr>
            <w:r w:rsidRPr="005762E6">
              <w:rPr>
                <w:sz w:val="20"/>
                <w:szCs w:val="20"/>
              </w:rPr>
              <w:t>Kanyuch J.A.,​Bercz P.A.,​Chang J.,​Martinez F.J.,​Criner G.J.,​Lawrence M.J.,​Tomko P.A.,​Foreman M.G.,​Silverman E.,​Crapo J.D.,​Sciurba F.C. Menthol cigarette usage among african americans associated with persistent tobacco use. American Journal of Respiratory and Critical Care Medicine; 2011;183:</w:t>
            </w:r>
            <w:r w:rsidRPr="005762E6">
              <w:rPr>
                <w:sz w:val="20"/>
                <w:szCs w:val="20"/>
              </w:rPr>
              <w:br/>
            </w:r>
            <w:r w:rsidRPr="005762E6">
              <w:rPr>
                <w:sz w:val="20"/>
                <w:szCs w:val="20"/>
              </w:rPr>
              <w:br/>
            </w:r>
            <w:r w:rsidRPr="005762E6">
              <w:rPr>
                <w:b/>
                <w:bCs/>
                <w:sz w:val="20"/>
                <w:szCs w:val="20"/>
              </w:rPr>
              <w:t>Keywords:</w:t>
            </w:r>
            <w:r w:rsidRPr="005762E6">
              <w:rPr>
                <w:sz w:val="20"/>
                <w:szCs w:val="20"/>
              </w:rPr>
              <w:br/>
              <w:t>*cigarette smoking,​*African American,​*human,​*tobacco,​*society,​smoking,​smoke,​logistic regression analysis,​lung function,​spirometry,​heredity,​questionnaire,​progeny,​statistical significance,​gender,​*menthol,​nicotine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Rationale: Patterns of smoking and presentation of COPD have been shown to differ between Americans of African (AA) compared to those of European (EA) descent. AA are younger at presentation of COPD despite starting smoking later in life. When compared to EA,​ AA have a lower overall pack-year smoking history for a given severity of pulmonary function. AA smokers have been reported to demonstrate a preference for menthol vs. non-menthol (NM) cigarettes when compared to EA. Given that menthol smokers tend to have </w:t>
            </w:r>
            <w:r w:rsidRPr="005762E6">
              <w:rPr>
                <w:sz w:val="20"/>
                <w:szCs w:val="20"/>
              </w:rPr>
              <w:lastRenderedPageBreak/>
              <w:t>higher nicotine levels than NM smokers,​ it is plausible that smoking persistence or impact is greater in menthol compared to NM smokers. Menthol usage impacts smoking patterns and COPD presentation in AA smokers. We therefore hypothesized that a preference for menthol cigarettes was associated with persistence of smoking within the tobacco exposed COPDGeneTM cohort and that this effect was greater in AA subjects. Methods: A retrospective analysis of the COPDGeneTM cohort was performed. Participants completed detailed questionnaires,​ spirometry,​ and were asked if they now smoke or did smoke menthol cigarettes. Logistic regression analysis,​ adjusted for gender,​ was used to assess the relationship between current smoking status and menthol usage in the overall group and racial subgroups. Results: Table 1. demonstrates the characteristics of the AA and EA subjects. Notably 37.4% of AA but only 25.4% of EA had a history of menthol cigarette usage (p&lt;0.0001). There was a trend in the overall cohort in the relationship between current smoking status and menthol use status,​ OR 1.92,​ 95% CI 0.91-4.05,​ p=0.08. However,​ among AA,​ there was a significantly greater likelihood of persistent smoking among menthol users when compared to NM,​ OR 2.84,​ 95% CI = 1.13-7.12,​ p value = 0.03. This association is not found in EA,​ OR = 1.14,​ 95% CI = 0.40-3.25,​ p = 0.81. Conclusions: The use of Menthol cigarettes is associated with a significantly greater persistence of cigarette smoking in African vs. European descendent subjects. This association may contribute to the difference in racial smoking and disease patterns. The sociologic or genetic factors resulting in this association will require future investigation. (Table Presented) .</w:t>
            </w:r>
          </w:p>
        </w:tc>
      </w:tr>
      <w:tr w:rsidR="007F0AE0" w:rsidRPr="005762E6" w14:paraId="2C00727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94765B" w14:textId="77777777" w:rsidR="007F0AE0" w:rsidRPr="005762E6" w:rsidRDefault="007F0AE0" w:rsidP="00453DE3">
            <w:pPr>
              <w:spacing w:after="120" w:line="240" w:lineRule="auto"/>
              <w:contextualSpacing/>
              <w:rPr>
                <w:sz w:val="20"/>
                <w:szCs w:val="20"/>
              </w:rPr>
            </w:pPr>
            <w:r w:rsidRPr="005762E6">
              <w:rPr>
                <w:sz w:val="20"/>
                <w:szCs w:val="20"/>
              </w:rPr>
              <w:lastRenderedPageBreak/>
              <w:t>140</w:t>
            </w:r>
          </w:p>
        </w:tc>
        <w:tc>
          <w:tcPr>
            <w:tcW w:w="0" w:type="auto"/>
            <w:tcBorders>
              <w:top w:val="single" w:sz="6" w:space="0" w:color="auto"/>
              <w:left w:val="single" w:sz="6" w:space="0" w:color="auto"/>
              <w:bottom w:val="single" w:sz="6" w:space="0" w:color="auto"/>
              <w:right w:val="single" w:sz="6" w:space="0" w:color="auto"/>
            </w:tcBorders>
          </w:tcPr>
          <w:p w14:paraId="038D5B9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0FEDA10" w14:textId="77777777" w:rsidR="007F0AE0" w:rsidRPr="005762E6" w:rsidRDefault="007F0AE0" w:rsidP="00453DE3">
            <w:pPr>
              <w:spacing w:after="120" w:line="240" w:lineRule="auto"/>
              <w:contextualSpacing/>
              <w:rPr>
                <w:sz w:val="20"/>
                <w:szCs w:val="20"/>
              </w:rPr>
            </w:pPr>
            <w:r w:rsidRPr="005762E6">
              <w:rPr>
                <w:sz w:val="20"/>
                <w:szCs w:val="20"/>
              </w:rPr>
              <w:t>Backinger C.L. Tobacco-related disparities and the Family Smoking Prevention and Tobacco Control Act. Cancer Epidemiology Biomarkers and Prevention; 2011;20:</w:t>
            </w:r>
            <w:r w:rsidRPr="005762E6">
              <w:rPr>
                <w:sz w:val="20"/>
                <w:szCs w:val="20"/>
              </w:rPr>
              <w:br/>
            </w:r>
            <w:r w:rsidRPr="005762E6">
              <w:rPr>
                <w:sz w:val="20"/>
                <w:szCs w:val="20"/>
              </w:rPr>
              <w:br/>
            </w:r>
            <w:r w:rsidRPr="005762E6">
              <w:rPr>
                <w:b/>
                <w:bCs/>
                <w:sz w:val="20"/>
                <w:szCs w:val="20"/>
              </w:rPr>
              <w:t>Keywords:</w:t>
            </w:r>
            <w:r w:rsidRPr="005762E6">
              <w:rPr>
                <w:sz w:val="20"/>
                <w:szCs w:val="20"/>
              </w:rPr>
              <w:br/>
              <w:t>*tobacco,​*smoking,​*health disparity,​*neoplasm,​*prevention,​*cancer research,​cigarette smoking,​food and drug administration,​public health,​human,​health,​marketing,​African American,​ethnic group,​juvenile,​lowest income group,​population,​fruit,​flavor,​smokeless tobacco,​advisory committee,​safety,​risk,​child,​menthol,​cytidine triphosphate,​sugar,​tar</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With the passage of the June 2009 Family Smoking Prevention and Tobacco Control Act (Tobacco Control Act),​ the Food and Drug Administration (FDA) has regulatory authority over tobacco products,​ their manufacture,​ and their distribution and marketing. Since enactment,​ FDA has already taken significant regulatory actions including banning cigarettes with fruit of candy characterizing flavors; prohibiting the labeling of products with misleading terms such as 'light "low tar,​" and "mild;" issuing a broad set of restrictions regarding access to and marketing of cigarettes and smokeless tobacco products to those under 18; and issuing a final regulation requiring graphic health warnings for cigarettes. In addition,​ The FDA's Tobacco Product Scientific Advisory Committee (TPSAC) has addressed the public health effects of menthol in cigarettes,​ harmful and potentially harmful constituents,​ and "dissolvables." Unlike other parts of FDA addressing the safety and efficacy of the products it regulates,​ the Center for Tobacco Products (CTP) bases its actions on a public health standard,​ i.e.,​ CTP considers the risks and benefits to the population as a whole,​ including users and nonusers of tobacco products and addressing tobacco-related disparities is integral. For example,​ the TPSAC menthol report needed to address the impact on use of menthol in cigarettes on the public health,​ including such use among children,​ African-Americans,​ Hispanics,​ and other racial and ethnic minorities. As the new cigarette graphic health warnings are implemented in September 2012,​ it will be important to assess impact among several subpopulations such as youth and those with low income. This presentation will provide an overall summary of the Tobacco Control Act,​ the science needed to implement FDA regulatory actions,​ and how FDA can address tobacco-related health disparities.</w:t>
            </w:r>
          </w:p>
        </w:tc>
      </w:tr>
      <w:tr w:rsidR="007F0AE0" w:rsidRPr="005762E6" w14:paraId="33B48A1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3483EB" w14:textId="77777777" w:rsidR="007F0AE0" w:rsidRPr="005762E6" w:rsidRDefault="007F0AE0" w:rsidP="00453DE3">
            <w:pPr>
              <w:spacing w:after="120" w:line="240" w:lineRule="auto"/>
              <w:contextualSpacing/>
              <w:rPr>
                <w:sz w:val="20"/>
                <w:szCs w:val="20"/>
              </w:rPr>
            </w:pPr>
            <w:r w:rsidRPr="005762E6">
              <w:rPr>
                <w:sz w:val="20"/>
                <w:szCs w:val="20"/>
              </w:rPr>
              <w:t>141</w:t>
            </w:r>
          </w:p>
        </w:tc>
        <w:tc>
          <w:tcPr>
            <w:tcW w:w="0" w:type="auto"/>
            <w:tcBorders>
              <w:top w:val="single" w:sz="6" w:space="0" w:color="auto"/>
              <w:left w:val="single" w:sz="6" w:space="0" w:color="auto"/>
              <w:bottom w:val="single" w:sz="6" w:space="0" w:color="auto"/>
              <w:right w:val="single" w:sz="6" w:space="0" w:color="auto"/>
            </w:tcBorders>
          </w:tcPr>
          <w:p w14:paraId="01B5A0C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E65E18" w14:textId="77777777" w:rsidR="007F0AE0" w:rsidRPr="005762E6" w:rsidRDefault="007F0AE0" w:rsidP="00453DE3">
            <w:pPr>
              <w:spacing w:after="120" w:line="240" w:lineRule="auto"/>
              <w:contextualSpacing/>
              <w:rPr>
                <w:sz w:val="20"/>
                <w:szCs w:val="20"/>
              </w:rPr>
            </w:pPr>
            <w:r w:rsidRPr="005762E6">
              <w:rPr>
                <w:sz w:val="20"/>
                <w:szCs w:val="20"/>
              </w:rPr>
              <w:t>Stellman S.D. Tobacco-related cancer risks and menthol cigarettes: A case-control study. American Journal of Epidemiology; 2011;173:S86.</w:t>
            </w:r>
            <w:r w:rsidRPr="005762E6">
              <w:rPr>
                <w:sz w:val="20"/>
                <w:szCs w:val="20"/>
              </w:rPr>
              <w:br/>
            </w:r>
            <w:r w:rsidRPr="005762E6">
              <w:rPr>
                <w:sz w:val="20"/>
                <w:szCs w:val="20"/>
              </w:rPr>
              <w:br/>
            </w:r>
            <w:r w:rsidRPr="005762E6">
              <w:rPr>
                <w:b/>
                <w:bCs/>
                <w:sz w:val="20"/>
                <w:szCs w:val="20"/>
              </w:rPr>
              <w:t>Keywords:</w:t>
            </w:r>
            <w:r w:rsidRPr="005762E6">
              <w:rPr>
                <w:sz w:val="20"/>
                <w:szCs w:val="20"/>
              </w:rPr>
              <w:br/>
              <w:t>*case control study,​*cigarette smoking,​*tobacco,​*cancer risk,​*epidemiology,​smoking,​risk,​food and drug administration,​human,​hospital,​esophagus cancer,​lung,​United States,​cancer center,​Colombia,​neoplasm,​city,​histopathology,​general aspects of disease,​interview,​logistic regression analysis,​confidence interval,​bladder cancer,​larynx cancer,​prevention,​advisory committee,​lung cancer,​cancer localization,​health,​non-profit organization,​university,​*menthol</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The Family Smoking Prevention and Tobacco Control Act of 2009 authorizes the FDA to regulate cigarette content. The FDA Tobacco Products Scientific Advisory Committee is weighing recommendations to regulate menthol,​ the best-known cigarette additive. Most lung cancer studies and one esophageal cancer study have shown no evidence of additional risk in menthol cigarette smokers. We assessed risks for 5 cancer sites in 13,​677 persons in the 1984-98 American Health Foundation hospital-based case control study conducted in the three major New York City cancer centers (Memorial Sloan-Kettering,​ Columbia Presbyterian,​ New York University) and other cities (Stellman SD,​ Ann Epidemiol 2003; 13:294-302). Cases were confirmed by histopathology. Controls with non-tobacco-related illnesses were frequency matched to cases on sex,​ age,​ hospital,​ and year of interview. A total of 8,​522 smokers had never smoked menthol cigarettes,​ 1,​187 had smoked menthol cigarettes exclusively,​ and 1,​445 smoked both types. Mixed type smokers accumulated 56-80% of total pack-years on menthol. We classified a person as a menthol smoker if he or she smoked &gt;= 1 menthol brand,​ and adjusted for total pack-years in logistic regressions. Adjusted odds ratios (ORs) for current smoking ranged from 3.9 (95% confidence interval,​ CI: 3.0-5.1) for bladder cancer to 40 (95% CI 18-92) for larynx cancer,​ with intermediate ORs for mouth,​ lung,​ and esophageal cancer,​ all significantly &gt; 1. In current smokers,​ adjusted odds ratios for menthol smoking were between 0.7 and 1.0 for all sites,​ none significant. These data do not provide evidence of increased risk of lung or other cancers in menthol brand smokers beyond the well-known risks of cigarette smoking.</w:t>
            </w:r>
          </w:p>
        </w:tc>
      </w:tr>
      <w:tr w:rsidR="007F0AE0" w:rsidRPr="005762E6" w14:paraId="36C8347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022C796" w14:textId="77777777" w:rsidR="007F0AE0" w:rsidRPr="005762E6" w:rsidRDefault="007F0AE0" w:rsidP="00453DE3">
            <w:pPr>
              <w:spacing w:after="120" w:line="240" w:lineRule="auto"/>
              <w:contextualSpacing/>
              <w:rPr>
                <w:sz w:val="20"/>
                <w:szCs w:val="20"/>
              </w:rPr>
            </w:pPr>
            <w:r w:rsidRPr="005762E6">
              <w:rPr>
                <w:sz w:val="20"/>
                <w:szCs w:val="20"/>
              </w:rPr>
              <w:lastRenderedPageBreak/>
              <w:t>143</w:t>
            </w:r>
          </w:p>
        </w:tc>
        <w:tc>
          <w:tcPr>
            <w:tcW w:w="0" w:type="auto"/>
            <w:tcBorders>
              <w:top w:val="single" w:sz="6" w:space="0" w:color="auto"/>
              <w:left w:val="single" w:sz="6" w:space="0" w:color="auto"/>
              <w:bottom w:val="single" w:sz="6" w:space="0" w:color="auto"/>
              <w:right w:val="single" w:sz="6" w:space="0" w:color="auto"/>
            </w:tcBorders>
          </w:tcPr>
          <w:p w14:paraId="414F8B8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3A973B2" w14:textId="77777777" w:rsidR="007F0AE0" w:rsidRPr="005762E6" w:rsidRDefault="007F0AE0" w:rsidP="00453DE3">
            <w:pPr>
              <w:spacing w:after="120" w:line="240" w:lineRule="auto"/>
              <w:contextualSpacing/>
              <w:rPr>
                <w:sz w:val="20"/>
                <w:szCs w:val="20"/>
              </w:rPr>
            </w:pPr>
            <w:r w:rsidRPr="005762E6">
              <w:rPr>
                <w:sz w:val="20"/>
                <w:szCs w:val="20"/>
              </w:rPr>
              <w:t>Brody A.L.,​Mukhin A.G.,​La Charite J.,​Ta K.,​Farahi J.,​Sugar C.A.,​Vellios E.,​Archie M.,​Kozman M.,​Mandelkern M.A. Up-regulation of nicotinic acetylcholine receptors in menthol cigarette smokers. Neuropsychopharmacology; 2011;36:S402.</w:t>
            </w:r>
            <w:r w:rsidRPr="005762E6">
              <w:rPr>
                <w:sz w:val="20"/>
                <w:szCs w:val="20"/>
              </w:rPr>
              <w:br/>
            </w:r>
            <w:r w:rsidRPr="005762E6">
              <w:rPr>
                <w:sz w:val="20"/>
                <w:szCs w:val="20"/>
              </w:rPr>
              <w:br/>
            </w:r>
            <w:r w:rsidRPr="005762E6">
              <w:rPr>
                <w:b/>
                <w:bCs/>
                <w:sz w:val="20"/>
                <w:szCs w:val="20"/>
              </w:rPr>
              <w:t>Keywords:</w:t>
            </w:r>
            <w:r w:rsidRPr="005762E6">
              <w:rPr>
                <w:sz w:val="20"/>
                <w:szCs w:val="20"/>
              </w:rPr>
              <w:br/>
              <w:t>*college,​*cigarette smoking,​*upregulation,​*psychopharmacology,​smoking,​corpus callosum,​brain region,​density,​brain stem,​cerebellum,​thalamus,​human,​brain,​follow up,​prefrontal cortex,​exposure,​imaging,​positron emission tomography,​serum,​*menthol,​*nicotinic receptor,​nicotine,​fluorine 18,​3 (2 azetidinylmethoxy)pyridine,​tracer</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 third of cigarette smokers use predominantly menthol-flavored cigarettes. Compared to non-menthol cigarettes,​ menthol cigarettes lead to elevated serum nicotine levels and more difficulty quitting in standard treatment programs. Previous brain imaging studies of humans smokers demonstrate that smoking in general (without regard to cigarette type) leads to up-regulation of a-containing nicotinic acetylcholine receptors (nAChRs) compared to non-smokers and former smokers. We sought to verify up-regulation of nAChRs in smokers and to determine whether menthol cigarette usage results in greater nAChR up-regulation than non-menthol cigarette usage. Methods: 114 participants (n = 41 non-menthol cigarette smokers,​ n = 22 menthol cigarette smokers,​ and n = 51 non-smokers) underwent positron emission tomography (PET) scanning,​ using the radiotracer 2-[18F]fluoro-A-85380 (2-FA). 2-FA specific binding volume of distribution (VS/fP) was determined for five brain regions (thalamus,​ brainstem,​ cerebellum,​ prefrontal cortex,​ and corpus callosum),​ as measures of alpha4beta2* nAChR density. Results: An overall test of VS/fP values across all brain regions revealed a between-group (smoker versus non-smoker) difference (MANCOVA; df = 5,​ 107; F = 20.4; P &lt; 0.0005). Follow-up tests for individual brain regions revealed significant differences between groups for the prefrontal cortex,​ brainstem,​ cerebellum,​ and corpus callosum (ANCOVAs,​ all df's = 1,​ 113; F's = 15.0,​ 21.5,​ 21.1,​ and 8.9; P's all &lt; &lt;.0005,​ except for corpus callosum,​ where P &lt; 0.005),​ but not for the thalamus (ANCOVA; df = 1,​ 114; F = 0.2,​ n.s.). For regions found significant in the preceding analysis,​ alpha4beta2* nAChR levels were 36 to 42% higher for smokers than nonsmokers. In comparing menthol versus non-menthol smokers,​ the overall test revealed a significant between-group (menthol versus non-menthol) difference,​ (MANCOVA; df = 5,​ 56; F = 2.9; P &lt; 0.05). Follow-up tests for individual brain regions revealed significant between-group differences for the brainstem,​ cerebellum,​ and corpus callosum (ANCOVAs,​ all df's = 1,​ 62; F's = 7.5,​ 9.2,​ and 7.5; all P's &lt; 0.01),​ with menthol smokers having 21 to 28% higher nAChR density in these regions. Exploratory tests also revealed a significant decrease in nAChR density with increasing age across the total study sample (MANCOVA; df = 5,​ 107; F = 7.4; p &lt; 0.0005). Discussion: Nicotine exposure appears to be a primary determinant of nAChR up-regulation. Therefore,​ more severe upregulation of nAChRs in menthol cigarette smokers suggests higher brain nicotine exposure in this group. Study results provide additional information about the severity of menthol cigarette use,​ and may explain why these smokers have more trouble quitting in standard treatment programs.</w:t>
            </w:r>
          </w:p>
        </w:tc>
      </w:tr>
      <w:tr w:rsidR="007F0AE0" w:rsidRPr="005762E6" w14:paraId="53D17EC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920ABB" w14:textId="77777777" w:rsidR="007F0AE0" w:rsidRPr="005762E6" w:rsidRDefault="007F0AE0" w:rsidP="00453DE3">
            <w:pPr>
              <w:spacing w:after="120" w:line="240" w:lineRule="auto"/>
              <w:contextualSpacing/>
              <w:rPr>
                <w:sz w:val="20"/>
                <w:szCs w:val="20"/>
              </w:rPr>
            </w:pPr>
            <w:r w:rsidRPr="005762E6">
              <w:rPr>
                <w:sz w:val="20"/>
                <w:szCs w:val="20"/>
              </w:rPr>
              <w:t>144</w:t>
            </w:r>
          </w:p>
        </w:tc>
        <w:tc>
          <w:tcPr>
            <w:tcW w:w="0" w:type="auto"/>
            <w:tcBorders>
              <w:top w:val="single" w:sz="6" w:space="0" w:color="auto"/>
              <w:left w:val="single" w:sz="6" w:space="0" w:color="auto"/>
              <w:bottom w:val="single" w:sz="6" w:space="0" w:color="auto"/>
              <w:right w:val="single" w:sz="6" w:space="0" w:color="auto"/>
            </w:tcBorders>
          </w:tcPr>
          <w:p w14:paraId="32B27CA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465E366" w14:textId="77777777" w:rsidR="007F0AE0" w:rsidRPr="005762E6" w:rsidRDefault="007F0AE0" w:rsidP="00453DE3">
            <w:pPr>
              <w:spacing w:after="120" w:line="240" w:lineRule="auto"/>
              <w:contextualSpacing/>
              <w:rPr>
                <w:sz w:val="20"/>
                <w:szCs w:val="20"/>
              </w:rPr>
            </w:pPr>
            <w:r w:rsidRPr="005762E6">
              <w:rPr>
                <w:sz w:val="20"/>
                <w:szCs w:val="20"/>
              </w:rPr>
              <w:t xml:space="preserve">Buchanan T.S.,​Cox L.S.,​Nollen N.L.,​Thomas J.L.,​Berg C.J.,​Mayo M.S.,​Ahluwalia J.S. Perceived treatment assignment and smoking cessation in a clinical trial of bupropion. Cancer Epidemiology Biomarkers and </w:t>
            </w:r>
            <w:r w:rsidRPr="005762E6">
              <w:rPr>
                <w:sz w:val="20"/>
                <w:szCs w:val="20"/>
              </w:rPr>
              <w:lastRenderedPageBreak/>
              <w:t>Prevention; 2011;20:721.</w:t>
            </w:r>
            <w:r w:rsidRPr="005762E6">
              <w:rPr>
                <w:sz w:val="20"/>
                <w:szCs w:val="20"/>
              </w:rPr>
              <w:br/>
            </w:r>
            <w:r w:rsidRPr="005762E6">
              <w:rPr>
                <w:sz w:val="20"/>
                <w:szCs w:val="20"/>
              </w:rPr>
              <w:br/>
            </w:r>
            <w:r w:rsidRPr="005762E6">
              <w:rPr>
                <w:b/>
                <w:bCs/>
                <w:sz w:val="20"/>
                <w:szCs w:val="20"/>
              </w:rPr>
              <w:t>Keywords:</w:t>
            </w:r>
            <w:r w:rsidRPr="005762E6">
              <w:rPr>
                <w:sz w:val="20"/>
                <w:szCs w:val="20"/>
              </w:rPr>
              <w:br/>
              <w:t>*smoking cessation,​*society,​*oncology,​*clinical trial,​smoking,​drug therapy,​cigarette smoking,​female,​blindness,​tobacco,​placebo effect,​treatment outcome,​African American,​controlled study,​health education,​counseling,​*amfebutamone,​placebo,​cotinine,​menthol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Research on tobacco cessation pharmacotherapy often relies on double-blind,​ placebo-controlled randomized trials. These studies are designed to control for the placebo effect (i.e.,​ the influence of participants' expectations on treatment outcome). Psychoactive effects of smoking cessation medications such as bupropion may allow participants to correctly guess their treatment assignment at rates greater than chance. Perceived treatment assignment could potentially impact smoking cessation rates. The aim of this study was to determine the impact of perceived treatment assignment on end-of-treatment cotinine-verified smoking abstinence among African American light smokers [&lt;10 cigarettes per day (cpd) enrolled in a double-blind,​ placebo-controlled study of bupropion. Participants were randomized to bupropion (150 mg bid) or placebo and received identical written materials and health education counseling. Participant (n = 390) included in this study reported their perceived treatment assignment on the end-of-treatment (week 7 survey. They were predominantly female (63.1%),​ 48.' years (SD = 11.2),​ and smoked 8 cpd (SD = 2.5). Th majority (81.3%) smoked menthol cigarettes. Participant given bupropion were more likely to correctly guess their treatment assignment (69%; 140/203) than those assignee to placebo (51.3%; 96/187). Quit rates by treatment assignment were 31.5% (bupropion) versus 13.9% (placebo) (OR = 2.78,​ 95% CI 1.61-5.43,​ P &lt; 0.01). After adjusting for treatment,​ participants who perceived assignment to bupropion versus placebo were not more likely to be abstinent (OR = 1.37; 95% CI 0.71-2.64,​ P = 0.35).The interaction between treatment and perceived treatment assignment was also nonsignificant. Consistent with two previous studies with bupropion,​ there was evidence of blinding failure for the treatment group However,​ in our study,​ perceived treatment assignment did not significantly impact cotinine-verified cessation outcome at end-of-treatment (week 7). These finding suggest that the role of perceived treatment assignment on smoking cessation with bupropion may differ for light smokers compared to heavier smokers (&gt;10 cpd) sampled in the two earlier studies. Current findings might indicate that expectations of pharmacotherapy are less salient for light smokers.</w:t>
            </w:r>
          </w:p>
        </w:tc>
      </w:tr>
      <w:tr w:rsidR="007F0AE0" w:rsidRPr="005762E6" w14:paraId="2B0D8A1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6F926AE" w14:textId="77777777" w:rsidR="007F0AE0" w:rsidRPr="005762E6" w:rsidRDefault="007F0AE0" w:rsidP="00453DE3">
            <w:pPr>
              <w:spacing w:after="120" w:line="240" w:lineRule="auto"/>
              <w:contextualSpacing/>
              <w:rPr>
                <w:sz w:val="20"/>
                <w:szCs w:val="20"/>
              </w:rPr>
            </w:pPr>
            <w:r w:rsidRPr="005762E6">
              <w:rPr>
                <w:sz w:val="20"/>
                <w:szCs w:val="20"/>
              </w:rPr>
              <w:lastRenderedPageBreak/>
              <w:t>146</w:t>
            </w:r>
          </w:p>
        </w:tc>
        <w:tc>
          <w:tcPr>
            <w:tcW w:w="0" w:type="auto"/>
            <w:tcBorders>
              <w:top w:val="single" w:sz="6" w:space="0" w:color="auto"/>
              <w:left w:val="single" w:sz="6" w:space="0" w:color="auto"/>
              <w:bottom w:val="single" w:sz="6" w:space="0" w:color="auto"/>
              <w:right w:val="single" w:sz="6" w:space="0" w:color="auto"/>
            </w:tcBorders>
          </w:tcPr>
          <w:p w14:paraId="3F4DB64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355BBAC" w14:textId="77777777" w:rsidR="007F0AE0" w:rsidRPr="005762E6" w:rsidRDefault="007F0AE0" w:rsidP="00453DE3">
            <w:pPr>
              <w:spacing w:after="120" w:line="240" w:lineRule="auto"/>
              <w:contextualSpacing/>
              <w:rPr>
                <w:sz w:val="20"/>
                <w:szCs w:val="20"/>
              </w:rPr>
            </w:pPr>
            <w:r w:rsidRPr="005762E6">
              <w:rPr>
                <w:sz w:val="20"/>
                <w:szCs w:val="20"/>
              </w:rPr>
              <w:t>Mickens L.,​Ameringer K.,​Brightman M.,​Leventhal A.M. Epidemiology,​ determinants,​ and consequences of cigarette smoking in African American women: An integrative review. Addictive Behaviors; 2010;35:383.</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American,​age,​behavior,​bronchus cancer,​cancer risk,​Caucasian,​*cigarette smoking,​educational status,​environmental factor,​epidemiological data,​ethnic difference,​female,​*gender,​genetic variability,​human,​lifespan,​lowest income group,​lung cancer,​male,​metabolism,​pregnant woman,​prevalence,​psychological aspect,​religion,​review,​sex difference,​social network,​social stress,​social support,​substance abuse,​symptom,​tobacco dependence,​urban area,​withdrawal syndrome,​carbon monoxide,​cytochrome P450 2A6/ec [Endogenous Compound],​dopamine 2 receptor/ec [Endogenous Compound],​dopamine transporter/ec [Endogenous Compound],​menthol,​nicotine,​unclassified drug,​mentholated cigarette,​smoking topography,​protein SLC6A3/ec [Endogenous Compound]</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Tobacco smoking is a national public health problem that has been associated with numerous adverse health effects,​ including increased disease and cancer rates. Previous review articles on smoking in specific demographic populations have focused on smoking in women and on smoking in African Americans,​ but have not considered the dual roles of ethnicity and gender in smoking behavior. African American women (AAW) are an important subgroup to study because they are distinct from non-AAW and their male African American counterparts on biopsychosocial factors that are relevant to smoking behavior. The purpose of the present review paper is to integrate and summarize the current literature on the epidemiology,​ determinants,​ and consequences of cigarette smoking among AAW,​ by contrasting them to relevant comparison groups (non-AAW and African American men). Evidence suggests that AAW are generally more likely to be light smokers and initiate smoking later. The prevalence rates of AAW smokers have decreased over the past 25 years,​ yet AAW are disproportionately affected by several smoking-related illnesses when compared to their ethnic and gender comparison groups. AAW smokers are distinct from relevant comparison groups in metabolic sensitivity to nicotine,​ aspects of smoking topography,​ and several psychosocial factors that influence smoking. Although a </w:t>
            </w:r>
            <w:r w:rsidRPr="005762E6">
              <w:rPr>
                <w:sz w:val="20"/>
                <w:szCs w:val="20"/>
              </w:rPr>
              <w:lastRenderedPageBreak/>
              <w:t>small literature on smoking in AAW is emerging,​ further empirical research of AAW smokers could inform the development of tailored interventions for AAW. © 2009 Elsevier Ltd. All rights reserved.</w:t>
            </w:r>
          </w:p>
        </w:tc>
      </w:tr>
      <w:tr w:rsidR="007F0AE0" w:rsidRPr="005762E6" w14:paraId="46F5D2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76FDE1" w14:textId="77777777" w:rsidR="007F0AE0" w:rsidRPr="005762E6" w:rsidRDefault="007F0AE0" w:rsidP="00453DE3">
            <w:pPr>
              <w:spacing w:after="120" w:line="240" w:lineRule="auto"/>
              <w:contextualSpacing/>
              <w:rPr>
                <w:sz w:val="20"/>
                <w:szCs w:val="20"/>
              </w:rPr>
            </w:pPr>
            <w:r w:rsidRPr="005762E6">
              <w:rPr>
                <w:sz w:val="20"/>
                <w:szCs w:val="20"/>
              </w:rPr>
              <w:lastRenderedPageBreak/>
              <w:t>148</w:t>
            </w:r>
          </w:p>
        </w:tc>
        <w:tc>
          <w:tcPr>
            <w:tcW w:w="0" w:type="auto"/>
            <w:tcBorders>
              <w:top w:val="single" w:sz="6" w:space="0" w:color="auto"/>
              <w:left w:val="single" w:sz="6" w:space="0" w:color="auto"/>
              <w:bottom w:val="single" w:sz="6" w:space="0" w:color="auto"/>
              <w:right w:val="single" w:sz="6" w:space="0" w:color="auto"/>
            </w:tcBorders>
          </w:tcPr>
          <w:p w14:paraId="0CF667B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3F4F207" w14:textId="77777777" w:rsidR="007F0AE0" w:rsidRPr="005762E6" w:rsidRDefault="007F0AE0" w:rsidP="00453DE3">
            <w:pPr>
              <w:spacing w:after="120" w:line="240" w:lineRule="auto"/>
              <w:contextualSpacing/>
              <w:rPr>
                <w:sz w:val="20"/>
                <w:szCs w:val="20"/>
              </w:rPr>
            </w:pPr>
            <w:r w:rsidRPr="005762E6">
              <w:rPr>
                <w:sz w:val="20"/>
                <w:szCs w:val="20"/>
              </w:rPr>
              <w:t>Shah L.,​Press V.,​Arora V.,​King A.,​Meltzer D.,​Suresh K.,​Krishnan J. Assessing impact of usual care on quit rates 4 weeks post discharge among hospitalized smokers. Journal of Hospital Medicine; 2010;5:71.</w:t>
            </w:r>
            <w:r w:rsidRPr="005762E6">
              <w:rPr>
                <w:sz w:val="20"/>
                <w:szCs w:val="20"/>
              </w:rPr>
              <w:br/>
            </w:r>
            <w:r w:rsidRPr="005762E6">
              <w:rPr>
                <w:sz w:val="20"/>
                <w:szCs w:val="20"/>
              </w:rPr>
              <w:br/>
            </w:r>
            <w:r w:rsidRPr="005762E6">
              <w:rPr>
                <w:b/>
                <w:bCs/>
                <w:sz w:val="20"/>
                <w:szCs w:val="20"/>
              </w:rPr>
              <w:t>Keywords:</w:t>
            </w:r>
            <w:r w:rsidRPr="005762E6">
              <w:rPr>
                <w:sz w:val="20"/>
                <w:szCs w:val="20"/>
              </w:rPr>
              <w:br/>
              <w:t>*smoking,​*society,​*hospital medicine,​human,​patient,​hospital,​abstinence,​tobacco,​drug therapy,​smoking cessation,​African American,​tobacco dependence,​diseases,​general practice,​follow up,​tobacco use,​diagnosis,​interview,​telephone interview,​health care personnel,​public health,​hospital patient,​outpatient,​female,​environment,​carbon monoxide,​amfebutamone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 hospital setting is an ideal environment to counsel patients on smoking cessation. The effectiveness of hospital-based care for smoking is unclear,​ specifically among African Americans,​ who face a disproportionate burden of tobacco-related disease. This study assessed the quality and efficacy of usual care on chemically verified quit rates 4 weeks post discharge. Methods: Current smoking general medicine inpatients were identified using National Health Interview Survey items. Smokers were interviewed at admission about smoking behaviors and barriers to cessation. At discharge,​ they were asked to provide an expired carbon monoxide (CO) test for verification of abstinence. Smokers were interviewed by phone 4 weeks post discharge regarding any care they received for their tobacco use (advice lo quit,​ medications,​ or follow-up with a tobacco cessat on program). Self-reported quitters were asked to return 'or CO testing to verify abstinence. Results: From September 2008 to July 2009,​225 of 289 hospitalized smokers (78%) participated in the study. Of the 225 patients,​ 193 (86%) were African American,​ 115 (52%) female,​ and 77 (34%) had a discharge diagnosis of a smoking-related illness. The mean age of smokers was 50 +/- 14 years,​ and the mean age they smoked their first cigarette was 16 +/- 5 years. One hundred and seventy-eight (79%) received advice to quit in the last year,​ and 130 (58%) had tried to quit unsuccessfully in the last year. The mean Fagerstrom score was 4.62 +/-2.13,​ demonstrating a moderate level of tobacco addiction. The majority of smokers (87%) reported a preference for mentholated cigarettes. Biochemically verified abstinence was demonstrated in 85% of patients at the time of discharge. A 4-week telephone interview was obtained in 192 of 225 patients (85%). One hundred and eighteen (62%) reported receiving advice to quit from a health care professional in the hospital. Medications for withdrawal (i.e.,​ NRT) were prescribed for 56 patients (29%). Only 8 patients (4%) reported being prescribed a medication (i.e.,​ bupropion) for cessation in the hospital. A referral to the outpatient tobacco cessation program was given to 57 patients (30%) prior to discharge. At 4 weeks,​ 7 (4%) self-reported taking medications for smoking cessation,​ 20 (11%) agreed to being referred to a tobacco cessation program,​ and only 1 patient enrolled in the program. Additionally,​ 47 (25%) self-reported abstinence and 22 (11%) had biochemically confirmed abstinence. Biochemically confirmed abstinence was not higher in patients who were initiated on meds in the hospital (7 v. 13%,​ P = 0.22). Conclusions: Usual care in the hospital setting is both suboptimal and largely ineffective. This study demonstrated no significant difference in quit rates among patients initiated on pharmacotherapy in the hospital. Patients may benefit from more intensive post discharge care in addition to the usual care initiated in the hospital. Further studies are needed to determine cost-effective and efficient methods to deliver this level of tobacco cessation care in urban hospital settings.</w:t>
            </w:r>
          </w:p>
        </w:tc>
      </w:tr>
      <w:tr w:rsidR="007F0AE0" w:rsidRPr="005762E6" w14:paraId="29F419C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9E4D64" w14:textId="77777777" w:rsidR="007F0AE0" w:rsidRPr="005762E6" w:rsidRDefault="007F0AE0" w:rsidP="00453DE3">
            <w:pPr>
              <w:spacing w:after="120" w:line="240" w:lineRule="auto"/>
              <w:contextualSpacing/>
              <w:rPr>
                <w:sz w:val="20"/>
                <w:szCs w:val="20"/>
              </w:rPr>
            </w:pPr>
            <w:r w:rsidRPr="005762E6">
              <w:rPr>
                <w:sz w:val="20"/>
                <w:szCs w:val="20"/>
              </w:rPr>
              <w:t>149</w:t>
            </w:r>
          </w:p>
        </w:tc>
        <w:tc>
          <w:tcPr>
            <w:tcW w:w="0" w:type="auto"/>
            <w:tcBorders>
              <w:top w:val="single" w:sz="6" w:space="0" w:color="auto"/>
              <w:left w:val="single" w:sz="6" w:space="0" w:color="auto"/>
              <w:bottom w:val="single" w:sz="6" w:space="0" w:color="auto"/>
              <w:right w:val="single" w:sz="6" w:space="0" w:color="auto"/>
            </w:tcBorders>
          </w:tcPr>
          <w:p w14:paraId="570BEC8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F7E4398" w14:textId="77777777" w:rsidR="007F0AE0" w:rsidRPr="005762E6" w:rsidRDefault="007F0AE0" w:rsidP="00453DE3">
            <w:pPr>
              <w:spacing w:after="120" w:line="240" w:lineRule="auto"/>
              <w:contextualSpacing/>
              <w:rPr>
                <w:sz w:val="20"/>
                <w:szCs w:val="20"/>
              </w:rPr>
            </w:pPr>
            <w:r w:rsidRPr="005762E6">
              <w:rPr>
                <w:sz w:val="20"/>
                <w:szCs w:val="20"/>
              </w:rPr>
              <w:t>Fu S.,​Stahre M.,​Okuyemi K.,​Joseph A. Racial/ethnic differences in menthol cigarette smoking,​ prevalence of smoking cessation,​ and utilization of evidence-based tobacco cessation treatments. Journal of General Internal Medicine; 2010;25:S377.</w:t>
            </w:r>
            <w:r w:rsidRPr="005762E6">
              <w:rPr>
                <w:sz w:val="20"/>
                <w:szCs w:val="20"/>
              </w:rPr>
              <w:br/>
            </w:r>
            <w:r w:rsidRPr="005762E6">
              <w:rPr>
                <w:sz w:val="20"/>
                <w:szCs w:val="20"/>
              </w:rPr>
              <w:br/>
            </w:r>
            <w:r w:rsidRPr="005762E6">
              <w:rPr>
                <w:b/>
                <w:bCs/>
                <w:sz w:val="20"/>
                <w:szCs w:val="20"/>
              </w:rPr>
              <w:t>Keywords:</w:t>
            </w:r>
            <w:r w:rsidRPr="005762E6">
              <w:rPr>
                <w:sz w:val="20"/>
                <w:szCs w:val="20"/>
              </w:rPr>
              <w:br/>
              <w:t>*evidence based practice,​*smoking cessation,​*internal medicine,​*prevalence,​*cigarette smoking,​*society,​*tobacco,​smoking,​African American,​multivariate logistic regression analysis,​logistic regression analysis,​statistical significance,​marriage,​ethnic group,​achievement,​model,​public health,​interview,​cancer control,​outcome variable,​sampling,​adult,​ethnicity,​population,​*menthol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This study examines the relationship between menthol cigarette smoking and the prevalence of smoking cessation (as indicated by the population quit ratio) and examines whether menthol smokers differ in utilization of evidence-based smoking cessation aids among a nationally representative sample of US adult smokers. METHODS: We conducted a cross-sectional analysis using data from the 2005 National </w:t>
            </w:r>
            <w:r w:rsidRPr="005762E6">
              <w:rPr>
                <w:sz w:val="20"/>
                <w:szCs w:val="20"/>
              </w:rPr>
              <w:lastRenderedPageBreak/>
              <w:t>Health Interview Survey Cancer Control Supplement. The main outcome variables of interest were 1) the prevalence of smoking cessation and 2) use of quit aids. All analyses were done using SAS version 9.2 with SUDAAN which corrects for the complex sampling design of the study. Multiple logistic regression analysis was used to model the links between race,​ ethnicity,​ demographic,​ and smoking-related characteristics on the likelihood of quitting smoking and use of quit aids. RESULTS: We observed significant differences in the quit ratio for menthol versus non-menthol among African American smokers (34% vs 49%,​ p&lt;0.0001),​ but not among whites (52% vs. 50%,​ p=0.2166). In multiple logistic regression analysis,​ there was a significant interaction between race and menthol smoking status. African American menthol smokers were significantly less likely than white non-menthol smokers to have quit smoking (adjusted OR 0.73,​ 95% CI (0.56,​ 0.96),​ p-value= 0.0252) after controlling for age,​ sex,​ marital status,​ and age first started smoking regularly. Menthol smoking status was not associated with differences in utilization of quit aids. CONCLUSIONS: African Americans have the highest rates of menthol cigarette smoking compared to all other racial and ethnic groups. This study provides further evidence that menthol cigarette smoking negatively affects the achievement of successful smoking cessation among African Americans.</w:t>
            </w:r>
          </w:p>
        </w:tc>
      </w:tr>
      <w:tr w:rsidR="007F0AE0" w:rsidRPr="005762E6" w14:paraId="24B6C03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8DAF01" w14:textId="77777777" w:rsidR="007F0AE0" w:rsidRPr="005762E6" w:rsidRDefault="007F0AE0" w:rsidP="00453DE3">
            <w:pPr>
              <w:spacing w:after="120" w:line="240" w:lineRule="auto"/>
              <w:contextualSpacing/>
              <w:rPr>
                <w:sz w:val="20"/>
                <w:szCs w:val="20"/>
              </w:rPr>
            </w:pPr>
            <w:r w:rsidRPr="005762E6">
              <w:rPr>
                <w:sz w:val="20"/>
                <w:szCs w:val="20"/>
              </w:rPr>
              <w:lastRenderedPageBreak/>
              <w:t>151</w:t>
            </w:r>
          </w:p>
        </w:tc>
        <w:tc>
          <w:tcPr>
            <w:tcW w:w="0" w:type="auto"/>
            <w:tcBorders>
              <w:top w:val="single" w:sz="6" w:space="0" w:color="auto"/>
              <w:left w:val="single" w:sz="6" w:space="0" w:color="auto"/>
              <w:bottom w:val="single" w:sz="6" w:space="0" w:color="auto"/>
              <w:right w:val="single" w:sz="6" w:space="0" w:color="auto"/>
            </w:tcBorders>
          </w:tcPr>
          <w:p w14:paraId="1A7F665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4853108" w14:textId="77777777" w:rsidR="007F0AE0" w:rsidRPr="005762E6" w:rsidRDefault="007F0AE0" w:rsidP="00453DE3">
            <w:pPr>
              <w:spacing w:after="120" w:line="240" w:lineRule="auto"/>
              <w:contextualSpacing/>
              <w:rPr>
                <w:sz w:val="20"/>
                <w:szCs w:val="20"/>
              </w:rPr>
            </w:pPr>
            <w:r w:rsidRPr="005762E6">
              <w:rPr>
                <w:sz w:val="20"/>
                <w:szCs w:val="20"/>
              </w:rPr>
              <w:t>Wigand J. Smoking and mental illness: A commentary and counterpoint. Journal of Dual Diagnosis; 2009;5:219.</w:t>
            </w:r>
            <w:r w:rsidRPr="005762E6">
              <w:rPr>
                <w:sz w:val="20"/>
                <w:szCs w:val="20"/>
              </w:rPr>
              <w:br/>
            </w:r>
            <w:r w:rsidRPr="005762E6">
              <w:rPr>
                <w:sz w:val="20"/>
                <w:szCs w:val="20"/>
              </w:rPr>
              <w:br/>
            </w:r>
            <w:r w:rsidRPr="005762E6">
              <w:rPr>
                <w:b/>
                <w:bCs/>
                <w:sz w:val="20"/>
                <w:szCs w:val="20"/>
              </w:rPr>
              <w:t>Keywords:</w:t>
            </w:r>
            <w:r w:rsidRPr="005762E6">
              <w:rPr>
                <w:sz w:val="20"/>
                <w:szCs w:val="20"/>
              </w:rPr>
              <w:br/>
              <w:t>cigarette smoking,​disease association,​drug delivery system,​economics,​food and drug administration,​human,​*mental disease,​note,​public health problem,​*smoking,​tobacco dependence,​tobacco industry,​United States,​menthol,​nicotine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6590BE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F81229" w14:textId="77777777" w:rsidR="007F0AE0" w:rsidRPr="005762E6" w:rsidRDefault="007F0AE0" w:rsidP="00453DE3">
            <w:pPr>
              <w:spacing w:after="120" w:line="240" w:lineRule="auto"/>
              <w:contextualSpacing/>
              <w:rPr>
                <w:sz w:val="20"/>
                <w:szCs w:val="20"/>
              </w:rPr>
            </w:pPr>
            <w:r w:rsidRPr="005762E6">
              <w:rPr>
                <w:sz w:val="20"/>
                <w:szCs w:val="20"/>
              </w:rPr>
              <w:t>152</w:t>
            </w:r>
          </w:p>
        </w:tc>
        <w:tc>
          <w:tcPr>
            <w:tcW w:w="0" w:type="auto"/>
            <w:tcBorders>
              <w:top w:val="single" w:sz="6" w:space="0" w:color="auto"/>
              <w:left w:val="single" w:sz="6" w:space="0" w:color="auto"/>
              <w:bottom w:val="single" w:sz="6" w:space="0" w:color="auto"/>
              <w:right w:val="single" w:sz="6" w:space="0" w:color="auto"/>
            </w:tcBorders>
          </w:tcPr>
          <w:p w14:paraId="74DD7A1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FA2DF2F" w14:textId="77777777" w:rsidR="007F0AE0" w:rsidRPr="005762E6" w:rsidRDefault="007F0AE0" w:rsidP="00453DE3">
            <w:pPr>
              <w:spacing w:after="120" w:line="240" w:lineRule="auto"/>
              <w:contextualSpacing/>
              <w:rPr>
                <w:sz w:val="20"/>
                <w:szCs w:val="20"/>
              </w:rPr>
            </w:pPr>
            <w:r w:rsidRPr="005762E6">
              <w:rPr>
                <w:sz w:val="20"/>
                <w:szCs w:val="20"/>
              </w:rPr>
              <w:t>Gough N.R. Nicotine irritation. Science Signaling; 2009;2:ec324.</w:t>
            </w:r>
            <w:r w:rsidRPr="005762E6">
              <w:rPr>
                <w:sz w:val="20"/>
                <w:szCs w:val="20"/>
              </w:rPr>
              <w:br/>
            </w:r>
            <w:r w:rsidRPr="005762E6">
              <w:rPr>
                <w:sz w:val="20"/>
                <w:szCs w:val="20"/>
              </w:rPr>
              <w:br/>
            </w:r>
            <w:r w:rsidRPr="005762E6">
              <w:rPr>
                <w:b/>
                <w:bCs/>
                <w:sz w:val="20"/>
                <w:szCs w:val="20"/>
              </w:rPr>
              <w:t>Keywords:</w:t>
            </w:r>
            <w:r w:rsidRPr="005762E6">
              <w:rPr>
                <w:sz w:val="20"/>
                <w:szCs w:val="20"/>
              </w:rPr>
              <w:br/>
              <w:t>airway constriction,​analgesic activity,​binding site,​brain nerve cell,​cell activation,​cell membrane,​CHO cell,​cigarette smoking,​cold,​concentration (parameters),​cooling,​diffusion,​editorial,​knockout mouse,​nonhuman,​priority journal,​protein expression,​smoking cessation,​trigeminus ganglion,​wild type,​allyl isothiocyanate,​calcium,​cation channel,​menthol,​*nicotine,​*transient receptor potential channel 1</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758EC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298FAE" w14:textId="77777777" w:rsidR="007F0AE0" w:rsidRPr="005762E6" w:rsidRDefault="007F0AE0" w:rsidP="00453DE3">
            <w:pPr>
              <w:spacing w:after="120" w:line="240" w:lineRule="auto"/>
              <w:contextualSpacing/>
              <w:rPr>
                <w:sz w:val="20"/>
                <w:szCs w:val="20"/>
              </w:rPr>
            </w:pPr>
            <w:r w:rsidRPr="005762E6">
              <w:rPr>
                <w:sz w:val="20"/>
                <w:szCs w:val="20"/>
              </w:rPr>
              <w:t>153</w:t>
            </w:r>
          </w:p>
        </w:tc>
        <w:tc>
          <w:tcPr>
            <w:tcW w:w="0" w:type="auto"/>
            <w:tcBorders>
              <w:top w:val="single" w:sz="6" w:space="0" w:color="auto"/>
              <w:left w:val="single" w:sz="6" w:space="0" w:color="auto"/>
              <w:bottom w:val="single" w:sz="6" w:space="0" w:color="auto"/>
              <w:right w:val="single" w:sz="6" w:space="0" w:color="auto"/>
            </w:tcBorders>
          </w:tcPr>
          <w:p w14:paraId="2279D0F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6535E64" w14:textId="77777777" w:rsidR="007F0AE0" w:rsidRPr="005762E6" w:rsidRDefault="007F0AE0" w:rsidP="00453DE3">
            <w:pPr>
              <w:spacing w:after="120" w:line="240" w:lineRule="auto"/>
              <w:contextualSpacing/>
              <w:rPr>
                <w:sz w:val="20"/>
                <w:szCs w:val="20"/>
              </w:rPr>
            </w:pPr>
            <w:r w:rsidRPr="005762E6">
              <w:rPr>
                <w:sz w:val="20"/>
                <w:szCs w:val="20"/>
              </w:rPr>
              <w:t>Anonymous. Correction: Article on exposure biomarkers of menthol and nonmenthol smoking (Cancer Epidemiology,​ Biomarkers and Prevention (2009)). Cancer Epidemiology Biomarkers and Prevention; 2009;18:2155.</w:t>
            </w:r>
            <w:r w:rsidRPr="005762E6">
              <w:rPr>
                <w:sz w:val="20"/>
                <w:szCs w:val="20"/>
              </w:rPr>
              <w:br/>
            </w:r>
            <w:r w:rsidRPr="005762E6">
              <w:rPr>
                <w:sz w:val="20"/>
                <w:szCs w:val="20"/>
              </w:rPr>
              <w:br/>
            </w:r>
            <w:r w:rsidRPr="005762E6">
              <w:rPr>
                <w:b/>
                <w:bCs/>
                <w:sz w:val="20"/>
                <w:szCs w:val="20"/>
              </w:rPr>
              <w:t>Keywords:</w:t>
            </w:r>
            <w:r w:rsidRPr="005762E6">
              <w:rPr>
                <w:sz w:val="20"/>
                <w:szCs w:val="20"/>
              </w:rPr>
              <w:br/>
              <w:t>erratum,​*error,​priority journal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F3A9A7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64CB19" w14:textId="77777777" w:rsidR="007F0AE0" w:rsidRPr="005762E6" w:rsidRDefault="007F0AE0" w:rsidP="00453DE3">
            <w:pPr>
              <w:spacing w:after="120" w:line="240" w:lineRule="auto"/>
              <w:contextualSpacing/>
              <w:rPr>
                <w:sz w:val="20"/>
                <w:szCs w:val="20"/>
              </w:rPr>
            </w:pPr>
            <w:r w:rsidRPr="005762E6">
              <w:rPr>
                <w:sz w:val="20"/>
                <w:szCs w:val="20"/>
              </w:rPr>
              <w:t>155</w:t>
            </w:r>
          </w:p>
        </w:tc>
        <w:tc>
          <w:tcPr>
            <w:tcW w:w="0" w:type="auto"/>
            <w:tcBorders>
              <w:top w:val="single" w:sz="6" w:space="0" w:color="auto"/>
              <w:left w:val="single" w:sz="6" w:space="0" w:color="auto"/>
              <w:bottom w:val="single" w:sz="6" w:space="0" w:color="auto"/>
              <w:right w:val="single" w:sz="6" w:space="0" w:color="auto"/>
            </w:tcBorders>
          </w:tcPr>
          <w:p w14:paraId="5AD05B2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64564D9" w14:textId="77777777" w:rsidR="007F0AE0" w:rsidRPr="005762E6" w:rsidRDefault="007F0AE0" w:rsidP="00453DE3">
            <w:pPr>
              <w:spacing w:after="120" w:line="240" w:lineRule="auto"/>
              <w:contextualSpacing/>
              <w:rPr>
                <w:sz w:val="20"/>
                <w:szCs w:val="20"/>
              </w:rPr>
            </w:pPr>
            <w:r w:rsidRPr="005762E6">
              <w:rPr>
                <w:sz w:val="20"/>
                <w:szCs w:val="20"/>
              </w:rPr>
              <w:t>Peace J.,​Wilson N.,​Thomson G.,​Edwards R. Recent changes in cigarette packaging in New Zealand may continue to mislead smokers [9]. New Zealand Medical Journal; 2008;121:</w:t>
            </w:r>
            <w:r w:rsidRPr="005762E6">
              <w:rPr>
                <w:sz w:val="20"/>
                <w:szCs w:val="20"/>
              </w:rPr>
              <w:br/>
            </w:r>
            <w:r w:rsidRPr="005762E6">
              <w:rPr>
                <w:sz w:val="20"/>
                <w:szCs w:val="20"/>
              </w:rPr>
              <w:br/>
            </w:r>
            <w:r w:rsidRPr="005762E6">
              <w:rPr>
                <w:b/>
                <w:bCs/>
                <w:sz w:val="20"/>
                <w:szCs w:val="20"/>
              </w:rPr>
              <w:t>Keywords:</w:t>
            </w:r>
            <w:r w:rsidRPr="005762E6">
              <w:rPr>
                <w:sz w:val="20"/>
                <w:szCs w:val="20"/>
              </w:rPr>
              <w:br/>
              <w:t>*cigarette smoking,​consumer,​Europe,​health hazard,​human,​law,​letter,​marketing,​New Zealand,​*packaging,​public health,​tobacco industry,​menthol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BB964A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44CBED" w14:textId="77777777" w:rsidR="007F0AE0" w:rsidRPr="005762E6" w:rsidRDefault="007F0AE0" w:rsidP="00453DE3">
            <w:pPr>
              <w:spacing w:after="120" w:line="240" w:lineRule="auto"/>
              <w:contextualSpacing/>
              <w:rPr>
                <w:sz w:val="20"/>
                <w:szCs w:val="20"/>
              </w:rPr>
            </w:pPr>
            <w:r w:rsidRPr="005762E6">
              <w:rPr>
                <w:sz w:val="20"/>
                <w:szCs w:val="20"/>
              </w:rPr>
              <w:t>158</w:t>
            </w:r>
          </w:p>
        </w:tc>
        <w:tc>
          <w:tcPr>
            <w:tcW w:w="0" w:type="auto"/>
            <w:tcBorders>
              <w:top w:val="single" w:sz="6" w:space="0" w:color="auto"/>
              <w:left w:val="single" w:sz="6" w:space="0" w:color="auto"/>
              <w:bottom w:val="single" w:sz="6" w:space="0" w:color="auto"/>
              <w:right w:val="single" w:sz="6" w:space="0" w:color="auto"/>
            </w:tcBorders>
          </w:tcPr>
          <w:p w14:paraId="4850373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863E79E"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2008;10:559.</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anxiety,​Asian,​Asian American,​attention,​attention deficit disorder,​cardiovascular risk,​child behavior,​Chinese,​cigarette smoking,​correlation analysis,​cultural factor,​editorial,​educational status,​environmental factor,​exercise,​expectation,​false negative result,​false positive result,​family life,​Filipino,​gas chromatography,​genetics,​health care personnel,​health program,​highly active antiretroviral therapy,​human,​Human immunodeficiency virus </w:t>
            </w:r>
            <w:r w:rsidRPr="005762E6">
              <w:rPr>
                <w:sz w:val="20"/>
                <w:szCs w:val="20"/>
              </w:rPr>
              <w:lastRenderedPageBreak/>
              <w:t>infection/dt [Drug Therapy],​ischemic heart disease,​Japanese,​language ability,​maternal behavior,​maternal smoking,​mental performance,​military medicine,​particle size,​particulate matter,​passive smoking,​patient compliance,​peer group,​pregnancy,​priority journal,​questionnaire,​race difference,​reliability,​religion,​saliva analysis,​saliva level,​sex difference,​smoking cessation,​smoking habit,​social psychology,​soldier,​staff training,​task performance,​telephone,​test strip,​*tobacco dependence/di [Diagnosis],​tobacco industry,​United States,​urine level,​withdrawal syndrome,​antiretrovirus agent/dt [Drug Therapy],​C reactive protein/ec [Endogenous Compound],​cotinine/ec [Endogenous Compound],​menthol,​tar</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E18D7B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58173D" w14:textId="77777777" w:rsidR="007F0AE0" w:rsidRPr="005762E6" w:rsidRDefault="007F0AE0" w:rsidP="00453DE3">
            <w:pPr>
              <w:spacing w:after="120" w:line="240" w:lineRule="auto"/>
              <w:contextualSpacing/>
              <w:rPr>
                <w:sz w:val="20"/>
                <w:szCs w:val="20"/>
              </w:rPr>
            </w:pPr>
            <w:r w:rsidRPr="005762E6">
              <w:rPr>
                <w:sz w:val="20"/>
                <w:szCs w:val="20"/>
              </w:rPr>
              <w:lastRenderedPageBreak/>
              <w:t>159</w:t>
            </w:r>
          </w:p>
        </w:tc>
        <w:tc>
          <w:tcPr>
            <w:tcW w:w="0" w:type="auto"/>
            <w:tcBorders>
              <w:top w:val="single" w:sz="6" w:space="0" w:color="auto"/>
              <w:left w:val="single" w:sz="6" w:space="0" w:color="auto"/>
              <w:bottom w:val="single" w:sz="6" w:space="0" w:color="auto"/>
              <w:right w:val="single" w:sz="6" w:space="0" w:color="auto"/>
            </w:tcBorders>
          </w:tcPr>
          <w:p w14:paraId="1880699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15E6A18" w14:textId="77777777" w:rsidR="007F0AE0" w:rsidRPr="005762E6" w:rsidRDefault="007F0AE0" w:rsidP="00453DE3">
            <w:pPr>
              <w:spacing w:after="120" w:line="240" w:lineRule="auto"/>
              <w:contextualSpacing/>
              <w:rPr>
                <w:sz w:val="20"/>
                <w:szCs w:val="20"/>
              </w:rPr>
            </w:pPr>
            <w:r w:rsidRPr="005762E6">
              <w:rPr>
                <w:sz w:val="20"/>
                <w:szCs w:val="20"/>
              </w:rPr>
              <w:t>Marshall S. Giving advice on sore throats. Pharmaceutical Journal; 2008;280:127.</w:t>
            </w:r>
            <w:r w:rsidRPr="005762E6">
              <w:rPr>
                <w:sz w:val="20"/>
                <w:szCs w:val="20"/>
              </w:rPr>
              <w:br/>
            </w:r>
            <w:r w:rsidRPr="005762E6">
              <w:rPr>
                <w:sz w:val="20"/>
                <w:szCs w:val="20"/>
              </w:rPr>
              <w:br/>
            </w:r>
            <w:r w:rsidRPr="005762E6">
              <w:rPr>
                <w:b/>
                <w:bCs/>
                <w:sz w:val="20"/>
                <w:szCs w:val="20"/>
              </w:rPr>
              <w:t>Keywords:</w:t>
            </w:r>
            <w:r w:rsidRPr="005762E6">
              <w:rPr>
                <w:sz w:val="20"/>
                <w:szCs w:val="20"/>
              </w:rPr>
              <w:br/>
              <w:t>acute glomerulonephritis/co [Complication],​agranulocytosis/si [Side Effect],​analgesic activity,​antibacterial activity,​antifungal activity,​article,​bone marrow suppression/si [Side Effect],​clinical trial,​consultation,​differential diagnosis,​disease association,​drug dose increase,​drug half-life,​fluid therapy,​human,​Human rhinovirus,​incidence,​Infectious Mononucleosis/dt [Drug Therapy],​Infectious Mononucleosis/su [Surgery],​Influenza virus,​laryngopharyngeal reflux,​medical society,​mouth ulcer/si [Side Effect],​national health service,​neoplasm,​neutropenia/si [Side Effect],​otitis media/co [Complication],​paresthesia/si [Side Effect],​patient education,​patient referral,​*pharmaceutical care,​pharmacist,​pharmacy,​professional competence,​rheumatic fever/co [Complication],​risk factor,​scarlet fever/co [Complication],​scarlet fever/dt [Drug Therapy],​sinusitis/co [Complication],​smoking,​*sore throat/di [Diagnosis],​*sore throat/dt [Drug Therapy],​*sore throat/et [Etiology],​*sore throat/si [Side Effect],​*sore throat/pv [Special Situation for Pharmacovigilance],​*sore throat/su [Surgery],​sore throat/si [Side Effect],​Streptococcus group A,​Streptococcus pyogenes,​symptomatology,​systematic review,​taste disorder/si [Side Effect],​throat culture,​thrush/si [Side Effect],​tonsillectomy,​virus infection,​acetylsalicylic acid/dt [Drug Therapy],​analgesic agent/dt [Drug Therapy],​benzalkonium/dt [Drug Therapy],​benzocaine/dt [Drug Therapy],​benzydamine/ae [Adverse Drug Reaction],​benzydamine/ct [Clinical Trial],​benzydamine/dt [Drug Therapy],​benzydamine/vi [Intravitreal Drug Administration],​benzydamine/pk [Pharmacokinetics],​benzydamine/pd [Pharmacology],​carbimazole/ae [Adverse Drug Reaction],​cetylpyridinium salt/dt [Drug Therapy],​dequalinium/dt [Drug Therapy],​dequalinium/pd [Pharmacology],​domiphen/dt [Drug Therapy],​emollient agent/dt [Drug Therapy],​erythromycin/do [Drug Dose],​erythromycin/dt [Drug Therapy],​essential oil/dt [Drug Therapy],​essential oil/pd [Pharmacology],​eucalyptus oil/dt [Drug Therapy],​eucalyptus oil/pd [Pharmacology],​flurbiprofen/ae [Adverse Drug Reaction],​flurbiprofen/ct [Clinical Trial],​flurbiprofen/dt [Drug Therapy],​glycerol/dt [Drug Therapy],​gold salt/ae [Adverse Drug Reaction],​hexylresorcinol/dt [Drug Therapy],​ibuprofen/ct [Clinical Trial],​ibuprofen/dt [Drug Therapy],​lidocaine/dt [Drug Therapy],​local anesthetic agent/dt [Drug Therapy],​menthol/dt [Drug Therapy],​menthol/pd [Pharmacology],​paracetamol/ct [Clinical Trial],​paracetamol/dt [Drug Therapy],​penicillin V/do [Drug Dose],​penicillin V/dt [Drug Therapy],​penicillin V/vi [Intravitreal Drug Administration],​phenothiazine/ae [Adverse Drug Reaction],​placebo,​propylthiouracil/ae [Adverse Drug Reaction],​steroid/ae [Adverse Drug Reaction],​steroid/dt [Drug Therapy],​steroid/ei [Epidural Drug Administration],​tolbutamide/ae [Adverse Drug Reaction],​tyrothricin/dt [Drug Therapy],​unindexed drug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4DC054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183569" w14:textId="77777777" w:rsidR="007F0AE0" w:rsidRPr="005762E6" w:rsidRDefault="007F0AE0" w:rsidP="00453DE3">
            <w:pPr>
              <w:spacing w:after="120" w:line="240" w:lineRule="auto"/>
              <w:contextualSpacing/>
              <w:rPr>
                <w:sz w:val="20"/>
                <w:szCs w:val="20"/>
              </w:rPr>
            </w:pPr>
            <w:r w:rsidRPr="005762E6">
              <w:rPr>
                <w:sz w:val="20"/>
                <w:szCs w:val="20"/>
              </w:rPr>
              <w:t>161</w:t>
            </w:r>
          </w:p>
        </w:tc>
        <w:tc>
          <w:tcPr>
            <w:tcW w:w="0" w:type="auto"/>
            <w:tcBorders>
              <w:top w:val="single" w:sz="6" w:space="0" w:color="auto"/>
              <w:left w:val="single" w:sz="6" w:space="0" w:color="auto"/>
              <w:bottom w:val="single" w:sz="6" w:space="0" w:color="auto"/>
              <w:right w:val="single" w:sz="6" w:space="0" w:color="auto"/>
            </w:tcBorders>
          </w:tcPr>
          <w:p w14:paraId="1DC5E45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BD4FC33"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2008;10:1671.</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alcohol consumption,​anxiety disorder,​article,​attention deficit disorder/dt [Drug Therapy],​attitude to health,​blood sampling,​body temperature,​carcinogenicity,​cardiovascular risk,​cigarette smoking,​clinical trial,​comorbidity,​cultural factor,​depression,​educational status,​health care delivery,​health care policy,​homosexuality,​human,​legal aspect,​medical research,​mental disease,​mental health service,​methodology,​nicotine replacement therapy,​nonhuman,​parental behavior,​passive smoking,​patient attitude,​patient compliance,​patient counseling,​practice guideline,​primary medical care,​priority journal,​psychiatrist,​schizophrenia,​sex difference,​smokeless tobacco,​smoking cessation,​smoking habit,​Sweden,​thrombocyte activation,​*tobacco dependence/dt [Drug Therapy],​*tobacco dependence/su [Surgery],​treatment outcome,​twins,​United States,​4 (methylnitrosamino) 1 (3 pyridyl) 1 butanone/to [Drug Toxicity],​aldehyde/to [Drug Toxicity],​amfebutamone/ct [Clinical Trial],​amfebutamone/dt [Drug Therapy],​charcoal,​menthol,​nicotine/to [Drug Toxicity],​nicotine patch/ct [Clinical Trial],​nicotine patch/dt </w:t>
            </w:r>
            <w:r w:rsidRPr="005762E6">
              <w:rPr>
                <w:sz w:val="20"/>
                <w:szCs w:val="20"/>
              </w:rPr>
              <w:lastRenderedPageBreak/>
              <w:t>[Drug Therapy],​nicotine patch/tp [Topical Drug Administration],​nitrosamine/to [Drug Toxicity],​nitrosonornicotine/to [Drug Toxicity],​polycyclic aromatic hydrocarbon/to [Drug Toxicity]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82B625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7C3129D" w14:textId="77777777" w:rsidR="007F0AE0" w:rsidRPr="005762E6" w:rsidRDefault="007F0AE0" w:rsidP="00453DE3">
            <w:pPr>
              <w:spacing w:after="120" w:line="240" w:lineRule="auto"/>
              <w:contextualSpacing/>
              <w:rPr>
                <w:sz w:val="20"/>
                <w:szCs w:val="20"/>
              </w:rPr>
            </w:pPr>
            <w:r w:rsidRPr="005762E6">
              <w:rPr>
                <w:sz w:val="20"/>
                <w:szCs w:val="20"/>
              </w:rPr>
              <w:lastRenderedPageBreak/>
              <w:t>162</w:t>
            </w:r>
          </w:p>
        </w:tc>
        <w:tc>
          <w:tcPr>
            <w:tcW w:w="0" w:type="auto"/>
            <w:tcBorders>
              <w:top w:val="single" w:sz="6" w:space="0" w:color="auto"/>
              <w:left w:val="single" w:sz="6" w:space="0" w:color="auto"/>
              <w:bottom w:val="single" w:sz="6" w:space="0" w:color="auto"/>
              <w:right w:val="single" w:sz="6" w:space="0" w:color="auto"/>
            </w:tcBorders>
          </w:tcPr>
          <w:p w14:paraId="21ADF61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9C791A6" w14:textId="77777777" w:rsidR="007F0AE0" w:rsidRPr="005762E6" w:rsidRDefault="007F0AE0" w:rsidP="00453DE3">
            <w:pPr>
              <w:spacing w:after="120" w:line="240" w:lineRule="auto"/>
              <w:contextualSpacing/>
              <w:rPr>
                <w:sz w:val="20"/>
                <w:szCs w:val="20"/>
              </w:rPr>
            </w:pPr>
            <w:r w:rsidRPr="005762E6">
              <w:rPr>
                <w:sz w:val="20"/>
                <w:szCs w:val="20"/>
              </w:rPr>
              <w:t>Marshall S. Over-the-counter advice for coughs. Pharmaceutical Journal; 2007;278:85.</w:t>
            </w:r>
            <w:r w:rsidRPr="005762E6">
              <w:rPr>
                <w:sz w:val="20"/>
                <w:szCs w:val="20"/>
              </w:rPr>
              <w:br/>
            </w:r>
            <w:r w:rsidRPr="005762E6">
              <w:rPr>
                <w:sz w:val="20"/>
                <w:szCs w:val="20"/>
              </w:rPr>
              <w:br/>
            </w:r>
            <w:r w:rsidRPr="005762E6">
              <w:rPr>
                <w:b/>
                <w:bCs/>
                <w:sz w:val="20"/>
                <w:szCs w:val="20"/>
              </w:rPr>
              <w:t>Keywords:</w:t>
            </w:r>
            <w:r w:rsidRPr="005762E6">
              <w:rPr>
                <w:sz w:val="20"/>
                <w:szCs w:val="20"/>
              </w:rPr>
              <w:br/>
              <w:t>airway constriction/dt [Drug Therapy],​article,​blurred vision/si [Side Effect],​brain depth stimulation,​bronchiolitis,​bronchitis,​chest infection,​constipation/si [Side Effect],​*coughing/dt [Drug Therapy],​*coughing/si [Side Effect],​coughing/si [Side Effect],​croup/su [Surgery],​drowsiness/si [Side Effect],​drug dependence,​drug potentiation,​drug withdrawal,​foreign body,​gastrointestinal irritation/si [Side Effect],​headache/si [Side Effect],​heart palpitation/si [Side Effect],​human,​insomnia/si [Side Effect],​low drug dose,​nausea/si [Side Effect],​pertussis/dt [Drug Therapy],​pneumonia,​recommended drug dose,​side effect/si [Side Effect],​smoking,​sputum,​symptom,​tachycardia/si [Side Effect],​United Kingdom,​upper respiratory tract infection/dt [Drug Therapy],​urine retention/si [Side Effect],​xerostomia/si [Side Effect],​adrenergic receptor stimulating agent/cb [Drug Combination],​adrenergic receptor stimulating agent/dt [Drug Therapy],​adrenergic receptor stimulating agent/vi [Intravitreal Drug Administration],​alcohol/it [Drug Interaction],​ammonium chloride/dt [Drug Therapy],​antibiotic agent/dt [Drug Therapy],​antihistaminic agent/ae [Adverse Drug Reaction],​antihistaminic agent/cb [Drug Combination],​antihistaminic agent/it [Drug Interaction],​antihistaminic agent/dt [Drug Therapy],​*antitussive agent/cb [Drug Combination],​*antitussive agent/dt [Drug Therapy],​anxiolytic agent/it [Drug Interaction],​bronchodilating agent/dt [Drug Therapy],​codeine/ae [Adverse Drug Reaction],​codeine/cm [Drug Comparison],​codeine/dt [Drug Therapy],​decongestive agent/dt [Drug Therapy],​dextromethorphan/ae [Adverse Drug Reaction],​dextromethorphan/cm [Drug Comparison],​dextromethorphan/dt [Drug Therapy],​dipeptidyl carboxypeptidase inhibitor/ae [Adverse Drug Reaction],​diphenhydramine/dt [Drug Therapy],​emetic agent/dt [Drug Therapy],​emollient agent/dt [Drug Therapy],​ephedrine/dt [Drug Therapy],​expectorant agent/cb [Drug Combination],​expectorant agent/dt [Drug Therapy],​guaifenesin/dt [Drug Therapy],​hypnotic agent/it [Drug Interaction],​ipecac/dt [Drug Therapy],​menthol/dt [Drug Therapy],​menthol/ei [Epidural Drug Administration],​*nonprescription drug/dt [Drug Therapy],​opiate/cb [Drug Combination],​opiate/dt [Drug Therapy],​pholcodine/ae [Adverse Drug Reaction],​pholcodine/cm [Drug Comparison],​pholcodine/dt [Drug Therapy],​promethazine/dt [Drug Therapy],​pseudoephedrine/dt [Drug Therapy],​squill/dt [Drug Therapy],​theophylline/ae [Adverse Drug Reaction],​theophylline/dt [Drug Therapy],​triprolidine/dt [Drug Therapy],​unindexed drug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92D8F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68D063" w14:textId="77777777" w:rsidR="007F0AE0" w:rsidRPr="005762E6" w:rsidRDefault="007F0AE0" w:rsidP="00453DE3">
            <w:pPr>
              <w:spacing w:after="120" w:line="240" w:lineRule="auto"/>
              <w:contextualSpacing/>
              <w:rPr>
                <w:sz w:val="20"/>
                <w:szCs w:val="20"/>
              </w:rPr>
            </w:pPr>
            <w:r w:rsidRPr="005762E6">
              <w:rPr>
                <w:sz w:val="20"/>
                <w:szCs w:val="20"/>
              </w:rPr>
              <w:t>163</w:t>
            </w:r>
          </w:p>
        </w:tc>
        <w:tc>
          <w:tcPr>
            <w:tcW w:w="0" w:type="auto"/>
            <w:tcBorders>
              <w:top w:val="single" w:sz="6" w:space="0" w:color="auto"/>
              <w:left w:val="single" w:sz="6" w:space="0" w:color="auto"/>
              <w:bottom w:val="single" w:sz="6" w:space="0" w:color="auto"/>
              <w:right w:val="single" w:sz="6" w:space="0" w:color="auto"/>
            </w:tcBorders>
          </w:tcPr>
          <w:p w14:paraId="470F60E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4061A59" w14:textId="77777777" w:rsidR="007F0AE0" w:rsidRPr="005762E6" w:rsidRDefault="007F0AE0" w:rsidP="00453DE3">
            <w:pPr>
              <w:spacing w:after="120" w:line="240" w:lineRule="auto"/>
              <w:contextualSpacing/>
              <w:rPr>
                <w:sz w:val="20"/>
                <w:szCs w:val="20"/>
              </w:rPr>
            </w:pPr>
            <w:r w:rsidRPr="005762E6">
              <w:rPr>
                <w:sz w:val="20"/>
                <w:szCs w:val="20"/>
              </w:rPr>
              <w:t>Anonymous. Contents and design features of tobacco products: Their relationship to dependence potential and consumer appeal. The Scientific Basis of Tobacco Product Regulation,​World Health Organization - Technical Report Series; 2007;:7.</w:t>
            </w:r>
            <w:r w:rsidRPr="005762E6">
              <w:rPr>
                <w:sz w:val="20"/>
                <w:szCs w:val="20"/>
              </w:rPr>
              <w:br/>
            </w:r>
            <w:r w:rsidRPr="005762E6">
              <w:rPr>
                <w:sz w:val="20"/>
                <w:szCs w:val="20"/>
              </w:rPr>
              <w:br/>
            </w:r>
            <w:r w:rsidRPr="005762E6">
              <w:rPr>
                <w:b/>
                <w:bCs/>
                <w:sz w:val="20"/>
                <w:szCs w:val="20"/>
              </w:rPr>
              <w:t>Keywords:</w:t>
            </w:r>
            <w:r w:rsidRPr="005762E6">
              <w:rPr>
                <w:sz w:val="20"/>
                <w:szCs w:val="20"/>
              </w:rPr>
              <w:br/>
              <w:t>alkalinity,​combustion,​conference paper,​health hazard,​health promotion,​health service,​human,​medical research,​medical society,​particulate matter,​pH,​*smoking,​*tobacco dependence,​ammonia,​carbon monoxide,​carcinogen,​menthol,​nicotine,​tobacco smoke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00167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DEE440" w14:textId="77777777" w:rsidR="007F0AE0" w:rsidRPr="005762E6" w:rsidRDefault="007F0AE0" w:rsidP="00453DE3">
            <w:pPr>
              <w:spacing w:after="120" w:line="240" w:lineRule="auto"/>
              <w:contextualSpacing/>
              <w:rPr>
                <w:sz w:val="20"/>
                <w:szCs w:val="20"/>
              </w:rPr>
            </w:pPr>
            <w:r w:rsidRPr="005762E6">
              <w:rPr>
                <w:sz w:val="20"/>
                <w:szCs w:val="20"/>
              </w:rPr>
              <w:t>164</w:t>
            </w:r>
          </w:p>
        </w:tc>
        <w:tc>
          <w:tcPr>
            <w:tcW w:w="0" w:type="auto"/>
            <w:tcBorders>
              <w:top w:val="single" w:sz="6" w:space="0" w:color="auto"/>
              <w:left w:val="single" w:sz="6" w:space="0" w:color="auto"/>
              <w:bottom w:val="single" w:sz="6" w:space="0" w:color="auto"/>
              <w:right w:val="single" w:sz="6" w:space="0" w:color="auto"/>
            </w:tcBorders>
          </w:tcPr>
          <w:p w14:paraId="68E720F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5E8D35E"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2007;9:787.</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article,​cigarette smoking,​clinical trial,​college student,​concentration response,​denial,​drug metabolism,​environmental exposure,​genetic polymorphism,​human,​nerve cell culture,​nicotine replacement therapy,​outcomes research,​particulate matter,​patient counseling,​pharmacogenetics,​priority journal,​rating scale,​rehabilitation center,​schizoaffective psychosis,​schizophrenia,​smoking cessation,​smoking habit,​telephone,​*tobacco dependence/di [Diagnosis],​*tobacco dependence/dt [Drug Therapy],​*tobacco dependence/su [Surgery],​toxicity testing,​withdrawal syndrome/dt [Drug Therapy],​amfebutamone/ct [Clinical Trial],​amfebutamone/dt [Drug Therapy],​amfebutamone/pk [Pharmacokinetics],​carbon monoxide/to [Drug Toxicity],​cytochrome P450 2B6/ec [Endogenous Compound],​dopamine 2 receptor/ec [Endogenous Compound],​dopamine </w:t>
            </w:r>
            <w:r w:rsidRPr="005762E6">
              <w:rPr>
                <w:sz w:val="20"/>
                <w:szCs w:val="20"/>
              </w:rPr>
              <w:lastRenderedPageBreak/>
              <w:t>transporter/ec [Endogenous Compound],​menthol/to [Drug Toxicity],​*nicotine/to [Drug Toxicity],​*nicotinic receptor/ec [Endogenous Compound],​placebo,​tar/to [Drug Toxicity],​tobacco smoke/to [Drug Toxicity]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E6CAD0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F18B50" w14:textId="77777777" w:rsidR="007F0AE0" w:rsidRPr="005762E6" w:rsidRDefault="007F0AE0" w:rsidP="00453DE3">
            <w:pPr>
              <w:spacing w:after="120" w:line="240" w:lineRule="auto"/>
              <w:contextualSpacing/>
              <w:rPr>
                <w:sz w:val="20"/>
                <w:szCs w:val="20"/>
              </w:rPr>
            </w:pPr>
            <w:r w:rsidRPr="005762E6">
              <w:rPr>
                <w:sz w:val="20"/>
                <w:szCs w:val="20"/>
              </w:rPr>
              <w:lastRenderedPageBreak/>
              <w:t>165</w:t>
            </w:r>
          </w:p>
        </w:tc>
        <w:tc>
          <w:tcPr>
            <w:tcW w:w="0" w:type="auto"/>
            <w:tcBorders>
              <w:top w:val="single" w:sz="6" w:space="0" w:color="auto"/>
              <w:left w:val="single" w:sz="6" w:space="0" w:color="auto"/>
              <w:bottom w:val="single" w:sz="6" w:space="0" w:color="auto"/>
              <w:right w:val="single" w:sz="6" w:space="0" w:color="auto"/>
            </w:tcBorders>
          </w:tcPr>
          <w:p w14:paraId="2D7A779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E4BD665" w14:textId="77777777" w:rsidR="007F0AE0" w:rsidRPr="005762E6" w:rsidRDefault="007F0AE0" w:rsidP="00453DE3">
            <w:pPr>
              <w:spacing w:after="120" w:line="240" w:lineRule="auto"/>
              <w:contextualSpacing/>
              <w:rPr>
                <w:sz w:val="20"/>
                <w:szCs w:val="20"/>
              </w:rPr>
            </w:pPr>
            <w:r w:rsidRPr="005762E6">
              <w:rPr>
                <w:sz w:val="20"/>
                <w:szCs w:val="20"/>
              </w:rPr>
              <w:t>Tidey J.W.,​Williams J. Clinical indices of tobacco use in people with schizophrenia. Journal of Dual Diagnosis; 2007;3:79.</w:t>
            </w:r>
            <w:r w:rsidRPr="005762E6">
              <w:rPr>
                <w:sz w:val="20"/>
                <w:szCs w:val="20"/>
              </w:rPr>
              <w:br/>
            </w:r>
            <w:r w:rsidRPr="005762E6">
              <w:rPr>
                <w:sz w:val="20"/>
                <w:szCs w:val="20"/>
              </w:rPr>
              <w:br/>
            </w:r>
            <w:r w:rsidRPr="005762E6">
              <w:rPr>
                <w:b/>
                <w:bCs/>
                <w:sz w:val="20"/>
                <w:szCs w:val="20"/>
              </w:rPr>
              <w:t>Keywords:</w:t>
            </w:r>
            <w:r w:rsidRPr="005762E6">
              <w:rPr>
                <w:sz w:val="20"/>
                <w:szCs w:val="20"/>
              </w:rPr>
              <w:br/>
              <w:t>*cigarette smoking,​cognition,​disease exacerbation,​drug sensitivity,​environmental factor,​human,​mental disease,​motivation,​nicotine replacement therapy,​review,​*schizophrenia,​self-concept,​smoking cessation,​symptomatology,​tobacco dependence,​withdrawal syndrome,​cotinine,​menthol,​nicotine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People with schizophrenia are more likely to smoke and less likely to quit than people in the general population. Several biological and environmental factors could interact to account for high smoking persistence in this population,​ including increased sensitivity to the reinforcing effects of nicotine or conditioned cues,​ beneficial effects of nicotine on symptoms or cognitive function,​ higher levels of craving or negative affect during abstinence,​ exacerbation of psychiatric symptoms during abstinence,​ and reduced motivation,​ self-efficacy or support for quitting. Controlled comparisons of responses to abstinence,​ cues and nicotine replacement in smokers with schizophrenia and equally-dependent smokers who do not have psychiatric illness may help to clarify the degree to which these biological and environmental factors may contribute to smoking persistence in people with schizophrenia. This chapter summarizes the research findings in this area and offers directions for future research. Copyright © by The Haworth Press,​ Inc. All rights reserved.</w:t>
            </w:r>
          </w:p>
        </w:tc>
      </w:tr>
      <w:tr w:rsidR="007F0AE0" w:rsidRPr="005762E6" w14:paraId="120DE15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375C5C" w14:textId="77777777" w:rsidR="007F0AE0" w:rsidRPr="005762E6" w:rsidRDefault="007F0AE0" w:rsidP="00453DE3">
            <w:pPr>
              <w:spacing w:after="120" w:line="240" w:lineRule="auto"/>
              <w:contextualSpacing/>
              <w:rPr>
                <w:sz w:val="20"/>
                <w:szCs w:val="20"/>
              </w:rPr>
            </w:pPr>
            <w:r w:rsidRPr="005762E6">
              <w:rPr>
                <w:sz w:val="20"/>
                <w:szCs w:val="20"/>
              </w:rPr>
              <w:t>166</w:t>
            </w:r>
          </w:p>
        </w:tc>
        <w:tc>
          <w:tcPr>
            <w:tcW w:w="0" w:type="auto"/>
            <w:tcBorders>
              <w:top w:val="single" w:sz="6" w:space="0" w:color="auto"/>
              <w:left w:val="single" w:sz="6" w:space="0" w:color="auto"/>
              <w:bottom w:val="single" w:sz="6" w:space="0" w:color="auto"/>
              <w:right w:val="single" w:sz="6" w:space="0" w:color="auto"/>
            </w:tcBorders>
          </w:tcPr>
          <w:p w14:paraId="78DEF55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C76BBC3" w14:textId="77777777" w:rsidR="007F0AE0" w:rsidRPr="005762E6" w:rsidRDefault="007F0AE0" w:rsidP="00453DE3">
            <w:pPr>
              <w:spacing w:after="120" w:line="240" w:lineRule="auto"/>
              <w:contextualSpacing/>
              <w:rPr>
                <w:sz w:val="20"/>
                <w:szCs w:val="20"/>
              </w:rPr>
            </w:pPr>
            <w:r w:rsidRPr="005762E6">
              <w:rPr>
                <w:sz w:val="20"/>
                <w:szCs w:val="20"/>
              </w:rPr>
              <w:t>Foulds J.,​Williams J.M.,​Gandhi K.K. To the editor [5]. New England Journal of Medicine; 2006;354:1952.</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American,​cancer risk,​cancer susceptibility,​cigarette smoking,​health hazard,​human,​letter,​*lung cancer,​priority journal,​race difference,​United States,​menthol,​nicotine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DC5405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8979C1" w14:textId="77777777" w:rsidR="007F0AE0" w:rsidRPr="005762E6" w:rsidRDefault="007F0AE0" w:rsidP="00453DE3">
            <w:pPr>
              <w:spacing w:after="120" w:line="240" w:lineRule="auto"/>
              <w:contextualSpacing/>
              <w:rPr>
                <w:sz w:val="20"/>
                <w:szCs w:val="20"/>
              </w:rPr>
            </w:pPr>
            <w:r w:rsidRPr="005762E6">
              <w:rPr>
                <w:sz w:val="20"/>
                <w:szCs w:val="20"/>
              </w:rPr>
              <w:t>167</w:t>
            </w:r>
          </w:p>
        </w:tc>
        <w:tc>
          <w:tcPr>
            <w:tcW w:w="0" w:type="auto"/>
            <w:tcBorders>
              <w:top w:val="single" w:sz="6" w:space="0" w:color="auto"/>
              <w:left w:val="single" w:sz="6" w:space="0" w:color="auto"/>
              <w:bottom w:val="single" w:sz="6" w:space="0" w:color="auto"/>
              <w:right w:val="single" w:sz="6" w:space="0" w:color="auto"/>
            </w:tcBorders>
          </w:tcPr>
          <w:p w14:paraId="6A10A3B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65DC68" w14:textId="77777777" w:rsidR="007F0AE0" w:rsidRPr="005762E6" w:rsidRDefault="007F0AE0" w:rsidP="00453DE3">
            <w:pPr>
              <w:spacing w:after="120" w:line="240" w:lineRule="auto"/>
              <w:contextualSpacing/>
              <w:rPr>
                <w:sz w:val="20"/>
                <w:szCs w:val="20"/>
              </w:rPr>
            </w:pPr>
            <w:r w:rsidRPr="005762E6">
              <w:rPr>
                <w:sz w:val="20"/>
                <w:szCs w:val="20"/>
              </w:rPr>
              <w:t>Morice A.H.,​McGarvey L.,​Pavord I. Recommendations for the management of cough in adults. Thorax; 2006;61:</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anamnesis,​antireflux operation,​asthma,​atopy,​bronchoscopy,​chronic obstructive lung disease,​chronic respiratory tract disease,​clinical feature,​clinical trial,​*coughing/dr [Drug Resistance],​*coughing/dt [Drug Therapy],​*coughing/ep [Epidemiology],​*coughing/et [Etiology],​*coughing/si [Side Effect],​*coughing/pv [Special Situation for Pharmacovigilance],​diagnostic test,​drowsiness/si [Side Effect],​drug formulation,​gastroesophageal reflux,​health care cost,​health care organization,​health care system,​health status,​high resolution computer tomography,​hospital admission,​human,​incidence,​inhalation test,​laryngoscopy,​lung function,​medical care,​medical society,​pertussis,​phonation,​physical examination,​practice guideline,​priority journal,​quality of life,​review,​rhinosinusitis,​smoking cessation,​sputum,​thorax radiography,​unspecified side effect/si [Side Effect],​upper respiratory tract infection/ep [Epidemiology],​viral gastroenteritis/dt [Drug Therapy],​alpha interferon/ae [Adverse Drug Reaction],​alpha interferon/dt [Drug Therapy],​antihistaminic agent/ae [Adverse Drug Reaction],​antihistaminic agent/dt [Drug Therapy],​antitussive agent/ae [Adverse Drug Reaction],​antitussive agent/cm [Drug Comparison],​antitussive agent/dt [Drug Therapy],​codeine/ae [Adverse Drug Reaction],​codeine/cm [Drug Comparison],​codeine/dt [Drug Therapy],​corticosteroid/dt [Drug Therapy],​dextromethorphan/ct [Clinical Trial],​dextromethorphan/dt [Drug Therapy],​dextromethorphan/pr [Pharmaceutics],​dipeptidyl carboxypeptidase inhibitor,​diphenhydramine/dt [Drug Therapy],​fk 224,​guaifenesin/dt [Drug Therapy],​leukotriene receptor blocking agent/dt [Drug Therapy],​menthol/dt [Drug Therapy],​menthol/ei [Epidural Drug Administration],​omeprazole/dt [Drug Therapy],​opiate/ae [Adverse Drug Reaction],​opiate/dt [Drug Therapy],​paracetamol,​pholcodine/ae [Adverse Drug Reaction],​pholcodine/cm [Drug Comparison],​pholcodine/dt [Drug Therapy],​prednisolone/dt [Drug Therapy],​proton pump inhibitor/dt [Drug Therapy],​pseudoephedrine/dt [Drug Therapy],​salbutamol,​saredutant,​unclassified drug,​unindexed drug,​vicks/dt [Drug Therapy],​vicks/pr [Pharmaceutics],​buttercup syrup/dt [Drug Therapy],​covonia/dt [Drug Therapy],​expulin/dt [Drug Therapy],​histalix/dt [Drug Therapy],​meltus/dt [Drug Therapy],​multi action actifed/dt [Drug Therapy],​nirolex/dt [Drug Therapy],​sudafed linctus/dt [Drug Therapy],​sudafed linctus/pr </w:t>
            </w:r>
            <w:r w:rsidRPr="005762E6">
              <w:rPr>
                <w:sz w:val="20"/>
                <w:szCs w:val="20"/>
              </w:rPr>
              <w:lastRenderedPageBreak/>
              <w:t>[Pharmaceutics],​vicks medinite/dt [Drug Therapy]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4FEF13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426383" w14:textId="77777777" w:rsidR="007F0AE0" w:rsidRPr="005762E6" w:rsidRDefault="007F0AE0" w:rsidP="00453DE3">
            <w:pPr>
              <w:spacing w:after="120" w:line="240" w:lineRule="auto"/>
              <w:contextualSpacing/>
              <w:rPr>
                <w:sz w:val="20"/>
                <w:szCs w:val="20"/>
              </w:rPr>
            </w:pPr>
            <w:r w:rsidRPr="005762E6">
              <w:rPr>
                <w:sz w:val="20"/>
                <w:szCs w:val="20"/>
              </w:rPr>
              <w:lastRenderedPageBreak/>
              <w:t>168</w:t>
            </w:r>
          </w:p>
        </w:tc>
        <w:tc>
          <w:tcPr>
            <w:tcW w:w="0" w:type="auto"/>
            <w:tcBorders>
              <w:top w:val="single" w:sz="6" w:space="0" w:color="auto"/>
              <w:left w:val="single" w:sz="6" w:space="0" w:color="auto"/>
              <w:bottom w:val="single" w:sz="6" w:space="0" w:color="auto"/>
              <w:right w:val="single" w:sz="6" w:space="0" w:color="auto"/>
            </w:tcBorders>
          </w:tcPr>
          <w:p w14:paraId="24F04F8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22733E7"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2005;7:485.</w:t>
            </w:r>
            <w:r w:rsidRPr="005762E6">
              <w:rPr>
                <w:sz w:val="20"/>
                <w:szCs w:val="20"/>
              </w:rPr>
              <w:br/>
            </w:r>
            <w:r w:rsidRPr="005762E6">
              <w:rPr>
                <w:sz w:val="20"/>
                <w:szCs w:val="20"/>
              </w:rPr>
              <w:br/>
            </w:r>
            <w:r w:rsidRPr="005762E6">
              <w:rPr>
                <w:b/>
                <w:bCs/>
                <w:sz w:val="20"/>
                <w:szCs w:val="20"/>
              </w:rPr>
              <w:t>Keywords:</w:t>
            </w:r>
            <w:r w:rsidRPr="005762E6">
              <w:rPr>
                <w:sz w:val="20"/>
                <w:szCs w:val="20"/>
              </w:rPr>
              <w:br/>
              <w:t>article,​cardiovascular risk,​clinical trial,​coping behavior,​decision making,​depression/dt [Drug Therapy],​drug blood level,​drug efficacy,​drug safety,​environmental exposure,​expectation,​health hazard,​health program,​health promotion,​health survey,​high risk patient,​human,​Human immunodeficiency virus infection,​lead poisoning,​medical decision making,​*medical research,​nicotine replacement therapy,​packaging,​passive smoking,​patient compliance,​practice guideline,​prediction,​prescription,​priority journal,​questionnaire,​race difference,​relapse,​risk assessment,​risk factor,​risk reduction,​sex difference,​smoking cessation,​social belief,​social control,​socioeconomics,​tobacco,​*tobacco dependence/dt [Drug Therapy],​*tobacco dependence/et [Etiology],​tobacco industry,​withdrawal syndrome,​amfebutamone/dt [Drug Therapy],​clonidine/dt [Drug Therapy],​cotinine/cr [Drug Concentration],​drug metabolite/cr [Drug Concentration],​lead/to [Drug Toxicity],​menthol,​*nicotine/ct [Clinical Trial],​*nicotine/dt [Drug Therapy],​*nicotine/vi [Intravitreal Drug Administration],​*nicotine/tp [Topical Drug Administration],​non prescription drug,​nortriptyline/ct [Clinical Trial],​nortriptyline/dt [Drug Therapy]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68A134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77E18E" w14:textId="77777777" w:rsidR="007F0AE0" w:rsidRPr="005762E6" w:rsidRDefault="007F0AE0" w:rsidP="00453DE3">
            <w:pPr>
              <w:spacing w:after="120" w:line="240" w:lineRule="auto"/>
              <w:contextualSpacing/>
              <w:rPr>
                <w:sz w:val="20"/>
                <w:szCs w:val="20"/>
              </w:rPr>
            </w:pPr>
            <w:r w:rsidRPr="005762E6">
              <w:rPr>
                <w:sz w:val="20"/>
                <w:szCs w:val="20"/>
              </w:rPr>
              <w:t>170</w:t>
            </w:r>
          </w:p>
        </w:tc>
        <w:tc>
          <w:tcPr>
            <w:tcW w:w="0" w:type="auto"/>
            <w:tcBorders>
              <w:top w:val="single" w:sz="6" w:space="0" w:color="auto"/>
              <w:left w:val="single" w:sz="6" w:space="0" w:color="auto"/>
              <w:bottom w:val="single" w:sz="6" w:space="0" w:color="auto"/>
              <w:right w:val="single" w:sz="6" w:space="0" w:color="auto"/>
            </w:tcBorders>
          </w:tcPr>
          <w:p w14:paraId="0914EEF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2110B1"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2004;6:S279.</w:t>
            </w:r>
            <w:r w:rsidRPr="005762E6">
              <w:rPr>
                <w:sz w:val="20"/>
                <w:szCs w:val="20"/>
              </w:rPr>
              <w:br/>
            </w:r>
            <w:r w:rsidRPr="005762E6">
              <w:rPr>
                <w:sz w:val="20"/>
                <w:szCs w:val="20"/>
              </w:rPr>
              <w:br/>
            </w:r>
            <w:r w:rsidRPr="005762E6">
              <w:rPr>
                <w:b/>
                <w:bCs/>
                <w:sz w:val="20"/>
                <w:szCs w:val="20"/>
              </w:rPr>
              <w:t>Keywords:</w:t>
            </w:r>
            <w:r w:rsidRPr="005762E6">
              <w:rPr>
                <w:sz w:val="20"/>
                <w:szCs w:val="20"/>
              </w:rPr>
              <w:br/>
              <w:t>advertising,​article,​carcinogenesis,​cigarette smoking,​college student,​drug cost,​drug dependence,​drug safety,​education program,​filter design,​health education,​health hazard,​human,​medical research,​motivation,​mouth ulcer/si [Side Effect],​nicotine replacement therapy,​patient attitude,​patient education,​postal mail,​priority journal,​public health service,​reading,​recall,​risk assessment,​scoring system,​smoking cessation,​telephone,​*tobacco dependence/dr [Drug Resistance],​*tobacco dependence/dt [Drug Therapy],​amfebutamone/dt [Drug Therapy],​menthol,​nicotine/to [Drug Toxicity],​nicotine derivative/dt [Drug Therapy],​nicotine derivative/dm [Disease Management],​nicotine derivative/tp [Topical Drug Administration],​nicotine gum/ae [Adverse Drug Reaction],​nicotine gum/dt [Drug Therapy],​nicotine gum/dm [Disease Management],​tar</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D912F7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12F88C" w14:textId="77777777" w:rsidR="007F0AE0" w:rsidRPr="005762E6" w:rsidRDefault="007F0AE0" w:rsidP="00453DE3">
            <w:pPr>
              <w:spacing w:after="120" w:line="240" w:lineRule="auto"/>
              <w:contextualSpacing/>
              <w:rPr>
                <w:sz w:val="20"/>
                <w:szCs w:val="20"/>
              </w:rPr>
            </w:pPr>
            <w:r w:rsidRPr="005762E6">
              <w:rPr>
                <w:sz w:val="20"/>
                <w:szCs w:val="20"/>
              </w:rPr>
              <w:t>171</w:t>
            </w:r>
          </w:p>
        </w:tc>
        <w:tc>
          <w:tcPr>
            <w:tcW w:w="0" w:type="auto"/>
            <w:tcBorders>
              <w:top w:val="single" w:sz="6" w:space="0" w:color="auto"/>
              <w:left w:val="single" w:sz="6" w:space="0" w:color="auto"/>
              <w:bottom w:val="single" w:sz="6" w:space="0" w:color="auto"/>
              <w:right w:val="single" w:sz="6" w:space="0" w:color="auto"/>
            </w:tcBorders>
          </w:tcPr>
          <w:p w14:paraId="64D5C43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7D62688" w14:textId="77777777" w:rsidR="007F0AE0" w:rsidRPr="005762E6" w:rsidRDefault="007F0AE0" w:rsidP="00453DE3">
            <w:pPr>
              <w:spacing w:after="120" w:line="240" w:lineRule="auto"/>
              <w:contextualSpacing/>
              <w:rPr>
                <w:sz w:val="20"/>
                <w:szCs w:val="20"/>
              </w:rPr>
            </w:pPr>
            <w:r w:rsidRPr="005762E6">
              <w:rPr>
                <w:sz w:val="20"/>
                <w:szCs w:val="20"/>
              </w:rPr>
              <w:t>Castro F.G. Erratum: "Physiological,​ psychological,​ social,​ and cultural influences on the use of menthol cigarettes among Blacks and Hispanics" (Nicotine &amp; Tobacco Research (2004) (S30-S43)). Nicotine and Tobacco Research; 2004;6:575.</w:t>
            </w:r>
            <w:r w:rsidRPr="005762E6">
              <w:rPr>
                <w:sz w:val="20"/>
                <w:szCs w:val="20"/>
              </w:rPr>
              <w:br/>
            </w:r>
            <w:r w:rsidRPr="005762E6">
              <w:rPr>
                <w:sz w:val="20"/>
                <w:szCs w:val="20"/>
              </w:rPr>
              <w:br/>
            </w:r>
            <w:r w:rsidRPr="005762E6">
              <w:rPr>
                <w:b/>
                <w:bCs/>
                <w:sz w:val="20"/>
                <w:szCs w:val="20"/>
              </w:rPr>
              <w:t>Keywords:</w:t>
            </w:r>
            <w:r w:rsidRPr="005762E6">
              <w:rPr>
                <w:sz w:val="20"/>
                <w:szCs w:val="20"/>
              </w:rPr>
              <w:br/>
              <w:t>erratum,​*error,​priority journal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3D7DC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D685AD" w14:textId="77777777" w:rsidR="007F0AE0" w:rsidRPr="005762E6" w:rsidRDefault="007F0AE0" w:rsidP="00453DE3">
            <w:pPr>
              <w:spacing w:after="120" w:line="240" w:lineRule="auto"/>
              <w:contextualSpacing/>
              <w:rPr>
                <w:sz w:val="20"/>
                <w:szCs w:val="20"/>
              </w:rPr>
            </w:pPr>
            <w:r w:rsidRPr="005762E6">
              <w:rPr>
                <w:sz w:val="20"/>
                <w:szCs w:val="20"/>
              </w:rPr>
              <w:t>173</w:t>
            </w:r>
          </w:p>
        </w:tc>
        <w:tc>
          <w:tcPr>
            <w:tcW w:w="0" w:type="auto"/>
            <w:tcBorders>
              <w:top w:val="single" w:sz="6" w:space="0" w:color="auto"/>
              <w:left w:val="single" w:sz="6" w:space="0" w:color="auto"/>
              <w:bottom w:val="single" w:sz="6" w:space="0" w:color="auto"/>
              <w:right w:val="single" w:sz="6" w:space="0" w:color="auto"/>
            </w:tcBorders>
          </w:tcPr>
          <w:p w14:paraId="41D3268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79B314" w14:textId="77777777" w:rsidR="007F0AE0" w:rsidRPr="005762E6" w:rsidRDefault="007F0AE0" w:rsidP="00453DE3">
            <w:pPr>
              <w:spacing w:after="120" w:line="240" w:lineRule="auto"/>
              <w:contextualSpacing/>
              <w:rPr>
                <w:sz w:val="20"/>
                <w:szCs w:val="20"/>
              </w:rPr>
            </w:pPr>
            <w:r w:rsidRPr="005762E6">
              <w:rPr>
                <w:sz w:val="20"/>
                <w:szCs w:val="20"/>
              </w:rPr>
              <w:t>Gonzalez Castro F. Physiological,​ psychological,​ social,​ and cultural influences on the use of menthol cigarettes among Blacks and Hispanics. Nicotine and Tobacco Research; 2004;6:S29.</w:t>
            </w:r>
            <w:r w:rsidRPr="005762E6">
              <w:rPr>
                <w:sz w:val="20"/>
                <w:szCs w:val="20"/>
              </w:rPr>
              <w:br/>
            </w:r>
            <w:r w:rsidRPr="005762E6">
              <w:rPr>
                <w:sz w:val="20"/>
                <w:szCs w:val="20"/>
              </w:rPr>
              <w:br/>
            </w:r>
            <w:r w:rsidRPr="005762E6">
              <w:rPr>
                <w:b/>
                <w:bCs/>
                <w:sz w:val="20"/>
                <w:szCs w:val="20"/>
              </w:rPr>
              <w:t>Keywords:</w:t>
            </w:r>
            <w:r w:rsidRPr="005762E6">
              <w:rPr>
                <w:sz w:val="20"/>
                <w:szCs w:val="20"/>
              </w:rPr>
              <w:br/>
              <w:t>article,​*cigarette smoking,​cocaine dependence,​coping behavior,​cultural factor,​environmental factor,​ethnic difference,​habituation,​Hispanic,​human,​marketing,​motivation,​Negro,​prediction,​priority journal,​psychological aspect,​reinforcement,​risk factor,​sensory stimulation,​sex difference,​social aspect,​social psychology,​social status,​stress,​tobacco dependence,​traditional medicine,​*menthol,​vicks vapo rub</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Patterns of menthol cigarette consumption among Blacks and Hispanics are likely a product of the interactive effects of several factors: the physiological and pharmacological sensory effects of menthol,​ the "cool" psychological identity of being menthol smokers,​ the promotional marketing of menthol cigarettes,​ and the cultural effects of health-related beliefs and subjective culture norms. This article presents two conceptual frameworks - a moderation logic model and a mediation logic model - for organizing the disparate literature on </w:t>
            </w:r>
            <w:r w:rsidRPr="005762E6">
              <w:rPr>
                <w:sz w:val="20"/>
                <w:szCs w:val="20"/>
              </w:rPr>
              <w:lastRenderedPageBreak/>
              <w:t>factors affecting the consumption of menthol cigarettes among Blacks and Hispanics. Three factor domains are examined as direct effect predictors of menthol cigarette smoking: (a) physiological and pharmacological,​ (b) psychological,​ and (c) social and environmental. In addition,​ a fourth domain of cultural variables is presented as a class of moderator or mediator variables that can interact with these physiological,​ psychological,​ and social factors as determinants of menthol cigarette use. These cultural variables are examined as mediating or moderating factors that influence the use of menthol cigarettes by Black and Hispanic consumers. Recommendations are offered for future research to further understand the influence of cultural and other factors as determinants of menthol cigarette smoking among Blacks and Hispanics. © 2004 Society for Research on Nicotine and Tobacco.</w:t>
            </w:r>
          </w:p>
        </w:tc>
      </w:tr>
      <w:tr w:rsidR="007F0AE0" w:rsidRPr="005762E6" w14:paraId="259239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2AA413" w14:textId="77777777" w:rsidR="007F0AE0" w:rsidRPr="005762E6" w:rsidRDefault="007F0AE0" w:rsidP="00453DE3">
            <w:pPr>
              <w:spacing w:after="120" w:line="240" w:lineRule="auto"/>
              <w:contextualSpacing/>
              <w:rPr>
                <w:sz w:val="20"/>
                <w:szCs w:val="20"/>
              </w:rPr>
            </w:pPr>
            <w:r w:rsidRPr="005762E6">
              <w:rPr>
                <w:sz w:val="20"/>
                <w:szCs w:val="20"/>
              </w:rPr>
              <w:lastRenderedPageBreak/>
              <w:t>174</w:t>
            </w:r>
          </w:p>
        </w:tc>
        <w:tc>
          <w:tcPr>
            <w:tcW w:w="0" w:type="auto"/>
            <w:tcBorders>
              <w:top w:val="single" w:sz="6" w:space="0" w:color="auto"/>
              <w:left w:val="single" w:sz="6" w:space="0" w:color="auto"/>
              <w:bottom w:val="single" w:sz="6" w:space="0" w:color="auto"/>
              <w:right w:val="single" w:sz="6" w:space="0" w:color="auto"/>
            </w:tcBorders>
          </w:tcPr>
          <w:p w14:paraId="3DE558A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286B9CA" w14:textId="77777777" w:rsidR="007F0AE0" w:rsidRPr="005762E6" w:rsidRDefault="007F0AE0" w:rsidP="00453DE3">
            <w:pPr>
              <w:spacing w:after="120" w:line="240" w:lineRule="auto"/>
              <w:contextualSpacing/>
              <w:rPr>
                <w:sz w:val="20"/>
                <w:szCs w:val="20"/>
              </w:rPr>
            </w:pPr>
            <w:r w:rsidRPr="005762E6">
              <w:rPr>
                <w:sz w:val="20"/>
                <w:szCs w:val="20"/>
              </w:rPr>
              <w:t>Sutton C.D.,​Robinson R.G. The marketing of menthol cigarettes in the United States: Population,​ messages,​ and channels. Nicotine and Tobacco Research; 2004;6:S83.</w:t>
            </w:r>
            <w:r w:rsidRPr="005762E6">
              <w:rPr>
                <w:sz w:val="20"/>
                <w:szCs w:val="20"/>
              </w:rPr>
              <w:br/>
            </w:r>
            <w:r w:rsidRPr="005762E6">
              <w:rPr>
                <w:sz w:val="20"/>
                <w:szCs w:val="20"/>
              </w:rPr>
              <w:br/>
            </w:r>
            <w:r w:rsidRPr="005762E6">
              <w:rPr>
                <w:b/>
                <w:bCs/>
                <w:sz w:val="20"/>
                <w:szCs w:val="20"/>
              </w:rPr>
              <w:t>Keywords:</w:t>
            </w:r>
            <w:r w:rsidRPr="005762E6">
              <w:rPr>
                <w:sz w:val="20"/>
                <w:szCs w:val="20"/>
              </w:rPr>
              <w:br/>
              <w:t>advertising,​African American,​article,​*cigarette smoking,​ethnic difference,​high risk population,​human,​primary prevention,​priority journal,​public health,​self-concept,​smoking cessation,​*social marketing,​United States,​*menthol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commentary looks at the marketing menthol cigarettes to various targeted populations - women,​ middle school youth and Asian/Pacific Islander immigrants as well as African Americans. The authors take the position that "ethnic awareness" as evidenced in the advertising of menthol cigarette brands to African Americans is just one of four distinct messages that tobacco marketers have used for what they have termed the "coolness" category. The other messages are: healthy/medicinal; fresh/refreshing/cool/clean/crisp; and youthfulness/silliness and fun. The commentary poses three questions: (a) Are new population segments being steered toward menthol cigarettes using marketing approaches that are similar to what has occurred with African Americans and women? (b) What exactly is the relationship between the marketing of menthol cigarettes and subsequent use of menthol tobacco products by specific population subgroups? (c) Are there lessons to be learned from the marketing of menthol cigarettes that can be used to improve the public health and medical communities' smoking cessation and tobacco use prevention communications efforts? © 2004 Society for Research on Nicotine and Tobacco.</w:t>
            </w:r>
          </w:p>
        </w:tc>
      </w:tr>
      <w:tr w:rsidR="007F0AE0" w:rsidRPr="005762E6" w14:paraId="11CC757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C4EDC5" w14:textId="77777777" w:rsidR="007F0AE0" w:rsidRPr="005762E6" w:rsidRDefault="007F0AE0" w:rsidP="00453DE3">
            <w:pPr>
              <w:spacing w:after="120" w:line="240" w:lineRule="auto"/>
              <w:contextualSpacing/>
              <w:rPr>
                <w:sz w:val="20"/>
                <w:szCs w:val="20"/>
              </w:rPr>
            </w:pPr>
            <w:r w:rsidRPr="005762E6">
              <w:rPr>
                <w:sz w:val="20"/>
                <w:szCs w:val="20"/>
              </w:rPr>
              <w:t>176</w:t>
            </w:r>
          </w:p>
        </w:tc>
        <w:tc>
          <w:tcPr>
            <w:tcW w:w="0" w:type="auto"/>
            <w:tcBorders>
              <w:top w:val="single" w:sz="6" w:space="0" w:color="auto"/>
              <w:left w:val="single" w:sz="6" w:space="0" w:color="auto"/>
              <w:bottom w:val="single" w:sz="6" w:space="0" w:color="auto"/>
              <w:right w:val="single" w:sz="6" w:space="0" w:color="auto"/>
            </w:tcBorders>
          </w:tcPr>
          <w:p w14:paraId="1EE2930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2E71B0" w14:textId="77777777" w:rsidR="007F0AE0" w:rsidRPr="005762E6" w:rsidRDefault="007F0AE0" w:rsidP="00453DE3">
            <w:pPr>
              <w:spacing w:after="120" w:line="240" w:lineRule="auto"/>
              <w:contextualSpacing/>
              <w:rPr>
                <w:sz w:val="20"/>
                <w:szCs w:val="20"/>
              </w:rPr>
            </w:pPr>
            <w:r w:rsidRPr="005762E6">
              <w:rPr>
                <w:sz w:val="20"/>
                <w:szCs w:val="20"/>
              </w:rPr>
              <w:t>Brandwein-Gensler M.,​Hille J.J. Behind the cover: The guthka story. Archives of Otolaryngology - Head and Neck Surgery; 2003;129:699.</w:t>
            </w:r>
            <w:r w:rsidRPr="005762E6">
              <w:rPr>
                <w:sz w:val="20"/>
                <w:szCs w:val="20"/>
              </w:rPr>
              <w:br/>
            </w:r>
            <w:r w:rsidRPr="005762E6">
              <w:rPr>
                <w:sz w:val="20"/>
                <w:szCs w:val="20"/>
              </w:rPr>
              <w:br/>
            </w:r>
            <w:r w:rsidRPr="005762E6">
              <w:rPr>
                <w:b/>
                <w:bCs/>
                <w:sz w:val="20"/>
                <w:szCs w:val="20"/>
              </w:rPr>
              <w:t>Keywords:</w:t>
            </w:r>
            <w:r w:rsidRPr="005762E6">
              <w:rPr>
                <w:sz w:val="20"/>
                <w:szCs w:val="20"/>
              </w:rPr>
              <w:br/>
              <w:t>addiction,​Asia,​betel nut,​cacao,​cardamom,​catalysis,​cigarette smoking,​clove,​drug industry,​drug packaging,​health survey,​human,​income,​India,​Indonesia,​mastication,​mouth cancer/si [Side Effect],​note,​pepper,​plant leaf,​politics,​powder,​purchasing,​saliva,​salivation,​spice,​sucking,​Thailand,​tobacco,​tobacco industry,​United States,​arecoline/pd [Pharmacology],​calcium hydroxide,​calcium oxide,​central stimulant agent,​cholinergic receptor stimulating agent/pd [Pharmacology],​digestant/dm [Disease Management],​digestant/pd [Pharmacology],​essential oil,​eugenol/pd [Pharmacology],​flavoring agent,​limestone,​menthol,​perfume,​phenol,​*plant extract/ae [Adverse Drug Reaction],​*plant extract/dm [Disease Management],​*plant extract/pd [Pharmacology],​preservative,​sweetening agent,​unclassified drug,​*guthka/ae [Adverse Drug Reaction],​*guthka/dm [Disease Management],​*guthka/pd [Pharmacology],​pan masala/dm [Disease Management],​pan masala/pd [Pharmacology]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64FEA73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BC2E18B" w14:textId="77777777" w:rsidR="007F0AE0" w:rsidRPr="005762E6" w:rsidRDefault="007F0AE0" w:rsidP="00453DE3">
            <w:pPr>
              <w:spacing w:after="120" w:line="240" w:lineRule="auto"/>
              <w:contextualSpacing/>
              <w:rPr>
                <w:sz w:val="20"/>
                <w:szCs w:val="20"/>
              </w:rPr>
            </w:pPr>
            <w:r w:rsidRPr="005762E6">
              <w:rPr>
                <w:sz w:val="20"/>
                <w:szCs w:val="20"/>
              </w:rPr>
              <w:t>177</w:t>
            </w:r>
          </w:p>
        </w:tc>
        <w:tc>
          <w:tcPr>
            <w:tcW w:w="0" w:type="auto"/>
            <w:tcBorders>
              <w:top w:val="single" w:sz="6" w:space="0" w:color="auto"/>
              <w:left w:val="single" w:sz="6" w:space="0" w:color="auto"/>
              <w:bottom w:val="single" w:sz="6" w:space="0" w:color="auto"/>
              <w:right w:val="single" w:sz="6" w:space="0" w:color="auto"/>
            </w:tcBorders>
          </w:tcPr>
          <w:p w14:paraId="2E537BB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BF17BE" w14:textId="77777777" w:rsidR="007F0AE0" w:rsidRPr="005762E6" w:rsidRDefault="007F0AE0" w:rsidP="00453DE3">
            <w:pPr>
              <w:spacing w:after="120" w:line="240" w:lineRule="auto"/>
              <w:contextualSpacing/>
              <w:rPr>
                <w:sz w:val="20"/>
                <w:szCs w:val="20"/>
              </w:rPr>
            </w:pPr>
            <w:r w:rsidRPr="005762E6">
              <w:rPr>
                <w:sz w:val="20"/>
                <w:szCs w:val="20"/>
              </w:rPr>
              <w:t>Hebert J.R. Invited commentary: Menthol cigarettes and risk of lung cancer. American Journal of Epidemiology; 2003;158:617.</w:t>
            </w:r>
            <w:r w:rsidRPr="005762E6">
              <w:rPr>
                <w:sz w:val="20"/>
                <w:szCs w:val="20"/>
              </w:rPr>
              <w:br/>
            </w:r>
            <w:r w:rsidRPr="005762E6">
              <w:rPr>
                <w:sz w:val="20"/>
                <w:szCs w:val="20"/>
              </w:rPr>
              <w:br/>
            </w:r>
            <w:r w:rsidRPr="005762E6">
              <w:rPr>
                <w:b/>
                <w:bCs/>
                <w:sz w:val="20"/>
                <w:szCs w:val="20"/>
              </w:rPr>
              <w:t>Keywords:</w:t>
            </w:r>
            <w:r w:rsidRPr="005762E6">
              <w:rPr>
                <w:sz w:val="20"/>
                <w:szCs w:val="20"/>
              </w:rPr>
              <w:br/>
              <w:t>cancer epidemiology,​cancer incidence,​cancer mortality,​*cancer risk,​carcinogenicity,​*cigarette smoking,​human,​lifestyle,​*lung carcinogenesis,​note,​public health,​race difference,​risk assessment,​*smoking habit,​socioeconomics,​*menthol/to [Drug Toxicity]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0694B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60F478" w14:textId="77777777" w:rsidR="007F0AE0" w:rsidRPr="005762E6" w:rsidRDefault="007F0AE0" w:rsidP="00453DE3">
            <w:pPr>
              <w:spacing w:after="120" w:line="240" w:lineRule="auto"/>
              <w:contextualSpacing/>
              <w:rPr>
                <w:sz w:val="20"/>
                <w:szCs w:val="20"/>
              </w:rPr>
            </w:pPr>
            <w:r w:rsidRPr="005762E6">
              <w:rPr>
                <w:sz w:val="20"/>
                <w:szCs w:val="20"/>
              </w:rPr>
              <w:lastRenderedPageBreak/>
              <w:t>181</w:t>
            </w:r>
          </w:p>
        </w:tc>
        <w:tc>
          <w:tcPr>
            <w:tcW w:w="0" w:type="auto"/>
            <w:tcBorders>
              <w:top w:val="single" w:sz="6" w:space="0" w:color="auto"/>
              <w:left w:val="single" w:sz="6" w:space="0" w:color="auto"/>
              <w:bottom w:val="single" w:sz="6" w:space="0" w:color="auto"/>
              <w:right w:val="single" w:sz="6" w:space="0" w:color="auto"/>
            </w:tcBorders>
          </w:tcPr>
          <w:p w14:paraId="5A8F681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A9A66DF" w14:textId="77777777" w:rsidR="007F0AE0" w:rsidRPr="005762E6" w:rsidRDefault="007F0AE0" w:rsidP="00453DE3">
            <w:pPr>
              <w:spacing w:after="120" w:line="240" w:lineRule="auto"/>
              <w:contextualSpacing/>
              <w:rPr>
                <w:sz w:val="20"/>
                <w:szCs w:val="20"/>
              </w:rPr>
            </w:pPr>
            <w:r w:rsidRPr="005762E6">
              <w:rPr>
                <w:sz w:val="20"/>
                <w:szCs w:val="20"/>
              </w:rPr>
              <w:t>Pickworth W.B.,​Moolchan E.T.,​Berlin I.,​Murty R. Sensory and physiologic effects of menthol and nonmenthol cigarettes with differing nicotine delivery. Pharmacology Biochemistry and Behavior; 2002;71:55.</w:t>
            </w:r>
            <w:r w:rsidRPr="005762E6">
              <w:rPr>
                <w:sz w:val="20"/>
                <w:szCs w:val="20"/>
              </w:rPr>
              <w:br/>
            </w:r>
            <w:r w:rsidRPr="005762E6">
              <w:rPr>
                <w:sz w:val="20"/>
                <w:szCs w:val="20"/>
              </w:rPr>
              <w:br/>
            </w:r>
            <w:r w:rsidRPr="005762E6">
              <w:rPr>
                <w:b/>
                <w:bCs/>
                <w:sz w:val="20"/>
                <w:szCs w:val="20"/>
              </w:rPr>
              <w:t>Keywords:</w:t>
            </w:r>
            <w:r w:rsidRPr="005762E6">
              <w:rPr>
                <w:sz w:val="20"/>
                <w:szCs w:val="20"/>
              </w:rPr>
              <w:br/>
              <w:t>article,​*cigarette smoking,​commercial phenomena,​controlled study,​expired air,​female,​heart rate,​human,​human experiment,​male,​medical research,​neurophysiology,​normal human,​priority journal,​reward,​smoking cessation,​strength,​topography,​withdrawal syndrome,​carbon monoxide,​*menthol,​*nicotine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Many smokers choose menthol-flavored cigarettes,​ however,​ the influence of menthol on the effects of smoke-delivered nicotine is unknown. Research and commercial cigarettes,​ menthol and nonmenthol,​ that delivered a wide range of nicotine were evaluated. Menthol (n=18) and nonmenthol (n=18) cigarette smokers participated in a single session during which three cigarettes were smoked 45 min apart,​ in random order. Federal Trade Commission (FTC) nicotine yields of the three cigarettes were: research,​ low yield,​ 0.2 mg,​ commercial cigarettes (average),​ 1.2 mg; research,​ high yield,​ 2.5 mg. Commercial and high-yield cigarettes increased heart rate (HR) and blood pressure more than low-yield cigarettes; although,​ no differences in exhaled carbon monoxide (CO) occurred. Participants smoked commercial cigarettes faster and with fewer puffs than either of the research cigarette indicating production differences can affect topography. There was a significant group by cigarette interaction on satisfaction,​ and relief from cigarette craving. High-yield nonmenthol cigarettes reduced craving and were rated as more satisfying than high-yield menthol cigarettes. No differences between menthol and nonmenthol cigarettes on other subjective measures (strength,​ psychological reward,​ negative effects) were observed. Our findings indicate that nicotine delivery,​ but not mentholation,​ influences cardiovascular and most subjective measures. These results illustrate the importance of threshold levels of nicotine on subjective responses to cigarette smoking. © 2002 Elsevier Science Inc. All rights reserved.</w:t>
            </w:r>
          </w:p>
        </w:tc>
      </w:tr>
      <w:tr w:rsidR="007F0AE0" w:rsidRPr="005762E6" w14:paraId="1171C76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79F3EF" w14:textId="77777777" w:rsidR="007F0AE0" w:rsidRPr="005762E6" w:rsidRDefault="007F0AE0" w:rsidP="00453DE3">
            <w:pPr>
              <w:spacing w:after="120" w:line="240" w:lineRule="auto"/>
              <w:contextualSpacing/>
              <w:rPr>
                <w:sz w:val="20"/>
                <w:szCs w:val="20"/>
              </w:rPr>
            </w:pPr>
            <w:r w:rsidRPr="005762E6">
              <w:rPr>
                <w:sz w:val="20"/>
                <w:szCs w:val="20"/>
              </w:rPr>
              <w:t>182</w:t>
            </w:r>
          </w:p>
        </w:tc>
        <w:tc>
          <w:tcPr>
            <w:tcW w:w="0" w:type="auto"/>
            <w:tcBorders>
              <w:top w:val="single" w:sz="6" w:space="0" w:color="auto"/>
              <w:left w:val="single" w:sz="6" w:space="0" w:color="auto"/>
              <w:bottom w:val="single" w:sz="6" w:space="0" w:color="auto"/>
              <w:right w:val="single" w:sz="6" w:space="0" w:color="auto"/>
            </w:tcBorders>
          </w:tcPr>
          <w:p w14:paraId="1B8FC51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888561" w14:textId="77777777" w:rsidR="007F0AE0" w:rsidRPr="005762E6" w:rsidRDefault="007F0AE0" w:rsidP="00453DE3">
            <w:pPr>
              <w:spacing w:after="120" w:line="240" w:lineRule="auto"/>
              <w:contextualSpacing/>
              <w:rPr>
                <w:sz w:val="20"/>
                <w:szCs w:val="20"/>
              </w:rPr>
            </w:pPr>
            <w:r w:rsidRPr="005762E6">
              <w:rPr>
                <w:sz w:val="20"/>
                <w:szCs w:val="20"/>
              </w:rPr>
              <w:t>Hebert R. What's new in Nicotine &amp; Tobacco Research?. Nicotine and Tobacco Research; 2002;4:385.</w:t>
            </w:r>
            <w:r w:rsidRPr="005762E6">
              <w:rPr>
                <w:sz w:val="20"/>
                <w:szCs w:val="20"/>
              </w:rPr>
              <w:br/>
            </w:r>
            <w:r w:rsidRPr="005762E6">
              <w:rPr>
                <w:sz w:val="20"/>
                <w:szCs w:val="20"/>
              </w:rPr>
              <w:br/>
            </w:r>
            <w:r w:rsidRPr="005762E6">
              <w:rPr>
                <w:b/>
                <w:bCs/>
                <w:sz w:val="20"/>
                <w:szCs w:val="20"/>
              </w:rPr>
              <w:t>Keywords:</w:t>
            </w:r>
            <w:r w:rsidRPr="005762E6">
              <w:rPr>
                <w:sz w:val="20"/>
                <w:szCs w:val="20"/>
              </w:rPr>
              <w:br/>
              <w:t>alcohol consumption,​behavior therapy,​body mass,​cardiovascular risk,​Caucasian,​chronic obstructive lung disease,​*cigarette smoking,​coughing/si [Side Effect],​device,​drug blood level,​drug efficacy,​drug half-life,​drug safety,​fracture,​health hazard,​human,​medical research,​methodology,​Negro,​nicotine replacement therapy,​note,​osteolysis,​osteoporosis,​outcomes research,​patient compliance,​pharyngitis/si [Side Effect],​priority journal,​quality of life,​race difference,​risk factor,​*smoking cessation,​sore throat/si [Side Effect],​tobacco,​*tobacco dependence/dt [Drug Therapy],​*tobacco dependence/su [Surgery],​weight gain,​xerostomia/si [Side Effect],​alcohol,​biological marker/ec [Endogenous Compound],​cholesterol/ec [Endogenous Compound],​cotinine/pk [Pharmacokinetics],​high density lipoprotein/ec [Endogenous Compound],​leptin/ec [Endogenous Compound],​menthol,​nicotine/ae [Adverse Drug Reaction],​nicotine/cr [Drug Concentration],​nicotine/dt [Drug Therapy],​nicotine/ei [Epidural Drug Administration],​nicotine/vi [Intravitreal Drug Administration],​nicotine/pk [Pharmacokinetics],​nicotine/tp [Topical Drug Administration],​nicotine gum/dt [Drug Therapy],​placebo,​sex hormone binding globulin/ec [Endogenous Compound]</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B81BC6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FBD3A5" w14:textId="77777777" w:rsidR="007F0AE0" w:rsidRPr="005762E6" w:rsidRDefault="007F0AE0" w:rsidP="00453DE3">
            <w:pPr>
              <w:spacing w:after="120" w:line="240" w:lineRule="auto"/>
              <w:contextualSpacing/>
              <w:rPr>
                <w:sz w:val="20"/>
                <w:szCs w:val="20"/>
              </w:rPr>
            </w:pPr>
            <w:r w:rsidRPr="005762E6">
              <w:rPr>
                <w:sz w:val="20"/>
                <w:szCs w:val="20"/>
              </w:rPr>
              <w:t>186</w:t>
            </w:r>
          </w:p>
        </w:tc>
        <w:tc>
          <w:tcPr>
            <w:tcW w:w="0" w:type="auto"/>
            <w:tcBorders>
              <w:top w:val="single" w:sz="6" w:space="0" w:color="auto"/>
              <w:left w:val="single" w:sz="6" w:space="0" w:color="auto"/>
              <w:bottom w:val="single" w:sz="6" w:space="0" w:color="auto"/>
              <w:right w:val="single" w:sz="6" w:space="0" w:color="auto"/>
            </w:tcBorders>
          </w:tcPr>
          <w:p w14:paraId="5BF34C3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C09E33" w14:textId="77777777" w:rsidR="007F0AE0" w:rsidRPr="005762E6" w:rsidRDefault="007F0AE0" w:rsidP="00453DE3">
            <w:pPr>
              <w:spacing w:after="120" w:line="240" w:lineRule="auto"/>
              <w:contextualSpacing/>
              <w:rPr>
                <w:sz w:val="20"/>
                <w:szCs w:val="20"/>
              </w:rPr>
            </w:pPr>
            <w:r w:rsidRPr="005762E6">
              <w:rPr>
                <w:sz w:val="20"/>
                <w:szCs w:val="20"/>
              </w:rPr>
              <w:t>Newton G.D.,​Pray W.S.,​Popovich N.G. New OTC drugs and devices: A selective review. As the array of OTC drugs diversifies,​ pharmacists should be prepared to guide patients in selection and use of these products. Journal of the American Pharmaceutical Association; 1997;37:165.</w:t>
            </w:r>
            <w:r w:rsidRPr="005762E6">
              <w:rPr>
                <w:sz w:val="20"/>
                <w:szCs w:val="20"/>
              </w:rPr>
              <w:br/>
            </w:r>
            <w:r w:rsidRPr="005762E6">
              <w:rPr>
                <w:sz w:val="20"/>
                <w:szCs w:val="20"/>
              </w:rPr>
              <w:br/>
            </w:r>
            <w:r w:rsidRPr="005762E6">
              <w:rPr>
                <w:b/>
                <w:bCs/>
                <w:sz w:val="20"/>
                <w:szCs w:val="20"/>
              </w:rPr>
              <w:t>Keywords:</w:t>
            </w:r>
            <w:r w:rsidRPr="005762E6">
              <w:rPr>
                <w:sz w:val="20"/>
                <w:szCs w:val="20"/>
              </w:rPr>
              <w:br/>
              <w:t>*patient counseling,​*patient information,​pharmacy,​pyrethrum/cb [Drug Combination],​review,​*self-medication,​smoking cessation,​activated carbon,​actron,​*analgesic agent,​*antacid agent,​*antidiarrheal agent,​butoconazole,​clotrimazole,​docusate sodium,​insulin,​ketoprofen,​*laxative,​miconazole,​minoxidil,​mylanta,​nicotine,​nicotine gum,​nizatidine,​*nonprescription drug,​piperonyl butoxide/cb [Drug Combination],​ranitidine,​*topical agent,​unclassified drug,​insta char,​kaolectrolyte,​menthacin,​methocidin,​pronto</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62129C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B26A0BF" w14:textId="77777777" w:rsidR="007F0AE0" w:rsidRPr="005762E6" w:rsidRDefault="007F0AE0" w:rsidP="00453DE3">
            <w:pPr>
              <w:spacing w:after="120" w:line="240" w:lineRule="auto"/>
              <w:contextualSpacing/>
              <w:rPr>
                <w:sz w:val="20"/>
                <w:szCs w:val="20"/>
              </w:rPr>
            </w:pPr>
            <w:r w:rsidRPr="005762E6">
              <w:rPr>
                <w:sz w:val="20"/>
                <w:szCs w:val="20"/>
              </w:rPr>
              <w:t>188</w:t>
            </w:r>
          </w:p>
        </w:tc>
        <w:tc>
          <w:tcPr>
            <w:tcW w:w="0" w:type="auto"/>
            <w:tcBorders>
              <w:top w:val="single" w:sz="6" w:space="0" w:color="auto"/>
              <w:left w:val="single" w:sz="6" w:space="0" w:color="auto"/>
              <w:bottom w:val="single" w:sz="6" w:space="0" w:color="auto"/>
              <w:right w:val="single" w:sz="6" w:space="0" w:color="auto"/>
            </w:tcBorders>
          </w:tcPr>
          <w:p w14:paraId="13F1C8F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DB7255D" w14:textId="77777777" w:rsidR="007F0AE0" w:rsidRPr="005762E6" w:rsidRDefault="007F0AE0" w:rsidP="00453DE3">
            <w:pPr>
              <w:spacing w:after="120" w:line="240" w:lineRule="auto"/>
              <w:contextualSpacing/>
              <w:rPr>
                <w:sz w:val="20"/>
                <w:szCs w:val="20"/>
              </w:rPr>
            </w:pPr>
            <w:r w:rsidRPr="005762E6">
              <w:rPr>
                <w:sz w:val="20"/>
                <w:szCs w:val="20"/>
              </w:rPr>
              <w:t>Anonymous. Minerva. British Medical Journal; 1995;310:1080.</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alcohol blood level,​army,​behavior modification,​career,​chronic disease,​common cold/su [Surgery],​dietary intake,​*disease activity,​drug intoxication/si [Side Effect],​education,​estrogen therapy,​gene mutation,​human,​hyperglycemia/et [Etiology],​hypertension/ep [Epidemiology],​imaging,​ischemic heart disease/ep [Epidemiology],​learning disorder/di [Diagnosis],​nocturnal enuresis/dt [Drug Therapy],​nocturnal enuresis/su [Surgery],​note,​priority journal,​saliva analysis,​scald,​sex difference,​sexually transmitted disease/ep [Epidemiology],​sexually transmitted disease/pc [Prevention],​smoking,​suicide,​systemic lupus erythematosus/ep [Epidemiology],​United States,​urinary tract infection/di [Diagnosis],​urinary tract infection/et [Etiology],​alcohol,​alpha tocopherol,​argipressin/ae [Adverse Drug Reaction],​argipressin/dt [Drug Therapy],​estrogen,​menthol</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0AE414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4C1AE5" w14:textId="77777777" w:rsidR="007F0AE0" w:rsidRPr="005762E6" w:rsidRDefault="007F0AE0" w:rsidP="00453DE3">
            <w:pPr>
              <w:spacing w:after="120" w:line="240" w:lineRule="auto"/>
              <w:contextualSpacing/>
              <w:rPr>
                <w:sz w:val="20"/>
                <w:szCs w:val="20"/>
              </w:rPr>
            </w:pPr>
            <w:r w:rsidRPr="005762E6">
              <w:rPr>
                <w:sz w:val="20"/>
                <w:szCs w:val="20"/>
              </w:rPr>
              <w:lastRenderedPageBreak/>
              <w:t>189</w:t>
            </w:r>
          </w:p>
        </w:tc>
        <w:tc>
          <w:tcPr>
            <w:tcW w:w="0" w:type="auto"/>
            <w:tcBorders>
              <w:top w:val="single" w:sz="6" w:space="0" w:color="auto"/>
              <w:left w:val="single" w:sz="6" w:space="0" w:color="auto"/>
              <w:bottom w:val="single" w:sz="6" w:space="0" w:color="auto"/>
              <w:right w:val="single" w:sz="6" w:space="0" w:color="auto"/>
            </w:tcBorders>
          </w:tcPr>
          <w:p w14:paraId="4FB0A31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66DE31A" w14:textId="77777777" w:rsidR="007F0AE0" w:rsidRPr="005762E6" w:rsidRDefault="007F0AE0" w:rsidP="00453DE3">
            <w:pPr>
              <w:spacing w:after="120" w:line="240" w:lineRule="auto"/>
              <w:contextualSpacing/>
              <w:rPr>
                <w:sz w:val="20"/>
                <w:szCs w:val="20"/>
              </w:rPr>
            </w:pPr>
            <w:r w:rsidRPr="005762E6">
              <w:rPr>
                <w:sz w:val="20"/>
                <w:szCs w:val="20"/>
              </w:rPr>
              <w:t>Royce J.M.,​Hymowitz N.,​Corbett K.,​Hartwell T.D.,​Orlandi M.A. Smoking cessation factors among African Americans and Whites. American Journal of Public Health; 1993;83:220.</w:t>
            </w:r>
            <w:r w:rsidRPr="005762E6">
              <w:rPr>
                <w:sz w:val="20"/>
                <w:szCs w:val="20"/>
              </w:rPr>
              <w:br/>
            </w:r>
            <w:r w:rsidRPr="005762E6">
              <w:rPr>
                <w:sz w:val="20"/>
                <w:szCs w:val="20"/>
              </w:rPr>
              <w:br/>
            </w:r>
            <w:r w:rsidRPr="005762E6">
              <w:rPr>
                <w:b/>
                <w:bCs/>
                <w:sz w:val="20"/>
                <w:szCs w:val="20"/>
              </w:rPr>
              <w:t>Keywords:</w:t>
            </w:r>
            <w:r w:rsidRPr="005762E6">
              <w:rPr>
                <w:sz w:val="20"/>
                <w:szCs w:val="20"/>
              </w:rPr>
              <w:br/>
              <w:t>adult,​article,​Caucasian,​community care,​*ethnic difference,​female,​human,​male,​Negro,​normal human,​priority journal,​*smoking cessation,​smoking habit,​social problem,​socioeconomics,​*tobacco/to [Drug Toxicity]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This study was undertaken to explore smoking patterns and attitudes that influence smoking cessation and relapse among African Americans. Methods. Baseline data from eight Community Intervention Trial for Smoking Cessation (COMMIT) sites were analyzed. Results. Compared with Whites,​ African Americans who smoke less than 25 cigarettes per day were 1.6 times more likely to smoke within 10 minutes of awakening (a behavioral indicator of nicotine dependence),​ adjusting for education,​ age,​ and gender (OR=1.2 for heavier smokers). African Americans reported a stronger desire to quit smoking and reported serious quit attempts in the past year. African Americans favored tobacco restrictions (they were 1.8 times more likely than Whites to view smoking as a serious community problem,​ 1.7 times more likely to favor restrictions on cigarette vending machines,​ and 2.1 times more likely to prohibit smoking in their car). African Americans were lighter/moderate,​ menthol smokers. Conclusions. African Americans find smoking socially unacceptable and are strongly motivated to quit,​ but their 'wake-up' smoking may indicate high nicotine dependence,​ making abstinence difficult even for lighter smokers.</w:t>
            </w:r>
          </w:p>
        </w:tc>
      </w:tr>
      <w:tr w:rsidR="007F0AE0" w:rsidRPr="005762E6" w14:paraId="5C1976C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0BED2E" w14:textId="77777777" w:rsidR="007F0AE0" w:rsidRPr="005762E6" w:rsidRDefault="007F0AE0" w:rsidP="00453DE3">
            <w:pPr>
              <w:spacing w:after="120" w:line="240" w:lineRule="auto"/>
              <w:contextualSpacing/>
              <w:rPr>
                <w:sz w:val="20"/>
                <w:szCs w:val="20"/>
              </w:rPr>
            </w:pPr>
            <w:r w:rsidRPr="005762E6">
              <w:rPr>
                <w:sz w:val="20"/>
                <w:szCs w:val="20"/>
              </w:rPr>
              <w:t>190</w:t>
            </w:r>
          </w:p>
        </w:tc>
        <w:tc>
          <w:tcPr>
            <w:tcW w:w="0" w:type="auto"/>
            <w:tcBorders>
              <w:top w:val="single" w:sz="6" w:space="0" w:color="auto"/>
              <w:left w:val="single" w:sz="6" w:space="0" w:color="auto"/>
              <w:bottom w:val="single" w:sz="6" w:space="0" w:color="auto"/>
              <w:right w:val="single" w:sz="6" w:space="0" w:color="auto"/>
            </w:tcBorders>
          </w:tcPr>
          <w:p w14:paraId="3C96DF1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2FA6C4D" w14:textId="77777777" w:rsidR="007F0AE0" w:rsidRPr="005762E6" w:rsidRDefault="007F0AE0" w:rsidP="00453DE3">
            <w:pPr>
              <w:spacing w:after="120" w:line="240" w:lineRule="auto"/>
              <w:contextualSpacing/>
              <w:rPr>
                <w:sz w:val="20"/>
                <w:szCs w:val="20"/>
              </w:rPr>
            </w:pPr>
            <w:r w:rsidRPr="005762E6">
              <w:rPr>
                <w:sz w:val="20"/>
                <w:szCs w:val="20"/>
              </w:rPr>
              <w:t>Sidney S.,​Tekawa I.,​Friedman G.D. Mentholated cigarette use among multiphasic examinees,​ 1979-86. American Journal of Public Health; 1989;79:1415.</w:t>
            </w:r>
            <w:r w:rsidRPr="005762E6">
              <w:rPr>
                <w:sz w:val="20"/>
                <w:szCs w:val="20"/>
              </w:rPr>
              <w:br/>
            </w:r>
            <w:r w:rsidRPr="005762E6">
              <w:rPr>
                <w:sz w:val="20"/>
                <w:szCs w:val="20"/>
              </w:rPr>
              <w:br/>
            </w:r>
            <w:r w:rsidRPr="005762E6">
              <w:rPr>
                <w:b/>
                <w:bCs/>
                <w:sz w:val="20"/>
                <w:szCs w:val="20"/>
              </w:rPr>
              <w:t>Keywords:</w:t>
            </w:r>
            <w:r w:rsidRPr="005762E6">
              <w:rPr>
                <w:sz w:val="20"/>
                <w:szCs w:val="20"/>
              </w:rPr>
              <w:br/>
              <w:t>age,​*cancer risk,​*cigarette smoking,​epidemiology,​ethnic or racial aspects,​female,​human,​male,​priority journal,​*race,​United States,​*menthol</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Mentholated cigarette use was studied in relation to age and race in 29,​037 current smokers who were Kaiser Permanente Medical Care Program members. The percentages of mentholated cigarette users were much higher in Blacks and Asians than in Whites,​ especially in the younger age groups. A marked inverse relationship between mentholated cigarette use and age was present in Blacks and Asians; mentholated cigarette use showed little difference with age in Whites.</w:t>
            </w:r>
          </w:p>
        </w:tc>
      </w:tr>
      <w:tr w:rsidR="007F0AE0" w:rsidRPr="005762E6" w14:paraId="10B06DB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ED871B" w14:textId="77777777" w:rsidR="007F0AE0" w:rsidRPr="005762E6" w:rsidRDefault="007F0AE0" w:rsidP="00453DE3">
            <w:pPr>
              <w:spacing w:after="120" w:line="240" w:lineRule="auto"/>
              <w:contextualSpacing/>
              <w:rPr>
                <w:sz w:val="20"/>
                <w:szCs w:val="20"/>
              </w:rPr>
            </w:pPr>
            <w:r w:rsidRPr="005762E6">
              <w:rPr>
                <w:sz w:val="20"/>
                <w:szCs w:val="20"/>
              </w:rPr>
              <w:t>191</w:t>
            </w:r>
          </w:p>
        </w:tc>
        <w:tc>
          <w:tcPr>
            <w:tcW w:w="0" w:type="auto"/>
            <w:tcBorders>
              <w:top w:val="single" w:sz="6" w:space="0" w:color="auto"/>
              <w:left w:val="single" w:sz="6" w:space="0" w:color="auto"/>
              <w:bottom w:val="single" w:sz="6" w:space="0" w:color="auto"/>
              <w:right w:val="single" w:sz="6" w:space="0" w:color="auto"/>
            </w:tcBorders>
          </w:tcPr>
          <w:p w14:paraId="4E6502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40EA3D9" w14:textId="77777777" w:rsidR="007F0AE0" w:rsidRPr="005762E6" w:rsidRDefault="007F0AE0" w:rsidP="00453DE3">
            <w:pPr>
              <w:spacing w:after="120" w:line="240" w:lineRule="auto"/>
              <w:contextualSpacing/>
              <w:rPr>
                <w:sz w:val="20"/>
                <w:szCs w:val="20"/>
              </w:rPr>
            </w:pPr>
            <w:r w:rsidRPr="005762E6">
              <w:rPr>
                <w:sz w:val="20"/>
                <w:szCs w:val="20"/>
              </w:rPr>
              <w:t>McCarthy W.J.,​Caskey N.H.,​Jarvik M.E.,​Perez-Stable E.J.,​Marin B.,​Marin G.,​Benowitz N.,​Wagenknecht L.E.,​Haley N.J.,​Jacobs Jr. D.R. Ethnic differences in nicotine exposure [1]. American Journal of Public Health; 1992;82:1171.</w:t>
            </w:r>
            <w:r w:rsidRPr="005762E6">
              <w:rPr>
                <w:sz w:val="20"/>
                <w:szCs w:val="20"/>
              </w:rPr>
              <w:br/>
            </w:r>
            <w:r w:rsidRPr="005762E6">
              <w:rPr>
                <w:sz w:val="20"/>
                <w:szCs w:val="20"/>
              </w:rPr>
              <w:br/>
            </w:r>
            <w:r w:rsidRPr="005762E6">
              <w:rPr>
                <w:b/>
                <w:bCs/>
                <w:sz w:val="20"/>
                <w:szCs w:val="20"/>
              </w:rPr>
              <w:t>Keywords:</w:t>
            </w:r>
            <w:r w:rsidRPr="005762E6">
              <w:rPr>
                <w:sz w:val="20"/>
                <w:szCs w:val="20"/>
              </w:rPr>
              <w:br/>
              <w:t>*cigarette smoking,​environmental exposure,​human,​inhalation,​letter,​metabolism,​priority journal,​*race difference,​*cotinine/ec [Endogenous Compound],​*menthol,​*nicotine,​tobacco smoke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B564C7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6E9E16" w14:textId="77777777" w:rsidR="007F0AE0" w:rsidRPr="005762E6" w:rsidRDefault="007F0AE0" w:rsidP="00453DE3">
            <w:pPr>
              <w:spacing w:after="120" w:line="240" w:lineRule="auto"/>
              <w:contextualSpacing/>
              <w:rPr>
                <w:sz w:val="20"/>
                <w:szCs w:val="20"/>
              </w:rPr>
            </w:pPr>
            <w:r w:rsidRPr="005762E6">
              <w:rPr>
                <w:sz w:val="20"/>
                <w:szCs w:val="20"/>
              </w:rPr>
              <w:t>192</w:t>
            </w:r>
          </w:p>
        </w:tc>
        <w:tc>
          <w:tcPr>
            <w:tcW w:w="0" w:type="auto"/>
            <w:tcBorders>
              <w:top w:val="single" w:sz="6" w:space="0" w:color="auto"/>
              <w:left w:val="single" w:sz="6" w:space="0" w:color="auto"/>
              <w:bottom w:val="single" w:sz="6" w:space="0" w:color="auto"/>
              <w:right w:val="single" w:sz="6" w:space="0" w:color="auto"/>
            </w:tcBorders>
          </w:tcPr>
          <w:p w14:paraId="3DB3953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D6F8BE3" w14:textId="77777777" w:rsidR="007F0AE0" w:rsidRPr="005762E6" w:rsidRDefault="007F0AE0" w:rsidP="00453DE3">
            <w:pPr>
              <w:spacing w:after="120" w:line="240" w:lineRule="auto"/>
              <w:contextualSpacing/>
              <w:rPr>
                <w:sz w:val="20"/>
                <w:szCs w:val="20"/>
              </w:rPr>
            </w:pPr>
            <w:r w:rsidRPr="005762E6">
              <w:rPr>
                <w:sz w:val="20"/>
                <w:szCs w:val="20"/>
              </w:rPr>
              <w:t>Kabat G.C.,​Morabia A.,​Wynder E.L. Comparison of smoking habits of Blacks and Whites in a case-control study. American Journal of Public Health; 1991;81:1483.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adult,​aged,​article,​case control study,​controlled study,​*heart infarction/ep [Epidemiology],​*heart infarction/et [Etiology],​human,​*larynx cancer/ep [Epidemiology],​*larynx cancer/et [Etiology],​*lung cancer/ep [Epidemiology],​*lung cancer/et [Etiology],​male,​*mouth cancer/ep [Epidemiology],​*mouth cancer/et [Etiology],​normal human,​priority journal,​questionnaire,​*race difference,​*smoking habit,​socioeconomics,​United States,​*menthol/to [Drug Toxicity],​*tar/to [Drug Toxicity]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Information from Blacks and Whites interviewed in a case-control study of tobacco-related diseases was analyzed to identify explanatory factors for racial differences in smoking habits. Blacks were three times more likely to be light vs heavy smokers. This association did not differ according to such variables as cigarette preference,​ degree of inhalation,​ or quitting. The association of race and light smoking was present in both current and ex-smokers. Sociodemographic or smoking-related characteristics do not appear to explain racial differences in smoking habits. Future studies should focus on cultural factors influencing smoking behavior.</w:t>
            </w:r>
          </w:p>
        </w:tc>
      </w:tr>
      <w:tr w:rsidR="007F0AE0" w:rsidRPr="005762E6" w14:paraId="0EC3935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BF881C" w14:textId="77777777" w:rsidR="007F0AE0" w:rsidRPr="005762E6" w:rsidRDefault="007F0AE0" w:rsidP="00453DE3">
            <w:pPr>
              <w:spacing w:after="120" w:line="240" w:lineRule="auto"/>
              <w:contextualSpacing/>
              <w:rPr>
                <w:sz w:val="20"/>
                <w:szCs w:val="20"/>
              </w:rPr>
            </w:pPr>
            <w:r w:rsidRPr="005762E6">
              <w:rPr>
                <w:sz w:val="20"/>
                <w:szCs w:val="20"/>
              </w:rPr>
              <w:lastRenderedPageBreak/>
              <w:t>194</w:t>
            </w:r>
          </w:p>
        </w:tc>
        <w:tc>
          <w:tcPr>
            <w:tcW w:w="0" w:type="auto"/>
            <w:tcBorders>
              <w:top w:val="single" w:sz="6" w:space="0" w:color="auto"/>
              <w:left w:val="single" w:sz="6" w:space="0" w:color="auto"/>
              <w:bottom w:val="single" w:sz="6" w:space="0" w:color="auto"/>
              <w:right w:val="single" w:sz="6" w:space="0" w:color="auto"/>
            </w:tcBorders>
          </w:tcPr>
          <w:p w14:paraId="56D553B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0F98080" w14:textId="77777777" w:rsidR="007F0AE0" w:rsidRPr="005762E6" w:rsidRDefault="007F0AE0" w:rsidP="00453DE3">
            <w:pPr>
              <w:spacing w:after="120" w:line="240" w:lineRule="auto"/>
              <w:contextualSpacing/>
              <w:rPr>
                <w:sz w:val="20"/>
                <w:szCs w:val="20"/>
              </w:rPr>
            </w:pPr>
            <w:r w:rsidRPr="005762E6">
              <w:rPr>
                <w:sz w:val="20"/>
                <w:szCs w:val="20"/>
              </w:rPr>
              <w:t>Hill R.M.,​Tennyson L.M. The effect of maternal allergy medications on the fetus. Immunology and Allergy Practice; 1985;7:80.</w:t>
            </w:r>
            <w:r w:rsidRPr="005762E6">
              <w:rPr>
                <w:sz w:val="20"/>
                <w:szCs w:val="20"/>
              </w:rPr>
              <w:br/>
            </w:r>
            <w:r w:rsidRPr="005762E6">
              <w:rPr>
                <w:sz w:val="20"/>
                <w:szCs w:val="20"/>
              </w:rPr>
              <w:br/>
            </w:r>
            <w:r w:rsidRPr="005762E6">
              <w:rPr>
                <w:b/>
                <w:bCs/>
                <w:sz w:val="20"/>
                <w:szCs w:val="20"/>
              </w:rPr>
              <w:t>Keywords:</w:t>
            </w:r>
            <w:r w:rsidRPr="005762E6">
              <w:rPr>
                <w:sz w:val="20"/>
                <w:szCs w:val="20"/>
              </w:rPr>
              <w:br/>
              <w:t>*adverse drug reaction,​*allergy,​*chemical teratogenesis,​congenital disorder,​embryo,​*embryotoxicity,​*fetus,​human,​intoxication,​pregnancy,​*prenatal drug exposure,​short survey,​*teratogenesis,​*acetylsalicylic acid,​*alcohol,​*aminophylline,​*ammonium chloride,​*ampicillin,​*antibiotic agent,​*antihistaminic agent,​*atropine,​*barbituric acid derivative,​*belladonna alkaloid,​*betamethasone,​*bromodiphenhydramine,​*brompheniramine,​*bronchodilating agent,​*caffeine,​*caramiphen,​*carbamazepine,​*cefaloridine,​*chlorpheniramine,​*cimetidine,​*codeine sulfate,​*danazol,​*dextromethorphan,​diphenhydramine,​*doxylamine,​*ephedrine,​*fenoterol,​*hexoprenaline,​*hydrocortisone,​*immunostimulating agent,​*immunosuppressive agent,​*iodine,​*isoxsuprine,​*menthol,​*mepyramine,​*nalidixic acid,​*oral contraceptive agent,​*oxymetazoline,​*paracetamol,​*phenacetin,​*phenobarbital,​*phenothiazine derivative,​*phenylephrine,​*phenylpropanolamine,​*phenytoin,​*prednisone,​*pseudoephedrine,​*rifampicin,​*ritodrine,​*salbutamol,​*scopolamine,​*sulfanilamide derivative,​*terbutaline,​*tetracycline,​*theophylline,​*tobacco smoke,​*xylometazoline</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68D49F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F8D043" w14:textId="77777777" w:rsidR="007F0AE0" w:rsidRPr="005762E6" w:rsidRDefault="007F0AE0" w:rsidP="00453DE3">
            <w:pPr>
              <w:spacing w:after="120" w:line="240" w:lineRule="auto"/>
              <w:contextualSpacing/>
              <w:rPr>
                <w:sz w:val="20"/>
                <w:szCs w:val="20"/>
              </w:rPr>
            </w:pPr>
            <w:r w:rsidRPr="005762E6">
              <w:rPr>
                <w:sz w:val="20"/>
                <w:szCs w:val="20"/>
              </w:rPr>
              <w:t>197</w:t>
            </w:r>
          </w:p>
        </w:tc>
        <w:tc>
          <w:tcPr>
            <w:tcW w:w="0" w:type="auto"/>
            <w:tcBorders>
              <w:top w:val="single" w:sz="6" w:space="0" w:color="auto"/>
              <w:left w:val="single" w:sz="6" w:space="0" w:color="auto"/>
              <w:bottom w:val="single" w:sz="6" w:space="0" w:color="auto"/>
              <w:right w:val="single" w:sz="6" w:space="0" w:color="auto"/>
            </w:tcBorders>
          </w:tcPr>
          <w:p w14:paraId="075AA21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B09EB1B" w14:textId="77777777" w:rsidR="007F0AE0" w:rsidRPr="005762E6" w:rsidRDefault="007F0AE0" w:rsidP="00453DE3">
            <w:pPr>
              <w:spacing w:after="120" w:line="240" w:lineRule="auto"/>
              <w:contextualSpacing/>
              <w:rPr>
                <w:sz w:val="20"/>
                <w:szCs w:val="20"/>
              </w:rPr>
            </w:pPr>
            <w:r w:rsidRPr="005762E6">
              <w:rPr>
                <w:sz w:val="20"/>
                <w:szCs w:val="20"/>
              </w:rPr>
              <w:t>Fisher A.A. Reports from the second international contact dermatitis symposium. Part III. Cutis; 1978;22:272.</w:t>
            </w:r>
            <w:r w:rsidRPr="005762E6">
              <w:rPr>
                <w:sz w:val="20"/>
                <w:szCs w:val="20"/>
              </w:rPr>
              <w:br/>
            </w:r>
            <w:r w:rsidRPr="005762E6">
              <w:rPr>
                <w:sz w:val="20"/>
                <w:szCs w:val="20"/>
              </w:rPr>
              <w:br/>
            </w:r>
            <w:r w:rsidRPr="005762E6">
              <w:rPr>
                <w:b/>
                <w:bCs/>
                <w:sz w:val="20"/>
                <w:szCs w:val="20"/>
              </w:rPr>
              <w:t>Keywords:</w:t>
            </w:r>
            <w:r w:rsidRPr="005762E6">
              <w:rPr>
                <w:sz w:val="20"/>
                <w:szCs w:val="20"/>
              </w:rPr>
              <w:br/>
              <w:t>abstract report,​animal experiment,​*contact dermatitis,​*dander,​*diagnosis,​*drug cross reactivity,​*drug induced disease,​*drug screening,​*guinea pig,​*human,​human cell,​normal human,​*patch test,​*skin,​therapy,​*benzoic acid derivative,​*borate sodium,​*chlormethine,​*chromic acid,​*citraconic anhydride,​*cosmetic,​*cyclohexanol,​*ethoxyquin,​*ethylene glycol,​*formaldehyde,​*hexachlorophene,​*hexylene glycol,​*hypochlorite sodium,​*lanolin,​*menthol,​*morpholine,​*oxyphenbutazone,​*phenazone,​*phenylbutazone,​*phenylenediamine,​*polyamine,​*rubber,​*sulfinpyrazone,​*tear gas,​*thiomersal,​*tobacco smoke,​*tricresyl phosphate,​*triethanolamine,​unclassified drug,​*alpha methylene butyrolactone,​*aminophenazone derivative,​*benzotriazole,​butazolidone,​*cecanoic acid,​*emulgator t 17,​*persulfate ammonium</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EA3DF6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5B7CCB" w14:textId="77777777" w:rsidR="007F0AE0" w:rsidRPr="005762E6" w:rsidRDefault="007F0AE0" w:rsidP="00453DE3">
            <w:pPr>
              <w:spacing w:after="120" w:line="240" w:lineRule="auto"/>
              <w:contextualSpacing/>
              <w:rPr>
                <w:sz w:val="20"/>
                <w:szCs w:val="20"/>
              </w:rPr>
            </w:pPr>
            <w:r w:rsidRPr="005762E6">
              <w:rPr>
                <w:sz w:val="20"/>
                <w:szCs w:val="20"/>
              </w:rPr>
              <w:t>198</w:t>
            </w:r>
          </w:p>
        </w:tc>
        <w:tc>
          <w:tcPr>
            <w:tcW w:w="0" w:type="auto"/>
            <w:tcBorders>
              <w:top w:val="single" w:sz="6" w:space="0" w:color="auto"/>
              <w:left w:val="single" w:sz="6" w:space="0" w:color="auto"/>
              <w:bottom w:val="single" w:sz="6" w:space="0" w:color="auto"/>
              <w:right w:val="single" w:sz="6" w:space="0" w:color="auto"/>
            </w:tcBorders>
          </w:tcPr>
          <w:p w14:paraId="51CF5F7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8D813E" w14:textId="77777777" w:rsidR="007F0AE0" w:rsidRPr="005762E6" w:rsidRDefault="007F0AE0" w:rsidP="00453DE3">
            <w:pPr>
              <w:spacing w:after="120" w:line="240" w:lineRule="auto"/>
              <w:contextualSpacing/>
              <w:rPr>
                <w:sz w:val="20"/>
                <w:szCs w:val="20"/>
              </w:rPr>
            </w:pPr>
            <w:r w:rsidRPr="005762E6">
              <w:rPr>
                <w:sz w:val="20"/>
                <w:szCs w:val="20"/>
              </w:rPr>
              <w:t>Ziment I. Mucokinesis the methodology of moving mucus. #journal#; 1974;4:15.</w:t>
            </w:r>
            <w:r w:rsidRPr="005762E6">
              <w:rPr>
                <w:sz w:val="20"/>
                <w:szCs w:val="20"/>
              </w:rPr>
              <w:br/>
            </w:r>
            <w:r w:rsidRPr="005762E6">
              <w:rPr>
                <w:sz w:val="20"/>
                <w:szCs w:val="20"/>
              </w:rPr>
              <w:br/>
            </w:r>
            <w:r w:rsidRPr="005762E6">
              <w:rPr>
                <w:b/>
                <w:bCs/>
                <w:sz w:val="20"/>
                <w:szCs w:val="20"/>
              </w:rPr>
              <w:t>Keywords:</w:t>
            </w:r>
            <w:r w:rsidRPr="005762E6">
              <w:rPr>
                <w:sz w:val="20"/>
                <w:szCs w:val="20"/>
              </w:rPr>
              <w:br/>
              <w:t>*bronchus mucosa,​*Eucalyptus,​major clinical study,​*mucolysis,​*mucus,​normal human,​*respiratory system,​*smoking,​*sputum,​theoretical study,​*acetylcysteine,​*alcohol,​*apomorphine,​*benzoin,​*bicarbonate,​*bromhexine,​*camphor,​*carbocisteine,​*creosote,​*cysteine,​*dithiothreitol,​*expectorant agent,​*glycerol,​*guaiacol,​*guaifenesin,​*ipecac,​*menthol,​*mercaptoethanol,​*mesna,​*mucolytic agent,​*potassium iodide,​*propylene glycol,​*terpin hydrate,​*tyloxapol,​unclassified drug,​*expectoration,​*ascoxal,​*dimethylheptyltetrahydrocannabinol derivative,​*n acetylcysteamine,​tergemist</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848BC7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FBEF90B" w14:textId="77777777" w:rsidR="007F0AE0" w:rsidRPr="005762E6" w:rsidRDefault="007F0AE0" w:rsidP="00453DE3">
            <w:pPr>
              <w:spacing w:after="120" w:line="240" w:lineRule="auto"/>
              <w:contextualSpacing/>
              <w:rPr>
                <w:sz w:val="20"/>
                <w:szCs w:val="20"/>
              </w:rPr>
            </w:pPr>
            <w:r w:rsidRPr="005762E6">
              <w:rPr>
                <w:sz w:val="20"/>
                <w:szCs w:val="20"/>
              </w:rPr>
              <w:lastRenderedPageBreak/>
              <w:t>200</w:t>
            </w:r>
          </w:p>
        </w:tc>
        <w:tc>
          <w:tcPr>
            <w:tcW w:w="0" w:type="auto"/>
            <w:tcBorders>
              <w:top w:val="single" w:sz="6" w:space="0" w:color="auto"/>
              <w:left w:val="single" w:sz="6" w:space="0" w:color="auto"/>
              <w:bottom w:val="single" w:sz="6" w:space="0" w:color="auto"/>
              <w:right w:val="single" w:sz="6" w:space="0" w:color="auto"/>
            </w:tcBorders>
          </w:tcPr>
          <w:p w14:paraId="2C64E76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60EFE90" w14:textId="77777777" w:rsidR="007F0AE0" w:rsidRPr="005762E6" w:rsidRDefault="007F0AE0" w:rsidP="00453DE3">
            <w:pPr>
              <w:spacing w:after="120" w:line="240" w:lineRule="auto"/>
              <w:contextualSpacing/>
              <w:rPr>
                <w:sz w:val="20"/>
                <w:szCs w:val="20"/>
              </w:rPr>
            </w:pPr>
            <w:r w:rsidRPr="005762E6">
              <w:rPr>
                <w:sz w:val="20"/>
                <w:szCs w:val="20"/>
              </w:rPr>
              <w:t>Lauren R Pacek,​ Jason A Oliver,​ Maggie M Sweitzer,​ F Joseph McClernon Young adult dual combusted cigarette and e-cigarette users' anticipated responses to a nicotine reduction policy and menthol ban in combusted cigarettes.. Drug and alcohol dependence; 2018;194:40.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 aim of the study was to assess young adult dual e-cigarette (EC) and combusted cigarette (CC) users' anticipated responses to a hypothetical very low nicotine content product standard and menthol ban in CC.,​ METHODS: Data came from 240 young adult (18-29 years) dual CC and EC users recruited via Amazon Mechanical Turk between June 20-22,​ 2017. Descriptive statistics were used to report sample characteristics. McNemar's tests were used to assess differences between product categories in terms of anticipated responses to hypothetical regulations.,​ RESULTS: A hypothetical very low nicotine content product standard in CC resulted in reported intentions to quit or reduce CC use and increase use of EC (p's&lt;0.001). Hypothetical restrictions regarding the availability of menthol CC resulted in marginally significant reported intentions to increase EC use (p = 0.080). Anticipated responses to regulation were associated with baseline EC and CC use characteristics.,​ CONCLUSIONS: This work provides preliminary evidence of the impact that regulations regarding nicotine content and menthol in CC may have on the use of EC among young adult dual users. Copyright © 2018 Elsevier B.V. All rights reserved.</w:t>
            </w:r>
          </w:p>
        </w:tc>
      </w:tr>
      <w:tr w:rsidR="007F0AE0" w:rsidRPr="005762E6" w14:paraId="228EDF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9731F7D" w14:textId="77777777" w:rsidR="007F0AE0" w:rsidRPr="005762E6" w:rsidRDefault="007F0AE0" w:rsidP="00453DE3">
            <w:pPr>
              <w:spacing w:after="120" w:line="240" w:lineRule="auto"/>
              <w:contextualSpacing/>
              <w:rPr>
                <w:sz w:val="20"/>
                <w:szCs w:val="20"/>
              </w:rPr>
            </w:pPr>
            <w:r w:rsidRPr="005762E6">
              <w:rPr>
                <w:sz w:val="20"/>
                <w:szCs w:val="20"/>
              </w:rPr>
              <w:t>202</w:t>
            </w:r>
          </w:p>
        </w:tc>
        <w:tc>
          <w:tcPr>
            <w:tcW w:w="0" w:type="auto"/>
            <w:tcBorders>
              <w:top w:val="single" w:sz="6" w:space="0" w:color="auto"/>
              <w:left w:val="single" w:sz="6" w:space="0" w:color="auto"/>
              <w:bottom w:val="single" w:sz="6" w:space="0" w:color="auto"/>
              <w:right w:val="single" w:sz="6" w:space="0" w:color="auto"/>
            </w:tcBorders>
          </w:tcPr>
          <w:p w14:paraId="708BB46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A95DEBE" w14:textId="77777777" w:rsidR="007F0AE0" w:rsidRPr="005762E6" w:rsidRDefault="007F0AE0" w:rsidP="00453DE3">
            <w:pPr>
              <w:spacing w:after="120" w:line="240" w:lineRule="auto"/>
              <w:contextualSpacing/>
              <w:rPr>
                <w:sz w:val="20"/>
                <w:szCs w:val="20"/>
              </w:rPr>
            </w:pPr>
            <w:r w:rsidRPr="005762E6">
              <w:rPr>
                <w:sz w:val="20"/>
                <w:szCs w:val="20"/>
              </w:rPr>
              <w:t>Guy Jaccard,​ Maxim Belushkin,​ Cyril Jeannet,​ Evi Nurlaili Aldilla,​ Andry Ongko Wijoyo Investigation of menthol content and transfer rates in cigarettes and Tobacco Heating System 2.2.. Regulatory toxicology and pharmacology : RTP; 2018;101:48.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cigarettes account for a significant market share in many countries. However,​ little recent data exists on menthol levels in cigarettes and in mainstream smoke,​ limited to some markets or specific cigarette designs,​ such as cigarettes containing capsules filled with flavoring liquids. Samples of mentholated cigarettes bought worldwide with a variety of cigarette designs were analyzed for menthol content in cigarettes and in cigarette mainstream smoke with two analytical machine smoking regimes. A wide range of menthol content in cigarettes,​ from 1 to 22 mg/cigarette,​ was observed. The transfer of menthol to the cigarette mainstream smoke was generally slightly higher than the transfer of nicotine,​ with a range of 17%-40% using an intense smoking regime and 1%-17% using the ISO smoking regime. For the Tobacco Heating System (THS) 2.2,​ the menthol content was 12.8 mg/stick,​ and the transfer of menthol into the aerosol was about 17% with the ISO intense smoking regime,​ similar to the transfer of nicotine. The menthol content of the novel product THS 2.2 corresponds to the midpoint of the menthol content range of cigarettes,​ and the transfer of menthol to its aerosol is in the low range of cigarette menthol transfer. Copyright © 2018 The Authors. Published by Elsevier Inc. All rights reserved.</w:t>
            </w:r>
          </w:p>
        </w:tc>
      </w:tr>
      <w:tr w:rsidR="007F0AE0" w:rsidRPr="005762E6" w14:paraId="51B05CA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E1CB3ED" w14:textId="77777777" w:rsidR="007F0AE0" w:rsidRPr="005762E6" w:rsidRDefault="007F0AE0" w:rsidP="00453DE3">
            <w:pPr>
              <w:spacing w:after="120" w:line="240" w:lineRule="auto"/>
              <w:contextualSpacing/>
              <w:rPr>
                <w:sz w:val="20"/>
                <w:szCs w:val="20"/>
              </w:rPr>
            </w:pPr>
            <w:r w:rsidRPr="005762E6">
              <w:rPr>
                <w:sz w:val="20"/>
                <w:szCs w:val="20"/>
              </w:rPr>
              <w:t>206</w:t>
            </w:r>
          </w:p>
        </w:tc>
        <w:tc>
          <w:tcPr>
            <w:tcW w:w="0" w:type="auto"/>
            <w:tcBorders>
              <w:top w:val="single" w:sz="6" w:space="0" w:color="auto"/>
              <w:left w:val="single" w:sz="6" w:space="0" w:color="auto"/>
              <w:bottom w:val="single" w:sz="6" w:space="0" w:color="auto"/>
              <w:right w:val="single" w:sz="6" w:space="0" w:color="auto"/>
            </w:tcBorders>
          </w:tcPr>
          <w:p w14:paraId="0E2F789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E313AFA" w14:textId="77777777" w:rsidR="007F0AE0" w:rsidRPr="005762E6" w:rsidRDefault="007F0AE0" w:rsidP="00453DE3">
            <w:pPr>
              <w:spacing w:after="120" w:line="240" w:lineRule="auto"/>
              <w:contextualSpacing/>
              <w:rPr>
                <w:sz w:val="20"/>
                <w:szCs w:val="20"/>
              </w:rPr>
            </w:pPr>
            <w:r w:rsidRPr="005762E6">
              <w:rPr>
                <w:sz w:val="20"/>
                <w:szCs w:val="20"/>
              </w:rPr>
              <w:t>John Buckell,​ Joachim Marti,​ Jody L Sindelar Should flavours be banned in cigarettes and e-cigarettes? Evidence on adult smokers and recent quitters from a discrete choice experiment.. Tobacco control;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OBJECTIVES: To provide the policy-relevant estimates of impacts of alternative flavour bans on preferences and demand for cigarettes and e-cigarettes in adult smokers and recent quitters.,​ METHODS: A best-best discrete choice experiment (DCE) is used to elicit smokers' and recent quitters' preferences for flavours,​ price,​ health impact and nicotine level in cigarettes and e-cigarettes. Choice of tobacco products and an opt-out option were examined. An efficient design yielded 36 choice sets. Exploded logit choice models were estimated. Flavour bans are modelled by restricting flavour coefficients in the estimated model.,​ SETTING AND PARTICIPANTS: A sample of 2031 adult smokers and recent quitters was recruited to complete an online survey and DCE.,​ RESULTS: Current smokers and recent quitters,​ on average,​ prefer cigarettes and menthol cigarettes over flavoured e-cigarettes. However,​ there is substantial preference heterogeneity by younger adults (ages 18-25),​ race/ethnicity and respondents with higher education. Our predictions suggest that a ban on menthol cigarettes would produce the greatest reduction in the choice of cigarettes (-5.2%),​ but with an accompanying increase in e-cigarettes use (3.8%). In contrast,​ banning flavours in e-cigarettes,​ while allowing menthol in </w:t>
            </w:r>
            <w:r w:rsidRPr="005762E6">
              <w:rPr>
                <w:sz w:val="20"/>
                <w:szCs w:val="20"/>
              </w:rPr>
              <w:lastRenderedPageBreak/>
              <w:t>cigarettes would result in the greatest increase in the selection of cigarettes (8.3%),​ and a decline in the use of e-cigarettes (-11.1%). A ban on all flavours,​ but tobacco in both products would increase 'opting-out' the most (5.2%) but would also increase choice of cigarettes (2.7%) and decrease choice of e-cigarettes (-7.9%).,​ CONCLUSIONS: A ban on flavoured e-cigarettes alone would likely increase the choice of cigarettes in smokers,​ arguably the more harmful way of obtaining nicotine,​ whereas a ban on menthol cigarettes alone would likely be more effective in reducing the choice of cigarettes. A ban on all flavours in both products would likely reduce the smoking/vaping rates,​ but the use of cigarettes would be higher than in the status quo. Policy-makers should use these results to guide the choice of flavour bans in light of their stance on the potential health impacts both products. Copyright © Article author(s) (or their employer(s) unless otherwise stated in the text of the article) 2018. All rights reserved. No commercial use is permitted unless otherwise expressly granted.</w:t>
            </w:r>
          </w:p>
        </w:tc>
      </w:tr>
      <w:tr w:rsidR="007F0AE0" w:rsidRPr="005762E6" w14:paraId="38666C0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DFC969" w14:textId="77777777" w:rsidR="007F0AE0" w:rsidRPr="005762E6" w:rsidRDefault="007F0AE0" w:rsidP="00453DE3">
            <w:pPr>
              <w:spacing w:after="120" w:line="240" w:lineRule="auto"/>
              <w:contextualSpacing/>
              <w:rPr>
                <w:sz w:val="20"/>
                <w:szCs w:val="20"/>
              </w:rPr>
            </w:pPr>
            <w:r w:rsidRPr="005762E6">
              <w:rPr>
                <w:sz w:val="20"/>
                <w:szCs w:val="20"/>
              </w:rPr>
              <w:lastRenderedPageBreak/>
              <w:t>207</w:t>
            </w:r>
          </w:p>
        </w:tc>
        <w:tc>
          <w:tcPr>
            <w:tcW w:w="0" w:type="auto"/>
            <w:tcBorders>
              <w:top w:val="single" w:sz="6" w:space="0" w:color="auto"/>
              <w:left w:val="single" w:sz="6" w:space="0" w:color="auto"/>
              <w:bottom w:val="single" w:sz="6" w:space="0" w:color="auto"/>
              <w:right w:val="single" w:sz="6" w:space="0" w:color="auto"/>
            </w:tcBorders>
          </w:tcPr>
          <w:p w14:paraId="253EB15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2520C0" w14:textId="77777777" w:rsidR="007F0AE0" w:rsidRPr="005762E6" w:rsidRDefault="007F0AE0" w:rsidP="00453DE3">
            <w:pPr>
              <w:spacing w:after="120" w:line="240" w:lineRule="auto"/>
              <w:contextualSpacing/>
              <w:rPr>
                <w:sz w:val="20"/>
                <w:szCs w:val="20"/>
              </w:rPr>
            </w:pPr>
            <w:r w:rsidRPr="005762E6">
              <w:rPr>
                <w:sz w:val="20"/>
                <w:szCs w:val="20"/>
              </w:rPr>
              <w:t>Yvette van der Eijk,​ Jeong Kyu Lee,​ Pamela Ling How Menthol Is Key to the Tobacco Industry's Strategy of Recruiting and Retaining Young Smokers in Singapore.. The Journal of adolescent health : official publication of the Society for Adolescent Medicine;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Singapore has a strong and well-established tobacco control policy,​ but smoking rates among young Singaporeans remain relatively high. In other countries,​ tobacco companies have used menthol to encourage smoking among young people. Singapore still permits the sale of menthol tobacco products and little is known about the tobacco industry's internal strategy and motivation for marketing menthol tobacco in Singapore.,​ METHODS: Tobacco industry documents analysis using the Truth Tobacco Industry Documents Library. Findings were triangulated with Euromonitor market data on menthol tobacco in Singapore,​ and trend data on smoking prevalence in Singapore from the First National Morbidity Survey,​ Labour Force Survey,​ National Health Survey,​ and National Health Surveillance Survey.,​ RESULTS: Menthol tobacco products became popular among young Singaporeans in the early 1980s,​ largely due to a health-consciousness trend among young people and the misperception that menthol tobacco products were "safer." Philip Morris,​ in an attempt to compete with R.J. Reynolds for starter smokers,​ developed and launched several menthol brands designed to appeal to youth. While many brands initially failed,​ as of February 2018,​ menthol tobacco products comprise 48% of Singapore's total tobacco market.,​ CONCLUSIONS: Menthol is key to the tobacco industry's strategy of recruiting and retaining young smokers in Singapore. Banning the sale of menthol tobacco products will be an important part of preventing smoking in Singapore's younger generation. Copyright © 2018. Published by Elsevier Inc.</w:t>
            </w:r>
          </w:p>
        </w:tc>
      </w:tr>
      <w:tr w:rsidR="007F0AE0" w:rsidRPr="005762E6" w14:paraId="1056DBD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4AE8D6" w14:textId="77777777" w:rsidR="007F0AE0" w:rsidRPr="005762E6" w:rsidRDefault="007F0AE0" w:rsidP="00453DE3">
            <w:pPr>
              <w:spacing w:after="120" w:line="240" w:lineRule="auto"/>
              <w:contextualSpacing/>
              <w:rPr>
                <w:sz w:val="20"/>
                <w:szCs w:val="20"/>
              </w:rPr>
            </w:pPr>
            <w:r w:rsidRPr="005762E6">
              <w:rPr>
                <w:sz w:val="20"/>
                <w:szCs w:val="20"/>
              </w:rPr>
              <w:t>208</w:t>
            </w:r>
          </w:p>
        </w:tc>
        <w:tc>
          <w:tcPr>
            <w:tcW w:w="0" w:type="auto"/>
            <w:tcBorders>
              <w:top w:val="single" w:sz="6" w:space="0" w:color="auto"/>
              <w:left w:val="single" w:sz="6" w:space="0" w:color="auto"/>
              <w:bottom w:val="single" w:sz="6" w:space="0" w:color="auto"/>
              <w:right w:val="single" w:sz="6" w:space="0" w:color="auto"/>
            </w:tcBorders>
          </w:tcPr>
          <w:p w14:paraId="70D33E9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31539C9" w14:textId="77777777" w:rsidR="007F0AE0" w:rsidRPr="005762E6" w:rsidRDefault="007F0AE0" w:rsidP="00453DE3">
            <w:pPr>
              <w:spacing w:after="120" w:line="240" w:lineRule="auto"/>
              <w:contextualSpacing/>
              <w:rPr>
                <w:sz w:val="20"/>
                <w:szCs w:val="20"/>
              </w:rPr>
            </w:pPr>
            <w:r w:rsidRPr="005762E6">
              <w:rPr>
                <w:sz w:val="20"/>
                <w:szCs w:val="20"/>
              </w:rPr>
              <w:t>Hongying Dai,​ Jianqiang Hao Flavored Tobacco Use Among U.S. Adults by Age Group: 2013-2014.. Substance use &amp; misuse; 2018;:1.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This study sought to assess patterns of flavored tobacco product (FTP) use and their associations with (1) susceptibility to smoke cigarettes among young adults aged 18-29 who have never smoked; (2) quit attempts in the past 12 months among current cigarette users by age group (18-29,​ 30-49,​ and 50+).,​ METHODS: We used the 2013-2014 National Adult Tobacco Survey (n = 75,​233) to estimate the prevalence of single-,​ dual-,​ and poly-use of FTP (menthol cigarettes,​ e-cigarettes,​ cigars,​ regular pipes/hookahs,​ and smokeless). Logistic regression models were performed to examine the associations between FTP use and smoking behaviors.,​ RESULTS: Among current tobacco users,​ young adults aged 18-29 (72.7%) had a higher prevalence of FTP use than other age groups (30-49: 51.7% and 50+: 37.9%). For FTP use within each age group,​ dual- and poly-FTP use was most popular among young adults aged 18-29 and menthol cigarette use was most popular among older adults aged 50+. Compared with not using any tobacco products,​ FTP use was associated with higher odds of susceptibility to cigarette smoking among young adult never smokers (single FTP use: aOR =5.5,​ CI: 4.2-7.3; dual/poly FTP use: aOR =10.7,​ CI: 6.2-18.4). FTP use was not associated with quit attempts among current cigarettes users aged under 50,​ while dual/poly-FTP use was associated with higher odds of quit attempts among current cigarette users aged 50 + (aOR =1.7,​ CI: 1.2-2.4).,​ CONCLUSIONS: This study shows the heterogeneity of FTP use among adults by age group and demonstrates its associations with susceptibility to cigarette smoking among young adult never smokers.</w:t>
            </w:r>
          </w:p>
        </w:tc>
      </w:tr>
      <w:tr w:rsidR="007F0AE0" w:rsidRPr="005762E6" w14:paraId="099CA01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3D9343" w14:textId="77777777" w:rsidR="007F0AE0" w:rsidRPr="005762E6" w:rsidRDefault="007F0AE0" w:rsidP="00453DE3">
            <w:pPr>
              <w:spacing w:after="120" w:line="240" w:lineRule="auto"/>
              <w:contextualSpacing/>
              <w:rPr>
                <w:sz w:val="20"/>
                <w:szCs w:val="20"/>
              </w:rPr>
            </w:pPr>
            <w:r w:rsidRPr="005762E6">
              <w:rPr>
                <w:sz w:val="20"/>
                <w:szCs w:val="20"/>
              </w:rPr>
              <w:t>210</w:t>
            </w:r>
          </w:p>
        </w:tc>
        <w:tc>
          <w:tcPr>
            <w:tcW w:w="0" w:type="auto"/>
            <w:tcBorders>
              <w:top w:val="single" w:sz="6" w:space="0" w:color="auto"/>
              <w:left w:val="single" w:sz="6" w:space="0" w:color="auto"/>
              <w:bottom w:val="single" w:sz="6" w:space="0" w:color="auto"/>
              <w:right w:val="single" w:sz="6" w:space="0" w:color="auto"/>
            </w:tcBorders>
          </w:tcPr>
          <w:p w14:paraId="2847535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554749" w14:textId="77777777" w:rsidR="007F0AE0" w:rsidRPr="005762E6" w:rsidRDefault="007F0AE0" w:rsidP="00453DE3">
            <w:pPr>
              <w:spacing w:after="120" w:line="240" w:lineRule="auto"/>
              <w:contextualSpacing/>
              <w:rPr>
                <w:sz w:val="20"/>
                <w:szCs w:val="20"/>
              </w:rPr>
            </w:pPr>
            <w:r w:rsidRPr="005762E6">
              <w:rPr>
                <w:sz w:val="20"/>
                <w:szCs w:val="20"/>
              </w:rPr>
              <w:t xml:space="preserve">Amanda Y Kong,​ Shelley D Golden,​ Allison E Myers,​ Melissa A Little,​ Robert Klesges,​ Wayne Talcott,​ Sara M Vandegrift,​ Daniel G Cassidy,​ Kurt M Ribisl Availability,​ price and promotions for cigarettes and non-cigarette </w:t>
            </w:r>
            <w:r w:rsidRPr="005762E6">
              <w:rPr>
                <w:sz w:val="20"/>
                <w:szCs w:val="20"/>
              </w:rPr>
              <w:lastRenderedPageBreak/>
              <w:t>tobacco products: an observational comparison of US Air Force bases with nearby tobacco retailers,​ 2016.. Tobacco control;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Active duty military personnel have higher cigarette and smokeless tobacco use rates than civilian populations. Although US Airmen (called Airmen regardless of gender or rank) are required to be tobacco-free during initial training,​ many resume use once this period ends,​ perhaps as a result of easy access to cheap tobacco products.,​ METHODS: Between July and September 2016,​ we collected tobacco product,​ price and promotion information by visiting on-base (n=28) and off-base (n=80) tobacco retailers near the eight technical training bases where approximately 99% of Airmen attend training. We conducted mixed linear effects models to examine on-base versus off-base differences.,​ RESULTS: Cigarette packs were 11%-12% cheaper at on-base retailers compared with off-base retailers. Newport Menthol and Marlboro Red cigarette packs were .87 and .80 lower on-base (p&lt;0.001) while the cheapest pack available was .54 lower on-base (p&lt;0.01). Copenhagen smokeless tobacco was also significantly cheaper on-base (B=-0.65,​ p&lt;0.01). Interior price promotions were more common on-base.,​ CONCLUSIONS: Retail stores located on Air Force bases sell cigarettes and smokeless tobacco products at prices well below those in nearby off-base retailers: the vast majority of these retailers feature interior price promotions for these products. Federal policies regulating prices of on-base tobacco sales,​ if implemented more effectively,​ have the potential to protect the health of Airmen by helping them remain tobacco-free after technical training. Copyright © Article author(s) (or their employer(s) unless otherwise stated in the text of the article) 2018. All rights reserved. No commercial use is permitted unless otherwise expressly granted.</w:t>
            </w:r>
          </w:p>
        </w:tc>
      </w:tr>
      <w:tr w:rsidR="007F0AE0" w:rsidRPr="005762E6" w14:paraId="269A909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B5C999" w14:textId="77777777" w:rsidR="007F0AE0" w:rsidRPr="005762E6" w:rsidRDefault="007F0AE0" w:rsidP="00453DE3">
            <w:pPr>
              <w:spacing w:after="120" w:line="240" w:lineRule="auto"/>
              <w:contextualSpacing/>
              <w:rPr>
                <w:sz w:val="20"/>
                <w:szCs w:val="20"/>
              </w:rPr>
            </w:pPr>
            <w:r w:rsidRPr="005762E6">
              <w:rPr>
                <w:sz w:val="20"/>
                <w:szCs w:val="20"/>
              </w:rPr>
              <w:lastRenderedPageBreak/>
              <w:t>215</w:t>
            </w:r>
          </w:p>
        </w:tc>
        <w:tc>
          <w:tcPr>
            <w:tcW w:w="0" w:type="auto"/>
            <w:tcBorders>
              <w:top w:val="single" w:sz="6" w:space="0" w:color="auto"/>
              <w:left w:val="single" w:sz="6" w:space="0" w:color="auto"/>
              <w:bottom w:val="single" w:sz="6" w:space="0" w:color="auto"/>
              <w:right w:val="single" w:sz="6" w:space="0" w:color="auto"/>
            </w:tcBorders>
          </w:tcPr>
          <w:p w14:paraId="5103E47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D60D365" w14:textId="77777777" w:rsidR="007F0AE0" w:rsidRPr="005762E6" w:rsidRDefault="007F0AE0" w:rsidP="00453DE3">
            <w:pPr>
              <w:spacing w:after="120" w:line="240" w:lineRule="auto"/>
              <w:contextualSpacing/>
              <w:rPr>
                <w:sz w:val="20"/>
                <w:szCs w:val="20"/>
              </w:rPr>
            </w:pPr>
            <w:r w:rsidRPr="005762E6">
              <w:rPr>
                <w:sz w:val="20"/>
                <w:szCs w:val="20"/>
              </w:rPr>
              <w:t>Adolfo G Cuevas,​ Kasim Ortiz,​ Nancy Lopez,​ David R Williams Assessing racial differences in lifetime and current smoking status &amp; menthol consumption among Latinos in a nationally representative sample.. Ethnicity &amp; health; 2018;:1.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examine the relationship between race and smoking behaviors among Latinos/Hispanics.,​ DESIGN: Using data from the National Adult Tobacco Survey (NATS),​ we implemented Log-Poisson regression models for each dependent variable (smoking pattern and menthol cigarette use). Each analysis adjusted for age,​ gender,​ marital status,​ employment status,​ and socioeconomic status (SES). Final pooled cross-sectional sample included 505 Black-Latinos and 9078 White-Latinos.,​ RESULTS: While no racial differences were found in lifetime smoking status among Latinos,​ Black-Latinos had a 16.6% (95% CI: 0.274,​ 0.057) increased risk of menthol smoking compared to White-Latinos.,​ CONCLUSIONS: The results indicate that menthol consumption is influenced by race among Hispanics/Latinos. To comprehensively address racial disparities among Latinos/Hispanics,​ further attention needs to be given to racial differences in smoking-related risks among Latinos/Hispanics.</w:t>
            </w:r>
          </w:p>
        </w:tc>
      </w:tr>
      <w:tr w:rsidR="007F0AE0" w:rsidRPr="005762E6" w14:paraId="446AB07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A92ACD" w14:textId="77777777" w:rsidR="007F0AE0" w:rsidRPr="005762E6" w:rsidRDefault="007F0AE0" w:rsidP="00453DE3">
            <w:pPr>
              <w:spacing w:after="120" w:line="240" w:lineRule="auto"/>
              <w:contextualSpacing/>
              <w:rPr>
                <w:sz w:val="20"/>
                <w:szCs w:val="20"/>
              </w:rPr>
            </w:pPr>
            <w:r w:rsidRPr="005762E6">
              <w:rPr>
                <w:sz w:val="20"/>
                <w:szCs w:val="20"/>
              </w:rPr>
              <w:t>217</w:t>
            </w:r>
          </w:p>
        </w:tc>
        <w:tc>
          <w:tcPr>
            <w:tcW w:w="0" w:type="auto"/>
            <w:tcBorders>
              <w:top w:val="single" w:sz="6" w:space="0" w:color="auto"/>
              <w:left w:val="single" w:sz="6" w:space="0" w:color="auto"/>
              <w:bottom w:val="single" w:sz="6" w:space="0" w:color="auto"/>
              <w:right w:val="single" w:sz="6" w:space="0" w:color="auto"/>
            </w:tcBorders>
          </w:tcPr>
          <w:p w14:paraId="7EDBB45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DA169F5" w14:textId="77777777" w:rsidR="007F0AE0" w:rsidRPr="005762E6" w:rsidRDefault="007F0AE0" w:rsidP="00453DE3">
            <w:pPr>
              <w:spacing w:after="120" w:line="240" w:lineRule="auto"/>
              <w:contextualSpacing/>
              <w:rPr>
                <w:sz w:val="20"/>
                <w:szCs w:val="20"/>
              </w:rPr>
            </w:pPr>
            <w:r w:rsidRPr="005762E6">
              <w:rPr>
                <w:sz w:val="20"/>
                <w:szCs w:val="20"/>
              </w:rPr>
              <w:t>Mary J Sandage,​ Rita Patel Passive Upper Airway Thermoregulation and High-Speed Assessment for Conventional versus Menthol Cigarette: Implications for Laryngeal Physiology.. Journal of voice : official journal of the Voice Foundation;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PURPOSE: This investigation combined measures of upper airway temperature (UAT) with high-speed laryngeal imaging in an individual who smoked a filtered conventional and menthol cigarette to identify laryngeal vibratory differences with upper airway temperature change. It was hypothesized that (1) average UAT differences between trials would be similar with UAT change &lt;=2degreeC and (2) high-speed parameters would not differ between trials.,​ METHOD: In a repeated measures design,​ UAT was measured continuously during smoking. High-speed laryngeal imaging was conducted immediately after each smoking trial and 10 minutes post.,​ RESULTS: Average UAT and end-inspiratory temperature during the menthol trial was unexpectedly low. Immediately following both trials,​ there was an increase in phase asymmetry,​ vibratory amplitude (greater magnitude of change for the nonmenthol trial),​ and the opening phase of the glottal cycle and a decrease in </w:t>
            </w:r>
            <w:r w:rsidRPr="005762E6">
              <w:rPr>
                <w:sz w:val="20"/>
                <w:szCs w:val="20"/>
              </w:rPr>
              <w:lastRenderedPageBreak/>
              <w:t>fundamental frequency compared to the baseline. During recovery,​ parameters returned to the baseline for the nonmenthol trial,​ however,​ fundamental frequency continued to be lower and vibratory amplitude continued to be larger at recovery for the menthol trial. The measure of oscillatory onset time did not change across the trials immediately post cigarette trial and during recovery suggesting that smoking resulted in changes in sustained vibratory function rather than the onset behavior.,​ CONCLUSIONS: Preliminary findings suggest that continuous thermal mapping and high-speed laryngeal function assessment may provide new information about the manner in which laryngeal tissue responds to passive thermal perturbations with direct implications for laryngeal epithelial and skeletal muscle function. Future large-scale studies are needed to investigate this in detail. Copyright © 2018 The Voice Foundation. Published by Elsevier Inc. All rights reserved.</w:t>
            </w:r>
          </w:p>
        </w:tc>
      </w:tr>
      <w:tr w:rsidR="007F0AE0" w:rsidRPr="005762E6" w14:paraId="7460197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FFFA74" w14:textId="77777777" w:rsidR="007F0AE0" w:rsidRPr="005762E6" w:rsidRDefault="007F0AE0" w:rsidP="00453DE3">
            <w:pPr>
              <w:spacing w:after="120" w:line="240" w:lineRule="auto"/>
              <w:contextualSpacing/>
              <w:rPr>
                <w:sz w:val="20"/>
                <w:szCs w:val="20"/>
              </w:rPr>
            </w:pPr>
            <w:r w:rsidRPr="005762E6">
              <w:rPr>
                <w:sz w:val="20"/>
                <w:szCs w:val="20"/>
              </w:rPr>
              <w:lastRenderedPageBreak/>
              <w:t>218</w:t>
            </w:r>
          </w:p>
        </w:tc>
        <w:tc>
          <w:tcPr>
            <w:tcW w:w="0" w:type="auto"/>
            <w:tcBorders>
              <w:top w:val="single" w:sz="6" w:space="0" w:color="auto"/>
              <w:left w:val="single" w:sz="6" w:space="0" w:color="auto"/>
              <w:bottom w:val="single" w:sz="6" w:space="0" w:color="auto"/>
              <w:right w:val="single" w:sz="6" w:space="0" w:color="auto"/>
            </w:tcBorders>
          </w:tcPr>
          <w:p w14:paraId="3638035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DE4FA39" w14:textId="77777777" w:rsidR="007F0AE0" w:rsidRPr="005762E6" w:rsidRDefault="007F0AE0" w:rsidP="00453DE3">
            <w:pPr>
              <w:spacing w:after="120" w:line="240" w:lineRule="auto"/>
              <w:contextualSpacing/>
              <w:rPr>
                <w:sz w:val="20"/>
                <w:szCs w:val="20"/>
              </w:rPr>
            </w:pPr>
            <w:r w:rsidRPr="005762E6">
              <w:rPr>
                <w:sz w:val="20"/>
                <w:szCs w:val="20"/>
              </w:rPr>
              <w:t>Lauren Czaplicki,​ Joanna E Cohen,​ Miranda R Jones,​ Katherine Clegg Smith,​ Lainie Rutkow,​ Jill Owczarzak Compliance with the City of Chicago's partial ban on menthol cigarette sales.. Tobacco control;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In the USA,​ menthol cigarettes are associated with smoking initiation and decreased likelihood of cessation,​ particularly for low-income and non-White populations. Local ordinances to restrict menthol cigarette sales are an emergent policy option. In July 2016,​ Chicago,​ Illinois became the first major US city to ban menthol cigarette sales within 500 feet of schools. This study assessed ban compliance in June 2017.,​ METHODS: We randomly selected 100 of 154 stores within 500 feet of a high school. Ninety stores were included in the analysis,​ excluding permanently closed stores or stores that did not sell tobacco prior to the ban. Compliance was determined by whether a menthol cigarette pack was purchased. We also assessed presence of menthol cigarette replacement packs. Multivariable logistic regression modelled compliance by store type,​ school (distance to high school,​ school type) and neighbourhood-level factors (poverty level,​ proportion of non-White residents).,​ RESULTS: Compliance rate was 57% (weighted,​ n=53) and no replacement packs were observed. Non-compliant stores were more likely to advertise menthol cigarettes,​ but ads were present in eight compliant stores. Gas stations had 81% lower odds (OR=0.19,​ 95% CI 0.06 to 0.58) of complying with the menthol cigarette ban compared with larger/chain stores. School-level and neighbourhood factors were not associated with compliance.,​ DISCUSSION: The poor compliance observed with Chicago's partial menthol cigarette ban highlights the need for comprehensive efforts. Optimising local resources to target enforcement efforts in gas stations could improve compliance. Ordinances that also restrict advertising could potentially enhance ban impact by reducing exposure to product and promotions. Copyright © Article author(s) (or their employer(s) unless otherwise stated in the text of the article) 2018. All rights reserved. No commercial use is permitted unless otherwise expressly granted.</w:t>
            </w:r>
          </w:p>
        </w:tc>
      </w:tr>
      <w:tr w:rsidR="007F0AE0" w:rsidRPr="005762E6" w14:paraId="6119939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BE1CB6" w14:textId="77777777" w:rsidR="007F0AE0" w:rsidRPr="005762E6" w:rsidRDefault="007F0AE0" w:rsidP="00453DE3">
            <w:pPr>
              <w:spacing w:after="120" w:line="240" w:lineRule="auto"/>
              <w:contextualSpacing/>
              <w:rPr>
                <w:sz w:val="20"/>
                <w:szCs w:val="20"/>
              </w:rPr>
            </w:pPr>
            <w:r w:rsidRPr="005762E6">
              <w:rPr>
                <w:sz w:val="20"/>
                <w:szCs w:val="20"/>
              </w:rPr>
              <w:t>219</w:t>
            </w:r>
          </w:p>
        </w:tc>
        <w:tc>
          <w:tcPr>
            <w:tcW w:w="0" w:type="auto"/>
            <w:tcBorders>
              <w:top w:val="single" w:sz="6" w:space="0" w:color="auto"/>
              <w:left w:val="single" w:sz="6" w:space="0" w:color="auto"/>
              <w:bottom w:val="single" w:sz="6" w:space="0" w:color="auto"/>
              <w:right w:val="single" w:sz="6" w:space="0" w:color="auto"/>
            </w:tcBorders>
          </w:tcPr>
          <w:p w14:paraId="09603F5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C6BDD67" w14:textId="77777777" w:rsidR="007F0AE0" w:rsidRPr="005762E6" w:rsidRDefault="007F0AE0" w:rsidP="00453DE3">
            <w:pPr>
              <w:spacing w:after="120" w:line="240" w:lineRule="auto"/>
              <w:contextualSpacing/>
              <w:rPr>
                <w:sz w:val="20"/>
                <w:szCs w:val="20"/>
              </w:rPr>
            </w:pPr>
            <w:r w:rsidRPr="005762E6">
              <w:rPr>
                <w:sz w:val="20"/>
                <w:szCs w:val="20"/>
              </w:rPr>
              <w:t>Karen Ahijevych,​ Laura Szalacha,​ Alai Tan Effects of menthol flavor cigarettes or total urinary menthol on biomarkers of nicotine and carcinogenic exposure and behavioral measures.. Nicotine &amp; tobacco research : official journal of the Society for Research on Nicotine and Tobacco;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The effects of either menthol flavor cigarettes or total urinary menthol on biomarkers of nicotine dependence,​ addictive and carcinogenic exposure,​ and behavioral measures may inform differences and similarities of these two approaches.,​ Methods: Stratified recruitment by cigarette (menthol flavor or regular cigarettes) and race (African American and white) yielded a balanced sample of 136 adult smokers in a 36 hour inpatient protocol. Exposure measures assessed during 24 hour data collection included urinary menthol,​ total NNAL,​ ten polycyclic aromatic hydrocarbon (PAH) metabolites,​ baseline plasma cotinine,​ plasma nicotine pre and post-cigarette,​ exhaled carbon monoxide (CO) pre and post-cigarette,​ and cigarette puff volumes. The latter three were measured at four specified time points throughout the day.,​ Results: There were no significant differences between menthol flavor and regular cigarette smokers in measures of nicotine dependence,​ biomarkers of addictive and carcinogenic exposures,​ or behaviors. Significant race by cigarette type interaction effects were found for two biomarkers: plasma nicotine and 3-hydroxyphenanthrene. Total urinary menthol was significantly associated with higher levels of nearly all dependent variables including puff volume,​ exhaled CO,​ plasma nicotine and cotinine,​ NNAL and PAHs. The significant effects of total urinary menthol were sustained after adjusting for menthol flavor and regular cigarette type and other covariates (e.g.,​ number of cigarettes per day,​ baseline cotinine,​ and baseline nicotine).,​ Conclusions: Urinary menthol is an independent predictive </w:t>
            </w:r>
            <w:r w:rsidRPr="005762E6">
              <w:rPr>
                <w:sz w:val="20"/>
                <w:szCs w:val="20"/>
              </w:rPr>
              <w:lastRenderedPageBreak/>
              <w:t>biomarker for nicotine dependence,​ addictive and carcinogenic exposure,​ and behaviors.,​ Implications: Comparison of the effects of menthol flavor and total urinary menthol on biomarkers of nicotine dependence,​ addictive and carcinogenic exposure and behavioral measures emphasizes the important significant contribution of total urinary menthol concentrations in contrast to no significant associations by dichotomous cigarette type with these biomarkers.</w:t>
            </w:r>
          </w:p>
        </w:tc>
      </w:tr>
      <w:tr w:rsidR="007F0AE0" w:rsidRPr="005762E6" w14:paraId="409C693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407D52" w14:textId="77777777" w:rsidR="007F0AE0" w:rsidRPr="005762E6" w:rsidRDefault="007F0AE0" w:rsidP="00453DE3">
            <w:pPr>
              <w:spacing w:after="120" w:line="240" w:lineRule="auto"/>
              <w:contextualSpacing/>
              <w:rPr>
                <w:sz w:val="20"/>
                <w:szCs w:val="20"/>
              </w:rPr>
            </w:pPr>
            <w:r w:rsidRPr="005762E6">
              <w:rPr>
                <w:sz w:val="20"/>
                <w:szCs w:val="20"/>
              </w:rPr>
              <w:lastRenderedPageBreak/>
              <w:t>221</w:t>
            </w:r>
          </w:p>
        </w:tc>
        <w:tc>
          <w:tcPr>
            <w:tcW w:w="0" w:type="auto"/>
            <w:tcBorders>
              <w:top w:val="single" w:sz="6" w:space="0" w:color="auto"/>
              <w:left w:val="single" w:sz="6" w:space="0" w:color="auto"/>
              <w:bottom w:val="single" w:sz="6" w:space="0" w:color="auto"/>
              <w:right w:val="single" w:sz="6" w:space="0" w:color="auto"/>
            </w:tcBorders>
          </w:tcPr>
          <w:p w14:paraId="1E148EB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5B44A8B" w14:textId="77777777" w:rsidR="007F0AE0" w:rsidRPr="005762E6" w:rsidRDefault="007F0AE0" w:rsidP="00453DE3">
            <w:pPr>
              <w:spacing w:after="120" w:line="240" w:lineRule="auto"/>
              <w:contextualSpacing/>
              <w:rPr>
                <w:sz w:val="20"/>
                <w:szCs w:val="20"/>
              </w:rPr>
            </w:pPr>
            <w:r w:rsidRPr="005762E6">
              <w:rPr>
                <w:sz w:val="20"/>
                <w:szCs w:val="20"/>
              </w:rPr>
              <w:t>Courtney Keeler,​ Wendy Max,​ Valerie B Yerger,​ Tingting Yao,​ Yingning Wang,​ Michael K Ong,​ Hai-Yen Sung Effects of cigarette prices on intention to quit,​ quit attempts,​ and successful cessation among African American smokers.. Nicotine &amp; tobacco research : official journal of the Society for Research on Nicotine and Tobacco;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This study examined the effects of cigarette price on intention to quit,​ quit attempts,​ and successful cessation among African American smokers in the U.S. and explored whether price effects differed by income level and menthol use status. Price effects were further compared to White counterparts.,​ Methods: We used pooled cross-sectional data from 2006-2007 and 2010-2011 Tobacco Use Supplements to the Current Population Survey to analyze 4,​213 African American recent active smokers. Three dependent variables were examined: any quit attempts in the past 12 months,​ successful cessation for &gt;=3 months,​ and intention to quit in the next 6 months. For each dependent variable,​ separate multiple logistic regression models were estimated to determine the impact of cigarette prices.,​ Results: There was no indication that price was associated with quit attempts or successful cessation,​ but price was positively associated with increased odds of intending to quit among African American smokers (p&lt;0.001). In contrast,​ prices were positively associated with intention to quit and quit attempts for White smokers. The association between price and intention to quit was significantly positive for African American low-income and menthol smokers but was not statistically significant for African American high-income and non-menthol smokers. There was no evidence of a price effect on quit attempts and successful cessation for each subgroup of African Americans.,​ Conclusion: Tobacco tax policy alone may not be enough to increase quit attempts or successful cessation among African Americans. Community-based cessation programs tailored towards African American smokers,​ especially low-income menthol smokers,​ are needed.</w:t>
            </w:r>
          </w:p>
        </w:tc>
      </w:tr>
      <w:tr w:rsidR="007F0AE0" w:rsidRPr="005762E6" w14:paraId="200198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7D886C" w14:textId="77777777" w:rsidR="007F0AE0" w:rsidRPr="005762E6" w:rsidRDefault="007F0AE0" w:rsidP="00453DE3">
            <w:pPr>
              <w:spacing w:after="120" w:line="240" w:lineRule="auto"/>
              <w:contextualSpacing/>
              <w:rPr>
                <w:sz w:val="20"/>
                <w:szCs w:val="20"/>
              </w:rPr>
            </w:pPr>
            <w:r w:rsidRPr="005762E6">
              <w:rPr>
                <w:sz w:val="20"/>
                <w:szCs w:val="20"/>
              </w:rPr>
              <w:t>225</w:t>
            </w:r>
          </w:p>
        </w:tc>
        <w:tc>
          <w:tcPr>
            <w:tcW w:w="0" w:type="auto"/>
            <w:tcBorders>
              <w:top w:val="single" w:sz="6" w:space="0" w:color="auto"/>
              <w:left w:val="single" w:sz="6" w:space="0" w:color="auto"/>
              <w:bottom w:val="single" w:sz="6" w:space="0" w:color="auto"/>
              <w:right w:val="single" w:sz="6" w:space="0" w:color="auto"/>
            </w:tcBorders>
          </w:tcPr>
          <w:p w14:paraId="29E7737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45B370" w14:textId="77777777" w:rsidR="007F0AE0" w:rsidRPr="005762E6" w:rsidRDefault="007F0AE0" w:rsidP="00453DE3">
            <w:pPr>
              <w:spacing w:after="120" w:line="240" w:lineRule="auto"/>
              <w:contextualSpacing/>
              <w:rPr>
                <w:sz w:val="20"/>
                <w:szCs w:val="20"/>
              </w:rPr>
            </w:pPr>
            <w:r w:rsidRPr="005762E6">
              <w:rPr>
                <w:sz w:val="20"/>
                <w:szCs w:val="20"/>
              </w:rPr>
              <w:t>Erna J Z Krusemann,​ Marlou P Lasschuijt,​ C de Graaf,​ Rene A de Wijk,​ Pieter H Punter,​ Loes van Tiel,​ Johannes W J M Cremers,​ Suzanne van de Nobelen,​ Sanne Boesveldt,​ Reinskje Talhout Sensory analysis of characterising flavours: evaluating tobacco product odours using an expert panel.. Tobacco control;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Tobacco flavours are an important regulatory concept in several jurisdictions,​ for example in the USA,​ Canada and Europe. The European Tobacco Products Directive 2014/40/EU prohibits cigarettes and roll-your-own tobacco having a characterising flavour. This directive defines characterising flavour as 'a clearly noticeable smell or taste other than one of tobacco [...]'. To distinguish between products with and without a characterising flavour,​ we trained an expert panel to identify characterising flavours by smelling.,​ METHODS: An expert panel (n=18) evaluated the smell of 20 tobacco products using self-defined odour attributes,​ following Quantitative Descriptive Analysis. The panel was trained during 14 attribute training,​ consensus training and performance monitoring sessions. Products were assessed during six test sessions. Principal component analysis,​ hierarchical clustering (four and six clusters) and Hotelling's T-tests (95% and 99% CIs) were used to determine differences and similarities between tobacco products based on odour attributes.,​ RESULTS: The final attribute list contained 13 odour descriptors. Panel performance was sufficient after 14 training sessions. Products marketed as unflavoured that formed a cluster were considered reference products. A four-cluster method distinguished cherry-flavoured,​ vanilla-flavoured and menthol-flavoured products from reference products. Six clusters subdivided reference products into tobacco leaves,​ roll-your-own and commercial products.,​ CONCLUSIONS: An expert panel was successfully trained to assess characterising odours in cigarettes and roll-your-own tobacco. This method could be applied to other product types such as e-cigarettes. Regulatory decisions on the choice of reference products and significance level are needed which directly influences the products being assessed as having a characterising odour. Copyright © Article author(s) (or their employer(s) unless otherwise stated in the text of the article) 2018. All rights reserved. No commercial use is permitted unless otherwise expressly granted.</w:t>
            </w:r>
          </w:p>
        </w:tc>
      </w:tr>
      <w:tr w:rsidR="007F0AE0" w:rsidRPr="005762E6" w14:paraId="14C667E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3C4F75" w14:textId="77777777" w:rsidR="007F0AE0" w:rsidRPr="005762E6" w:rsidRDefault="007F0AE0" w:rsidP="00453DE3">
            <w:pPr>
              <w:spacing w:after="120" w:line="240" w:lineRule="auto"/>
              <w:contextualSpacing/>
              <w:rPr>
                <w:sz w:val="20"/>
                <w:szCs w:val="20"/>
              </w:rPr>
            </w:pPr>
            <w:r w:rsidRPr="005762E6">
              <w:rPr>
                <w:sz w:val="20"/>
                <w:szCs w:val="20"/>
              </w:rPr>
              <w:lastRenderedPageBreak/>
              <w:t>227</w:t>
            </w:r>
          </w:p>
        </w:tc>
        <w:tc>
          <w:tcPr>
            <w:tcW w:w="0" w:type="auto"/>
            <w:tcBorders>
              <w:top w:val="single" w:sz="6" w:space="0" w:color="auto"/>
              <w:left w:val="single" w:sz="6" w:space="0" w:color="auto"/>
              <w:bottom w:val="single" w:sz="6" w:space="0" w:color="auto"/>
              <w:right w:val="single" w:sz="6" w:space="0" w:color="auto"/>
            </w:tcBorders>
          </w:tcPr>
          <w:p w14:paraId="3CC1300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A5BF4AD" w14:textId="77777777" w:rsidR="007F0AE0" w:rsidRPr="005762E6" w:rsidRDefault="007F0AE0" w:rsidP="00453DE3">
            <w:pPr>
              <w:spacing w:after="120" w:line="240" w:lineRule="auto"/>
              <w:contextualSpacing/>
              <w:rPr>
                <w:sz w:val="20"/>
                <w:szCs w:val="20"/>
              </w:rPr>
            </w:pPr>
            <w:r w:rsidRPr="005762E6">
              <w:rPr>
                <w:sz w:val="20"/>
                <w:szCs w:val="20"/>
              </w:rPr>
              <w:t>Mary F Brunette,​ Joelle C Ferron,​ Pamela Geiger,​ Andrea C Villanti Menthol Cigarette use in Young Adult Smokers with Severe Mental Illnesses.. Nicotine &amp; tobacco research : official journal of the Society for Research on Nicotine and Tobacco;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Smokers with severe mental illness (SMI) are more likely to start smoking and less likely to quit. Menthol may facilitate smoking progression,​ dependence and maintenance by reducing harshness and irritation from smoking and providing a unique sensory experience during use. High rates of menthol use have been reported in smokers with SMI,​ but information on young adults with SMI has not been reported.,​ Methods: This study provides a secondary analysis to assess the impact of menthol use in a pilot trial of brief tobacco interventions. Participants were assessed at baseline and again at a three-month follow-up with structured interviews and breath carbon monoxide to confirm self-reported 7-day abstinence at follow-up.,​ Results: Participants included 81 young adult smokers with SMI,​ mean age of 24.2 years (SD=3.6; range 18-30). Overall,​ 58% of the group reported that they recently used a menthol-flavored product. Menthol use was correlated with race (African American [18/21,​ 85.7%] vs. White [24/53,​ 45.3%] or Other race [5/7,​ 71.4%]; X2=10.7,​ p=.005) and more lifetime psychiatric hospitalizations (t=2.39,​ p=.02),​ but not with cigarettes per day,​ nicotine dependence,​ quit attempts over the follow-up period,​ nor with achieving biologically confirmed abstinence at the follow-up assessment.,​ Conclusions: The high prevalence of menthol flavored cigarette use in this study group is consistent with previous reports of high rates of menthol use among young adults,​ Blacks,​ and middle-aged SMI smokers. This study supports existing evidence that policies to restrict menthol flavoring in combustible tobacco products could reduce smoking in young adults with SMI.,​ Implications: High rates of menthol use have been reported in middle-aged smokers with severe mental illness,​ but information on young adults with severe mental illness has not been reported. In this study,​ over half (58%) of 81 young adult smokers with severe mental illness used a menthol-flavored product. Menthol use was associated with race and with history of psychiatric hospitalizations. The research supports existing evidence that policies to restrict menthol flavoring in combustible tobacco products could reduce smoking in young adults with severe mental illness.</w:t>
            </w:r>
          </w:p>
        </w:tc>
      </w:tr>
      <w:tr w:rsidR="007F0AE0" w:rsidRPr="005762E6" w14:paraId="23FF17B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8D5866" w14:textId="77777777" w:rsidR="007F0AE0" w:rsidRPr="005762E6" w:rsidRDefault="007F0AE0" w:rsidP="00453DE3">
            <w:pPr>
              <w:spacing w:after="120" w:line="240" w:lineRule="auto"/>
              <w:contextualSpacing/>
              <w:rPr>
                <w:sz w:val="20"/>
                <w:szCs w:val="20"/>
              </w:rPr>
            </w:pPr>
            <w:r w:rsidRPr="005762E6">
              <w:rPr>
                <w:sz w:val="20"/>
                <w:szCs w:val="20"/>
              </w:rPr>
              <w:t>228</w:t>
            </w:r>
          </w:p>
        </w:tc>
        <w:tc>
          <w:tcPr>
            <w:tcW w:w="0" w:type="auto"/>
            <w:tcBorders>
              <w:top w:val="single" w:sz="6" w:space="0" w:color="auto"/>
              <w:left w:val="single" w:sz="6" w:space="0" w:color="auto"/>
              <w:bottom w:val="single" w:sz="6" w:space="0" w:color="auto"/>
              <w:right w:val="single" w:sz="6" w:space="0" w:color="auto"/>
            </w:tcBorders>
          </w:tcPr>
          <w:p w14:paraId="3B84F3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66F3988" w14:textId="77777777" w:rsidR="007F0AE0" w:rsidRPr="005762E6" w:rsidRDefault="007F0AE0" w:rsidP="00453DE3">
            <w:pPr>
              <w:spacing w:after="120" w:line="240" w:lineRule="auto"/>
              <w:contextualSpacing/>
              <w:rPr>
                <w:sz w:val="20"/>
                <w:szCs w:val="20"/>
              </w:rPr>
            </w:pPr>
            <w:r w:rsidRPr="005762E6">
              <w:rPr>
                <w:sz w:val="20"/>
                <w:szCs w:val="20"/>
              </w:rPr>
              <w:t>Amy M Cohn,​ Shyanika W Rose,​ Vinu Ilakkuvan,​ Tiffany Gray,​ Laurel Curry,​ Andrea C Villanti,​ Darren Mays,​ Eric Lindblom,​ Kenneth Tercyak,​ Charles Debnam,​ Ashley Mayo,​ Lexie Perreras Harm Perceptions of Menthol and Nonmenthol Cigarettes Differ by Brand,​ Race/Ethnicity,​ and Gender in US Adult Smokers: Results from PATH Wave 1.. Nicotine &amp; tobacco research : official journal of the Society for Research on Nicotine and Tobacco; 2018;: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Harm perceptions of menthol cigarettes may contribute to their appeal and use. African-Americans,​ women,​ and younger smokers disproportionately use menthol cigarettes,​ and may misperceive harm of menthol cigarettes.,​ Methods: Data were from Wave 1 of the Population Assessment of Tobacco and Health (PATH) Study. Weighted analyses of current adult smokers (18 and older) were used to estimate the correlates of menthol smoking among all cigarette brands and separately for the top three cigarette brands (Newport,​ Camel,​ and Marlboro). Adjusted models examined the main effect of menthol smoking on harm perceptions of one's own brand of cigarette and interactions with race/ethnicity,​ age,​ and gender.,​ Results: Menthol cigarettes were used by nearly 40% of current smokers,​ although the prevalence of menthol smoking differed across the top three brands (94% Newport,​ 46% Camel,​ and 18% Marlboro). Among menthol smokers,​ 80% perceived their cigarette as equally harmful,​ 14% perceived their brand as more harmful,​ and 7% perceived their brand as less harmful. In adjusted models,​ menthol smokers were more likely than nonmenthol smokers to misperceive their own brand as more harmful than other brands (compared to no difference in harm). Race and gender emerged as moderators of the association between menthol brand preference and harm perceptions.,​ Conclusions: In adjusted analyses,​ menthol smokers were more likely than nonmenthol smokers to perceive their brand as more harmful than other brands,​ with differences by sub-groups who disproportionately use menthol.,​ Implications: Menthol cigarettes have been historically marketed with messages conveying lower harm than other cigarettes. Little is known about how contemporary adult menthol smokers perceive the harm of their usual brand,​ and potential differences by race,​ gender,​ and young adult versus older adult age group. After adjusting for other factors,​ menthol smokers were more likely than nonmenthol smokers to perceive their cigarette brand as more harmful than other brands. Further,​ the association between menthol smoking and harm perceptions differed by </w:t>
            </w:r>
            <w:r w:rsidRPr="005762E6">
              <w:rPr>
                <w:sz w:val="20"/>
                <w:szCs w:val="20"/>
              </w:rPr>
              <w:lastRenderedPageBreak/>
              <w:t>race and gender,​ but not by age group (young adult vs. older adult). This type of large-scale study identifies critical links between menthol smoking and harm perceptions among vulnerable smokers that will inform regulatory actions designed to decrease smoking-related harm. Copyright © The Author(s) 2018. Published by Oxford University Press on behalf of the Society for Research on Nicotine and Tobacco. All rights reserved. For permissions,​ please e-mail: journals.permissions@oup.com.</w:t>
            </w:r>
          </w:p>
        </w:tc>
      </w:tr>
      <w:tr w:rsidR="007F0AE0" w:rsidRPr="005762E6" w14:paraId="5133C6F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3E4E8F" w14:textId="77777777" w:rsidR="007F0AE0" w:rsidRPr="005762E6" w:rsidRDefault="007F0AE0" w:rsidP="00453DE3">
            <w:pPr>
              <w:spacing w:after="120" w:line="240" w:lineRule="auto"/>
              <w:contextualSpacing/>
              <w:rPr>
                <w:sz w:val="20"/>
                <w:szCs w:val="20"/>
              </w:rPr>
            </w:pPr>
            <w:r w:rsidRPr="005762E6">
              <w:rPr>
                <w:sz w:val="20"/>
                <w:szCs w:val="20"/>
              </w:rPr>
              <w:lastRenderedPageBreak/>
              <w:t>233</w:t>
            </w:r>
          </w:p>
        </w:tc>
        <w:tc>
          <w:tcPr>
            <w:tcW w:w="0" w:type="auto"/>
            <w:tcBorders>
              <w:top w:val="single" w:sz="6" w:space="0" w:color="auto"/>
              <w:left w:val="single" w:sz="6" w:space="0" w:color="auto"/>
              <w:bottom w:val="single" w:sz="6" w:space="0" w:color="auto"/>
              <w:right w:val="single" w:sz="6" w:space="0" w:color="auto"/>
            </w:tcBorders>
          </w:tcPr>
          <w:p w14:paraId="4D586D7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46C1378" w14:textId="77777777" w:rsidR="007F0AE0" w:rsidRPr="005762E6" w:rsidRDefault="007F0AE0" w:rsidP="00453DE3">
            <w:pPr>
              <w:spacing w:after="120" w:line="240" w:lineRule="auto"/>
              <w:contextualSpacing/>
              <w:rPr>
                <w:sz w:val="20"/>
                <w:szCs w:val="20"/>
              </w:rPr>
            </w:pPr>
            <w:r w:rsidRPr="005762E6">
              <w:rPr>
                <w:sz w:val="20"/>
                <w:szCs w:val="20"/>
              </w:rPr>
              <w:t>Jiu Ai,​ Kenneth M Taylor,​ Joseph G Lisko,​ Hang Tran,​ Clifford H Watson,​ Matthew R Holman Menthol levels in cigarettes from eight manufacturers.. Tobacco control; 2018;27:335.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0586D5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660DC3" w14:textId="77777777" w:rsidR="007F0AE0" w:rsidRPr="005762E6" w:rsidRDefault="007F0AE0" w:rsidP="00453DE3">
            <w:pPr>
              <w:spacing w:after="120" w:line="240" w:lineRule="auto"/>
              <w:contextualSpacing/>
              <w:rPr>
                <w:sz w:val="20"/>
                <w:szCs w:val="20"/>
              </w:rPr>
            </w:pPr>
            <w:r w:rsidRPr="005762E6">
              <w:rPr>
                <w:sz w:val="20"/>
                <w:szCs w:val="20"/>
              </w:rPr>
              <w:t>237</w:t>
            </w:r>
          </w:p>
        </w:tc>
        <w:tc>
          <w:tcPr>
            <w:tcW w:w="0" w:type="auto"/>
            <w:tcBorders>
              <w:top w:val="single" w:sz="6" w:space="0" w:color="auto"/>
              <w:left w:val="single" w:sz="6" w:space="0" w:color="auto"/>
              <w:bottom w:val="single" w:sz="6" w:space="0" w:color="auto"/>
              <w:right w:val="single" w:sz="6" w:space="0" w:color="auto"/>
            </w:tcBorders>
          </w:tcPr>
          <w:p w14:paraId="482AC59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BEBCE5C" w14:textId="77777777" w:rsidR="007F0AE0" w:rsidRPr="005762E6" w:rsidRDefault="007F0AE0" w:rsidP="00453DE3">
            <w:pPr>
              <w:spacing w:after="120" w:line="240" w:lineRule="auto"/>
              <w:contextualSpacing/>
              <w:rPr>
                <w:sz w:val="20"/>
                <w:szCs w:val="20"/>
              </w:rPr>
            </w:pPr>
            <w:r w:rsidRPr="005762E6">
              <w:rPr>
                <w:sz w:val="20"/>
                <w:szCs w:val="20"/>
              </w:rPr>
              <w:t>Anna Pagano,​ Noah R Gubner,​ Thao Le,​ Deborah Yip,​ Denise Williams,​ Kevin Delucchi,​ Joseph Guydish Differences in tobacco use prevalence,​ behaviors,​ and cessation services by race/ethnicity: A survey of persons in addiction treatment.. Journal of substance abuse treatment; 2018;94:9.</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Disparities in tobacco use prevalence,​ behaviors,​ and services have been identified among people of different racial and ethnic groups in the United States general population. Persons in addiction treatment have among the highest smoking prevalence of any population. However,​ little is known about racial and ethnic disparities in tobacco use prevalence,​ behaviors,​ and services among persons in addiction treatment.,​ METHODS: Survey data were used from 1840 clients from 24 addiction treatment programs from the NIDA Clinical Trials Network. Multivariate regression analyses were conducted to assess associations between race/ethnicity (White,​ African American,​ Hispanic) and patterns of tobacco and other tobacco product use,​ as well as quitting behaviors and receipt of tobacco cessation services among current smokers (n=1425) while in treatment.,​ RESULTS: There was no difference in cigarette smoking prevalence across racial/ethnic groups. In the multivariate models,​ Hispanics and African Americans,​ compared to Whites,​ were less likely to be daily smokers,​ use smokeless tobacco,​ or use e-cigarettes. African Americans and Hispanics reported more past-year quit attempts and higher use of menthol compared to Whites. Hispanics were more interested in quitting while in treatment than Whites. Contrary to expectations,​ African Americans reported receiving more tobacco cessation advice and services while in treatment than Whites.,​ CONCLUSIONS: Some findings reflected broader population patterns (e.g.,​ tobacco use behaviors,​ other tobacco product use),​ while others did not (e.g.,​ no difference in tobacco use prevalence by race/ethnicity). The reasons for greater receipt of cessation services among African Americans are unclear. Findings indicate the need for continued engagement of African Americans and Hispanics in cessation services while in addiction treatment,​ and for addressing heavier tobacco use and lack of interest in cessation during treatment among White clients. Copyright © 2018 Elsevier Inc. All rights reserved.</w:t>
            </w:r>
          </w:p>
        </w:tc>
      </w:tr>
      <w:tr w:rsidR="007F0AE0" w:rsidRPr="005762E6" w14:paraId="05537FB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B67C593" w14:textId="77777777" w:rsidR="007F0AE0" w:rsidRPr="005762E6" w:rsidRDefault="007F0AE0" w:rsidP="00453DE3">
            <w:pPr>
              <w:spacing w:after="120" w:line="240" w:lineRule="auto"/>
              <w:contextualSpacing/>
              <w:rPr>
                <w:sz w:val="20"/>
                <w:szCs w:val="20"/>
              </w:rPr>
            </w:pPr>
            <w:r w:rsidRPr="005762E6">
              <w:rPr>
                <w:sz w:val="20"/>
                <w:szCs w:val="20"/>
              </w:rPr>
              <w:t>240</w:t>
            </w:r>
          </w:p>
        </w:tc>
        <w:tc>
          <w:tcPr>
            <w:tcW w:w="0" w:type="auto"/>
            <w:tcBorders>
              <w:top w:val="single" w:sz="6" w:space="0" w:color="auto"/>
              <w:left w:val="single" w:sz="6" w:space="0" w:color="auto"/>
              <w:bottom w:val="single" w:sz="6" w:space="0" w:color="auto"/>
              <w:right w:val="single" w:sz="6" w:space="0" w:color="auto"/>
            </w:tcBorders>
          </w:tcPr>
          <w:p w14:paraId="471374D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07721AB" w14:textId="77777777" w:rsidR="007F0AE0" w:rsidRPr="005762E6" w:rsidRDefault="007F0AE0" w:rsidP="00453DE3">
            <w:pPr>
              <w:spacing w:after="120" w:line="240" w:lineRule="auto"/>
              <w:contextualSpacing/>
              <w:rPr>
                <w:sz w:val="20"/>
                <w:szCs w:val="20"/>
              </w:rPr>
            </w:pPr>
            <w:r w:rsidRPr="005762E6">
              <w:rPr>
                <w:sz w:val="20"/>
                <w:szCs w:val="20"/>
              </w:rPr>
              <w:t>Hyung Soo Kim,​ Eun Chul Pack,​ Ye Ji Koo,​ Ye Jin Lee,​ Dae Kwan Sung,​ Seung Ha Lee,​ Young Soon Kim,​ Kyeng Hee Kwon,​ Kyung Min Lim,​ Dae Yong Jang,​ Dal Woong Choi Corrigendum to "Quantitative analysis of menthol and identification of other flavoring ingredients in capsule cigarettes marketed in Korea" [Regul. Toxicol. Pharmacol. 92C (2018) 420-428].. Regulatory toxicology and pharmacology : RTP; 2018;95:448.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F9D957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57DDE8" w14:textId="77777777" w:rsidR="007F0AE0" w:rsidRPr="005762E6" w:rsidRDefault="007F0AE0" w:rsidP="00453DE3">
            <w:pPr>
              <w:spacing w:after="120" w:line="240" w:lineRule="auto"/>
              <w:contextualSpacing/>
              <w:rPr>
                <w:sz w:val="20"/>
                <w:szCs w:val="20"/>
              </w:rPr>
            </w:pPr>
            <w:r w:rsidRPr="005762E6">
              <w:rPr>
                <w:sz w:val="20"/>
                <w:szCs w:val="20"/>
              </w:rPr>
              <w:t>241</w:t>
            </w:r>
          </w:p>
        </w:tc>
        <w:tc>
          <w:tcPr>
            <w:tcW w:w="0" w:type="auto"/>
            <w:tcBorders>
              <w:top w:val="single" w:sz="6" w:space="0" w:color="auto"/>
              <w:left w:val="single" w:sz="6" w:space="0" w:color="auto"/>
              <w:bottom w:val="single" w:sz="6" w:space="0" w:color="auto"/>
              <w:right w:val="single" w:sz="6" w:space="0" w:color="auto"/>
            </w:tcBorders>
          </w:tcPr>
          <w:p w14:paraId="18E8F73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C616647" w14:textId="77777777" w:rsidR="007F0AE0" w:rsidRPr="005762E6" w:rsidRDefault="007F0AE0" w:rsidP="00453DE3">
            <w:pPr>
              <w:spacing w:after="120" w:line="240" w:lineRule="auto"/>
              <w:contextualSpacing/>
              <w:rPr>
                <w:sz w:val="20"/>
                <w:szCs w:val="20"/>
              </w:rPr>
            </w:pPr>
            <w:r w:rsidRPr="005762E6">
              <w:rPr>
                <w:sz w:val="20"/>
                <w:szCs w:val="20"/>
              </w:rPr>
              <w:t>Andrea C Villanti,​ Diann E Gaalema,​ Jennifer W Tidey,​ Allison N Kurti,​ Stacey C Sigmon,​ Stephen T Higgins Co-occurring vulnerabilities and menthol use in U.S. young adult cigarette smokers: Findings from Wave 1 of the PATH Study,​ 2013-2014.. Preventive medicine; 2018;117:43.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This study incorporates intersectionality theory to address potential effects of age on other documented risk factors for current smoking and menthol cigarette use in young adults aged 18-34 using Wave 1 of the Population Assessment of Tobacco and Health (PATH) Study (2013-2014). We explored known correlates of current cigarette and menthol cigarette smoking and interaction analyses by age group (18-24 vs. 25-34),​ </w:t>
            </w:r>
            <w:r w:rsidRPr="005762E6">
              <w:rPr>
                <w:sz w:val="20"/>
                <w:szCs w:val="20"/>
              </w:rPr>
              <w:lastRenderedPageBreak/>
              <w:t>accounting for survey weighting. Use of non-cigarette tobacco products and e-cigarettes was characterized among current cigarette smokers. Young adults experience multiple vulnerabilities to smoking beyond age and some of these known risk factors for smoking place those aged 18-24 at different risk of cigarette smoking compared to their 25-34year old counterparts. These include lower odds of cigarette smoking by age for sex (female; AOR=0.62 in those aged 18-24 vs. 0.72 in those aged 25-34) and Hispanic ethnicity (vs. White; AOR=0.77 vs. 0.45),​ and higher odds of smoking among past 30-day alcohol users aged 18-24 vs. 25-34 (AOR=1.62 vs. 1.32). Correlations between lower education and smoking were nearly two-fold higher in 25-34 than 18-24year olds. Having any medical comorbidity had opposite effects on current smoking by age (18-24 positive correlation,​ AOR=1.17; 25-34 negative correlation,​ AOR=0.84). Lower education was correlated with menthol cigarette use among young adult smokers. This study suggests that higher smoking prevalence among young adults is associated with the intersection of multiple vulnerabilities to smoking. Copyright © 2018 Elsevier Inc. All rights reserved.</w:t>
            </w:r>
          </w:p>
        </w:tc>
      </w:tr>
      <w:tr w:rsidR="007F0AE0" w:rsidRPr="005762E6" w14:paraId="7AF61B2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7B2695" w14:textId="77777777" w:rsidR="007F0AE0" w:rsidRPr="005762E6" w:rsidRDefault="007F0AE0" w:rsidP="00453DE3">
            <w:pPr>
              <w:spacing w:after="120" w:line="240" w:lineRule="auto"/>
              <w:contextualSpacing/>
              <w:rPr>
                <w:sz w:val="20"/>
                <w:szCs w:val="20"/>
              </w:rPr>
            </w:pPr>
            <w:r w:rsidRPr="005762E6">
              <w:rPr>
                <w:sz w:val="20"/>
                <w:szCs w:val="20"/>
              </w:rPr>
              <w:lastRenderedPageBreak/>
              <w:t>243</w:t>
            </w:r>
          </w:p>
        </w:tc>
        <w:tc>
          <w:tcPr>
            <w:tcW w:w="0" w:type="auto"/>
            <w:tcBorders>
              <w:top w:val="single" w:sz="6" w:space="0" w:color="auto"/>
              <w:left w:val="single" w:sz="6" w:space="0" w:color="auto"/>
              <w:bottom w:val="single" w:sz="6" w:space="0" w:color="auto"/>
              <w:right w:val="single" w:sz="6" w:space="0" w:color="auto"/>
            </w:tcBorders>
          </w:tcPr>
          <w:p w14:paraId="1E83F8D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7ED7032" w14:textId="77777777" w:rsidR="007F0AE0" w:rsidRPr="005762E6" w:rsidRDefault="007F0AE0" w:rsidP="00453DE3">
            <w:pPr>
              <w:spacing w:after="120" w:line="240" w:lineRule="auto"/>
              <w:contextualSpacing/>
              <w:rPr>
                <w:sz w:val="20"/>
                <w:szCs w:val="20"/>
              </w:rPr>
            </w:pPr>
            <w:r w:rsidRPr="005762E6">
              <w:rPr>
                <w:sz w:val="20"/>
                <w:szCs w:val="20"/>
              </w:rPr>
              <w:t>Eric Craig Leas,​ John P Pierce,​ Claudiu V Dimofte,​ Dennis R Trinidad,​ David R Strong Standardised cigarette packaging may reduce the implied safety of Natural American Spirit cigarettes.. Tobacco control; 2018;27:e118.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Over two-thirds of Natural American Spirit (NAS) smokers believe their cigarettes might be 'less harmful',​ but toxicological evidence does not support this belief. We assessed whether standardised packaging could reduce the possibility of erroneous inferences of 'safety' drawn from NAS cigarette packaging.,​ METHODS: US adult smokers (n=909) were recruited to a between-subject survey experiment (3 brandsx3 packaging/labelling styles) through Amazon Mechanical Turk and rated their perception of whether a randomly assigned cigarette package conveyed that the brand was 'safer' on a three-item scale (Cronbach's alpha=0.92). We assessed whether NAS packs were rated higher on the 'implied safety' scale than two other brands and estimated the effect that plain packaging (ie,​ all branding replaced with a drab dark brown colour) and Australian-like packaging (ie,​ all branding replaced with a drab dark brown colour and a graphic image and text on 75% of the pack surface) had on perceptions of the NAS cigarette package.,​ RESULTS: Smokers' ratings of the standard NAS pack on the implied safety scale (mean=4.6; SD=2.9) were 1.9 times (P &lt;0.001) higher than smokers' ratings of a Marlboro Red pack (mean=2.4; SD=2.3) and 1.7 times (P &lt;0.001) higher than smokers' ratings of a Newport Menthol pack (mean=2.7; SD=2.4). These perceptions of implied safety were lower when plain packaging was used (Cohen's d=0.66; P &lt;0.001) and much lower when Australian-like packaging was used (Cohen's d=1.56; P &lt;0.001).,​ CONCLUSION: The results suggest that NAS cigarette packaging conveys that its cigarettes are 'safer' and that such perceptions are lower with standardised packaging,​ both with and without warning images. Copyright © Article author(s) (or their employer(s) unless otherwise stated in the text of the article) 2018. All rights reserved. No commercial use is permitted unless otherwise expressly granted.</w:t>
            </w:r>
          </w:p>
        </w:tc>
      </w:tr>
      <w:tr w:rsidR="007F0AE0" w:rsidRPr="005762E6" w14:paraId="166D70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7DBEED" w14:textId="77777777" w:rsidR="007F0AE0" w:rsidRPr="005762E6" w:rsidRDefault="007F0AE0" w:rsidP="00453DE3">
            <w:pPr>
              <w:spacing w:after="120" w:line="240" w:lineRule="auto"/>
              <w:contextualSpacing/>
              <w:rPr>
                <w:sz w:val="20"/>
                <w:szCs w:val="20"/>
              </w:rPr>
            </w:pPr>
            <w:r w:rsidRPr="005762E6">
              <w:rPr>
                <w:sz w:val="20"/>
                <w:szCs w:val="20"/>
              </w:rPr>
              <w:t>245</w:t>
            </w:r>
          </w:p>
        </w:tc>
        <w:tc>
          <w:tcPr>
            <w:tcW w:w="0" w:type="auto"/>
            <w:tcBorders>
              <w:top w:val="single" w:sz="6" w:space="0" w:color="auto"/>
              <w:left w:val="single" w:sz="6" w:space="0" w:color="auto"/>
              <w:bottom w:val="single" w:sz="6" w:space="0" w:color="auto"/>
              <w:right w:val="single" w:sz="6" w:space="0" w:color="auto"/>
            </w:tcBorders>
          </w:tcPr>
          <w:p w14:paraId="491276D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651F44" w14:textId="77777777" w:rsidR="007F0AE0" w:rsidRPr="005762E6" w:rsidRDefault="007F0AE0" w:rsidP="00453DE3">
            <w:pPr>
              <w:spacing w:after="120" w:line="240" w:lineRule="auto"/>
              <w:contextualSpacing/>
              <w:rPr>
                <w:sz w:val="20"/>
                <w:szCs w:val="20"/>
              </w:rPr>
            </w:pPr>
            <w:r w:rsidRPr="005762E6">
              <w:rPr>
                <w:sz w:val="20"/>
                <w:szCs w:val="20"/>
              </w:rPr>
              <w:t>Sarah D Mills,​ Lisa Henriksen,​ Shelley D Golden,​ Rachel Kurtzman,​ Amanda Y Kong,​ Tara L Queen,​ Kurt M Ribisl Disparities in retail marketing for menthol cigarettes in the United States,​ 2015.. Health &amp; place; 2018;53:62.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describes retail marketing for menthol cigarettes and its relationship with neighborhood demographics in a national sample of tobacco retailers in the United States. Mixed-effects models were used to examine three outcomes: menthol cigarette exterior advertising,​ menthol cigarette price promotions,​ and the pack price of menthol and non-menthol cigarettes. Thirty-eight percent of retailers displayed at least one menthol advertisement on the store exterior and 69% advertised price promotions. Retail advertising was more common in neighborhoods in the second (OR = 1.5 [1.1,​ 2.0]) and fourth (OR = 1.9 [1.3,​ 2.7]) quartiles of Black residents as compared to the lowest quartile. Menthol advertising was more prevalent in the third (OR = 1.4 [1.0,​ 1.9]) and lowest (OR = 1.6 [1.2,​ 2.2]) income quartiles as compared to the highest quartile. Price promotions for Newport were more common in neighborhoods with the highest quartile of Black residents (OR = 1.8 [1.2,​ 2.7]). Prices of Newport were cheaper in neighborhoods with the highest quartiles of youth,​ Black residents,​ and lower-income households. Policies that restrict the sales and marketing of menthol cigarettes are needed to address disparities. Copyright © 2018 Elsevier Ltd. All rights reserved.</w:t>
            </w:r>
          </w:p>
        </w:tc>
      </w:tr>
      <w:tr w:rsidR="007F0AE0" w:rsidRPr="005762E6" w14:paraId="13F1D17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8BA262" w14:textId="77777777" w:rsidR="007F0AE0" w:rsidRPr="005762E6" w:rsidRDefault="007F0AE0" w:rsidP="00453DE3">
            <w:pPr>
              <w:spacing w:after="120" w:line="240" w:lineRule="auto"/>
              <w:contextualSpacing/>
              <w:rPr>
                <w:sz w:val="20"/>
                <w:szCs w:val="20"/>
              </w:rPr>
            </w:pPr>
            <w:r w:rsidRPr="005762E6">
              <w:rPr>
                <w:sz w:val="20"/>
                <w:szCs w:val="20"/>
              </w:rPr>
              <w:t>249</w:t>
            </w:r>
          </w:p>
        </w:tc>
        <w:tc>
          <w:tcPr>
            <w:tcW w:w="0" w:type="auto"/>
            <w:tcBorders>
              <w:top w:val="single" w:sz="6" w:space="0" w:color="auto"/>
              <w:left w:val="single" w:sz="6" w:space="0" w:color="auto"/>
              <w:bottom w:val="single" w:sz="6" w:space="0" w:color="auto"/>
              <w:right w:val="single" w:sz="6" w:space="0" w:color="auto"/>
            </w:tcBorders>
          </w:tcPr>
          <w:p w14:paraId="2AE176A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69096B1" w14:textId="77777777" w:rsidR="007F0AE0" w:rsidRPr="005762E6" w:rsidRDefault="007F0AE0" w:rsidP="00453DE3">
            <w:pPr>
              <w:spacing w:after="120" w:line="240" w:lineRule="auto"/>
              <w:contextualSpacing/>
              <w:rPr>
                <w:sz w:val="20"/>
                <w:szCs w:val="20"/>
              </w:rPr>
            </w:pPr>
            <w:r w:rsidRPr="005762E6">
              <w:rPr>
                <w:sz w:val="20"/>
                <w:szCs w:val="20"/>
              </w:rPr>
              <w:t>Mark G LeSage,​ John R Smethells,​ Andrew C Harris Status and Future Directions of Preclinical Behavioral Pharmacology in Tobacco Regulatory Science.. Behavior analysis (Washington,​ D.C.); 2018;18:252.</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Behavioral pharmacology is a branch of the experimental analysis of behavior that has had great influence in drug addiction research and policy. This paper provides an overview of recent behavioral pharmacology research in the field of tobacco regulatory science,​ which provides the scientific foundation for the Food and Drug Administration Center for Tobacco Products (FDA CTP) to set tobacco control policies. The rationale and aims of tobacco regulatory science are provided,​ including the types of preclinical operant behavioral models it deems important for assessing the abuse liability of tobacco products and their constituents. We then review literature relevant to key regulatory actions being considered by the FDA CTP,​ including regulations over nicotine and menthol content of cigarettes,​ and conclude with suggesting some directions for future research. The current era of tobacco regulatory science provides great opportunities for behavioral pharmacologists to address the leading cause of preventable death and disease worldwide.</w:t>
            </w:r>
          </w:p>
        </w:tc>
      </w:tr>
      <w:tr w:rsidR="007F0AE0" w:rsidRPr="005762E6" w14:paraId="0F7CF8B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EFE129B" w14:textId="77777777" w:rsidR="007F0AE0" w:rsidRPr="005762E6" w:rsidRDefault="007F0AE0" w:rsidP="00453DE3">
            <w:pPr>
              <w:spacing w:after="120" w:line="240" w:lineRule="auto"/>
              <w:contextualSpacing/>
              <w:rPr>
                <w:sz w:val="20"/>
                <w:szCs w:val="20"/>
              </w:rPr>
            </w:pPr>
            <w:r w:rsidRPr="005762E6">
              <w:rPr>
                <w:sz w:val="20"/>
                <w:szCs w:val="20"/>
              </w:rPr>
              <w:lastRenderedPageBreak/>
              <w:t>251</w:t>
            </w:r>
          </w:p>
        </w:tc>
        <w:tc>
          <w:tcPr>
            <w:tcW w:w="0" w:type="auto"/>
            <w:tcBorders>
              <w:top w:val="single" w:sz="6" w:space="0" w:color="auto"/>
              <w:left w:val="single" w:sz="6" w:space="0" w:color="auto"/>
              <w:bottom w:val="single" w:sz="6" w:space="0" w:color="auto"/>
              <w:right w:val="single" w:sz="6" w:space="0" w:color="auto"/>
            </w:tcBorders>
          </w:tcPr>
          <w:p w14:paraId="341CA39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BDC009" w14:textId="77777777" w:rsidR="007F0AE0" w:rsidRPr="005762E6" w:rsidRDefault="007F0AE0" w:rsidP="00453DE3">
            <w:pPr>
              <w:spacing w:after="120" w:line="240" w:lineRule="auto"/>
              <w:contextualSpacing/>
              <w:rPr>
                <w:sz w:val="20"/>
                <w:szCs w:val="20"/>
              </w:rPr>
            </w:pPr>
            <w:r w:rsidRPr="005762E6">
              <w:rPr>
                <w:sz w:val="20"/>
                <w:szCs w:val="20"/>
              </w:rPr>
              <w:t>Phoenix Alicia Matthews,​ Amanda C Blok,​ Joseph G L Lee,​ Brian Hitsman,​ Lisa Sanchez-Johnsen,​ Karriem Watson,​ Elizabeth Breen,​ Raymond Ruiz,​Scout,​ Melissa A Simon,​ Marian Fitzgibbon,​ Laura C Hein,​ Robert Winn SBM recommends policy support to reduce smoking disparities for sexual and gender minorities.. Translational behavioral medicine; 2018;8:692.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Society of Behavioral Medicine supports the inclusion of gender and sexual minorities in all local,​ state,​ and national tobacco prevention and control activities. These activities include surveillance of tobacco use and cessation activities,​ targeted outreach and awareness campaigns,​ increasing access to culturally appropriate tobacco use dependence treatments,​ and restricting disproportionate marketing to lesbian,​ gay,​ bisexual,​ and transgender communities by the tobacco industry,​ especially for mentholated tobacco products.</w:t>
            </w:r>
          </w:p>
        </w:tc>
      </w:tr>
      <w:tr w:rsidR="007F0AE0" w:rsidRPr="005762E6" w14:paraId="0DC6254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5EE125" w14:textId="77777777" w:rsidR="007F0AE0" w:rsidRPr="005762E6" w:rsidRDefault="007F0AE0" w:rsidP="00453DE3">
            <w:pPr>
              <w:spacing w:after="120" w:line="240" w:lineRule="auto"/>
              <w:contextualSpacing/>
              <w:rPr>
                <w:sz w:val="20"/>
                <w:szCs w:val="20"/>
              </w:rPr>
            </w:pPr>
            <w:r w:rsidRPr="005762E6">
              <w:rPr>
                <w:sz w:val="20"/>
                <w:szCs w:val="20"/>
              </w:rPr>
              <w:t>252</w:t>
            </w:r>
          </w:p>
        </w:tc>
        <w:tc>
          <w:tcPr>
            <w:tcW w:w="0" w:type="auto"/>
            <w:tcBorders>
              <w:top w:val="single" w:sz="6" w:space="0" w:color="auto"/>
              <w:left w:val="single" w:sz="6" w:space="0" w:color="auto"/>
              <w:bottom w:val="single" w:sz="6" w:space="0" w:color="auto"/>
              <w:right w:val="single" w:sz="6" w:space="0" w:color="auto"/>
            </w:tcBorders>
          </w:tcPr>
          <w:p w14:paraId="7AF01FA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8FB5A5A" w14:textId="77777777" w:rsidR="007F0AE0" w:rsidRPr="005762E6" w:rsidRDefault="007F0AE0" w:rsidP="00453DE3">
            <w:pPr>
              <w:spacing w:after="120" w:line="240" w:lineRule="auto"/>
              <w:contextualSpacing/>
              <w:rPr>
                <w:sz w:val="20"/>
                <w:szCs w:val="20"/>
              </w:rPr>
            </w:pPr>
            <w:r w:rsidRPr="005762E6">
              <w:rPr>
                <w:sz w:val="20"/>
                <w:szCs w:val="20"/>
              </w:rPr>
              <w:t>Anna Pagano,​ Noah Gubner,​ Thao Le,​ Joseph Guydish Cigarette smoking and quit attempts among Latinos in substance use disorder treatment.. The American journal of drug and alcohol abuse; 2018;44:660.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Differences in tobacco use behaviors have been identified between Latinos and non-Latino whites in the general US population. Little is known about cigarette smoking and quitting behaviors of Latinos in treatment for substance use disorders (SUDs),​ who represent two major tobacco-vulnerable groups.,​ OBJECTIVES: To compare,​ in a national sample of persons enrolled in SUD treatment,​ demographic,​ drug use,​ and smoking and quitting prevalence and behaviors between Latinos and non-Latino whites.,​ METHODS: We surveyed 777 SUD treatment clients,​ sampled from 24 clinics selected at random from the National Institute on Drug Abuse Clinical Trials Network (Latino client n = 141; 40% female). We then conducted univariate and multivariate analyses to identify correlates of smoking behaviors by Latino/non-Latino white ethnicity.,​ RESULTS: Latinos' smoking prevalence resembled that of non-Latino whites (78.7% vs. 77.4%). In regression analyses,​ Latino smokers (n = 111) tended to smoke fewer cigarettes per day (CPD) than non-Latino white smokers (n = 492); were more often nondaily smokers and menthol smokers; more often reported a smoking quit attempt in the last year; and tended to report higher numbers of past-year quit attempts. Among Latino smokers,​ those with less education and those reporting opioids as their primary drug of use reported higher CPD.,​ CONCLUSIONS: Latinos in SUD treatment are at equally high risk of being current heavy smokers as compared to non-Latino whites in SUD treatment. At the same time,​ Latinos in SUD treatment exhibit ethnic-specific smoking and quitting behaviors that should be considered when designing smoking interventions for this group.</w:t>
            </w:r>
          </w:p>
        </w:tc>
      </w:tr>
      <w:tr w:rsidR="007F0AE0" w:rsidRPr="005762E6" w14:paraId="2B5373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920FC9" w14:textId="77777777" w:rsidR="007F0AE0" w:rsidRPr="005762E6" w:rsidRDefault="007F0AE0" w:rsidP="00453DE3">
            <w:pPr>
              <w:spacing w:after="120" w:line="240" w:lineRule="auto"/>
              <w:contextualSpacing/>
              <w:rPr>
                <w:sz w:val="20"/>
                <w:szCs w:val="20"/>
              </w:rPr>
            </w:pPr>
            <w:r w:rsidRPr="005762E6">
              <w:rPr>
                <w:sz w:val="20"/>
                <w:szCs w:val="20"/>
              </w:rPr>
              <w:t>253</w:t>
            </w:r>
          </w:p>
        </w:tc>
        <w:tc>
          <w:tcPr>
            <w:tcW w:w="0" w:type="auto"/>
            <w:tcBorders>
              <w:top w:val="single" w:sz="6" w:space="0" w:color="auto"/>
              <w:left w:val="single" w:sz="6" w:space="0" w:color="auto"/>
              <w:bottom w:val="single" w:sz="6" w:space="0" w:color="auto"/>
              <w:right w:val="single" w:sz="6" w:space="0" w:color="auto"/>
            </w:tcBorders>
          </w:tcPr>
          <w:p w14:paraId="4F743B7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19BC24" w14:textId="77777777" w:rsidR="007F0AE0" w:rsidRPr="005762E6" w:rsidRDefault="007F0AE0" w:rsidP="00453DE3">
            <w:pPr>
              <w:spacing w:after="120" w:line="240" w:lineRule="auto"/>
              <w:contextualSpacing/>
              <w:rPr>
                <w:sz w:val="20"/>
                <w:szCs w:val="20"/>
              </w:rPr>
            </w:pPr>
            <w:r w:rsidRPr="005762E6">
              <w:rPr>
                <w:sz w:val="20"/>
                <w:szCs w:val="20"/>
              </w:rPr>
              <w:t>Saul Shiffman,​ Sarah Scholl Increases in Cigarette Consumption and Decreases in Smoking Intensity When Nondaily Smokers Are Provided With Free Cigarettes.. Nicotine &amp; tobacco research : official journal of the Society for Research on Nicotine and Tobacco; 2018;20:1237.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Studies testing novel tobacco products often provide participants with free product and assess consumption. Some,​ but not all,​ studies find that providing free cigarettes increases smoking. We tested </w:t>
            </w:r>
            <w:r w:rsidRPr="005762E6">
              <w:rPr>
                <w:sz w:val="20"/>
                <w:szCs w:val="20"/>
              </w:rPr>
              <w:lastRenderedPageBreak/>
              <w:t>changes in smoking when free cigarettes were provided to nondaily,​ intermittent smokers,​ who constitute one-third of US adult smokers.,​ Methods: Cigarette consumption was assessed by Time-Line Follow-Back in 235 intermittent smokers for two 2-week periods: when providing their own cigarettes and when provided own-brand cigarettes for free. Smoking topography and carbon monoxide boost were assessed for one cigarette at the end of each period.,​ Results: Cigarette consumption increased significantly,​ by 66% (from 1.98 to 3.28 cigarettes per day),​ when cigarettes were available for free; both the number of days the subjects smoked and the number of cigarettes on those days increased. The increases were significantly greater among African Americans,​ those Fagerstrom Tobacco Nicotine Dependence scores &gt;0,​ those with incomes less than US ,​000 per year,​ those who engaged in greater conscious restraint of smoking,​ and for smokers of menthol cigarettes,​ or "longs." Smoking intensity (smoke volume,​ by topography) and carbon monoxide boost decreased significantly when cigarettes were provided for free.,​ Conclusions: Providing intermittent smokers with free cigarettes substantially increased their smoking while decreasing smoking intensity. The increases in smoking varied according to multiple individual and cigarette-type differences. These phenomena may complicate interpretation of studies that compare consumption of a free test product with cigarette consumption or constituent exposure when smokers are providing their own cigarettes. They also suggest that cigarette cost and variations in low-level dependence and in smoking restraint are factors in nondaily smoking.,​ Implications: The study shows that providing nondaily smokers with free cigarettes increases cigarette consumption,​ but does differentially for different subgroups and cigarette types,​ while also decreasing smoking intensity. This suggests the value of using free-cigarette baseline data in studies where interventions provide free cigarettes.</w:t>
            </w:r>
          </w:p>
        </w:tc>
      </w:tr>
      <w:tr w:rsidR="007F0AE0" w:rsidRPr="005762E6" w14:paraId="48C36CF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78D3E9" w14:textId="77777777" w:rsidR="007F0AE0" w:rsidRPr="005762E6" w:rsidRDefault="007F0AE0" w:rsidP="00453DE3">
            <w:pPr>
              <w:spacing w:after="120" w:line="240" w:lineRule="auto"/>
              <w:contextualSpacing/>
              <w:rPr>
                <w:sz w:val="20"/>
                <w:szCs w:val="20"/>
              </w:rPr>
            </w:pPr>
            <w:r w:rsidRPr="005762E6">
              <w:rPr>
                <w:sz w:val="20"/>
                <w:szCs w:val="20"/>
              </w:rPr>
              <w:lastRenderedPageBreak/>
              <w:t>258</w:t>
            </w:r>
          </w:p>
        </w:tc>
        <w:tc>
          <w:tcPr>
            <w:tcW w:w="0" w:type="auto"/>
            <w:tcBorders>
              <w:top w:val="single" w:sz="6" w:space="0" w:color="auto"/>
              <w:left w:val="single" w:sz="6" w:space="0" w:color="auto"/>
              <w:bottom w:val="single" w:sz="6" w:space="0" w:color="auto"/>
              <w:right w:val="single" w:sz="6" w:space="0" w:color="auto"/>
            </w:tcBorders>
          </w:tcPr>
          <w:p w14:paraId="256668F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D48A1D" w14:textId="77777777" w:rsidR="007F0AE0" w:rsidRPr="005762E6" w:rsidRDefault="007F0AE0" w:rsidP="00453DE3">
            <w:pPr>
              <w:spacing w:after="120" w:line="240" w:lineRule="auto"/>
              <w:contextualSpacing/>
              <w:rPr>
                <w:sz w:val="20"/>
                <w:szCs w:val="20"/>
              </w:rPr>
            </w:pPr>
            <w:r w:rsidRPr="005762E6">
              <w:rPr>
                <w:sz w:val="20"/>
                <w:szCs w:val="20"/>
              </w:rPr>
              <w:t>Joanne D'Silva,​ Amy M Cohn,​ Amanda L Johnson,​ Andrea C Villanti Differences in Subjective Experiences to First Use of Menthol and Nonmenthol Cigarettes in a National Sample of Young Adult Cigarette Smokers.. Nicotine &amp; tobacco research : official journal of the Society for Research on Nicotine and Tobacco; 2018;20:1062.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Purpose: Menthol has been hypothesized to ease the harshness of cigarette smoke. Thus,​ sensory experiences at first cigarette use may be one mechanism by which menthol facilitates progression to regular smoking. This study examined differences in subjective experiences to the first use of a menthol versus nonmenthol cigarette among new young adult smokers.,​ Methods: Data were drawn from waves 5-8 of the Truth Initiative Young Adult Cohort Study,​ a national sample of 18-34 year olds assessed every 6 months. Analyses included a subset of young adult current smokers (n = 251) who initiated smoking in the past 6 months. Subjective responses to first cigarette use were assessed across menthol and nonmenthol initiators in bivariate analyses and adjusted models controlling for smoking correlates.,​ Results: Fifty-two percent of new young adult smokers used a menthol cigarette at first use. First use of a menthol cigarette was higher in those aged 18-24 (vs. 25-34). Most black smokers (93.1%) were menthol initiators compared to 43.9% of white smokers. More than half of menthol and nonmenthol initiates felt relaxed or calm,​ dizzy,​ lightheaded,​ liking the taste and a rush or buzz at first use. Menthol initiators were less likely in bivariate and multivariable analyses to experience feeling nauseated at first use (adjusted odds ratio = 0.45; p = .020) compared to nonmenthol initiators.,​ Conclusions: While few differences were found between menthol and nonmenthol initiators in their subjective experiences,​ fewer menthol initiates felt nauseated at first cigarette use. Future research needs to identify additional mechanisms linking menthol initiation to smoking progression.,​ Implications: Menthol initiators were more likely to be younger (18-24 vs. 25-34),​ and black (vs. white) compared to nonmenthol initiators. Our finding that menthol initiators were less likely to feel nauseated at first cigarette use compared to nonmenthol initiators suggests that menthol may reduce aversion to early cigarette use among young smokers and thus has the potential to facilitate continued experimentation. Interventions and policy approaches to reduce tobacco use initiation and progression are urgently needed in young people.</w:t>
            </w:r>
          </w:p>
        </w:tc>
      </w:tr>
      <w:tr w:rsidR="007F0AE0" w:rsidRPr="005762E6" w14:paraId="58D2C21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378E22" w14:textId="77777777" w:rsidR="007F0AE0" w:rsidRPr="005762E6" w:rsidRDefault="007F0AE0" w:rsidP="00453DE3">
            <w:pPr>
              <w:spacing w:after="120" w:line="240" w:lineRule="auto"/>
              <w:contextualSpacing/>
              <w:rPr>
                <w:sz w:val="20"/>
                <w:szCs w:val="20"/>
              </w:rPr>
            </w:pPr>
            <w:r w:rsidRPr="005762E6">
              <w:rPr>
                <w:sz w:val="20"/>
                <w:szCs w:val="20"/>
              </w:rPr>
              <w:t>259</w:t>
            </w:r>
          </w:p>
        </w:tc>
        <w:tc>
          <w:tcPr>
            <w:tcW w:w="0" w:type="auto"/>
            <w:tcBorders>
              <w:top w:val="single" w:sz="6" w:space="0" w:color="auto"/>
              <w:left w:val="single" w:sz="6" w:space="0" w:color="auto"/>
              <w:bottom w:val="single" w:sz="6" w:space="0" w:color="auto"/>
              <w:right w:val="single" w:sz="6" w:space="0" w:color="auto"/>
            </w:tcBorders>
          </w:tcPr>
          <w:p w14:paraId="4A54586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0CFA3FC" w14:textId="77777777" w:rsidR="007F0AE0" w:rsidRPr="005762E6" w:rsidRDefault="007F0AE0" w:rsidP="00453DE3">
            <w:pPr>
              <w:spacing w:after="120" w:line="240" w:lineRule="auto"/>
              <w:contextualSpacing/>
              <w:rPr>
                <w:sz w:val="20"/>
                <w:szCs w:val="20"/>
              </w:rPr>
            </w:pPr>
            <w:r w:rsidRPr="005762E6">
              <w:rPr>
                <w:sz w:val="20"/>
                <w:szCs w:val="20"/>
              </w:rPr>
              <w:t>Olivia A Wackowski,​ Kiameesha R Evans,​ Melissa B Harrell,​ Alexandra Loukas,​ M Jane Lewis,​ Cristine D Delnevo,​ Cheryl L Perry In Their Own Words: Young Adults' Menthol Cigarette Initiation,​ Perceptions,​ Experiences and Regulation Perspectives.. Nicotine &amp; tobacco research : official journal of the Society for Research on Nicotine and Tobacco; 2018;20:1076.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Menthol cigarettes are disproportionately used by young people and have been called </w:t>
            </w:r>
            <w:r w:rsidRPr="005762E6">
              <w:rPr>
                <w:sz w:val="20"/>
                <w:szCs w:val="20"/>
              </w:rPr>
              <w:lastRenderedPageBreak/>
              <w:t>smoking starter products. However,​ limited qualitative research exists on young adults' perceptions of and experiences with these products,​ with much of it based on document reviews of the tobacco industry's research.,​ Methods: We conducted six focus groups with young adult (ages 18-24) menthol smokers in New Jersey (half with black smokers) between December 2014 and March 2015. Participants were asked open-ended questions about their menthol smoking initiation,​ preference reasons,​ substitution behaviors,​ and perceptions of menthol cigarette risks and regulation.,​ Results: Participants' menthol cigarette initiation and preference were influenced by their perceived popularity,​ brand recognition,​ taste,​ smoothness,​ satisfaction and access (including as "loosies,​" typically available for Newport). Some believed menthol cigarettes were less harmful than non-menthol cigarettes when initiating smoking. Many currently believed menthol cigarettes were more harmful because they contained extra "additives,​" were stronger (ie,​ requiring fewer cigarettes to feel satisfied),​ and/or based on hearsay. Many had tried new brand Camel Crush,​ which was perceived to be especially minty,​ fun,​ and attractive for newer smokers. While some used non-menthol cigarettes when menthols were unavailable,​ many said they would never or almost never substitute. Many acknowledged a menthol cigarettes ban would likely help them quit smoking,​ even though they did not support the idea.,​ Conclusions: Menthol cigarette initiation is influenced by an interplay of multiple factors including their sensory properties,​ marketing,​ perceived popularity and availability. The FDA should continue to pursue closing this flavored cigarette loophole.,​ Implications: In this first qualitative study of menthol cigarette use among young adults,​ we found further evidence that menthol cigarettes can act as starter products because they are perceived as easier to smoke and taste and smell better than non-menthol cigarettes. We also add to the literature in finding that menthol cigarettes are perceived by young people who smoke menthol cigarettes as delivering satisfaction with fewer cigarettes,​ being accessible as "loosies",​ and being popular among their peers. Many did not understand the reasons behind a potential menthol ban. Any future regulation of menthol cigarettes should include a public educational campaign to support buy-in.</w:t>
            </w:r>
          </w:p>
        </w:tc>
      </w:tr>
      <w:tr w:rsidR="007F0AE0" w:rsidRPr="005762E6" w14:paraId="2C7A427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6D4B32" w14:textId="77777777" w:rsidR="007F0AE0" w:rsidRPr="005762E6" w:rsidRDefault="007F0AE0" w:rsidP="00453DE3">
            <w:pPr>
              <w:spacing w:after="120" w:line="240" w:lineRule="auto"/>
              <w:contextualSpacing/>
              <w:rPr>
                <w:sz w:val="20"/>
                <w:szCs w:val="20"/>
              </w:rPr>
            </w:pPr>
            <w:r w:rsidRPr="005762E6">
              <w:rPr>
                <w:sz w:val="20"/>
                <w:szCs w:val="20"/>
              </w:rPr>
              <w:lastRenderedPageBreak/>
              <w:t>262</w:t>
            </w:r>
          </w:p>
        </w:tc>
        <w:tc>
          <w:tcPr>
            <w:tcW w:w="0" w:type="auto"/>
            <w:tcBorders>
              <w:top w:val="single" w:sz="6" w:space="0" w:color="auto"/>
              <w:left w:val="single" w:sz="6" w:space="0" w:color="auto"/>
              <w:bottom w:val="single" w:sz="6" w:space="0" w:color="auto"/>
              <w:right w:val="single" w:sz="6" w:space="0" w:color="auto"/>
            </w:tcBorders>
          </w:tcPr>
          <w:p w14:paraId="03EA784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515480F" w14:textId="77777777" w:rsidR="007F0AE0" w:rsidRPr="005762E6" w:rsidRDefault="007F0AE0" w:rsidP="00453DE3">
            <w:pPr>
              <w:spacing w:after="120" w:line="240" w:lineRule="auto"/>
              <w:contextualSpacing/>
              <w:rPr>
                <w:sz w:val="20"/>
                <w:szCs w:val="20"/>
              </w:rPr>
            </w:pPr>
            <w:r w:rsidRPr="005762E6">
              <w:rPr>
                <w:sz w:val="20"/>
                <w:szCs w:val="20"/>
              </w:rPr>
              <w:t>Jessica M Rath,​ Marisa Greenberg,​ Lindsay Pitzer,​ Brittany Emelle,​ Molly Green,​ Shiyang Michael Liu,​ Jeffrey Willett,​ Shyanika W Rose,​ Elizabeth C Hair,​ Donna Vallone The Association Between Menthol Perceptions and Support for a Policy Ban Among US Smokers.. Ethnicity &amp; disease; 2018;28:177.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examine the relationship between menthol perceptions and support for a national menthol ban.,​ Participants: Data were collected from a nationally representative probability-based panel of adults aged &gt;=18 years during June 21,​ 2016 through July 18,​ 2016. A total of 1,​303 respondents,​ including an oversample of 300 African Americans,​ completed the survey.,​ Main Outcome Measures: Weighted logistic regression models examined the relationship between menthol perceptions,​ specifically related to health and addiction,​ and the outcome measure: support for a menthol ban,​ by menthol smoking status. All models controlled for age,​ sex,​ education level,​ and race/ethnicity.,​ Results: The association between reporting accurate menthol health perceptions differed by menthol preference. Among non-menthol smokers,​ there was no association between accurate menthol health perceptions and support of a menthol ban while more accurate menthol perceptions of addiction were associated with greater support of a menthol ban (aOR=2.83,​ CI=1.19-6.72). Among menthol smokers,​ more accurate health-related menthol perceptions were associated with increased odds of supporting a menthol ban (aOR=3.90,​ CI=1.02-14.79) while more accurate menthol addiction perceptions were not.,​ Conclusions: Fewer current menthol smokers support a menthol ban than current non-menthol smokers given its effect on their preferred product. Given the large proportions of smokers who have misperceptions of the health consequences and addictive properties of menthol,​ there is a moral imperative to inform those who use these products. Findings suggest the need for tailored messaging strategies targeted to reach menthol smokers who will be most impacted by a ban,​ but also have the most to gain from such a policy change.</w:t>
            </w:r>
          </w:p>
        </w:tc>
      </w:tr>
      <w:tr w:rsidR="007F0AE0" w:rsidRPr="005762E6" w14:paraId="48B5D8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55837C" w14:textId="77777777" w:rsidR="007F0AE0" w:rsidRPr="005762E6" w:rsidRDefault="007F0AE0" w:rsidP="00453DE3">
            <w:pPr>
              <w:spacing w:after="120" w:line="240" w:lineRule="auto"/>
              <w:contextualSpacing/>
              <w:rPr>
                <w:sz w:val="20"/>
                <w:szCs w:val="20"/>
              </w:rPr>
            </w:pPr>
            <w:r w:rsidRPr="005762E6">
              <w:rPr>
                <w:sz w:val="20"/>
                <w:szCs w:val="20"/>
              </w:rPr>
              <w:t>264</w:t>
            </w:r>
          </w:p>
        </w:tc>
        <w:tc>
          <w:tcPr>
            <w:tcW w:w="0" w:type="auto"/>
            <w:tcBorders>
              <w:top w:val="single" w:sz="6" w:space="0" w:color="auto"/>
              <w:left w:val="single" w:sz="6" w:space="0" w:color="auto"/>
              <w:bottom w:val="single" w:sz="6" w:space="0" w:color="auto"/>
              <w:right w:val="single" w:sz="6" w:space="0" w:color="auto"/>
            </w:tcBorders>
          </w:tcPr>
          <w:p w14:paraId="10A2103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455554A" w14:textId="77777777" w:rsidR="007F0AE0" w:rsidRPr="005762E6" w:rsidRDefault="007F0AE0" w:rsidP="00453DE3">
            <w:pPr>
              <w:spacing w:after="120" w:line="240" w:lineRule="auto"/>
              <w:contextualSpacing/>
              <w:rPr>
                <w:sz w:val="20"/>
                <w:szCs w:val="20"/>
              </w:rPr>
            </w:pPr>
            <w:r w:rsidRPr="005762E6">
              <w:rPr>
                <w:sz w:val="20"/>
                <w:szCs w:val="20"/>
              </w:rPr>
              <w:t>Monica Webb Hooper Editorial: Preventing Tobacco-Related Cancer Disparities: A Focus on Racial/Ethnic Minority Populations.. Ethnicity &amp; disease; 2018;28:129.</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C8CB7C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2CED05" w14:textId="77777777" w:rsidR="007F0AE0" w:rsidRPr="005762E6" w:rsidRDefault="007F0AE0" w:rsidP="00453DE3">
            <w:pPr>
              <w:spacing w:after="120" w:line="240" w:lineRule="auto"/>
              <w:contextualSpacing/>
              <w:rPr>
                <w:sz w:val="20"/>
                <w:szCs w:val="20"/>
              </w:rPr>
            </w:pPr>
            <w:r w:rsidRPr="005762E6">
              <w:rPr>
                <w:sz w:val="20"/>
                <w:szCs w:val="20"/>
              </w:rPr>
              <w:lastRenderedPageBreak/>
              <w:t>267</w:t>
            </w:r>
          </w:p>
        </w:tc>
        <w:tc>
          <w:tcPr>
            <w:tcW w:w="0" w:type="auto"/>
            <w:tcBorders>
              <w:top w:val="single" w:sz="6" w:space="0" w:color="auto"/>
              <w:left w:val="single" w:sz="6" w:space="0" w:color="auto"/>
              <w:bottom w:val="single" w:sz="6" w:space="0" w:color="auto"/>
              <w:right w:val="single" w:sz="6" w:space="0" w:color="auto"/>
            </w:tcBorders>
          </w:tcPr>
          <w:p w14:paraId="6D8D8AF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A182D3F" w14:textId="77777777" w:rsidR="007F0AE0" w:rsidRPr="005762E6" w:rsidRDefault="007F0AE0" w:rsidP="00453DE3">
            <w:pPr>
              <w:spacing w:after="120" w:line="240" w:lineRule="auto"/>
              <w:contextualSpacing/>
              <w:rPr>
                <w:sz w:val="20"/>
                <w:szCs w:val="20"/>
              </w:rPr>
            </w:pPr>
            <w:r w:rsidRPr="005762E6">
              <w:rPr>
                <w:sz w:val="20"/>
                <w:szCs w:val="20"/>
              </w:rPr>
              <w:t>Jessica L Fetterman,​ Robert M Weisbrod,​ Bihua Feng,​ Reena Bastin,​ Shawn T Tuttle,​ Monica Holbrook,​ Gregory Baker,​ Rose Marie Robertson,​ Daniel J Conklin,​ Aruni Bhatnagar,​ Naomi M Hamburg Flavorings in Tobacco Products Induce Endothelial Cell Dysfunction.. Arteriosclerosis,​ thrombosis,​ and vascular biology; 2018;38:1607.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Use of alternative tobacco products including electronic cigarettes is rapidly rising. The wide variety of flavored tobacco products available is of great appeal to smokers and youth. The flavorings added to tobacco products have been deemed safe for ingestion,​ but the cardiovascular health effects are unknown. The purpose of this study was to examine the effect of 9 flavors on vascular endothelial cell function.,​ APPROACH AND RESULTS: Freshly isolated endothelial cells from participants who use nonmenthol- or menthol-flavored tobacco cigarettes showed impaired A23187-stimulated nitric oxide production compared with endothelial cells from nonsmoking participants. Treatment of endothelial cells isolated from nonsmoking participants with either menthol (0.01 mmol/L) or eugenol (0.01 mmol/L) decreased A23187-stimulated nitric oxide production. To further evaluate the effects of flavoring compounds on endothelial cell phenotype,​ commercially available human aortic endothelial cells were incubated with vanillin,​ menthol,​ cinnamaldehyde,​ eugenol,​ dimethylpyrazine,​ diacetyl,​ isoamyl acetate,​ eucalyptol,​ and acetylpyrazine (0.1-100 mmol/L) for 90 minutes. Cell death,​ reactive oxygen species production,​ expression of the proinflammatory marker IL-6 (interleukin-6),​ and nitric oxide production were measured. Cell death and reactive oxygen species production were induced only at high concentrations unlikely to be achieved in vivo. Lower concentrations of selected flavors (vanillin,​ menthol,​ cinnamaldehyde,​ eugenol,​ and acetylpyridine) induced both inflammation and impaired A23187-stimulated nitric oxide production consistent with endothelial dysfunction.,​ CONCLUSIONS: Our data suggest that short-term exposure of endothelial cells to flavoring compounds used in tobacco products have adverse effects on endothelial cell phenotype that may have relevance to cardiovascular toxicity. Copyright © 2018 American Heart Association,​ Inc.</w:t>
            </w:r>
          </w:p>
        </w:tc>
      </w:tr>
      <w:tr w:rsidR="007F0AE0" w:rsidRPr="005762E6" w14:paraId="59AA26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744594" w14:textId="77777777" w:rsidR="007F0AE0" w:rsidRPr="005762E6" w:rsidRDefault="007F0AE0" w:rsidP="00453DE3">
            <w:pPr>
              <w:spacing w:after="120" w:line="240" w:lineRule="auto"/>
              <w:contextualSpacing/>
              <w:rPr>
                <w:sz w:val="20"/>
                <w:szCs w:val="20"/>
              </w:rPr>
            </w:pPr>
            <w:r w:rsidRPr="005762E6">
              <w:rPr>
                <w:sz w:val="20"/>
                <w:szCs w:val="20"/>
              </w:rPr>
              <w:t>270</w:t>
            </w:r>
          </w:p>
        </w:tc>
        <w:tc>
          <w:tcPr>
            <w:tcW w:w="0" w:type="auto"/>
            <w:tcBorders>
              <w:top w:val="single" w:sz="6" w:space="0" w:color="auto"/>
              <w:left w:val="single" w:sz="6" w:space="0" w:color="auto"/>
              <w:bottom w:val="single" w:sz="6" w:space="0" w:color="auto"/>
              <w:right w:val="single" w:sz="6" w:space="0" w:color="auto"/>
            </w:tcBorders>
          </w:tcPr>
          <w:p w14:paraId="709E469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07B4A7" w14:textId="77777777" w:rsidR="007F0AE0" w:rsidRPr="005762E6" w:rsidRDefault="007F0AE0" w:rsidP="00453DE3">
            <w:pPr>
              <w:spacing w:after="120" w:line="240" w:lineRule="auto"/>
              <w:contextualSpacing/>
              <w:rPr>
                <w:sz w:val="20"/>
                <w:szCs w:val="20"/>
              </w:rPr>
            </w:pPr>
            <w:r w:rsidRPr="005762E6">
              <w:rPr>
                <w:sz w:val="20"/>
                <w:szCs w:val="20"/>
              </w:rPr>
              <w:t>Allison J Lazard,​ Sarah D Kowitt,​ Li-Ling Huang,​ Seth M Noar,​ Kristen L Jarman,​ Adam O Goldstein Believability of Cigarette Warnings About Addiction: National Experiments of Adolescents and Adults.. Nicotine &amp; tobacco research : official journal of the Society for Research on Nicotine and Tobacco; 2018;20:867.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We conducted two experiments to examine the believability of three addiction-focused cigarette warnings and the influence of message source on believability among adolescents and adults in the United States.,​ Methods: Experimental data were collected using national phone surveys of adolescents (age 13-17; n = 1125; response rate,​ 66%) and adults (age 18+; n = 5014; response rate,​ 42%). We assessed the believability of three cigarette warnings about addiction attributed to four message sources (Food and Drug Administration [FDA],​ Surgeon General,​ Centers for Disease Control and Prevention [CDC],​ no source).,​ Results: The majority of adolescents and adults reported the three cigarette warnings were very believable (49%-81% for adolescents; 47%-76% for adults). We found four to five times higher odds of adolescents believing a warning that cigarettes are addictive (warning 1) or that nicotine was an addictive chemical (warning 2) compared to a warning that differentiated the addictive risks of menthol versus traditional cigarettes (warning 3),​ warning 1 adjusted odds ratio (aOR): 4.53,​ 95% confidence interval (CI): 3.10,​ 6.63; warning 2 aOR: 3.87,​ 95% CI: 2.70,​ 5.50. Similarly,​ we found three to five times higher odds of adults (including current smokers) believing the same warnings,​ warning 1 aOR: 3.74,​ 95% CI: 2.82,​ 4.95; warning 2 aOR: 3.24,​ 95% CI: 2.45,​ 4.28. Message source had no overall impact on the believability of warnings for either population.,​ Conclusions: Our findings support the implementation of FDA's required warnings that cigarettes are addictive and that nicotine is an addictive chemical. These believable warnings may deter adolescents from initiating smoking and encourage adults to quit smoking.,​ Implications: This article describes,​ for the first time,​ the believability of different cigarette warnings about addiction. We now know that the majority of adolescents and adults believe cigarette warnings that highlight cigarettes as addictive and that nicotine is an addictive chemical in tobacco. However,​ a warning that highlighted the relative risk of addiction for menthol cigarettes compared to traditional cigarettes was not as believable among either population. Our findings support the implementation of FDA's required warnings that cigarettes are addictive and that nicotine is an addictive chemical that may deter adolescents from initiating smoking and encourage adults to quit smoking.</w:t>
            </w:r>
          </w:p>
        </w:tc>
      </w:tr>
      <w:tr w:rsidR="007F0AE0" w:rsidRPr="005762E6" w14:paraId="2D0B14B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8F74E3" w14:textId="77777777" w:rsidR="007F0AE0" w:rsidRPr="005762E6" w:rsidRDefault="007F0AE0" w:rsidP="00453DE3">
            <w:pPr>
              <w:spacing w:after="120" w:line="240" w:lineRule="auto"/>
              <w:contextualSpacing/>
              <w:rPr>
                <w:sz w:val="20"/>
                <w:szCs w:val="20"/>
              </w:rPr>
            </w:pPr>
            <w:r w:rsidRPr="005762E6">
              <w:rPr>
                <w:sz w:val="20"/>
                <w:szCs w:val="20"/>
              </w:rPr>
              <w:lastRenderedPageBreak/>
              <w:t>271</w:t>
            </w:r>
          </w:p>
        </w:tc>
        <w:tc>
          <w:tcPr>
            <w:tcW w:w="0" w:type="auto"/>
            <w:tcBorders>
              <w:top w:val="single" w:sz="6" w:space="0" w:color="auto"/>
              <w:left w:val="single" w:sz="6" w:space="0" w:color="auto"/>
              <w:bottom w:val="single" w:sz="6" w:space="0" w:color="auto"/>
              <w:right w:val="single" w:sz="6" w:space="0" w:color="auto"/>
            </w:tcBorders>
          </w:tcPr>
          <w:p w14:paraId="6D841FE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0C8A914" w14:textId="77777777" w:rsidR="007F0AE0" w:rsidRPr="005762E6" w:rsidRDefault="007F0AE0" w:rsidP="00453DE3">
            <w:pPr>
              <w:spacing w:after="120" w:line="240" w:lineRule="auto"/>
              <w:contextualSpacing/>
              <w:rPr>
                <w:sz w:val="20"/>
                <w:szCs w:val="20"/>
              </w:rPr>
            </w:pPr>
            <w:r w:rsidRPr="005762E6">
              <w:rPr>
                <w:sz w:val="20"/>
                <w:szCs w:val="20"/>
              </w:rPr>
              <w:t>Nicole M Kuiper,​ Doris Gammon,​ Brett Loomis,​ Kyle Falvey,​ Teresa W Wang,​ Brian A King,​ Todd Rogers Trends in Sales of Flavored and Menthol Tobacco Products in the United States During 2011-2015.. Nicotine &amp; tobacco research : official journal of the Society for Research on Nicotine and Tobacco; 2018;20:698.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Flavors can mask the harshness of tobacco and make it appealing to young people. This study assessed flavored and menthol tobacco product sales at the national and state levels.,​ Methods: Universal Product Code tobacco sales data collected by Nielsen were combined for convenience stores and all-outlets-combined during October 22,​ 2011-January 9,​ 2016. Products were characterized as flavored,​ menthol,​ or non-flavored/non-menthol. Total unit sales,​ and the proportion of flavored and menthol unit sales,​ were assessed nationally and by state for seven tobacco products. Joinpoint regression was used to assess trends in average monthly percentage change.,​ Results: Nationally,​ the proportion of flavored and menthol sales in 2015 was as follows: cigarettes (32.5% menthol),​ large cigars (26.1% flavored),​ cigarillos (47.5% flavored,​ 0.2% menthol),​ little cigars (21.8% flavored,​ 19.4% menthol),​ chewing tobacco (1.4% flavored,​ 0.7% menthol),​ moist snuff (3.0% flavored,​ 57.0% menthol),​ and snus (88.5% menthol). From 2011 to 2015,​ sales increased for flavored cigarillos and chewing tobacco,​ as well as for menthol cigarettes,​ little cigars,​ moist snuff,​ and snus. Sales decreased for flavored large cigars,​ moist snuff,​ and snus,​ and for menthol chewing tobacco. State-level variations were observed by product; for example,​ flavored little cigar sales ranged from 4.4% (Maine) to 69.3% (Utah) and flavored cigarillo sales ranged from 26.6% (Maine) to 63.0% (Maryland).,​ Conclusions: Menthol and flavored sales have increased since 2011,​ particularly for the products with the highest number of units sold,​ and significant state variation exists. Efforts to restrict flavored tobacco product sales could reduce overall U.S. tobacco consumption.,​ Implications: Flavors in tobacco products can mask the harshness of tobacco and make these products more appealing to young people. This is the first study to assess national and state-level trends in flavored and menthol tobacco product sales. These findings underscore the importance of population-based interventions to address flavored tobacco product use at the national,​ state,​ and local levels. Additionally,​ further monitoring of flavored and menthol tobacco product sales can inform potential future regulatory efforts at the national,​ state,​ and local levels.</w:t>
            </w:r>
          </w:p>
        </w:tc>
      </w:tr>
      <w:tr w:rsidR="007F0AE0" w:rsidRPr="005762E6" w14:paraId="19C6FA4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27AADF" w14:textId="77777777" w:rsidR="007F0AE0" w:rsidRPr="005762E6" w:rsidRDefault="007F0AE0" w:rsidP="00453DE3">
            <w:pPr>
              <w:spacing w:after="120" w:line="240" w:lineRule="auto"/>
              <w:contextualSpacing/>
              <w:rPr>
                <w:sz w:val="20"/>
                <w:szCs w:val="20"/>
              </w:rPr>
            </w:pPr>
            <w:r w:rsidRPr="005762E6">
              <w:rPr>
                <w:sz w:val="20"/>
                <w:szCs w:val="20"/>
              </w:rPr>
              <w:t>273</w:t>
            </w:r>
          </w:p>
        </w:tc>
        <w:tc>
          <w:tcPr>
            <w:tcW w:w="0" w:type="auto"/>
            <w:tcBorders>
              <w:top w:val="single" w:sz="6" w:space="0" w:color="auto"/>
              <w:left w:val="single" w:sz="6" w:space="0" w:color="auto"/>
              <w:bottom w:val="single" w:sz="6" w:space="0" w:color="auto"/>
              <w:right w:val="single" w:sz="6" w:space="0" w:color="auto"/>
            </w:tcBorders>
          </w:tcPr>
          <w:p w14:paraId="15D2F6E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957D659" w14:textId="77777777" w:rsidR="007F0AE0" w:rsidRPr="005762E6" w:rsidRDefault="007F0AE0" w:rsidP="00453DE3">
            <w:pPr>
              <w:spacing w:after="120" w:line="240" w:lineRule="auto"/>
              <w:contextualSpacing/>
              <w:rPr>
                <w:sz w:val="20"/>
                <w:szCs w:val="20"/>
              </w:rPr>
            </w:pPr>
            <w:r w:rsidRPr="005762E6">
              <w:rPr>
                <w:sz w:val="20"/>
                <w:szCs w:val="20"/>
              </w:rPr>
              <w:t>Michael Chaiton,​ Robert Schwartz,​ Joanna E Cohen,​ Eric Soule,​ Thomas Eissenberg Association of Ontario's Ban on Menthol Cigarettes With Smoking Behavior 1 Month After Implementation.. JAMA internal medicine; 2018;178:710.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12E86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7C1AD0" w14:textId="77777777" w:rsidR="007F0AE0" w:rsidRPr="005762E6" w:rsidRDefault="007F0AE0" w:rsidP="00453DE3">
            <w:pPr>
              <w:spacing w:after="120" w:line="240" w:lineRule="auto"/>
              <w:contextualSpacing/>
              <w:rPr>
                <w:sz w:val="20"/>
                <w:szCs w:val="20"/>
              </w:rPr>
            </w:pPr>
            <w:r w:rsidRPr="005762E6">
              <w:rPr>
                <w:sz w:val="20"/>
                <w:szCs w:val="20"/>
              </w:rPr>
              <w:t>274</w:t>
            </w:r>
          </w:p>
        </w:tc>
        <w:tc>
          <w:tcPr>
            <w:tcW w:w="0" w:type="auto"/>
            <w:tcBorders>
              <w:top w:val="single" w:sz="6" w:space="0" w:color="auto"/>
              <w:left w:val="single" w:sz="6" w:space="0" w:color="auto"/>
              <w:bottom w:val="single" w:sz="6" w:space="0" w:color="auto"/>
              <w:right w:val="single" w:sz="6" w:space="0" w:color="auto"/>
            </w:tcBorders>
          </w:tcPr>
          <w:p w14:paraId="111D46B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B2E1028" w14:textId="77777777" w:rsidR="007F0AE0" w:rsidRPr="005762E6" w:rsidRDefault="007F0AE0" w:rsidP="00453DE3">
            <w:pPr>
              <w:spacing w:after="120" w:line="240" w:lineRule="auto"/>
              <w:contextualSpacing/>
              <w:rPr>
                <w:sz w:val="20"/>
                <w:szCs w:val="20"/>
              </w:rPr>
            </w:pPr>
            <w:r w:rsidRPr="005762E6">
              <w:rPr>
                <w:sz w:val="20"/>
                <w:szCs w:val="20"/>
              </w:rPr>
              <w:t>Cendrine D Robinson,​ Christine Muench,​ Emily Brede,​ Romano Endrighi,​ Edwin H Szeto,​ Joanna R Sells,​ John P Lammers,​ Kolawole S Okuyemi,​ Grant Izmirlian,​ Andrew J Waters Pro-tobacco advertisement exposure among African American smokers: An ecological momentary assessment study.. Addictive behaviors; 2018;83:142.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Many African Americans live in communities with a disproportionately high density of tobacco advertisements compared to Whites. Some research indicates that point-of-sale advertising is associated with impulse purchases of cigarettes and smoking. Ecological Momentary Assessment (EMA) can be used to examine associations between tobacco advertisement exposure and smoking variables in the natural environment.,​ METHODS: Non-treatment seeking African American smokers were given a mobile device for 2weeks (N=56). They were prompted four times per day and responded to questions about recent exposure to tobacco advertisements. Participants were also asked to indicate the number of cigarettes smoked,​ and if they made any purchase,​ or an impulse purchase,​ since the last assessment. Linear mixed models (LMMs) analyzed between- and within-subject associations between exposure and outcomes.,​ RESULTS: Participants reported seeing at least one advertisement on 33% of assessments. Of those assessments,​ they reported seeing menthol advertisements on 87% of assessments. Between-subject analyses revealed that participants who on average saw more advertisements were generally more likely to report purchasing cigarettes and to purchase cigarettes on impulse. Within-subject analyses revealed that when an individual participant reported seeing more </w:t>
            </w:r>
            <w:r w:rsidRPr="005762E6">
              <w:rPr>
                <w:sz w:val="20"/>
                <w:szCs w:val="20"/>
              </w:rPr>
              <w:lastRenderedPageBreak/>
              <w:t>advertisements than usual they were more likely to have reported purchasing cigarettes,​ making an impulse purchase and smoking more cigarettes during the same period,​ but not the subsequent time period.,​ CONCLUSIONS: Many African American smokers are frequently exposed to pro-tobacco marketing. Advertisement exposure is cross-sectionally associated with impulse purchases and smoking. Future research should assess prospective associations in more detail. Copyright Published by Elsevier Ltd.</w:t>
            </w:r>
          </w:p>
        </w:tc>
      </w:tr>
      <w:tr w:rsidR="007F0AE0" w:rsidRPr="005762E6" w14:paraId="5BFBA00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E3A0F7" w14:textId="77777777" w:rsidR="007F0AE0" w:rsidRPr="005762E6" w:rsidRDefault="007F0AE0" w:rsidP="00453DE3">
            <w:pPr>
              <w:spacing w:after="120" w:line="240" w:lineRule="auto"/>
              <w:contextualSpacing/>
              <w:rPr>
                <w:sz w:val="20"/>
                <w:szCs w:val="20"/>
              </w:rPr>
            </w:pPr>
            <w:r w:rsidRPr="005762E6">
              <w:rPr>
                <w:sz w:val="20"/>
                <w:szCs w:val="20"/>
              </w:rPr>
              <w:lastRenderedPageBreak/>
              <w:t>275</w:t>
            </w:r>
          </w:p>
        </w:tc>
        <w:tc>
          <w:tcPr>
            <w:tcW w:w="0" w:type="auto"/>
            <w:tcBorders>
              <w:top w:val="single" w:sz="6" w:space="0" w:color="auto"/>
              <w:left w:val="single" w:sz="6" w:space="0" w:color="auto"/>
              <w:bottom w:val="single" w:sz="6" w:space="0" w:color="auto"/>
              <w:right w:val="single" w:sz="6" w:space="0" w:color="auto"/>
            </w:tcBorders>
          </w:tcPr>
          <w:p w14:paraId="07A2E32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EF1594D" w14:textId="77777777" w:rsidR="007F0AE0" w:rsidRPr="005762E6" w:rsidRDefault="007F0AE0" w:rsidP="00453DE3">
            <w:pPr>
              <w:spacing w:after="120" w:line="240" w:lineRule="auto"/>
              <w:contextualSpacing/>
              <w:rPr>
                <w:sz w:val="20"/>
                <w:szCs w:val="20"/>
              </w:rPr>
            </w:pPr>
            <w:r w:rsidRPr="005762E6">
              <w:rPr>
                <w:sz w:val="20"/>
                <w:szCs w:val="20"/>
              </w:rPr>
              <w:t>Julia Gerharz,​ Michael H K Bendels,​ Markus Braun,​ Doris Klingelhofer,​ David A Groneberg,​ Ruth Mueller Particulate matter emissions of different brands of mentholated cigarettes.. Journal of the Air &amp; Waste Management Association (1995); 2018;68:608.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Inhaling particulate matter (PM) in environmental tobacco smoke (ETS) endangers the health of nonsmokers. Menthol,​ an additive in cigarettes,​ attenuates respiratory irritation of tobacco smoke. It reduces perceptibility of smoke and therefore passive smokers may inhale ETS unnoticed. To investigate a possible effect of menthol on PM concentrations (PM10,​ PM2.5,​ and PM1),​ ETS of four mentholated cigarette brands (Elixyr Menthol,​ Winston Menthol,​ Reyno Classic,​ and Pall Mall Menthol Blast) with varying menthol content was analyzed. ETS was generated in a standardized way using an automatic environmental tobacco smoke emitter (AETSE),​ followed by laser aerosol spectrometry. This analysis shows that the tested cigarette brands,​ despite having different menthol concentrations,​ do not show differences with regard to PM emissions,​ with the exception of Reyno Classic,​ which shows an increased emission,​ although the menthol level ranged in the midfield. More than 90% of the emitted particles had a size smaller than or equal to 1 micro m. Regardless of the menthol level,​ the count median diameter (CMD) and the mass median diameter (MMD) were found to be 0.3 micro m and 0.5 micro m,​ respectively. These results point out that there is no effect of menthol on PM emission and that other additives might influence the increased PM emission of Reyno Classic.,​ IMPLICATIONS: Particulate matter (PM) in ETS endangers the health of nonsmokers and smokers. This study considers the effect of menthol,​ an additive in cigarettes,​ on PM emissions. Does menthol increase the amount of PM? Due to the exposure to secondhand smoke nearly 900,​000 people die each year worldwide. The aim of the study is to measure the particle concentration (L-1),​ mass concentration (micro g m-3),​ and dust mass fractions shown as PM10,​ PM2.5,​ and PM1 of five different cigarette brands,​ including four with different menthol concentrations and one menthol-free reference cigarette,​ in a well-established standardized system.</w:t>
            </w:r>
          </w:p>
        </w:tc>
      </w:tr>
      <w:tr w:rsidR="007F0AE0" w:rsidRPr="005762E6" w14:paraId="3C68A03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37CFFA" w14:textId="77777777" w:rsidR="007F0AE0" w:rsidRPr="005762E6" w:rsidRDefault="007F0AE0" w:rsidP="00453DE3">
            <w:pPr>
              <w:spacing w:after="120" w:line="240" w:lineRule="auto"/>
              <w:contextualSpacing/>
              <w:rPr>
                <w:sz w:val="20"/>
                <w:szCs w:val="20"/>
              </w:rPr>
            </w:pPr>
            <w:r w:rsidRPr="005762E6">
              <w:rPr>
                <w:sz w:val="20"/>
                <w:szCs w:val="20"/>
              </w:rPr>
              <w:t>277</w:t>
            </w:r>
          </w:p>
        </w:tc>
        <w:tc>
          <w:tcPr>
            <w:tcW w:w="0" w:type="auto"/>
            <w:tcBorders>
              <w:top w:val="single" w:sz="6" w:space="0" w:color="auto"/>
              <w:left w:val="single" w:sz="6" w:space="0" w:color="auto"/>
              <w:bottom w:val="single" w:sz="6" w:space="0" w:color="auto"/>
              <w:right w:val="single" w:sz="6" w:space="0" w:color="auto"/>
            </w:tcBorders>
          </w:tcPr>
          <w:p w14:paraId="7B32834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E35CB6" w14:textId="77777777" w:rsidR="007F0AE0" w:rsidRPr="005762E6" w:rsidRDefault="007F0AE0" w:rsidP="00453DE3">
            <w:pPr>
              <w:spacing w:after="120" w:line="240" w:lineRule="auto"/>
              <w:contextualSpacing/>
              <w:rPr>
                <w:sz w:val="20"/>
                <w:szCs w:val="20"/>
              </w:rPr>
            </w:pPr>
            <w:r w:rsidRPr="005762E6">
              <w:rPr>
                <w:sz w:val="20"/>
                <w:szCs w:val="20"/>
              </w:rPr>
              <w:t>Alyssa Marie M Antonio,​ Pebbles Fagan,​ Faith D Hamamura,​ Ian Joseph N Lagua,​ Jenny Liu,​ Devin J Park,​ Pallav Pokhrel,​ Thaddeus A Herzog,​ Ian Pagano,​ Kevin Cassel,​ Angela Sy,​ Dorothy Jorgensen,​ Tania Lynch,​ Crissy Kawamoto,​ Carol J Boushey,​ Adrian Franke,​ Mark S Clanton,​ Eric T Moolchan,​ Linda A Alexander Menthol cigarette smoking and obesity in young adult daily smokers in Hawaii.. Preventive medicine reports; 2015;2:946.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investigates 1) the relationship between menthol cigarette smoking and obesity and 2) the association of body mass index with the nicotine metabolite ratio among menthol and non-menthol daily smokers aged 18-35 (n = 175). A brief survey on smoking and measures of height and weight,​ carbon monoxide,​ and saliva samples were collected from participants from May to December 2013 in Honolulu,​ Hawaii. Multiple regression was used to estimate differences in body mass index among menthol and non-menthol smokers and the association of menthol smoking with obesity. We calculated the log of the nicotine metabolite ratio to examine differences in the nicotine metabolite ratio among normal,​ overweight,​ and obese smokers. Sixty-eight percent of smokers used menthol cigarettes. Results showed that 62% of normal,​ 54% of overweight,​ and 91% of obese smokers used menthol cigarettes (p = .000). The mean body mass index was significantly higher among menthol compared with non-menthol smokers (29.4 versus 24.5,​ p = .000). After controlling for gender,​ marital status,​ educational attainment,​ employment status,​ and race/ethnicity,​ menthol smokers were more than 3 times as likely as non-menthol smokers to be obese (p = .04). The nicotine metabolite ratio was significantly lower for overweight menthol smokers compared with non-menthol smokers (.16 versus .26,​ p = .02) in the unadjusted model,​ but was not significant after adjusting for the covariates. Consistent with prior studies,​ our data show that menthol smokers are more likely to be obese compared with non-menthol smokers. Future studies are needed to determine how flavored tobacco products influence obesity among smokers.</w:t>
            </w:r>
          </w:p>
        </w:tc>
      </w:tr>
      <w:tr w:rsidR="007F0AE0" w:rsidRPr="005762E6" w14:paraId="70C14A7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D624C3" w14:textId="77777777" w:rsidR="007F0AE0" w:rsidRPr="005762E6" w:rsidRDefault="007F0AE0" w:rsidP="00453DE3">
            <w:pPr>
              <w:spacing w:after="120" w:line="240" w:lineRule="auto"/>
              <w:contextualSpacing/>
              <w:rPr>
                <w:sz w:val="20"/>
                <w:szCs w:val="20"/>
              </w:rPr>
            </w:pPr>
            <w:r w:rsidRPr="005762E6">
              <w:rPr>
                <w:sz w:val="20"/>
                <w:szCs w:val="20"/>
              </w:rPr>
              <w:lastRenderedPageBreak/>
              <w:t>282</w:t>
            </w:r>
          </w:p>
        </w:tc>
        <w:tc>
          <w:tcPr>
            <w:tcW w:w="0" w:type="auto"/>
            <w:tcBorders>
              <w:top w:val="single" w:sz="6" w:space="0" w:color="auto"/>
              <w:left w:val="single" w:sz="6" w:space="0" w:color="auto"/>
              <w:bottom w:val="single" w:sz="6" w:space="0" w:color="auto"/>
              <w:right w:val="single" w:sz="6" w:space="0" w:color="auto"/>
            </w:tcBorders>
          </w:tcPr>
          <w:p w14:paraId="764CFFB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2FAF623" w14:textId="77777777" w:rsidR="007F0AE0" w:rsidRPr="005762E6" w:rsidRDefault="007F0AE0" w:rsidP="00453DE3">
            <w:pPr>
              <w:spacing w:after="120" w:line="240" w:lineRule="auto"/>
              <w:contextualSpacing/>
              <w:rPr>
                <w:sz w:val="20"/>
                <w:szCs w:val="20"/>
              </w:rPr>
            </w:pPr>
            <w:r w:rsidRPr="005762E6">
              <w:rPr>
                <w:sz w:val="20"/>
                <w:szCs w:val="20"/>
              </w:rPr>
              <w:t>Peter Jatlow,​ Gerald Valentine,​ Ralitza Gueorguieva,​ Haleh Nadim,​ Ran Wu,​ Stephanie S O'Malley,​ Mehmet Sofuoglu Plasma Menthol Glucuronide as a Biomarker of Acute Menthol Inhalation.. Tobacco regulatory science; 2018;4:586.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Menthol is often added to cigarettes and e-cigarette solutions for its cooling and anti-irritant effects,​ and may contribute to development of nicotine dependence,​ particularly in vulnerable populations such as adolescents,​ and among African Americans. Menthol is rapidly metabolized to menthol glucuronide (MG) with little or no unconjugated menthol measurable in venous blood. Human challenge studies of the effects of inhaled menthol,​ and of its interactions with nicotine,​ would benefit from a quantitative measure of acute menthol exposure. Our objective was to determine whether plasma MG concentrations might be a suitable quantitative biomarker of acute menthol exposure following its inhalation.,​ Methods: We performed a secondary analysis of plasma MG concentrations obtained during a study of the effects of inhaled menthol on behavioral responses to intravenous nicotine. MG concentrations were followed over time in venous plasma from 48 participants following inhalation of aerosols from e-cigarettes employing solutions containing either of 2 menthol concentrations or placebo.,​ Results: Whereas plasma MG concentrations were variable,​ they showed a dose-dependent increase following menthol inhalation.,​ Conclusions: Measurement of plasma MG may be useful to assess inter-individual differences in acute menthol exposure in human challenge studies involving menthol inhalation.</w:t>
            </w:r>
          </w:p>
        </w:tc>
      </w:tr>
      <w:tr w:rsidR="007F0AE0" w:rsidRPr="005762E6" w14:paraId="6101F3F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53C34E" w14:textId="77777777" w:rsidR="007F0AE0" w:rsidRPr="005762E6" w:rsidRDefault="007F0AE0" w:rsidP="00453DE3">
            <w:pPr>
              <w:spacing w:after="120" w:line="240" w:lineRule="auto"/>
              <w:contextualSpacing/>
              <w:rPr>
                <w:sz w:val="20"/>
                <w:szCs w:val="20"/>
              </w:rPr>
            </w:pPr>
            <w:r w:rsidRPr="005762E6">
              <w:rPr>
                <w:sz w:val="20"/>
                <w:szCs w:val="20"/>
              </w:rPr>
              <w:t>284</w:t>
            </w:r>
          </w:p>
        </w:tc>
        <w:tc>
          <w:tcPr>
            <w:tcW w:w="0" w:type="auto"/>
            <w:tcBorders>
              <w:top w:val="single" w:sz="6" w:space="0" w:color="auto"/>
              <w:left w:val="single" w:sz="6" w:space="0" w:color="auto"/>
              <w:bottom w:val="single" w:sz="6" w:space="0" w:color="auto"/>
              <w:right w:val="single" w:sz="6" w:space="0" w:color="auto"/>
            </w:tcBorders>
          </w:tcPr>
          <w:p w14:paraId="227857B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DCA9D50" w14:textId="77777777" w:rsidR="007F0AE0" w:rsidRPr="005762E6" w:rsidRDefault="007F0AE0" w:rsidP="00453DE3">
            <w:pPr>
              <w:spacing w:after="120" w:line="240" w:lineRule="auto"/>
              <w:contextualSpacing/>
              <w:rPr>
                <w:sz w:val="20"/>
                <w:szCs w:val="20"/>
              </w:rPr>
            </w:pPr>
            <w:r w:rsidRPr="005762E6">
              <w:rPr>
                <w:sz w:val="20"/>
                <w:szCs w:val="20"/>
              </w:rPr>
              <w:t>Tameka S Lawler,​ Stephen B Stanfill,​ B Rey deCastro,​ Joseph G Lisko,​ Bryce W Duncan,​ Patricia Richter,​ Clifford H Watson Surveillance of Nicotine and pH in Cigarette and Cigar Filler.. Tobacco regulatory science; 2017;3:101.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We examined differences between nicotine concentrations and pH in cigarette and cigar tobacco filler.,​ METHODS: Nicotine and pH levels for 50 cigarette and 75 cigar brands were measured. Non-mentholated and mentholated cigarette products were included in the analysis along with several cigar types as identified by the manufacturer: large cigars,​ pipe tobacco cigars,​ cigarillos,​ mini cigarillos,​ and little cigars.,​ RESULTS: There were significant differences found between pH and nicotine for cigarette and cigar tobacco products. Mean nicotine concentrations in cigarettes (19.2 mg/g) and large cigars (15.4 mg/g) were higher than the other cigars types,​ especially the pipe tobacco cigars (8.79 mg/g). The mean pH for cigarettes was pH 5.46. Large cigars had the highest mean pH value (pH 6.10) and pipe tobacco cigars had the lowest (pH 5.05).,​ CONCLUSIONS: Although cigarettes are the most common combustible tobacco product used worldwide,​ cigar use remains popular. Our research provides a means to investigate the possibility of distinguishing the 2 tobacco product types and offers information on nicotine and pH across a wide range of cigarette and cigar varieties that may be beneficial to help establish tobacco policies and regulations across product types.</w:t>
            </w:r>
          </w:p>
        </w:tc>
      </w:tr>
      <w:tr w:rsidR="007F0AE0" w:rsidRPr="005762E6" w14:paraId="1FFFD2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F9D002" w14:textId="77777777" w:rsidR="007F0AE0" w:rsidRPr="005762E6" w:rsidRDefault="007F0AE0" w:rsidP="00453DE3">
            <w:pPr>
              <w:spacing w:after="120" w:line="240" w:lineRule="auto"/>
              <w:contextualSpacing/>
              <w:rPr>
                <w:sz w:val="20"/>
                <w:szCs w:val="20"/>
              </w:rPr>
            </w:pPr>
            <w:r w:rsidRPr="005762E6">
              <w:rPr>
                <w:sz w:val="20"/>
                <w:szCs w:val="20"/>
              </w:rPr>
              <w:t>285</w:t>
            </w:r>
          </w:p>
        </w:tc>
        <w:tc>
          <w:tcPr>
            <w:tcW w:w="0" w:type="auto"/>
            <w:tcBorders>
              <w:top w:val="single" w:sz="6" w:space="0" w:color="auto"/>
              <w:left w:val="single" w:sz="6" w:space="0" w:color="auto"/>
              <w:bottom w:val="single" w:sz="6" w:space="0" w:color="auto"/>
              <w:right w:val="single" w:sz="6" w:space="0" w:color="auto"/>
            </w:tcBorders>
          </w:tcPr>
          <w:p w14:paraId="64AD9ED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3B27357" w14:textId="77777777" w:rsidR="007F0AE0" w:rsidRPr="005762E6" w:rsidRDefault="007F0AE0" w:rsidP="00453DE3">
            <w:pPr>
              <w:spacing w:after="120" w:line="240" w:lineRule="auto"/>
              <w:contextualSpacing/>
              <w:rPr>
                <w:sz w:val="20"/>
                <w:szCs w:val="20"/>
              </w:rPr>
            </w:pPr>
            <w:r w:rsidRPr="005762E6">
              <w:rPr>
                <w:sz w:val="20"/>
                <w:szCs w:val="20"/>
              </w:rPr>
              <w:t>Noah R Gubner,​ Denise D Williams,​ Anna Pagano,​ Barbara K Campbell,​ Joseph Guydish Menthol cigarette smoking among individuals in treatment for substance use disorders.. Addictive behaviors; 2018;80:135.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There are higher rates of menthol cigarette smoking within certain population subgroups. Limited research has examined menthol use among individuals in treatment for substance use disorders (SUD),​ a population with a high prevalence of cigarette smoking,​ poor smoking cessation outcomes,​ and high tobacco disease burden. Survey data were collected from 863 smokers sampled from 24 SUD treatment programs affiliated with the NIDA Clinical Trials Network (CTN) in the United States. Prevalence of menthol cigarette smoking was examined for the sample. Bivariate and multivariate analyses were used to examine demographic and tobacco use characteristics associated with menthol cigarette smoking. Overall,​ the prevalence of menthol smoking among individuals in SUD treatment was 53.3%. Smoking menthol versus non-menthol cigarettes was associated with being female (AOR=1.61,​ p=0.003),​ African American (AOR=7.89,​ p&lt;0.001),​ Hispanic/Latino (AOR=3.39,​ p&lt;0.001),​ and lower odds of having a college degree (AOR=0.49,​ p=0.015). Controlling for demographic factors,​ menthol smokers were more likely to report marijuana (AOR=3.33,​ p&lt;0.007) as their primary drug compared to alcohol. Lastly,​ menthol smokers were more likely to report interest in getting help for </w:t>
            </w:r>
            <w:r w:rsidRPr="005762E6">
              <w:rPr>
                <w:sz w:val="20"/>
                <w:szCs w:val="20"/>
              </w:rPr>
              <w:lastRenderedPageBreak/>
              <w:t>quitting smoking (AOR=1.53,​ p=0.01),​ although they were not more likely to report making a past year quit attempt. In conclusion,​ use of menthol cigarettes was higher among smokers in SUD treatment than in general population smokers. Regulatory policies targeting the manufacture,​ marketing,​ or sale of menthol cigarettes may benefit vulnerable populations,​ including smokers in SUD treatment. Copyright © 2018 Elsevier Ltd. All rights reserved.</w:t>
            </w:r>
          </w:p>
        </w:tc>
      </w:tr>
      <w:tr w:rsidR="007F0AE0" w:rsidRPr="005762E6" w14:paraId="21C2BB7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36C428" w14:textId="77777777" w:rsidR="007F0AE0" w:rsidRPr="005762E6" w:rsidRDefault="007F0AE0" w:rsidP="00453DE3">
            <w:pPr>
              <w:spacing w:after="120" w:line="240" w:lineRule="auto"/>
              <w:contextualSpacing/>
              <w:rPr>
                <w:sz w:val="20"/>
                <w:szCs w:val="20"/>
              </w:rPr>
            </w:pPr>
            <w:r w:rsidRPr="005762E6">
              <w:rPr>
                <w:sz w:val="20"/>
                <w:szCs w:val="20"/>
              </w:rPr>
              <w:lastRenderedPageBreak/>
              <w:t>286</w:t>
            </w:r>
          </w:p>
        </w:tc>
        <w:tc>
          <w:tcPr>
            <w:tcW w:w="0" w:type="auto"/>
            <w:tcBorders>
              <w:top w:val="single" w:sz="6" w:space="0" w:color="auto"/>
              <w:left w:val="single" w:sz="6" w:space="0" w:color="auto"/>
              <w:bottom w:val="single" w:sz="6" w:space="0" w:color="auto"/>
              <w:right w:val="single" w:sz="6" w:space="0" w:color="auto"/>
            </w:tcBorders>
          </w:tcPr>
          <w:p w14:paraId="341002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52D9BE6" w14:textId="77777777" w:rsidR="007F0AE0" w:rsidRPr="005762E6" w:rsidRDefault="007F0AE0" w:rsidP="00453DE3">
            <w:pPr>
              <w:spacing w:after="120" w:line="240" w:lineRule="auto"/>
              <w:contextualSpacing/>
              <w:rPr>
                <w:sz w:val="20"/>
                <w:szCs w:val="20"/>
              </w:rPr>
            </w:pPr>
            <w:r w:rsidRPr="005762E6">
              <w:rPr>
                <w:sz w:val="20"/>
                <w:szCs w:val="20"/>
              </w:rPr>
              <w:t>Kenneth A Perkins,​ Joshua L Karelitz,​ Nicole Kunkle Evaluation of menthol per se on acute perceptions and behavioral choice of cigarettes differing in nicotine content.. Journal of psychopharmacology (Oxford,​ England); 2018;32:324.</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Subjective perceptions and self-administration of cigarettes are each influenced by nicotine. Yet,​ differences specifically due to menthol in perceptions and choice of cigarettes varying in nicotine,​ and the association between these responses,​ have not been directly tested. Using a mixed between- and within-subjects design,​ acute responses to each of two menthol or non-menthol Spectrum research cigarettes,​ moderate (16-17 mg/g) versus very low (0.4 mg/g) in nicotine contents,​ were compared following brief abstinence in adult smokers preferring menthol ( n=44) or non-menthol ( n=29) brands. To ensure reliable perceptions,​ they experienced five exposures to each cigarette,​ then choose between them. All perceptions and choices were greater for moderate vs very low nicotine,​ as expected,​ and the magnitude of difference in four of six perceptions was associated with subsequently greater choice of the moderate nicotine cigarette. Importantly,​ virtually no differences were found between menthol and non-menthol,​ as nearly all perceptions,​ cigarette choices,​ and the association between perceptions and choice were not moderated by menthol or the interaction of nicotine by menthol. Our results indicate perceptions and reinforcement from cigarettes do not differ due to menthol when nicotine content and smoking topography are carefully controlled. Thus,​ regardless of menthol,​ smoking perceptions directly predict self-administration behavior.</w:t>
            </w:r>
          </w:p>
        </w:tc>
      </w:tr>
      <w:tr w:rsidR="007F0AE0" w:rsidRPr="005762E6" w14:paraId="0EB1985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69DC5AD" w14:textId="77777777" w:rsidR="007F0AE0" w:rsidRPr="005762E6" w:rsidRDefault="007F0AE0" w:rsidP="00453DE3">
            <w:pPr>
              <w:spacing w:after="120" w:line="240" w:lineRule="auto"/>
              <w:contextualSpacing/>
              <w:rPr>
                <w:sz w:val="20"/>
                <w:szCs w:val="20"/>
              </w:rPr>
            </w:pPr>
            <w:r w:rsidRPr="005762E6">
              <w:rPr>
                <w:sz w:val="20"/>
                <w:szCs w:val="20"/>
              </w:rPr>
              <w:t>289</w:t>
            </w:r>
          </w:p>
        </w:tc>
        <w:tc>
          <w:tcPr>
            <w:tcW w:w="0" w:type="auto"/>
            <w:tcBorders>
              <w:top w:val="single" w:sz="6" w:space="0" w:color="auto"/>
              <w:left w:val="single" w:sz="6" w:space="0" w:color="auto"/>
              <w:bottom w:val="single" w:sz="6" w:space="0" w:color="auto"/>
              <w:right w:val="single" w:sz="6" w:space="0" w:color="auto"/>
            </w:tcBorders>
          </w:tcPr>
          <w:p w14:paraId="2DB55FB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2255EC6" w14:textId="77777777" w:rsidR="007F0AE0" w:rsidRPr="005762E6" w:rsidRDefault="007F0AE0" w:rsidP="00453DE3">
            <w:pPr>
              <w:spacing w:after="120" w:line="240" w:lineRule="auto"/>
              <w:contextualSpacing/>
              <w:rPr>
                <w:sz w:val="20"/>
                <w:szCs w:val="20"/>
              </w:rPr>
            </w:pPr>
            <w:r w:rsidRPr="005762E6">
              <w:rPr>
                <w:sz w:val="20"/>
                <w:szCs w:val="20"/>
              </w:rPr>
              <w:t>Gillian L Schauer,​ Erica N Peters,​ Zachary R Rosenberry,​ Hyoshin Kim Trends in and Characteristics of Marijuana and Menthol Cigarette Use Among Current Cigarette Smokers,​ 2005-2014.. Nicotine &amp; tobacco research : official journal of the Society for Research on Nicotine and Tobacco; 2018;20:362.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Given increasing co-marijuana and tobacco use in the United States,​ this study aimed to explore the overlap between menthol cigarette use (MCU) and marijuana.,​ Methods: Data came from past month US cigarette smokers 12 years and older responding to the National Survey on Drug Use and Health between 2005 and 2014 (N = 51 500). Prevalence,​ demographics and substance use characteristics from 2013 to 2014 were assessed across four groups,​ based on past month marijuana and tobacco use: cigarette smokers with marijuana and MCU,​ with marijuana but no MCU,​ with no marijuana but MCU,​ and with use of neither. Multivariable logistic regression explored the relationship between MCU,​ marijuana,​ and dependence. Linear and quadratic trends were assessed using logistic regression with orthogonal polynomials.,​ Results: Past month marijuana/MCU among cigarette smokers was 8.3% in 2013-2014. Overall,​ marijuana/MCU was significantly higher among blacks versus whites (20.8% vs. 5.8%,​ p &lt; .0001),​ though among 12-25 year olds,​ prevalence was significantly higher among whites versus blacks (6.3% vs. 0.9% for 12-17-year-olds; 39.2% vs. 26.8% for 18-25-year-olds). Marijuana/MCU increased significantly between 2005 and 2014 overall,​ and among whites and blacks. No adjusted associations were found between marijuana,​ MCU and nicotine or marijuana dependence.,​ Conclusions: Past month marijuana/MCU among cigarette smokers is increasing in the United States,​ with specific racial and age-based disparities. Research about the implications of consuming both marijuana and menthol,​ and the potential overlap in consumption of flavors across the products is warranted to better inform future preventive and treatment approaches.,​ Implications: This is the first study to assess the overlap between MCU and marijuana use among a nationally representative sample of US current smokers ages 12 and older. Findings from this study suggest that past month marijuana and menthol use among cigarette smokers is increasing in the United States,​ with specific racial/ethnic and age-based disparities. More research about the implications of consuming both marijuana and menthol,​ and the potential overlap in consumption of flavors in marijuana and tobacco products is warranted to better understand what preventive and treatment approaches may be needed. Copyright © The Author(s) 2017. Published by Oxford University Press on behalf of the Society </w:t>
            </w:r>
            <w:r w:rsidRPr="005762E6">
              <w:rPr>
                <w:sz w:val="20"/>
                <w:szCs w:val="20"/>
              </w:rPr>
              <w:lastRenderedPageBreak/>
              <w:t>for Research on Nicotine and Tobacco. All rights reserved. For permissions,​ please e-mail: journals.permissions@oup.com.</w:t>
            </w:r>
          </w:p>
        </w:tc>
      </w:tr>
      <w:tr w:rsidR="007F0AE0" w:rsidRPr="005762E6" w14:paraId="39E3E90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2EF7BC" w14:textId="77777777" w:rsidR="007F0AE0" w:rsidRPr="005762E6" w:rsidRDefault="007F0AE0" w:rsidP="00453DE3">
            <w:pPr>
              <w:spacing w:after="120" w:line="240" w:lineRule="auto"/>
              <w:contextualSpacing/>
              <w:rPr>
                <w:sz w:val="20"/>
                <w:szCs w:val="20"/>
              </w:rPr>
            </w:pPr>
            <w:r w:rsidRPr="005762E6">
              <w:rPr>
                <w:sz w:val="20"/>
                <w:szCs w:val="20"/>
              </w:rPr>
              <w:lastRenderedPageBreak/>
              <w:t>290</w:t>
            </w:r>
          </w:p>
        </w:tc>
        <w:tc>
          <w:tcPr>
            <w:tcW w:w="0" w:type="auto"/>
            <w:tcBorders>
              <w:top w:val="single" w:sz="6" w:space="0" w:color="auto"/>
              <w:left w:val="single" w:sz="6" w:space="0" w:color="auto"/>
              <w:bottom w:val="single" w:sz="6" w:space="0" w:color="auto"/>
              <w:right w:val="single" w:sz="6" w:space="0" w:color="auto"/>
            </w:tcBorders>
          </w:tcPr>
          <w:p w14:paraId="7AE2B9D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70159EE" w14:textId="77777777" w:rsidR="007F0AE0" w:rsidRPr="005762E6" w:rsidRDefault="007F0AE0" w:rsidP="00453DE3">
            <w:pPr>
              <w:spacing w:after="120" w:line="240" w:lineRule="auto"/>
              <w:contextualSpacing/>
              <w:rPr>
                <w:sz w:val="20"/>
                <w:szCs w:val="20"/>
              </w:rPr>
            </w:pPr>
            <w:r w:rsidRPr="005762E6">
              <w:rPr>
                <w:sz w:val="20"/>
                <w:szCs w:val="20"/>
              </w:rPr>
              <w:t>Philip H Smith,​ Ezinne Akpara,​ Raisa Haq,​ Mark El-Miniawi,​ Azure B Thompson Gender and Menthol Cigarette Use in the United States: A Systematic Review of the Recent Literature (2011 - May 2017).. Current addiction reports; 2017;4:431.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Purpose of review: To summarize current research on gender differences in mentholated cigarette use and related outcomes. Secondarily,​ to summarize literature on gender differences in mentholated cigarette use and related outcomes among Black smokers.,​ Recent findings: Women smokers are more likely to use menthol cigarettes than men. Other than prevalence,​ there is a paucity of research on gender differences in menthol related outcomes (e.g.,​ cessation,​ disease). Among both women and men,​ menthol preference is stable during adolescence and young adulthood. A substantial portion of both women and men who smoke menthol report an expectation of quitting should menthol be banned. We did not identify any studies of gender differences in mentholated cigarette use among Black smokers.,​ Summary: Despite public health relevance,​ there is little current research on gender differences in mentholated cigarette use,​ other than studies of prevalence,​ and very little research on gender differences among Black smokers,​ including prevalence.</w:t>
            </w:r>
          </w:p>
        </w:tc>
      </w:tr>
      <w:tr w:rsidR="007F0AE0" w:rsidRPr="005762E6" w14:paraId="07DA3C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76FD57C" w14:textId="77777777" w:rsidR="007F0AE0" w:rsidRPr="005762E6" w:rsidRDefault="007F0AE0" w:rsidP="00453DE3">
            <w:pPr>
              <w:spacing w:after="120" w:line="240" w:lineRule="auto"/>
              <w:contextualSpacing/>
              <w:rPr>
                <w:sz w:val="20"/>
                <w:szCs w:val="20"/>
              </w:rPr>
            </w:pPr>
            <w:r w:rsidRPr="005762E6">
              <w:rPr>
                <w:sz w:val="20"/>
                <w:szCs w:val="20"/>
              </w:rPr>
              <w:t>293</w:t>
            </w:r>
          </w:p>
        </w:tc>
        <w:tc>
          <w:tcPr>
            <w:tcW w:w="0" w:type="auto"/>
            <w:tcBorders>
              <w:top w:val="single" w:sz="6" w:space="0" w:color="auto"/>
              <w:left w:val="single" w:sz="6" w:space="0" w:color="auto"/>
              <w:bottom w:val="single" w:sz="6" w:space="0" w:color="auto"/>
              <w:right w:val="single" w:sz="6" w:space="0" w:color="auto"/>
            </w:tcBorders>
          </w:tcPr>
          <w:p w14:paraId="185DE05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756CC2" w14:textId="77777777" w:rsidR="007F0AE0" w:rsidRPr="005762E6" w:rsidRDefault="007F0AE0" w:rsidP="00453DE3">
            <w:pPr>
              <w:spacing w:after="120" w:line="240" w:lineRule="auto"/>
              <w:contextualSpacing/>
              <w:rPr>
                <w:sz w:val="20"/>
                <w:szCs w:val="20"/>
              </w:rPr>
            </w:pPr>
            <w:r w:rsidRPr="005762E6">
              <w:rPr>
                <w:sz w:val="20"/>
                <w:szCs w:val="20"/>
              </w:rPr>
              <w:t>Patricia Richter,​ Pappas R Steven,​ Roberto Bravo,​ Joseph G Lisko,​ Maria Damian,​ Nathalie Gonzalez-Jimenez,​ Naudia Gray,​ Lisa M Keong,​ Jacob B Kimbrell,​ Peter Kuklenyik,​ Tameka S Lawler,​ Grace E Lee,​ Magaly Mendez,​ Jose Perez,​ Shakia Smith,​ Hang Tran,​ Robert Tyx,​ Clifford H Watson Characterization of SPECTRUM Variable Nicotine Research Cigarettes.. Tobacco regulatory science; 2016;2:94.</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provide researchers an extensive characterization of the SPECTRUM variable nicotine research cigarettes.,​ METHODS: Data on cigarette physical properties,​ nicotine content,​ harmful and potentially harmful constituents in the tobacco filler was compiled.,​ RESULTS: Data on physical properties,​ concentrations of menthol,​ nicotine and minor alkaloids,​ tobacco-specific nitrosamines,​ polycyclic aromatic hydrocarbons,​ ammonia,​ and toxic metals in the filler tobacco for all available varieties of Spectrum research cigarettes are provided. The similarity in the chemistry and physical properties of SPECTRUM cigarettes to commercial cigarettes renders them acceptable for use in behavioral studies. Baseline information on harmful and potentially harmful constituents in research tobacco products,​ particularly constituent levels such as minor alkaloids that fall outside typical ranges reported for commercial,​ provide researchers with the opportunity to monitor smoking behavior and to identify biomarkers that will inform efforts to understand the role of nicotine in creating and sustaining addiction.,​ CONCLUSIONS: Well characterized research cigarettes suitable for human consumption are an important tool in clinical studies for investigating the physiological impacts of cigarettes delivering various levels of nicotine,​ the impact of reduced nicotine cigarettes on nicotine addiction,​ and the relationship between nicotine dose and smoking behavior.</w:t>
            </w:r>
          </w:p>
        </w:tc>
      </w:tr>
      <w:tr w:rsidR="007F0AE0" w:rsidRPr="005762E6" w14:paraId="390F2A4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5FF988" w14:textId="77777777" w:rsidR="007F0AE0" w:rsidRPr="005762E6" w:rsidRDefault="007F0AE0" w:rsidP="00453DE3">
            <w:pPr>
              <w:spacing w:after="120" w:line="240" w:lineRule="auto"/>
              <w:contextualSpacing/>
              <w:rPr>
                <w:sz w:val="20"/>
                <w:szCs w:val="20"/>
              </w:rPr>
            </w:pPr>
            <w:r w:rsidRPr="005762E6">
              <w:rPr>
                <w:sz w:val="20"/>
                <w:szCs w:val="20"/>
              </w:rPr>
              <w:t>295</w:t>
            </w:r>
          </w:p>
        </w:tc>
        <w:tc>
          <w:tcPr>
            <w:tcW w:w="0" w:type="auto"/>
            <w:tcBorders>
              <w:top w:val="single" w:sz="6" w:space="0" w:color="auto"/>
              <w:left w:val="single" w:sz="6" w:space="0" w:color="auto"/>
              <w:bottom w:val="single" w:sz="6" w:space="0" w:color="auto"/>
              <w:right w:val="single" w:sz="6" w:space="0" w:color="auto"/>
            </w:tcBorders>
          </w:tcPr>
          <w:p w14:paraId="2EF4C16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EAC74F0" w14:textId="77777777" w:rsidR="007F0AE0" w:rsidRPr="005762E6" w:rsidRDefault="007F0AE0" w:rsidP="00453DE3">
            <w:pPr>
              <w:spacing w:after="120" w:line="240" w:lineRule="auto"/>
              <w:contextualSpacing/>
              <w:rPr>
                <w:sz w:val="20"/>
                <w:szCs w:val="20"/>
              </w:rPr>
            </w:pPr>
            <w:r w:rsidRPr="005762E6">
              <w:rPr>
                <w:sz w:val="20"/>
                <w:szCs w:val="20"/>
              </w:rPr>
              <w:t>Amy Cohn,​ Amanda Johnson,​ Jennifer Pearson,​ Shyanika Rose,​ Sarah Ehlke,​ Ollie Ganz,​ Raymond Niaura Determining non-cigarette tobacco,​ alcohol,​ and substance use typologies across menthol and non-menthol smokers using latent class analysis.. Tobacco induced diseases; 2017;15:5.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Substance use and mental health are robustly associated with smoking and poor cessation outcomes,​ but not often examined in combination with menthol cigarette smoking,​ which is also associated with lower quit rates. This study identified classes of Black and White menthol and non-menthol cigarette smokers based on demographics,​ alcohol,​ drug,​ and other tobacco use behaviors.,​ METHODS: Using screening data from two studies,​ latent class analysis (LCA) was conducted to classify n=1177 menthol and non-menthol cigarette smokers on demographic characteristics,​ heavy smoking,​ alcohol and drug use,​ desire to quit smoking,​ other tobacco product use,​ and use of psychotropic medication.,​ RESULTS: Three latent classes were identified that differentiated smokers on substance use,​ menthol cigarette smoking,​ and other tobacco use behavior. One class consisted primarily of young adults who used a wide array of other tobacco products,​ </w:t>
            </w:r>
            <w:r w:rsidRPr="005762E6">
              <w:rPr>
                <w:sz w:val="20"/>
                <w:szCs w:val="20"/>
              </w:rPr>
              <w:lastRenderedPageBreak/>
              <w:t>reported the highest prevalence of other drug use,​ and showed the lowest desire to quit smoking cigarettes in the next 6-months. Class 2 comprised primarily of Black male menthol smokers,​ all of whom used cigarillos in addition to cigarettes,​ and who displayed moderate drug use. The third class was categorized as primarily older cigarette smokers,​ who engaged in very little other tobacco use or drug use,​ but who were most likely to self-report being prescribed psychotropic medication.,​ CONCLUSIONS: LCA allowed for the identification of distinct classes of smokers based on factors related to poor cessation outcomes,​ including menthol use,​ that have not previously been examined in combination. Interventions should target specific groups of smokers,​ rather than take a "one size fits all" approach.</w:t>
            </w:r>
          </w:p>
        </w:tc>
      </w:tr>
      <w:tr w:rsidR="007F0AE0" w:rsidRPr="005762E6" w14:paraId="75CEF22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D6A36B" w14:textId="77777777" w:rsidR="007F0AE0" w:rsidRPr="005762E6" w:rsidRDefault="007F0AE0" w:rsidP="00453DE3">
            <w:pPr>
              <w:spacing w:after="120" w:line="240" w:lineRule="auto"/>
              <w:contextualSpacing/>
              <w:rPr>
                <w:sz w:val="20"/>
                <w:szCs w:val="20"/>
              </w:rPr>
            </w:pPr>
            <w:r w:rsidRPr="005762E6">
              <w:rPr>
                <w:sz w:val="20"/>
                <w:szCs w:val="20"/>
              </w:rPr>
              <w:lastRenderedPageBreak/>
              <w:t>296</w:t>
            </w:r>
          </w:p>
        </w:tc>
        <w:tc>
          <w:tcPr>
            <w:tcW w:w="0" w:type="auto"/>
            <w:tcBorders>
              <w:top w:val="single" w:sz="6" w:space="0" w:color="auto"/>
              <w:left w:val="single" w:sz="6" w:space="0" w:color="auto"/>
              <w:bottom w:val="single" w:sz="6" w:space="0" w:color="auto"/>
              <w:right w:val="single" w:sz="6" w:space="0" w:color="auto"/>
            </w:tcBorders>
          </w:tcPr>
          <w:p w14:paraId="6647F25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2A10AF" w14:textId="77777777" w:rsidR="007F0AE0" w:rsidRPr="005762E6" w:rsidRDefault="007F0AE0" w:rsidP="00453DE3">
            <w:pPr>
              <w:spacing w:after="120" w:line="240" w:lineRule="auto"/>
              <w:contextualSpacing/>
              <w:rPr>
                <w:sz w:val="20"/>
                <w:szCs w:val="20"/>
              </w:rPr>
            </w:pPr>
            <w:r w:rsidRPr="005762E6">
              <w:rPr>
                <w:sz w:val="20"/>
                <w:szCs w:val="20"/>
              </w:rPr>
              <w:t>Amy M Cohn,​ Amanda L Johnson,​ Elizabeth Hair,​ Jessica M Rath,​ Andrea C Villanti Menthol tobacco use is correlated with mental health symptoms in a national sample of young adults: implications for future health risks and policy recommendations.. Tobacco induced diseases; 2016;14:1.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Depression and anxiety are correlated with greater nicotine dependence,​ smoking persistence,​ and relapse back to smoking after a quit attempt. Menthol cigarette smoking,​ which is prevalent in young adults,​ is associated with nicotine dependence,​ progression to regular smoking,​ and worse cessation outcomes than non-menthol smoking. Few have established a link between menthol tobacco use,​ beyond just smoking,​ with mental health in this high-risk age group. This study examined the association of menthol tobacco use to anxiety and depression in a national sample of young adults.,​ METHODS: Data were from Waves 1 through 7 (n=9720,​ weighted) of the Truth Initiative Young Adult Cohort,​ a national sample of men and women aged 18 to 34 assessed every 6-months. Demographics,​ past 30-day use of non-menthol and menthol tobacco products,​ and current alcohol,​ marijuana,​ and other drug use were assessed among those with depression and anxiety.,​ RESULTS: Thirty nine percent of current tobacco users used menthol as their preferred brand. Using a cross-sectional analysis (collapsed across waves),​ past 30-day menthol tobacco was uniquely associated with greater odds of both depression and anxiety,​ beyond the effects of demographic and substance correlates and non-menthol tobacco product use.,​ CONCLUSIONS: Menthol is disproportionately used among young adults tobacco users with mental health problems,​ above and beyond the impact of a variety of other mental health and tobacco use risk factors. Findings suggest a strong link between menthol tobacco use and poor health outcomes. Policies should be developed to deter menthol tobacco use in vulnerable groups.</w:t>
            </w:r>
          </w:p>
        </w:tc>
      </w:tr>
      <w:tr w:rsidR="007F0AE0" w:rsidRPr="005762E6" w14:paraId="2607C3D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2D71B4" w14:textId="77777777" w:rsidR="007F0AE0" w:rsidRPr="005762E6" w:rsidRDefault="007F0AE0" w:rsidP="00453DE3">
            <w:pPr>
              <w:spacing w:after="120" w:line="240" w:lineRule="auto"/>
              <w:contextualSpacing/>
              <w:rPr>
                <w:sz w:val="20"/>
                <w:szCs w:val="20"/>
              </w:rPr>
            </w:pPr>
            <w:r w:rsidRPr="005762E6">
              <w:rPr>
                <w:sz w:val="20"/>
                <w:szCs w:val="20"/>
              </w:rPr>
              <w:t>298</w:t>
            </w:r>
          </w:p>
        </w:tc>
        <w:tc>
          <w:tcPr>
            <w:tcW w:w="0" w:type="auto"/>
            <w:tcBorders>
              <w:top w:val="single" w:sz="6" w:space="0" w:color="auto"/>
              <w:left w:val="single" w:sz="6" w:space="0" w:color="auto"/>
              <w:bottom w:val="single" w:sz="6" w:space="0" w:color="auto"/>
              <w:right w:val="single" w:sz="6" w:space="0" w:color="auto"/>
            </w:tcBorders>
          </w:tcPr>
          <w:p w14:paraId="2D6FD9A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6FD147D" w14:textId="77777777" w:rsidR="007F0AE0" w:rsidRPr="005762E6" w:rsidRDefault="007F0AE0" w:rsidP="00453DE3">
            <w:pPr>
              <w:spacing w:after="120" w:line="240" w:lineRule="auto"/>
              <w:contextualSpacing/>
              <w:rPr>
                <w:sz w:val="20"/>
                <w:szCs w:val="20"/>
              </w:rPr>
            </w:pPr>
            <w:r w:rsidRPr="005762E6">
              <w:rPr>
                <w:sz w:val="20"/>
                <w:szCs w:val="20"/>
              </w:rPr>
              <w:t>Judith Rosenbloom,​ Vaughan W Rees,​ Kathleen Reid,​ Jeannie Wong,​ Taru Kinnunen A cross-sectional study on tobacco use and dependence among women: Does menthol matter?.. Tobacco induced diseases; 2012;10:19.</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UNLABELLED:,​ BACKGROUND: The question of whether mentholation of cigarettes enhances tobacco dependence has generated conflicting findings. Potential mediating factors in a putative relationship between menthol use and tobacco dependence may include race and gender. While an association between menthol use and dependence is mixed,​ research on the role of race solely among women smokers is scarce. This study examined whether women menthol smokers have higher tobacco use and dependence than non-menthol smokers. Further,​ the study investigated differences between White and African American smokers.,​ METHODS: A cross-sectional study was conducted among 928 women seeking tobacco dependence treatment in Boston,​ Massachusetts. Measures obtained included preferred brand and menthol content,​ dependence markers (cigarettes per day (CPD); time to first cigarette in the morning; number of and longest previous quit attempts) and smoking history (age of initiation; years smoking; menthol or non-menthol cigarette preference). Analysis of variance (ANOVA) was used to detect interactions between menthol preference by race for continuous variables,​ and Pearson's chi-squared test was used for analyses with dichotomous variables.,​ RESULTS: A greater proportion of menthol smokers smoked their first cigarette within five minutes of waking (p &lt; 0.01) and were less likely to have a previous quit attempt longer than 90 days (p &lt; 0.01). ANOVAs revealed no main effects for menthol preferences. However,​ African American smokers smoked fewer CPD (p&lt;.001),​ started smoking later in life (p= .04),​ and had been smoking the same brand for longer (p= .04).,​ CONCLUSIONS: Women menthol smokers showed signs of greater tobacco dependence than non-menthol smokers. African Americans smoked fewer CPD but nevertheless had evidence of greater dependence.</w:t>
            </w:r>
          </w:p>
        </w:tc>
      </w:tr>
      <w:tr w:rsidR="007F0AE0" w:rsidRPr="005762E6" w14:paraId="3574D06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F022EA" w14:textId="77777777" w:rsidR="007F0AE0" w:rsidRPr="005762E6" w:rsidRDefault="007F0AE0" w:rsidP="00453DE3">
            <w:pPr>
              <w:spacing w:after="120" w:line="240" w:lineRule="auto"/>
              <w:contextualSpacing/>
              <w:rPr>
                <w:sz w:val="20"/>
                <w:szCs w:val="20"/>
              </w:rPr>
            </w:pPr>
            <w:r w:rsidRPr="005762E6">
              <w:rPr>
                <w:sz w:val="20"/>
                <w:szCs w:val="20"/>
              </w:rPr>
              <w:lastRenderedPageBreak/>
              <w:t>299</w:t>
            </w:r>
          </w:p>
        </w:tc>
        <w:tc>
          <w:tcPr>
            <w:tcW w:w="0" w:type="auto"/>
            <w:tcBorders>
              <w:top w:val="single" w:sz="6" w:space="0" w:color="auto"/>
              <w:left w:val="single" w:sz="6" w:space="0" w:color="auto"/>
              <w:bottom w:val="single" w:sz="6" w:space="0" w:color="auto"/>
              <w:right w:val="single" w:sz="6" w:space="0" w:color="auto"/>
            </w:tcBorders>
          </w:tcPr>
          <w:p w14:paraId="2178136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68CDFDD" w14:textId="77777777" w:rsidR="007F0AE0" w:rsidRPr="005762E6" w:rsidRDefault="007F0AE0" w:rsidP="00453DE3">
            <w:pPr>
              <w:spacing w:after="120" w:line="240" w:lineRule="auto"/>
              <w:contextualSpacing/>
              <w:rPr>
                <w:sz w:val="20"/>
                <w:szCs w:val="20"/>
              </w:rPr>
            </w:pPr>
            <w:r w:rsidRPr="005762E6">
              <w:rPr>
                <w:sz w:val="20"/>
                <w:szCs w:val="20"/>
              </w:rPr>
              <w:t>Allison C Hoffman The health effects of menthol cigarettes as compared to non-menthol cigarettes.. Tobacco induced diseases; 2011;9 Suppl 1:S7.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Since the 1920s,​ menthol has been added to cigarettes and used as a characterizing flavor. The health effects of cigarette smoking are well documented,​ however the health effects of menthol cigarettes as compared to non-menthol cigarettes is less well studied. This review discusses menthol's effects on 1) biomarkers of tobacco smoke exposure,​ 2) toxicity and cellular effects,​ 3) lung function and respiration,​ 4) pulmonary and/or vascular function,​ 5) allergic reactions and inflammation,​ and 6) tobacco-related diseases. It is concluded that menthol is a biologically active compound that has effects by itself and in conjunction with nicotine,​ however much of the data on the other areas of interest are inconclusive and firm conclusions cannot be drawn.</w:t>
            </w:r>
          </w:p>
        </w:tc>
      </w:tr>
      <w:tr w:rsidR="007F0AE0" w:rsidRPr="005762E6" w14:paraId="07BFAB8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6C5603" w14:textId="77777777" w:rsidR="007F0AE0" w:rsidRPr="005762E6" w:rsidRDefault="007F0AE0" w:rsidP="00453DE3">
            <w:pPr>
              <w:spacing w:after="120" w:line="240" w:lineRule="auto"/>
              <w:contextualSpacing/>
              <w:rPr>
                <w:sz w:val="20"/>
                <w:szCs w:val="20"/>
              </w:rPr>
            </w:pPr>
            <w:r w:rsidRPr="005762E6">
              <w:rPr>
                <w:sz w:val="20"/>
                <w:szCs w:val="20"/>
              </w:rPr>
              <w:t>300</w:t>
            </w:r>
          </w:p>
        </w:tc>
        <w:tc>
          <w:tcPr>
            <w:tcW w:w="0" w:type="auto"/>
            <w:tcBorders>
              <w:top w:val="single" w:sz="6" w:space="0" w:color="auto"/>
              <w:left w:val="single" w:sz="6" w:space="0" w:color="auto"/>
              <w:bottom w:val="single" w:sz="6" w:space="0" w:color="auto"/>
              <w:right w:val="single" w:sz="6" w:space="0" w:color="auto"/>
            </w:tcBorders>
          </w:tcPr>
          <w:p w14:paraId="202C935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91C8FA5" w14:textId="77777777" w:rsidR="007F0AE0" w:rsidRPr="005762E6" w:rsidRDefault="007F0AE0" w:rsidP="00453DE3">
            <w:pPr>
              <w:spacing w:after="120" w:line="240" w:lineRule="auto"/>
              <w:contextualSpacing/>
              <w:rPr>
                <w:sz w:val="20"/>
                <w:szCs w:val="20"/>
              </w:rPr>
            </w:pPr>
            <w:r w:rsidRPr="005762E6">
              <w:rPr>
                <w:sz w:val="20"/>
                <w:szCs w:val="20"/>
              </w:rPr>
              <w:t>Allison C Hoffman,​ Donna Miceli Menthol cigarettes and smoking cessation behavior.. Tobacco induced diseases; 2011;9 Suppl 1:S6.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Although much is known about smoking cessation behavior,​ the vast majority of research has not assessed menthol as an independent factor. The objective of this review is to assess the effects,​ if any,​ that use of menthol cigarettes has on smoking cessation success in adults and youth. A total of 20 articles are included in this review. Although some studies have found that menthol smokers have less success in quitting smoking,​ others fail to find significant differences between menthol and non-menthol smokers. Some clinical trials evaluating the efficacy of various cessation treatments have suggested that menthol smokers have poorer outcomes,​ however two secondary data analysis studies (which used the same original dataset) failed to find any difference in success rate associated with particular treatments. Although there is some suggestion that smoking menthol cigarettes is associated with worse cessation outcomes,​ differences are not always found. However,​ if there was a difference,​ it was always in the direction of worse outcomes for menthol smokers. Given that Black/African American smokers prefer menthol cigarettes more than White smokers,​ possible interactions with race/ethnicity are discussed.</w:t>
            </w:r>
          </w:p>
        </w:tc>
      </w:tr>
      <w:tr w:rsidR="007F0AE0" w:rsidRPr="005762E6" w14:paraId="2FC80AC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22F8F5" w14:textId="77777777" w:rsidR="007F0AE0" w:rsidRPr="005762E6" w:rsidRDefault="007F0AE0" w:rsidP="00453DE3">
            <w:pPr>
              <w:spacing w:after="120" w:line="240" w:lineRule="auto"/>
              <w:contextualSpacing/>
              <w:rPr>
                <w:sz w:val="20"/>
                <w:szCs w:val="20"/>
              </w:rPr>
            </w:pPr>
            <w:r w:rsidRPr="005762E6">
              <w:rPr>
                <w:sz w:val="20"/>
                <w:szCs w:val="20"/>
              </w:rPr>
              <w:t>301</w:t>
            </w:r>
          </w:p>
        </w:tc>
        <w:tc>
          <w:tcPr>
            <w:tcW w:w="0" w:type="auto"/>
            <w:tcBorders>
              <w:top w:val="single" w:sz="6" w:space="0" w:color="auto"/>
              <w:left w:val="single" w:sz="6" w:space="0" w:color="auto"/>
              <w:bottom w:val="single" w:sz="6" w:space="0" w:color="auto"/>
              <w:right w:val="single" w:sz="6" w:space="0" w:color="auto"/>
            </w:tcBorders>
          </w:tcPr>
          <w:p w14:paraId="5BB5B65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520A0DC" w14:textId="77777777" w:rsidR="007F0AE0" w:rsidRPr="005762E6" w:rsidRDefault="007F0AE0" w:rsidP="00453DE3">
            <w:pPr>
              <w:spacing w:after="120" w:line="240" w:lineRule="auto"/>
              <w:contextualSpacing/>
              <w:rPr>
                <w:sz w:val="20"/>
                <w:szCs w:val="20"/>
              </w:rPr>
            </w:pPr>
            <w:r w:rsidRPr="005762E6">
              <w:rPr>
                <w:sz w:val="20"/>
                <w:szCs w:val="20"/>
              </w:rPr>
              <w:t>Allison C Hoffman,​ Dee Simmons Menthol cigarette smoking and nicotine dependence.. Tobacco induced diseases; 2011;9 Suppl 1:S5.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Since tobacco use is driven by dependence on nicotine,​ the primary addictive substance in tobacco,​ much research has focused on nicotine dependence. Less well understood,​ however,​ is the role that menthol plays in nicotine dependence. This review seeks to examine what role,​ if any,​ menthol plays in nicotine addiction in adults and youth. Based on research examining several indicators of heaviness of nicotine addiction,​ including time to first cigarette upon waking,​ night waking to smoke,​ as well as some other indications of dependence,​ it is suggested that menthol cigarette smokers are more heavily dependent on nicotine. Although other indicators of nicotine dependence,​ including number of cigarettes per day and the Fagerstrom Test of Nicotine Dependence,​ failed to consistently differentiate menthol and non-menthol smokers,​ these indicators are thought to be less robust than time to first cigarette. Therefore,​ though limited,​ the existing literature suggests that menthol smokers may be more dependence on nicotine.</w:t>
            </w:r>
          </w:p>
        </w:tc>
      </w:tr>
      <w:tr w:rsidR="007F0AE0" w:rsidRPr="005762E6" w14:paraId="1C8F212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52AC52" w14:textId="77777777" w:rsidR="007F0AE0" w:rsidRPr="005762E6" w:rsidRDefault="007F0AE0" w:rsidP="00453DE3">
            <w:pPr>
              <w:spacing w:after="120" w:line="240" w:lineRule="auto"/>
              <w:contextualSpacing/>
              <w:rPr>
                <w:sz w:val="20"/>
                <w:szCs w:val="20"/>
              </w:rPr>
            </w:pPr>
            <w:r w:rsidRPr="005762E6">
              <w:rPr>
                <w:sz w:val="20"/>
                <w:szCs w:val="20"/>
              </w:rPr>
              <w:t>302</w:t>
            </w:r>
          </w:p>
        </w:tc>
        <w:tc>
          <w:tcPr>
            <w:tcW w:w="0" w:type="auto"/>
            <w:tcBorders>
              <w:top w:val="single" w:sz="6" w:space="0" w:color="auto"/>
              <w:left w:val="single" w:sz="6" w:space="0" w:color="auto"/>
              <w:bottom w:val="single" w:sz="6" w:space="0" w:color="auto"/>
              <w:right w:val="single" w:sz="6" w:space="0" w:color="auto"/>
            </w:tcBorders>
          </w:tcPr>
          <w:p w14:paraId="06A97D7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3EF022" w14:textId="77777777" w:rsidR="007F0AE0" w:rsidRPr="005762E6" w:rsidRDefault="007F0AE0" w:rsidP="00453DE3">
            <w:pPr>
              <w:spacing w:after="120" w:line="240" w:lineRule="auto"/>
              <w:contextualSpacing/>
              <w:rPr>
                <w:sz w:val="20"/>
                <w:szCs w:val="20"/>
              </w:rPr>
            </w:pPr>
            <w:r w:rsidRPr="005762E6">
              <w:rPr>
                <w:sz w:val="20"/>
                <w:szCs w:val="20"/>
              </w:rPr>
              <w:t>Joshua Rising,​ Kristina Wasson-Blader Menthol and initiation of cigarette smoking.. Tobacco induced diseases; 2011;9 Suppl 1:S4.</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use of tobacco products would not continue without the initiation of their use by youth and adults. Since the vast majority of cigarette smokers begin smoking by age 25,​ understanding the role of menthol cigarettes in the initiation of smoking in youth (under the age of 18) and young adults (aged 18-25) is especially relevant. Data demonstrate that menthol cigarettes are disproportionately used by youth and young adults. This review seeks to examine what role,​ if any,​ menthol plays in the initiation of cigarette smoking. Overall,​ there is a </w:t>
            </w:r>
            <w:r w:rsidRPr="005762E6">
              <w:rPr>
                <w:sz w:val="20"/>
                <w:szCs w:val="20"/>
              </w:rPr>
              <w:lastRenderedPageBreak/>
              <w:t>paucity of data on this topic. The data that do exist suggests that youth who have smoked for less than 1 year are more likely to smoke menthol cigarettes than youth who have smoked for more than 1 year. A lack of data prevents further conclusions on the role of menthol cigarettes in the initiation of smoking.</w:t>
            </w:r>
          </w:p>
        </w:tc>
      </w:tr>
      <w:tr w:rsidR="007F0AE0" w:rsidRPr="005762E6" w14:paraId="21C5288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F74549" w14:textId="77777777" w:rsidR="007F0AE0" w:rsidRPr="005762E6" w:rsidRDefault="007F0AE0" w:rsidP="00453DE3">
            <w:pPr>
              <w:spacing w:after="120" w:line="240" w:lineRule="auto"/>
              <w:contextualSpacing/>
              <w:rPr>
                <w:sz w:val="20"/>
                <w:szCs w:val="20"/>
              </w:rPr>
            </w:pPr>
            <w:r w:rsidRPr="005762E6">
              <w:rPr>
                <w:sz w:val="20"/>
                <w:szCs w:val="20"/>
              </w:rPr>
              <w:lastRenderedPageBreak/>
              <w:t>303</w:t>
            </w:r>
          </w:p>
        </w:tc>
        <w:tc>
          <w:tcPr>
            <w:tcW w:w="0" w:type="auto"/>
            <w:tcBorders>
              <w:top w:val="single" w:sz="6" w:space="0" w:color="auto"/>
              <w:left w:val="single" w:sz="6" w:space="0" w:color="auto"/>
              <w:bottom w:val="single" w:sz="6" w:space="0" w:color="auto"/>
              <w:right w:val="single" w:sz="6" w:space="0" w:color="auto"/>
            </w:tcBorders>
          </w:tcPr>
          <w:p w14:paraId="5E29C7E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E5CBB9" w14:textId="77777777" w:rsidR="007F0AE0" w:rsidRPr="005762E6" w:rsidRDefault="007F0AE0" w:rsidP="00453DE3">
            <w:pPr>
              <w:spacing w:after="120" w:line="240" w:lineRule="auto"/>
              <w:contextualSpacing/>
              <w:rPr>
                <w:sz w:val="20"/>
                <w:szCs w:val="20"/>
              </w:rPr>
            </w:pPr>
            <w:r w:rsidRPr="005762E6">
              <w:rPr>
                <w:sz w:val="20"/>
                <w:szCs w:val="20"/>
              </w:rPr>
              <w:t>Deirdre Lawrence,​ Brie Cadman,​ Allison C Hoffman Sensory properties of menthol and smoking topography.. Tobacco induced diseases; 2011;9 Suppl 1:S3.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Although there is a great deal known about menthol as a flavoring agent in foods and confections,​ less is known about the particular sensory properties of menthol cigarette smoke. Similarly,​ although smoking topography (the unique way an individual smokes a cigarette) has been well studied using non-menthol cigarettes,​ there is relatively less known about how menthol affects smoking behavior. The objective of this review is to assess the sensory properties of menthol tobacco smoke,​ and smoking topography associated with menthol cigarettes. The cooling,​ analgesic,​ taste,​ and respiratory effects of menthol are well established,​ and studies have indicated that menthol's sensory attributes can have an influence on the positive,​ or rewarding,​ properties associated smoking,​ including ratings of satisfaction,​ taste,​ perceived smoothness,​ and perceived irritation. Despite these sensory properties,​ the data regarding menthol's effect on smoking topography are inconsistent. Many of the topography studies have limitations due to various methodological issues.</w:t>
            </w:r>
          </w:p>
        </w:tc>
      </w:tr>
      <w:tr w:rsidR="007F0AE0" w:rsidRPr="005762E6" w14:paraId="25DD0C1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B0EFAE" w14:textId="77777777" w:rsidR="007F0AE0" w:rsidRPr="005762E6" w:rsidRDefault="007F0AE0" w:rsidP="00453DE3">
            <w:pPr>
              <w:spacing w:after="120" w:line="240" w:lineRule="auto"/>
              <w:contextualSpacing/>
              <w:rPr>
                <w:sz w:val="20"/>
                <w:szCs w:val="20"/>
              </w:rPr>
            </w:pPr>
            <w:r w:rsidRPr="005762E6">
              <w:rPr>
                <w:sz w:val="20"/>
                <w:szCs w:val="20"/>
              </w:rPr>
              <w:t>305</w:t>
            </w:r>
          </w:p>
        </w:tc>
        <w:tc>
          <w:tcPr>
            <w:tcW w:w="0" w:type="auto"/>
            <w:tcBorders>
              <w:top w:val="single" w:sz="6" w:space="0" w:color="auto"/>
              <w:left w:val="single" w:sz="6" w:space="0" w:color="auto"/>
              <w:bottom w:val="single" w:sz="6" w:space="0" w:color="auto"/>
              <w:right w:val="single" w:sz="6" w:space="0" w:color="auto"/>
            </w:tcBorders>
          </w:tcPr>
          <w:p w14:paraId="55E7ACD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3DFA581" w14:textId="77777777" w:rsidR="007F0AE0" w:rsidRPr="005762E6" w:rsidRDefault="007F0AE0" w:rsidP="00453DE3">
            <w:pPr>
              <w:spacing w:after="120" w:line="240" w:lineRule="auto"/>
              <w:contextualSpacing/>
              <w:rPr>
                <w:sz w:val="20"/>
                <w:szCs w:val="20"/>
              </w:rPr>
            </w:pPr>
            <w:r w:rsidRPr="005762E6">
              <w:rPr>
                <w:sz w:val="20"/>
                <w:szCs w:val="20"/>
              </w:rPr>
              <w:t>Ralph S Caraballo,​ Katherine Asman Epidemiology of menthol cigarette use in the United States.. Tobacco induced diseases; 2011;9 Suppl 1:S1.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Approximately one-fourth of all cigarettes sold in the United States have the descriptor "menthol" on the cigarette pack. It is important to determine what socio-demographic factors are associated with smoking menthol cigarettes if indeed these types of cigarettes are related to smoking initiation,​ higher exposure to smoke constituents,​ nicotine dependence,​ or reduced smoking cessation.,​ METHODS: The National Cancer Institute (NCI) conducted a review of the scientific literature on this topic which we completed by adding more recently published articles via PubMed. We also conducted further data analyses using the National Survey on Drug Use and Health,​ the National Youth Tobacco Survey,​ the Monitoring the Future Survey,​ and the National Health and Nutrition Examination Survey to provide up-to-date information on this topic.,​ RESULTS: Menthol cigarettes are disproportionately smoked by adolescents,​ blacks/African Americans,​ adult females,​ those living in the Northeast of the United States and those with family incomes lower than ,​000. Based on self-reports of menthol cigarette use,​ menthol cigarette use among smokers have increased from 2004 to 2008. However,​ no increase was observed during these years for predominantly menthol brands like NewportTM,​ Kool,​TM and SalemTM,​ however,​ this lack of significant trend may be due,​ at least in part,​ due to smaller numbers of smokers of specific brands or sub-brands,​ which provide estimates which are less precise.,​ CONCLUSION: Menthol cigarettes are disproportionately smoked by groups of U.S. cigarette smokers. It is likely that other disparities in menthol cigarette use exist that we have not covered or have not been studied yet.</w:t>
            </w:r>
          </w:p>
        </w:tc>
      </w:tr>
      <w:tr w:rsidR="007F0AE0" w:rsidRPr="005762E6" w14:paraId="698031F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24EFF3" w14:textId="77777777" w:rsidR="007F0AE0" w:rsidRPr="005762E6" w:rsidRDefault="007F0AE0" w:rsidP="00453DE3">
            <w:pPr>
              <w:spacing w:after="120" w:line="240" w:lineRule="auto"/>
              <w:contextualSpacing/>
              <w:rPr>
                <w:sz w:val="20"/>
                <w:szCs w:val="20"/>
              </w:rPr>
            </w:pPr>
            <w:r w:rsidRPr="005762E6">
              <w:rPr>
                <w:sz w:val="20"/>
                <w:szCs w:val="20"/>
              </w:rPr>
              <w:t>306</w:t>
            </w:r>
          </w:p>
        </w:tc>
        <w:tc>
          <w:tcPr>
            <w:tcW w:w="0" w:type="auto"/>
            <w:tcBorders>
              <w:top w:val="single" w:sz="6" w:space="0" w:color="auto"/>
              <w:left w:val="single" w:sz="6" w:space="0" w:color="auto"/>
              <w:bottom w:val="single" w:sz="6" w:space="0" w:color="auto"/>
              <w:right w:val="single" w:sz="6" w:space="0" w:color="auto"/>
            </w:tcBorders>
          </w:tcPr>
          <w:p w14:paraId="2015F5D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58564FF" w14:textId="77777777" w:rsidR="007F0AE0" w:rsidRPr="005762E6" w:rsidRDefault="007F0AE0" w:rsidP="00453DE3">
            <w:pPr>
              <w:spacing w:after="120" w:line="240" w:lineRule="auto"/>
              <w:contextualSpacing/>
              <w:rPr>
                <w:sz w:val="20"/>
                <w:szCs w:val="20"/>
              </w:rPr>
            </w:pPr>
            <w:r w:rsidRPr="005762E6">
              <w:rPr>
                <w:sz w:val="20"/>
                <w:szCs w:val="20"/>
              </w:rPr>
              <w:t>Allison C Hoffman Introduction: Mentholated cigarettes and public health.. Tobacco induced diseases; 2011;9 Suppl 1:I1.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35F458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0A0528" w14:textId="77777777" w:rsidR="007F0AE0" w:rsidRPr="005762E6" w:rsidRDefault="007F0AE0" w:rsidP="00453DE3">
            <w:pPr>
              <w:spacing w:after="120" w:line="240" w:lineRule="auto"/>
              <w:contextualSpacing/>
              <w:rPr>
                <w:sz w:val="20"/>
                <w:szCs w:val="20"/>
              </w:rPr>
            </w:pPr>
            <w:r w:rsidRPr="005762E6">
              <w:rPr>
                <w:sz w:val="20"/>
                <w:szCs w:val="20"/>
              </w:rPr>
              <w:t>311</w:t>
            </w:r>
          </w:p>
        </w:tc>
        <w:tc>
          <w:tcPr>
            <w:tcW w:w="0" w:type="auto"/>
            <w:tcBorders>
              <w:top w:val="single" w:sz="6" w:space="0" w:color="auto"/>
              <w:left w:val="single" w:sz="6" w:space="0" w:color="auto"/>
              <w:bottom w:val="single" w:sz="6" w:space="0" w:color="auto"/>
              <w:right w:val="single" w:sz="6" w:space="0" w:color="auto"/>
            </w:tcBorders>
          </w:tcPr>
          <w:p w14:paraId="7974B85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DD15966" w14:textId="77777777" w:rsidR="007F0AE0" w:rsidRPr="005762E6" w:rsidRDefault="007F0AE0" w:rsidP="00453DE3">
            <w:pPr>
              <w:spacing w:after="120" w:line="240" w:lineRule="auto"/>
              <w:contextualSpacing/>
              <w:rPr>
                <w:sz w:val="20"/>
                <w:szCs w:val="20"/>
              </w:rPr>
            </w:pPr>
            <w:r w:rsidRPr="005762E6">
              <w:rPr>
                <w:sz w:val="20"/>
                <w:szCs w:val="20"/>
              </w:rPr>
              <w:t>Eva O Hansen,​ Lars Arendt-Nielsen,​ Shellie A Boudreau A Comparison of Oral Sensory Effects of Three TRPA1 Agonists in Young Adult Smokers and Non-smokers.. Frontiers in physiology; 2017;8:663.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This study profiled intra-oral somatosensory and vasomotor responses to three different transient receptor potential (TRP) channels,​ subfamily A,​ member 1 (TRPA1) agonists (menthol,​ nicotine,​ and cinnamaldehyde) in smoking and non-smoking young adults. Healthy non-smokers (N = 30) and otherwise healthy smokers (N = 25) participated in a randomized,​ double-blinded,​ cross-over study consisting of three </w:t>
            </w:r>
            <w:r w:rsidRPr="005762E6">
              <w:rPr>
                <w:sz w:val="20"/>
                <w:szCs w:val="20"/>
              </w:rPr>
              <w:lastRenderedPageBreak/>
              <w:t>experimental sessions in which they received menthol (30 mg),​ nicotine (4 mg),​ or cinnamaldehyde (25 mg) chewing gum. Throughout a standardized 10 min chewing regime,​ burning,​ cooling,​ and irritation intensities,​ and location were recorded. In addition,​ blood pressure,​ heart rate and intra-oral temperature were assessed before,​ during,​ and after chewing. Basal intra-oral temperature was lower in smokers (35.2degreeC +/- 1.58) as compared to non-smokers (35.9degreeC +/- 1.61) [F(1,​ 52) = 8.5,​ P = 0.005,​ post hoc,​ p = 0.005]. However,​ the increase in temperature,​ heart rate,​ and blood pressure in response to chewing menthol,​ nicotine,​ and cinnamaldehyde gums were similar between smokers and non-smokers. Although smoking status did not influence the intensity of burning,​ cooling,​ and irritation,​ smokers did report nicotine burn more often (92%) than non-smokers (63%) [[Formula: see text] = 6.208,​ P = 0.013]. Reports of nicotine burn consistently occurred at the back of the throat and cinnamaldehyde burn on the tongue. The cooling sensation of menthol was more widely distributed in the mouth of non-smokers as compared to smokers. Smoking alters thermoregulation,​ somatosensory,​ and possibly TRPA1 receptor responsiveness and suggests that accumulated exposure of nicotine by way of cigarette smoke alters oral sensory and vasomotor sensitivity.</w:t>
            </w:r>
          </w:p>
        </w:tc>
      </w:tr>
      <w:tr w:rsidR="007F0AE0" w:rsidRPr="005762E6" w14:paraId="7B6CFB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FBB4C5" w14:textId="77777777" w:rsidR="007F0AE0" w:rsidRPr="005762E6" w:rsidRDefault="007F0AE0" w:rsidP="00453DE3">
            <w:pPr>
              <w:spacing w:after="120" w:line="240" w:lineRule="auto"/>
              <w:contextualSpacing/>
              <w:rPr>
                <w:sz w:val="20"/>
                <w:szCs w:val="20"/>
              </w:rPr>
            </w:pPr>
            <w:r w:rsidRPr="005762E6">
              <w:rPr>
                <w:sz w:val="20"/>
                <w:szCs w:val="20"/>
              </w:rPr>
              <w:lastRenderedPageBreak/>
              <w:t>313</w:t>
            </w:r>
          </w:p>
        </w:tc>
        <w:tc>
          <w:tcPr>
            <w:tcW w:w="0" w:type="auto"/>
            <w:tcBorders>
              <w:top w:val="single" w:sz="6" w:space="0" w:color="auto"/>
              <w:left w:val="single" w:sz="6" w:space="0" w:color="auto"/>
              <w:bottom w:val="single" w:sz="6" w:space="0" w:color="auto"/>
              <w:right w:val="single" w:sz="6" w:space="0" w:color="auto"/>
            </w:tcBorders>
          </w:tcPr>
          <w:p w14:paraId="1B52CA2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221F2D0" w14:textId="77777777" w:rsidR="007F0AE0" w:rsidRPr="005762E6" w:rsidRDefault="007F0AE0" w:rsidP="00453DE3">
            <w:pPr>
              <w:spacing w:after="120" w:line="240" w:lineRule="auto"/>
              <w:contextualSpacing/>
              <w:rPr>
                <w:sz w:val="20"/>
                <w:szCs w:val="20"/>
              </w:rPr>
            </w:pPr>
            <w:r w:rsidRPr="005762E6">
              <w:rPr>
                <w:sz w:val="20"/>
                <w:szCs w:val="20"/>
              </w:rPr>
              <w:t>An-Hsuan Lin,​ Meng-Han Liu,​ Hsin-Kuo B Ko,​ Diahn-Warng Perng,​ Tzong-Shyuan Lee,​ Yu Ru Kou Inflammatory Effects of Menthol vs. Non-menthol Cigarette Smoke Extract on Human Lung Epithelial Cells: A Double-Hit on TRPM8 by Reactive Oxygen Species and Menthol.. Frontiers in physiology; 2017;8:263.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Clinical studies suggest that smokers with chronic obstructive pulmonary disease who use menthol cigarettes may display more severe lung inflammation than those who smoke non-menthol cigarette. However,​ the mechanisms for this difference remain unclear. Menthol is a ligand of transient receptor potential melastatin-8 (TRPM8),​ a Ca2+-permeant channel sensitive to reactive oxygen species (ROS). We previously reported that exposure of human bronchial epithelial cells (HBECs) to non-menthol cigarette smoke extract (Non-M-CSE) triggers a cascade of inflammatory signaling leading to IL-8 induction. In this study,​ we used this in vitro model to compare the inflammatory effects of menthol cigarette smoke extract (M-CSE) and Non-M-CSE and delineate the mechanisms underlying the differences in their impacts. Compared with Non-M-CSE,​ M-CSE initially increased a similar level of extracellular ROS,​ suggesting the equivalent oxidant potency. However,​ M-CSE subsequently produced more remarkable elevations in intracellular Ca2+,​ activation of the mitogen-activated protein kinases (MAPKs)/nuclear factor-kappaB (NF-kappaB) signaling,​ and IL-8 induction. The extracellular ROS responses to both CSE types were totally inhibited by N-acetyl-cysteine (NAC; a ROS scavenger). The intracellular Ca2+ responses to both CSE types were also totally prevented by NAC,​ AMTB (a TRPM8 antagonist),​ or EGTA (an extracellular Ca2+ chelator). The activation of the MAPK/NF-kappaB signaling and induction of IL-8 to both CSE types were suppressed to similar levels by NAC,​ AMTB,​ or EGTA. These results suggest that,​ in addition to ROS generated by both CSE types,​ the menthol in M-CSE may act as another stimulus to further activate TRPM8 and induce the observed responses. We also found that menthol combined with Non-M-CSE induced greater responses of intracellular Ca2+ and IL-8 compared with Non-M-CSE alone. Moreover,​ we confirmed the essential role of TRPM8 in these responses to Non-M-CSE or M-CSE and the difference in these responses between the both CSE types using HBECs with TRPM8 knockdown and TRPM8 knockout,​ and using HEK293 cells transfected with hTRPM8. Thus,​ compared with exposure to Non-M-CSE,​ exposure to M-CSE induced greater TRPM8-mediated inflammatory responses in HBECs. These augmented effects may be due to a double-hit on lung epithelial TRPM8 by ROS generated from CSE and the menthol in M-CSE.</w:t>
            </w:r>
          </w:p>
        </w:tc>
      </w:tr>
      <w:tr w:rsidR="007F0AE0" w:rsidRPr="005762E6" w14:paraId="1C8CFF3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007EE2" w14:textId="77777777" w:rsidR="007F0AE0" w:rsidRPr="005762E6" w:rsidRDefault="007F0AE0" w:rsidP="00453DE3">
            <w:pPr>
              <w:spacing w:after="120" w:line="240" w:lineRule="auto"/>
              <w:contextualSpacing/>
              <w:rPr>
                <w:sz w:val="20"/>
                <w:szCs w:val="20"/>
              </w:rPr>
            </w:pPr>
            <w:r w:rsidRPr="005762E6">
              <w:rPr>
                <w:sz w:val="20"/>
                <w:szCs w:val="20"/>
              </w:rPr>
              <w:t>314</w:t>
            </w:r>
          </w:p>
        </w:tc>
        <w:tc>
          <w:tcPr>
            <w:tcW w:w="0" w:type="auto"/>
            <w:tcBorders>
              <w:top w:val="single" w:sz="6" w:space="0" w:color="auto"/>
              <w:left w:val="single" w:sz="6" w:space="0" w:color="auto"/>
              <w:bottom w:val="single" w:sz="6" w:space="0" w:color="auto"/>
              <w:right w:val="single" w:sz="6" w:space="0" w:color="auto"/>
            </w:tcBorders>
          </w:tcPr>
          <w:p w14:paraId="711065F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D24819C" w14:textId="77777777" w:rsidR="007F0AE0" w:rsidRPr="005762E6" w:rsidRDefault="007F0AE0" w:rsidP="00453DE3">
            <w:pPr>
              <w:spacing w:after="120" w:line="240" w:lineRule="auto"/>
              <w:contextualSpacing/>
              <w:rPr>
                <w:sz w:val="20"/>
                <w:szCs w:val="20"/>
              </w:rPr>
            </w:pPr>
            <w:r w:rsidRPr="005762E6">
              <w:rPr>
                <w:sz w:val="20"/>
                <w:szCs w:val="20"/>
              </w:rPr>
              <w:t>Cynthia Van Landingham,​ William Fuller,​ Greg Mariano,​ Kristin Marano,​ Geoffrey Curtin,​ Sandra I Sulsky Data on cardiovascular and pulmonary diseases among smokers of menthol and non-menthol cigarettes compiled from the National Health and Nutrition Examination Survey (NHANES),​ 1999-2012.. Data in brief; 2017;12:386.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This Data in Brief contains results from three different survey logistic regression models comparing risks of self-reported diagnoses of cardiovascular and pulmonary diseases among smokers of menthol and non-menthol cigarettes. Analyses employ data from National Health and Nutrition Examination Survey (NHANES) cycles administered between 1999 and 2012,​ combined and in subsets. Raw data may be downloaded from the National Center for Health Statistics. Results were not much affected by which covariates were included in the models,​ but depended strongly on the NHANES cycles included in the analysis. All three models returned </w:t>
            </w:r>
            <w:r w:rsidRPr="005762E6">
              <w:rPr>
                <w:sz w:val="20"/>
                <w:szCs w:val="20"/>
              </w:rPr>
              <w:lastRenderedPageBreak/>
              <w:t>elevated risk estimates for three endpoints when they were run in individual NHANES cycles (congestive heart failure in 2001-02; hypertension in 2003-04; and chronic obstructive pulmonary disease in 2005-06),​ and all three models returned null results for these endpoints when data from 1999-2012 were combined.</w:t>
            </w:r>
          </w:p>
        </w:tc>
      </w:tr>
      <w:tr w:rsidR="007F0AE0" w:rsidRPr="005762E6" w14:paraId="4A49A21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287829" w14:textId="77777777" w:rsidR="007F0AE0" w:rsidRPr="005762E6" w:rsidRDefault="007F0AE0" w:rsidP="00453DE3">
            <w:pPr>
              <w:spacing w:after="120" w:line="240" w:lineRule="auto"/>
              <w:contextualSpacing/>
              <w:rPr>
                <w:sz w:val="20"/>
                <w:szCs w:val="20"/>
              </w:rPr>
            </w:pPr>
            <w:r w:rsidRPr="005762E6">
              <w:rPr>
                <w:sz w:val="20"/>
                <w:szCs w:val="20"/>
              </w:rPr>
              <w:lastRenderedPageBreak/>
              <w:t>316</w:t>
            </w:r>
          </w:p>
        </w:tc>
        <w:tc>
          <w:tcPr>
            <w:tcW w:w="0" w:type="auto"/>
            <w:tcBorders>
              <w:top w:val="single" w:sz="6" w:space="0" w:color="auto"/>
              <w:left w:val="single" w:sz="6" w:space="0" w:color="auto"/>
              <w:bottom w:val="single" w:sz="6" w:space="0" w:color="auto"/>
              <w:right w:val="single" w:sz="6" w:space="0" w:color="auto"/>
            </w:tcBorders>
          </w:tcPr>
          <w:p w14:paraId="7396B52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7B08776" w14:textId="77777777" w:rsidR="007F0AE0" w:rsidRPr="005762E6" w:rsidRDefault="007F0AE0" w:rsidP="00453DE3">
            <w:pPr>
              <w:spacing w:after="120" w:line="240" w:lineRule="auto"/>
              <w:contextualSpacing/>
              <w:rPr>
                <w:sz w:val="20"/>
                <w:szCs w:val="20"/>
              </w:rPr>
            </w:pPr>
            <w:r w:rsidRPr="005762E6">
              <w:rPr>
                <w:sz w:val="20"/>
                <w:szCs w:val="20"/>
              </w:rPr>
              <w:t>Julia N Soulakova,​ Ryan R Danczak Impact of Menthol Smoking on Nicotine Dependence for Diverse Racial/Ethnic Groups of Daily Smokers.. Healthcare (Basel,​ Switzerland); 2017;5: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aims of this study were to evaluate whether menthol smoking and race/ethnicity are associated with nicotine dependence in daily smokers. Methods: The study used two subsamples of U.S. daily smokers who responded to the 2010-2011 Tobacco Use Supplement to the Current Population Survey. The larger subsample consisted of 18,​849 non-Hispanic White (NHW),​ non-Hispanic Black (NHB),​ and Hispanic (HISP) smokers. The smaller subsample consisted of 1112 non-Hispanic American Indian/Alaska Native (AIAN),​ non-Hispanic Asian (ASIAN),​ non-Hispanic Hawaiian/Pacific Islander (HPI),​ and non-Hispanic Multiracial (MULT) smokers. Results: For larger (smaller) groups the rates were 45% (33%) for heavy smoking (16+ cig/day),​ 59% (51%) for smoking within 30 min of awakening (Sw30),​ and 14% (14%) for night-smoking. Overall,​ the highest prevalence of menthol smoking corresponded to NHB and HPI (&gt;=65%),​ followed by MULT and HISP (31%-37%),​ and then by AIAN,​ NHW,​ and ASIAN (22%-27%) smokers. For larger racial/ethnic groups,​ menthol smoking was negatively associated with heavy smoking,​ not associated with Sw30,​ and positively associated with night-smoking. For smaller groups,​ menthol smoking was not associated with any measure,​ but the rates of heavy smoking,​ Sw30,​ and night-smoking varied across the groups. Conclusions: The diverse associations between menthol smoking and nicotine dependence maybe due to distinction among the nicotine dependence measures,​ i.e.,​ individually,​ each measure assesses a specific smoking behavior. Menthol smoking may be associated with promoting smoking behaviors.</w:t>
            </w:r>
          </w:p>
        </w:tc>
      </w:tr>
      <w:tr w:rsidR="007F0AE0" w:rsidRPr="005762E6" w14:paraId="25E18F9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DC3FAD" w14:textId="77777777" w:rsidR="007F0AE0" w:rsidRPr="005762E6" w:rsidRDefault="007F0AE0" w:rsidP="00453DE3">
            <w:pPr>
              <w:spacing w:after="120" w:line="240" w:lineRule="auto"/>
              <w:contextualSpacing/>
              <w:rPr>
                <w:sz w:val="20"/>
                <w:szCs w:val="20"/>
              </w:rPr>
            </w:pPr>
            <w:r w:rsidRPr="005762E6">
              <w:rPr>
                <w:sz w:val="20"/>
                <w:szCs w:val="20"/>
              </w:rPr>
              <w:t>320</w:t>
            </w:r>
          </w:p>
        </w:tc>
        <w:tc>
          <w:tcPr>
            <w:tcW w:w="0" w:type="auto"/>
            <w:tcBorders>
              <w:top w:val="single" w:sz="6" w:space="0" w:color="auto"/>
              <w:left w:val="single" w:sz="6" w:space="0" w:color="auto"/>
              <w:bottom w:val="single" w:sz="6" w:space="0" w:color="auto"/>
              <w:right w:val="single" w:sz="6" w:space="0" w:color="auto"/>
            </w:tcBorders>
          </w:tcPr>
          <w:p w14:paraId="6D8371D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B416F5" w14:textId="77777777" w:rsidR="007F0AE0" w:rsidRPr="005762E6" w:rsidRDefault="007F0AE0" w:rsidP="00453DE3">
            <w:pPr>
              <w:spacing w:after="120" w:line="240" w:lineRule="auto"/>
              <w:contextualSpacing/>
              <w:rPr>
                <w:sz w:val="20"/>
                <w:szCs w:val="20"/>
              </w:rPr>
            </w:pPr>
            <w:r w:rsidRPr="005762E6">
              <w:rPr>
                <w:sz w:val="20"/>
                <w:szCs w:val="20"/>
              </w:rPr>
              <w:t>Jeff Stier Even anti-tobacco studies must be held to basic scientific standards. A response to: Smoking intensity and intent to continue smoking among menthol and non-menthol adolescent smokers in Canada.. Cancer causes &amp; control : CCC; 2015;26:1053.</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73B3EB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4E84D9" w14:textId="77777777" w:rsidR="007F0AE0" w:rsidRPr="005762E6" w:rsidRDefault="007F0AE0" w:rsidP="00453DE3">
            <w:pPr>
              <w:spacing w:after="120" w:line="240" w:lineRule="auto"/>
              <w:contextualSpacing/>
              <w:rPr>
                <w:sz w:val="20"/>
                <w:szCs w:val="20"/>
              </w:rPr>
            </w:pPr>
            <w:r w:rsidRPr="005762E6">
              <w:rPr>
                <w:sz w:val="20"/>
                <w:szCs w:val="20"/>
              </w:rPr>
              <w:t>322</w:t>
            </w:r>
          </w:p>
        </w:tc>
        <w:tc>
          <w:tcPr>
            <w:tcW w:w="0" w:type="auto"/>
            <w:tcBorders>
              <w:top w:val="single" w:sz="6" w:space="0" w:color="auto"/>
              <w:left w:val="single" w:sz="6" w:space="0" w:color="auto"/>
              <w:bottom w:val="single" w:sz="6" w:space="0" w:color="auto"/>
              <w:right w:val="single" w:sz="6" w:space="0" w:color="auto"/>
            </w:tcBorders>
          </w:tcPr>
          <w:p w14:paraId="344B4F6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830E7D9" w14:textId="77777777" w:rsidR="007F0AE0" w:rsidRPr="005762E6" w:rsidRDefault="007F0AE0" w:rsidP="00453DE3">
            <w:pPr>
              <w:spacing w:after="120" w:line="240" w:lineRule="auto"/>
              <w:contextualSpacing/>
              <w:rPr>
                <w:sz w:val="20"/>
                <w:szCs w:val="20"/>
              </w:rPr>
            </w:pPr>
            <w:r w:rsidRPr="005762E6">
              <w:rPr>
                <w:sz w:val="20"/>
                <w:szCs w:val="20"/>
              </w:rPr>
              <w:t>Md Mizanur Rahman,​ Mohd Taha Arif,​ Mohd Fadzillah Abd Razak,​ Mohd Raili Bin Suhaili,​ Zainab Tambi,​ Clifton Akoi,​ Deburra Peak Ngadan Does menthol-brand cigarette initiate early smoking? Evidence from a cross sectional study in sarawak,​ malaysia. Iranian journal of public health; 2014;43:385.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624D43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E27009" w14:textId="77777777" w:rsidR="007F0AE0" w:rsidRPr="005762E6" w:rsidRDefault="007F0AE0" w:rsidP="00453DE3">
            <w:pPr>
              <w:spacing w:after="120" w:line="240" w:lineRule="auto"/>
              <w:contextualSpacing/>
              <w:rPr>
                <w:sz w:val="20"/>
                <w:szCs w:val="20"/>
              </w:rPr>
            </w:pPr>
            <w:r w:rsidRPr="005762E6">
              <w:rPr>
                <w:sz w:val="20"/>
                <w:szCs w:val="20"/>
              </w:rPr>
              <w:t>324</w:t>
            </w:r>
          </w:p>
        </w:tc>
        <w:tc>
          <w:tcPr>
            <w:tcW w:w="0" w:type="auto"/>
            <w:tcBorders>
              <w:top w:val="single" w:sz="6" w:space="0" w:color="auto"/>
              <w:left w:val="single" w:sz="6" w:space="0" w:color="auto"/>
              <w:bottom w:val="single" w:sz="6" w:space="0" w:color="auto"/>
              <w:right w:val="single" w:sz="6" w:space="0" w:color="auto"/>
            </w:tcBorders>
          </w:tcPr>
          <w:p w14:paraId="47F0FCE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224E5C" w14:textId="77777777" w:rsidR="007F0AE0" w:rsidRPr="005762E6" w:rsidRDefault="007F0AE0" w:rsidP="00453DE3">
            <w:pPr>
              <w:spacing w:after="120" w:line="240" w:lineRule="auto"/>
              <w:contextualSpacing/>
              <w:rPr>
                <w:sz w:val="20"/>
                <w:szCs w:val="20"/>
              </w:rPr>
            </w:pPr>
            <w:r w:rsidRPr="005762E6">
              <w:rPr>
                <w:sz w:val="20"/>
                <w:szCs w:val="20"/>
              </w:rPr>
              <w:t>Nadine Kabbani Not so Cool? Menthol's discovered actions on the nicotinic receptor and its implications for nicotine addiction.. Frontiers in pharmacology; 2013;4:95.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Nicotine cigarette smoke is a large public health burden worldwide,​ contributing to various types of disease. Anti-tobacco media campaigns and control programs have significantly reduced smoking in the United States,​ yet trends for menthol cigarette smoking have not been as promising. Menthol cigarette smoking is particularly prevalent among young adults and African Americans,​ with implications for long-term impacts on health care. Continuing high rates of menthol cigarette addiction call into question the role of menthol in nicotine addiction. To date,​ a biological basis for the high rate of addiction and relapse among menthol cigarette smokers has not been defined. Studies have demonstrated a role for menthol in the metabolism of nicotine in the body. More recent findings now reveal an interaction between menthol and the nicotinic acetylcholine (nACh) receptor in cells. This receptor is central to the actions of nicotine in the brain,​ and plays an important role in nicotine addiction. The newly discovered effect of menthol on nACh receptors may begin to explain the unique addictive properties of menthol cigarettes.</w:t>
            </w:r>
          </w:p>
        </w:tc>
      </w:tr>
      <w:tr w:rsidR="007F0AE0" w:rsidRPr="005762E6" w14:paraId="5ABF278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EF50E6" w14:textId="77777777" w:rsidR="007F0AE0" w:rsidRPr="005762E6" w:rsidRDefault="007F0AE0" w:rsidP="00453DE3">
            <w:pPr>
              <w:spacing w:after="120" w:line="240" w:lineRule="auto"/>
              <w:contextualSpacing/>
              <w:rPr>
                <w:sz w:val="20"/>
                <w:szCs w:val="20"/>
              </w:rPr>
            </w:pPr>
            <w:r w:rsidRPr="005762E6">
              <w:rPr>
                <w:sz w:val="20"/>
                <w:szCs w:val="20"/>
              </w:rPr>
              <w:lastRenderedPageBreak/>
              <w:t>327</w:t>
            </w:r>
          </w:p>
        </w:tc>
        <w:tc>
          <w:tcPr>
            <w:tcW w:w="0" w:type="auto"/>
            <w:tcBorders>
              <w:top w:val="single" w:sz="6" w:space="0" w:color="auto"/>
              <w:left w:val="single" w:sz="6" w:space="0" w:color="auto"/>
              <w:bottom w:val="single" w:sz="6" w:space="0" w:color="auto"/>
              <w:right w:val="single" w:sz="6" w:space="0" w:color="auto"/>
            </w:tcBorders>
          </w:tcPr>
          <w:p w14:paraId="40FF7A7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40B260B" w14:textId="77777777" w:rsidR="007F0AE0" w:rsidRPr="005762E6" w:rsidRDefault="007F0AE0" w:rsidP="00453DE3">
            <w:pPr>
              <w:spacing w:after="120" w:line="240" w:lineRule="auto"/>
              <w:contextualSpacing/>
              <w:rPr>
                <w:sz w:val="20"/>
                <w:szCs w:val="20"/>
              </w:rPr>
            </w:pPr>
            <w:r w:rsidRPr="005762E6">
              <w:rPr>
                <w:sz w:val="20"/>
                <w:szCs w:val="20"/>
              </w:rPr>
              <w:t>Allison M Schmidt,​ Sarah D Kowitt,​ Allison E Myers,​ Adam O Goldstein Attitudes towards Potential New Tobacco Control Regulations among U.S. Adults.. International journal of environmental research and public health; 2018;15:</w:t>
            </w:r>
            <w:r w:rsidRPr="005762E6">
              <w:rPr>
                <w:sz w:val="20"/>
                <w:szCs w:val="20"/>
              </w:rPr>
              <w:br/>
            </w:r>
            <w:r w:rsidRPr="005762E6">
              <w:rPr>
                <w:sz w:val="20"/>
                <w:szCs w:val="20"/>
              </w:rPr>
              <w:br/>
            </w:r>
            <w:r w:rsidRPr="005762E6">
              <w:rPr>
                <w:b/>
                <w:bCs/>
                <w:sz w:val="20"/>
                <w:szCs w:val="20"/>
              </w:rPr>
              <w:t>Keywords:</w:t>
            </w:r>
            <w:r w:rsidRPr="005762E6">
              <w:rPr>
                <w:sz w:val="20"/>
                <w:szCs w:val="20"/>
              </w:rPr>
              <w:br/>
              <w:t>Adult,​Aged,​Aged,​ 80 and over,​Electronic Nicotine Delivery Systems,​Female,​*Health Knowledge,​ Attitudes,​ Practice,​Health Surveys,​Humans,​*Legislation as Topic,​Male,​Middle Aged,​Public Policy,​*Smoking/lj [Legislation &amp; Jurisprudence],​*Smoking Prevention/mt [Methods],​*Tobacco/ae [Adverse Effects],​*Tobacco Products/ae [Adverse Effects],​United States,​*United States Food and Drug Administration/lj [Legislation &amp; Jurisprudence],​Young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Favorable attitudes towards tobacco control policies can facilitate their implementation and success. We examined attitudes toward four potential U.S. Federal tobacco regulations (banning menthol from cigarettes,​ reducing nicotine levels in cigarettes,​ banning candy and fruit flavored electronic cigarettes,​ and banning candy and fruit flavored little cigars and cigarillos) and associations with individual and state variables. A nationally representative phone survey of 4337 adults assessed attitudes toward potential policies. Weighted logistic regression was used to assess relationships between attitudes and demographic factors,​ smoking behavior,​ beliefs about the government (knowledge,​ trust,​ and credibility),​ exposure to tobacco control campaigns,​ and state variables from the US Centers for Disease Control and Prevention (CDC) State Tobacco Activities Tracking and Evaluation (STATE) System. Most respondents supported three out of four policies. Respondents that were female,​ non-white,​ Latino,​ living below the poverty line,​ had less than high school education,​ were of older age,​ did not smoke,​ had higher trust in government,​ and were exposed to national tobacco control campaigns had higher odds of expressing favorable attitudes toward potential new tobacco regulations than did their counterparts. No state-level effects were found. While differences in attitudes were observed by individual demographic characteristics,​ behaviors,​ and beliefs,​ a majority of participants supported most of the potential new tobacco regulations surveyed.</w:t>
            </w:r>
          </w:p>
        </w:tc>
      </w:tr>
      <w:tr w:rsidR="007F0AE0" w:rsidRPr="005762E6" w14:paraId="298BCEA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5CFE7F" w14:textId="77777777" w:rsidR="007F0AE0" w:rsidRPr="005762E6" w:rsidRDefault="007F0AE0" w:rsidP="00453DE3">
            <w:pPr>
              <w:spacing w:after="120" w:line="240" w:lineRule="auto"/>
              <w:contextualSpacing/>
              <w:rPr>
                <w:sz w:val="20"/>
                <w:szCs w:val="20"/>
              </w:rPr>
            </w:pPr>
            <w:r w:rsidRPr="005762E6">
              <w:rPr>
                <w:sz w:val="20"/>
                <w:szCs w:val="20"/>
              </w:rPr>
              <w:t>329</w:t>
            </w:r>
          </w:p>
        </w:tc>
        <w:tc>
          <w:tcPr>
            <w:tcW w:w="0" w:type="auto"/>
            <w:tcBorders>
              <w:top w:val="single" w:sz="6" w:space="0" w:color="auto"/>
              <w:left w:val="single" w:sz="6" w:space="0" w:color="auto"/>
              <w:bottom w:val="single" w:sz="6" w:space="0" w:color="auto"/>
              <w:right w:val="single" w:sz="6" w:space="0" w:color="auto"/>
            </w:tcBorders>
          </w:tcPr>
          <w:p w14:paraId="749C49C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AC6D951" w14:textId="77777777" w:rsidR="007F0AE0" w:rsidRPr="005762E6" w:rsidRDefault="007F0AE0" w:rsidP="00453DE3">
            <w:pPr>
              <w:spacing w:after="120" w:line="240" w:lineRule="auto"/>
              <w:contextualSpacing/>
              <w:rPr>
                <w:sz w:val="20"/>
                <w:szCs w:val="20"/>
              </w:rPr>
            </w:pPr>
            <w:r w:rsidRPr="005762E6">
              <w:rPr>
                <w:sz w:val="20"/>
                <w:szCs w:val="20"/>
              </w:rPr>
              <w:t>Ruth E Malone It's the 21st century: isn't it past time to ban menthol cigarette sales?.. Tobacco control; 2017;26:359.</w:t>
            </w:r>
            <w:r w:rsidRPr="005762E6">
              <w:rPr>
                <w:sz w:val="20"/>
                <w:szCs w:val="20"/>
              </w:rPr>
              <w:br/>
            </w:r>
            <w:r w:rsidRPr="005762E6">
              <w:rPr>
                <w:sz w:val="20"/>
                <w:szCs w:val="20"/>
              </w:rPr>
              <w:br/>
            </w:r>
            <w:r w:rsidRPr="005762E6">
              <w:rPr>
                <w:b/>
                <w:bCs/>
                <w:sz w:val="20"/>
                <w:szCs w:val="20"/>
              </w:rPr>
              <w:t>Keywords:</w:t>
            </w:r>
            <w:r w:rsidRPr="005762E6">
              <w:rPr>
                <w:sz w:val="20"/>
                <w:szCs w:val="20"/>
              </w:rPr>
              <w:br/>
              <w:t>*Commerce/lj [Legislation &amp; Jurisprudence],​Humans,​*Menthol/ae [Adverse Effects],​*Tobacco Industry/lj [Legislation &amp; Jurisprudence],​*Tobacco Products/ae [Adverse Effects]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96ED25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845294" w14:textId="77777777" w:rsidR="007F0AE0" w:rsidRPr="005762E6" w:rsidRDefault="007F0AE0" w:rsidP="00453DE3">
            <w:pPr>
              <w:spacing w:after="120" w:line="240" w:lineRule="auto"/>
              <w:contextualSpacing/>
              <w:rPr>
                <w:sz w:val="20"/>
                <w:szCs w:val="20"/>
              </w:rPr>
            </w:pPr>
            <w:r w:rsidRPr="005762E6">
              <w:rPr>
                <w:sz w:val="20"/>
                <w:szCs w:val="20"/>
              </w:rPr>
              <w:t>335</w:t>
            </w:r>
          </w:p>
        </w:tc>
        <w:tc>
          <w:tcPr>
            <w:tcW w:w="0" w:type="auto"/>
            <w:tcBorders>
              <w:top w:val="single" w:sz="6" w:space="0" w:color="auto"/>
              <w:left w:val="single" w:sz="6" w:space="0" w:color="auto"/>
              <w:bottom w:val="single" w:sz="6" w:space="0" w:color="auto"/>
              <w:right w:val="single" w:sz="6" w:space="0" w:color="auto"/>
            </w:tcBorders>
          </w:tcPr>
          <w:p w14:paraId="3660FD8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1EA6D45" w14:textId="77777777" w:rsidR="007F0AE0" w:rsidRPr="005762E6" w:rsidRDefault="007F0AE0" w:rsidP="00453DE3">
            <w:pPr>
              <w:spacing w:after="120" w:line="240" w:lineRule="auto"/>
              <w:contextualSpacing/>
              <w:rPr>
                <w:sz w:val="20"/>
                <w:szCs w:val="20"/>
              </w:rPr>
            </w:pPr>
            <w:r w:rsidRPr="005762E6">
              <w:rPr>
                <w:sz w:val="20"/>
                <w:szCs w:val="20"/>
              </w:rPr>
              <w:t>Jennifer Brown,​ Teresa DeAtley,​ Kevin Welding,​ Robert Schwartz,​ Michael Chaiton,​ Deirdre Lawrence Kittner,​ Joanna E Cohen Tobacco industry response to menthol cigarette bans in Alberta and Nova Scotia,​ Canada.. Tobacco control; 2017;26:e71.</w:t>
            </w:r>
            <w:r w:rsidRPr="005762E6">
              <w:rPr>
                <w:sz w:val="20"/>
                <w:szCs w:val="20"/>
              </w:rPr>
              <w:br/>
            </w:r>
            <w:r w:rsidRPr="005762E6">
              <w:rPr>
                <w:sz w:val="20"/>
                <w:szCs w:val="20"/>
              </w:rPr>
              <w:br/>
            </w:r>
            <w:r w:rsidRPr="005762E6">
              <w:rPr>
                <w:b/>
                <w:bCs/>
                <w:sz w:val="20"/>
                <w:szCs w:val="20"/>
              </w:rPr>
              <w:t>Keywords:</w:t>
            </w:r>
            <w:r w:rsidRPr="005762E6">
              <w:rPr>
                <w:sz w:val="20"/>
                <w:szCs w:val="20"/>
              </w:rPr>
              <w:br/>
              <w:t>Alberta,​Humans,​*Marketing,​*Menthol,​Nova Scotia,​Product Packaging,​*Tobacco Industry/lj [Legislation &amp; Jurisprudence],​Tobacco Industry/mt [Methods],​*Tobacco Products/lj [Legislation &amp; Jurisprudence],​*Tobacco Smoking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5028DC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896C58" w14:textId="77777777" w:rsidR="007F0AE0" w:rsidRPr="005762E6" w:rsidRDefault="007F0AE0" w:rsidP="00453DE3">
            <w:pPr>
              <w:spacing w:after="120" w:line="240" w:lineRule="auto"/>
              <w:contextualSpacing/>
              <w:rPr>
                <w:sz w:val="20"/>
                <w:szCs w:val="20"/>
              </w:rPr>
            </w:pPr>
            <w:r w:rsidRPr="005762E6">
              <w:rPr>
                <w:sz w:val="20"/>
                <w:szCs w:val="20"/>
              </w:rPr>
              <w:t>340</w:t>
            </w:r>
          </w:p>
        </w:tc>
        <w:tc>
          <w:tcPr>
            <w:tcW w:w="0" w:type="auto"/>
            <w:tcBorders>
              <w:top w:val="single" w:sz="6" w:space="0" w:color="auto"/>
              <w:left w:val="single" w:sz="6" w:space="0" w:color="auto"/>
              <w:bottom w:val="single" w:sz="6" w:space="0" w:color="auto"/>
              <w:right w:val="single" w:sz="6" w:space="0" w:color="auto"/>
            </w:tcBorders>
          </w:tcPr>
          <w:p w14:paraId="320E19A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FBD40B" w14:textId="77777777" w:rsidR="007F0AE0" w:rsidRPr="005762E6" w:rsidRDefault="007F0AE0" w:rsidP="00453DE3">
            <w:pPr>
              <w:spacing w:after="120" w:line="240" w:lineRule="auto"/>
              <w:contextualSpacing/>
              <w:rPr>
                <w:sz w:val="20"/>
                <w:szCs w:val="20"/>
              </w:rPr>
            </w:pPr>
            <w:r w:rsidRPr="005762E6">
              <w:rPr>
                <w:sz w:val="20"/>
                <w:szCs w:val="20"/>
              </w:rPr>
              <w:t>Mathilde Marchand,​ Patrick Brossard,​ Henri Merdjan,​ Nicola Lama,​ Rolf Weitkunat,​ Frank Ludicke Nicotine Population Pharmacokinetics in Healthy Adult Smokers: A Retrospective Analysis.. European journal of drug metabolism and pharmacokinetics; 2017;42:943.</w:t>
            </w:r>
            <w:r w:rsidRPr="005762E6">
              <w:rPr>
                <w:sz w:val="20"/>
                <w:szCs w:val="20"/>
              </w:rPr>
              <w:br/>
            </w:r>
            <w:r w:rsidRPr="005762E6">
              <w:rPr>
                <w:sz w:val="20"/>
                <w:szCs w:val="20"/>
              </w:rPr>
              <w:br/>
            </w:r>
            <w:r w:rsidRPr="005762E6">
              <w:rPr>
                <w:b/>
                <w:bCs/>
                <w:sz w:val="20"/>
                <w:szCs w:val="20"/>
              </w:rPr>
              <w:t>Keywords:</w:t>
            </w:r>
            <w:r w:rsidRPr="005762E6">
              <w:rPr>
                <w:sz w:val="20"/>
                <w:szCs w:val="20"/>
              </w:rPr>
              <w:br/>
              <w:t>Administration,​ Inhalation,​Administration,​ Intranasal,​Administration,​ Oral,​Adult,​Aged,​Biological Availability,​Female,​Humans,​Male,​Middle Aged,​Models,​ Biological,​Nicotine/ad [Administration &amp; Dosage],​*Nicotine/pk [Pharmacokinetics],​Nicotine Chewing Gum,​*Randomized Controlled Trials as Topic/sn [Statistics &amp; Numerical Data],​Retrospective Studies,​Sex Factors,​*Smokers,​Young Adult</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BACKGROUND AND OBJECTIVE: Characterizing nicotine pharmacokinetics is challenging in the presence of background exposure. We performed a combined retrospective population pharmacokinetic analysis of 8 trials,​ including exposure to Tobacco Heating System and cigarettes (both inhaled),​ nicotine nasal spray and oral nicotine gum.,​ METHOD: Data from 4 single product use trials were used to develop a population pharmacokinetic model with Phoenix NLMETM and to derive exposure parameters. Data from 4 separate ad libitum use studies were used for external validation. A total of 702 healthy adult smokers (54% males; 21-66 years of age; smoking &gt;=10 cigarettes/day; from US,​ Europe and Japan) were eligible for participation.,​ RESULTS: Two-compartment linear disposition combined with zero-order absorption model was adequate to describe nicotine pharmacokinetics,​ and a mono-exponentially decreasing background component was utilized to account for nicotine carry-over effects. Apparent nicotine clearance was typically 0.407 L/min in males and 26% higher in females (68% inter-individual variability). Bioavailability was product-specific,​ decreased with increasing nicotine ISO yield,​ and increased with increasing body weight. Absorption duration was apparently prolonged with nicotine gum. The typical initial and terminal half-lives were 1.35 and 17 h,​ respectively. The presence of menthol did not impact the determinants of the area under the curve. The model adequately described the external validation data.,​ CONCLUSIONS: The population model was able to describe in different populations the nicotine pharmacokinetics after single product use and after 4 days of ad libitum use of Tobacco Heating System,​ cigarettes,​ and of different nicotine replacement therapies with various routes of administration.</w:t>
            </w:r>
          </w:p>
        </w:tc>
      </w:tr>
      <w:tr w:rsidR="007F0AE0" w:rsidRPr="005762E6" w14:paraId="31BCEE7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06C937" w14:textId="77777777" w:rsidR="007F0AE0" w:rsidRPr="005762E6" w:rsidRDefault="007F0AE0" w:rsidP="00453DE3">
            <w:pPr>
              <w:spacing w:after="120" w:line="240" w:lineRule="auto"/>
              <w:contextualSpacing/>
              <w:rPr>
                <w:sz w:val="20"/>
                <w:szCs w:val="20"/>
              </w:rPr>
            </w:pPr>
            <w:r w:rsidRPr="005762E6">
              <w:rPr>
                <w:sz w:val="20"/>
                <w:szCs w:val="20"/>
              </w:rPr>
              <w:lastRenderedPageBreak/>
              <w:t>341</w:t>
            </w:r>
          </w:p>
        </w:tc>
        <w:tc>
          <w:tcPr>
            <w:tcW w:w="0" w:type="auto"/>
            <w:tcBorders>
              <w:top w:val="single" w:sz="6" w:space="0" w:color="auto"/>
              <w:left w:val="single" w:sz="6" w:space="0" w:color="auto"/>
              <w:bottom w:val="single" w:sz="6" w:space="0" w:color="auto"/>
              <w:right w:val="single" w:sz="6" w:space="0" w:color="auto"/>
            </w:tcBorders>
          </w:tcPr>
          <w:p w14:paraId="0562115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E40A9C0" w14:textId="77777777" w:rsidR="007F0AE0" w:rsidRPr="005762E6" w:rsidRDefault="007F0AE0" w:rsidP="00453DE3">
            <w:pPr>
              <w:spacing w:after="120" w:line="240" w:lineRule="auto"/>
              <w:contextualSpacing/>
              <w:rPr>
                <w:sz w:val="20"/>
                <w:szCs w:val="20"/>
              </w:rPr>
            </w:pPr>
            <w:r w:rsidRPr="005762E6">
              <w:rPr>
                <w:sz w:val="20"/>
                <w:szCs w:val="20"/>
              </w:rPr>
              <w:t>Jessica M Rath,​ Andrea C Villanti,​ Valerie F Williams,​ Amanda Richardson,​ Jennifer L Pearson,​ Donna M Vallone Correlates of current menthol cigarette and flavored other tobacco product use among U.S. young adults.. Addictive behaviors; 2016;62:35.</w:t>
            </w:r>
            <w:r w:rsidRPr="005762E6">
              <w:rPr>
                <w:sz w:val="20"/>
                <w:szCs w:val="20"/>
              </w:rPr>
              <w:br/>
            </w:r>
            <w:r w:rsidRPr="005762E6">
              <w:rPr>
                <w:sz w:val="20"/>
                <w:szCs w:val="20"/>
              </w:rPr>
              <w:br/>
            </w:r>
            <w:r w:rsidRPr="005762E6">
              <w:rPr>
                <w:b/>
                <w:bCs/>
                <w:sz w:val="20"/>
                <w:szCs w:val="20"/>
              </w:rPr>
              <w:t>Keywords:</w:t>
            </w:r>
            <w:r w:rsidRPr="005762E6">
              <w:rPr>
                <w:sz w:val="20"/>
                <w:szCs w:val="20"/>
              </w:rPr>
              <w:br/>
              <w:t>Adult,​Age Distribution,​Cigarette Smoking/ep [Epidemiology],​Electronic Nicotine Delivery Systems/sn [Statistics &amp; Numerical Data],​Female,​*Flavoring Agents,​Humans,​Male,​*Menthol,​Risk Factors,​Sex Distribution,​Smoke-Free Policy,​Smoking Pipes/ut [Utilization],​*Tobacco Products/ut [Utilization],​United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Flavored and menthol tobacco products are particularly appealing to young adults. However,​ little is known about factors associated with their use in this population.,​ PURPOSE: To examine characteristics associated with using menthol cigarettes,​ flavored other tobacco products (OTP),​ and flavored e-cigarettes among young adults.,​ METHODS: Using a nationally representative online sample of young adults (n=4239) from the Truth Initiative Young Adult Cohort Study,​ mutually exclusive groups were created from the subset of current tobacco users (N=1037) for users of menthol cigarettes (N=311; 30%),​ non-menthol cigarettes (N=426; 41%),​ flavored OTP only users (N=114; 11%),​ and non-flavored OTP only users (N=186; 18%) to examine factors of being in any one group. Data were collected in July 2012.,​ RESULTS: In the full multivariable model,​ significant correlates of current menthol cigarette use were female gender (AOR=2.08),​ Black race (AOR=5.31),​ other race (AOR=2.72),​ Hispanic ethnicity (AOR=2.46) and self-identifying as a smoker,​ social smoker,​ or occasional smoker (AOR=10.42). Significant correlates of current flavored OTP use were younger age (18-24; AOR=3.50),​ self-identifying as a smoker,​ social smoker,​ or occasional smoker (AOR=30) and generalized anxiety (AOR=0.30).,​ CONCLUSIONS: This study highlights female gender,​ Blacks/other race/Hispanics,​ smokers,​ social smokers and sexual minorities as correlates of menthol cigarette use and younger age as a predictor of flavored OTP use. Restricting access to flavored tobacco products may be one intervention to help slow the tobacco epidemic,​ particularly among many of the most vulnerable groups-young women and racial and/or ethnic minorities. Copyright © 2016 The Authors. Published by Elsevier Ltd.. All rights reserved.</w:t>
            </w:r>
          </w:p>
        </w:tc>
      </w:tr>
      <w:tr w:rsidR="007F0AE0" w:rsidRPr="005762E6" w14:paraId="2B85A1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15ECAE" w14:textId="77777777" w:rsidR="007F0AE0" w:rsidRPr="005762E6" w:rsidRDefault="007F0AE0" w:rsidP="00453DE3">
            <w:pPr>
              <w:spacing w:after="120" w:line="240" w:lineRule="auto"/>
              <w:contextualSpacing/>
              <w:rPr>
                <w:sz w:val="20"/>
                <w:szCs w:val="20"/>
              </w:rPr>
            </w:pPr>
            <w:r w:rsidRPr="005762E6">
              <w:rPr>
                <w:sz w:val="20"/>
                <w:szCs w:val="20"/>
              </w:rPr>
              <w:t>342</w:t>
            </w:r>
          </w:p>
        </w:tc>
        <w:tc>
          <w:tcPr>
            <w:tcW w:w="0" w:type="auto"/>
            <w:tcBorders>
              <w:top w:val="single" w:sz="6" w:space="0" w:color="auto"/>
              <w:left w:val="single" w:sz="6" w:space="0" w:color="auto"/>
              <w:bottom w:val="single" w:sz="6" w:space="0" w:color="auto"/>
              <w:right w:val="single" w:sz="6" w:space="0" w:color="auto"/>
            </w:tcBorders>
          </w:tcPr>
          <w:p w14:paraId="3C259CB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9F8DEBD" w14:textId="77777777" w:rsidR="007F0AE0" w:rsidRPr="005762E6" w:rsidRDefault="007F0AE0" w:rsidP="00453DE3">
            <w:pPr>
              <w:spacing w:after="120" w:line="240" w:lineRule="auto"/>
              <w:contextualSpacing/>
              <w:rPr>
                <w:sz w:val="20"/>
                <w:szCs w:val="20"/>
              </w:rPr>
            </w:pPr>
            <w:r w:rsidRPr="005762E6">
              <w:rPr>
                <w:sz w:val="20"/>
                <w:szCs w:val="20"/>
              </w:rPr>
              <w:t>Brandon J Henderson,​ Teagan R Wall,​ Beverley M Henley,​ Charlene H Kim,​ Sheri McKinney,​ Henry A Lester Menthol Enhances Nicotine Reward-Related Behavior by Potentiating Nicotine-Induced Changes in nAChR Function,​ nAChR Upregulation,​ and DA Neuron Excitability.. Neuropsychopharmacology : official publication of the American College of Neuropsychopharmacology; 2017;42:2285.</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Action Potentials/de [Drug Effects],​Action Potentials/ph [Physiology],​Animals,​Cell Line,​Dopaminergic Neurons/de [Drug Effects],​*Dopaminergic Neurons/ph [Physiology],​Dose-Response Relationship,​ Drug,​Drug Synergism,​*Menthol/ad [Administration &amp; Dosage],​Mesencephalon/cy [Cytology],​Mesencephalon/de [Drug Effects],​Mesencephalon/ph [Physiology],​Mice,​Mice,​ Inbred C57BL,​Mice,​ Transgenic,​*Nicotine/ad [Administration &amp; </w:t>
            </w:r>
            <w:r w:rsidRPr="005762E6">
              <w:rPr>
                <w:sz w:val="20"/>
                <w:szCs w:val="20"/>
              </w:rPr>
              <w:lastRenderedPageBreak/>
              <w:t>Dosage],​Organ Culture Techniques,​*Receptors,​ Nicotinic/ph [Physiology],​*Reward,​Up-Regulation/de [Drug Effects],​*Up-Regulation/ph [Physiology]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Understanding why the quit rate among smokers of menthol cigarettes is lower than non-menthol smokers requires identifying the neurons that are altered by nicotine,​ menthol,​ and acetylcholine. Dopaminergic (DA) neurons in the ventral tegmental area (VTA) mediate the positive reinforcing effects of nicotine. Using mouse models,​ we show that menthol enhances nicotine-induced changes in nicotinic acetylcholine receptors (nAChRs) expressed on midbrain DA neurons. Menthol plus nicotine upregulates nAChR number and function on midbrain DA neurons more than nicotine alone. Menthol also enhances nicotine-induced changes in DA neuron excitability. In a conditioned place preference (CPP) assay,​ we observed that menthol plus nicotine produces greater reward-related behavior than nicotine alone. Our results connect changes in midbrain DA neurons to menthol-induced enhancements of nicotine reward-related behavior and may help explain how smokers of menthol cigarettes exhibit reduced cessation rates.</w:t>
            </w:r>
          </w:p>
        </w:tc>
      </w:tr>
      <w:tr w:rsidR="007F0AE0" w:rsidRPr="005762E6" w14:paraId="003C411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82FF66" w14:textId="77777777" w:rsidR="007F0AE0" w:rsidRPr="005762E6" w:rsidRDefault="007F0AE0" w:rsidP="00453DE3">
            <w:pPr>
              <w:spacing w:after="120" w:line="240" w:lineRule="auto"/>
              <w:contextualSpacing/>
              <w:rPr>
                <w:sz w:val="20"/>
                <w:szCs w:val="20"/>
              </w:rPr>
            </w:pPr>
            <w:r w:rsidRPr="005762E6">
              <w:rPr>
                <w:sz w:val="20"/>
                <w:szCs w:val="20"/>
              </w:rPr>
              <w:lastRenderedPageBreak/>
              <w:t>344</w:t>
            </w:r>
          </w:p>
        </w:tc>
        <w:tc>
          <w:tcPr>
            <w:tcW w:w="0" w:type="auto"/>
            <w:tcBorders>
              <w:top w:val="single" w:sz="6" w:space="0" w:color="auto"/>
              <w:left w:val="single" w:sz="6" w:space="0" w:color="auto"/>
              <w:bottom w:val="single" w:sz="6" w:space="0" w:color="auto"/>
              <w:right w:val="single" w:sz="6" w:space="0" w:color="auto"/>
            </w:tcBorders>
          </w:tcPr>
          <w:p w14:paraId="7C8CBD6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E4BE27A" w14:textId="77777777" w:rsidR="007F0AE0" w:rsidRPr="005762E6" w:rsidRDefault="007F0AE0" w:rsidP="00453DE3">
            <w:pPr>
              <w:spacing w:after="120" w:line="240" w:lineRule="auto"/>
              <w:contextualSpacing/>
              <w:rPr>
                <w:sz w:val="20"/>
                <w:szCs w:val="20"/>
              </w:rPr>
            </w:pPr>
            <w:r w:rsidRPr="005762E6">
              <w:rPr>
                <w:sz w:val="20"/>
                <w:szCs w:val="20"/>
              </w:rPr>
              <w:t>Courtney Keeler,​ Wendy Max,​ Valerie Yerger,​ Tingting Yao,​ Michael K Ong,​ Hai-Yen Sung The Association of Menthol Cigarette Use With Quit Attempts,​ Successful Cessation,​ and Intention to Quit Across Racial/Ethnic Groups in the United States.. Nicotine &amp; tobacco research : official journal of the Society for Research on Nicotine and Tobacco; 2017;19:1450.</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Americans/eh [Ethnology],​African Americans/px [Psychology],​Aged,​*Cigarette Smoking/eh [Ethnology],​Ethnic Groups/px [Psychology],​European Continental Ancestry Group/eh [Ethnology],​European Continental Ancestry Group/px [Psychology],​Female,​Hispanic Americans/px [Psychology],​Humans,​*Intention,​Male,​*Menthol,​Middle Aged,​Motivation,​*Smokers/px [Psychology],​*Smoking Cessation/eh [Ethnology],​Smoking Cessation/mt [Methods],​*Smoking Cessation/px [Psychology],​Surveys and Questionnaires,​Tobacco Products,​United States/eh [Ethnology],​Young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Few studies have examined the relationship between menthol use and smoking cessation across various racial/ethnic groups; the findings were mixed. This study explored the association of menthol cigarette use with quit attempts,​ smoking cessation,​ and intention-to-quit among US adults and by race/ethnicity.,​ Methods: Using the 2006/2007 and 2010/2011 Tobacco Use Supplements to the Current Population Survey data,​ this study analyzed 54 448 recent active smokers,​ defined as current smokers or former smokers who quit less than 12 months ago. Three behaviors were examined: any quit attempts in the past 12 months,​ successful cessation for &gt;=3 months,​ and intention-to-quit smoking in the next 6 months. For each cessation behavior,​ multiple logistic regression models were estimated separately for the full-sample and stratified racial/ethnic subsamples.,​ Results: While 72.3% of African American recent active smokers typically smoked menthol cigarettes,​ this proportion was 21.7%,​ 21.5%,​ and 28.0% for whites,​ Asians,​ and Hispanics,​ respectively. African American menthol smokers had higher odds of quit attempts compared to non-African American,​ non-menthol smokers (full-sample analysis),​ as well as African American non-menthol smokers (subsample analysis). Menthol use was not significantly associated with quit attempts in other racial/ethnic subsamples. There was no significant difference in either successful cessation or intention-to-quit between menthol and non-menthol smokers.,​ Conclusions: African American menthol smokers were more likely to attempt to quit smoking than non-menthol smokers but these quit attempts did not translate into successful cessation. This study revealed no association of menthol use with quit attempts,​ successful cessation,​ and intention-to-quit among other racial/ethnic groups.,​ Implications: The findings suggested that African American menthol smokers were more motivated to quit smoking; yet,​ the results also indicated no significant differences in successful cessation between African American menthol and non-menthol smokers. Interventions targeting menthol smokers within the African American community may help bridge this gap. While more local sales restrictions are beginning to occur (eg,​ Tobacco 21 efforts),​ additional policies restricting price discounting as well as the regulation of access to and the time,​ place,​ and/or manner of menthol tobacco advertising could also improve cessation rates. Further evaluation is needed to determine the viability of these policies. Copyright © The Author 2016. Published by Oxford University Press on behalf of the Society for Research on Nicotine and Tobacco. All rights reserved. For permissions,​ please e-mail: journals.permissions@oup.com.</w:t>
            </w:r>
          </w:p>
        </w:tc>
      </w:tr>
      <w:tr w:rsidR="007F0AE0" w:rsidRPr="005762E6" w14:paraId="36F558B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9A7A08" w14:textId="77777777" w:rsidR="007F0AE0" w:rsidRPr="005762E6" w:rsidRDefault="007F0AE0" w:rsidP="00453DE3">
            <w:pPr>
              <w:spacing w:after="120" w:line="240" w:lineRule="auto"/>
              <w:contextualSpacing/>
              <w:rPr>
                <w:sz w:val="20"/>
                <w:szCs w:val="20"/>
              </w:rPr>
            </w:pPr>
            <w:r w:rsidRPr="005762E6">
              <w:rPr>
                <w:sz w:val="20"/>
                <w:szCs w:val="20"/>
              </w:rPr>
              <w:t>346</w:t>
            </w:r>
          </w:p>
        </w:tc>
        <w:tc>
          <w:tcPr>
            <w:tcW w:w="0" w:type="auto"/>
            <w:tcBorders>
              <w:top w:val="single" w:sz="6" w:space="0" w:color="auto"/>
              <w:left w:val="single" w:sz="6" w:space="0" w:color="auto"/>
              <w:bottom w:val="single" w:sz="6" w:space="0" w:color="auto"/>
              <w:right w:val="single" w:sz="6" w:space="0" w:color="auto"/>
            </w:tcBorders>
          </w:tcPr>
          <w:p w14:paraId="1B485AD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1D22C2C" w14:textId="77777777" w:rsidR="007F0AE0" w:rsidRPr="005762E6" w:rsidRDefault="007F0AE0" w:rsidP="00453DE3">
            <w:pPr>
              <w:spacing w:after="120" w:line="240" w:lineRule="auto"/>
              <w:contextualSpacing/>
              <w:rPr>
                <w:sz w:val="20"/>
                <w:szCs w:val="20"/>
              </w:rPr>
            </w:pPr>
            <w:r w:rsidRPr="005762E6">
              <w:rPr>
                <w:sz w:val="20"/>
                <w:szCs w:val="20"/>
              </w:rPr>
              <w:t>Andrea C Villanti,​ Lauren K Collins,​ Raymond S Niaura,​ Stacey Y Gagosian,​ David B Abrams Menthol cigarettes and the public health standard: a systematic review.. BMC public health; 2017;17:983.</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*Cigarette Smoking/ep [Epidemiology],​Health Policy,​Humans,​*Menthol/ae [Adverse Effects],​*Public Health/st [Standards],​Randomized Controlled Trials as Topic,​United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Although menthol was not banned under the Tobacco Control Act,​ the law made it clear that this did not prevent the Food and Drug Administration from issuing a product standard to ban menthol to protect public health. The purpose of this review was to update the evidence synthesis regarding the role of menthol in initiation,​ dependence and cessation.,​ METHODS: A systematic review of the peer-reviewed literature on menthol cigarettes via a PubMed search through May 9,​ 2017. The National Cancer Institute's Bibliography of Literature on Menthol and Tobacco and the FDA's 2011 report and 2013 addendum were reviewed for additional publications. Included articles addressing initiation,​ dependence,​ and cessation were synthesized based on study design and quality,​ consistency of evidence across populations and over time,​ coherence of findings across studies,​ and plausibility of the findings.,​ RESULTS: Eighty-two studies on menthol cigarette initiation (n=46),​ dependence (n=14),​ and cessation (n=34) were included. Large,​ representative studies show an association between menthol and youth smoking that is consistent in magnitude and direction. One longitudinal and eight cross-sectional studies demonstrate that menthol smokers report increased nicotine dependence compared to non-menthol smokers. Ten studies support the temporal relationship between menthol and reduced smoking cessation,​ as they measure cessation success at follow-up.,​ CONCLUSIONS: The strength and consistency of the associations in these studies support that the removal of menthol from cigarettes is likely to reduce youth smoking initiation,​ improve smoking cessation outcomes in adult smokers,​ and in turn,​ benefit public health.</w:t>
            </w:r>
          </w:p>
        </w:tc>
      </w:tr>
      <w:tr w:rsidR="007F0AE0" w:rsidRPr="005762E6" w14:paraId="5C987E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586DCA" w14:textId="77777777" w:rsidR="007F0AE0" w:rsidRPr="005762E6" w:rsidRDefault="007F0AE0" w:rsidP="00453DE3">
            <w:pPr>
              <w:spacing w:after="120" w:line="240" w:lineRule="auto"/>
              <w:contextualSpacing/>
              <w:rPr>
                <w:sz w:val="20"/>
                <w:szCs w:val="20"/>
              </w:rPr>
            </w:pPr>
            <w:r w:rsidRPr="005762E6">
              <w:rPr>
                <w:sz w:val="20"/>
                <w:szCs w:val="20"/>
              </w:rPr>
              <w:lastRenderedPageBreak/>
              <w:t>347</w:t>
            </w:r>
          </w:p>
        </w:tc>
        <w:tc>
          <w:tcPr>
            <w:tcW w:w="0" w:type="auto"/>
            <w:tcBorders>
              <w:top w:val="single" w:sz="6" w:space="0" w:color="auto"/>
              <w:left w:val="single" w:sz="6" w:space="0" w:color="auto"/>
              <w:bottom w:val="single" w:sz="6" w:space="0" w:color="auto"/>
              <w:right w:val="single" w:sz="6" w:space="0" w:color="auto"/>
            </w:tcBorders>
          </w:tcPr>
          <w:p w14:paraId="4478E96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D9DDF9D" w14:textId="77777777" w:rsidR="007F0AE0" w:rsidRPr="005762E6" w:rsidRDefault="007F0AE0" w:rsidP="00453DE3">
            <w:pPr>
              <w:spacing w:after="120" w:line="240" w:lineRule="auto"/>
              <w:contextualSpacing/>
              <w:rPr>
                <w:sz w:val="20"/>
                <w:szCs w:val="20"/>
              </w:rPr>
            </w:pPr>
            <w:r w:rsidRPr="005762E6">
              <w:rPr>
                <w:sz w:val="20"/>
                <w:szCs w:val="20"/>
              </w:rPr>
              <w:t>Christina Vaughan Watson,​ Patricia Richter,​ B Rey de Castro,​ Connie Sosnoff,​ Jennifer Potts,​ Pamela Clark,​ Joan McCraw,​ Xizheng Yan,​ David Chambers,​ Clifford Watson Smoking Behavior and Exposure: Results of a Menthol Cigarette Cross-over Study.. American journal of health behavior; 2017;41:309.</w:t>
            </w:r>
            <w:r w:rsidRPr="005762E6">
              <w:rPr>
                <w:sz w:val="20"/>
                <w:szCs w:val="20"/>
              </w:rPr>
              <w:br/>
            </w:r>
            <w:r w:rsidRPr="005762E6">
              <w:rPr>
                <w:sz w:val="20"/>
                <w:szCs w:val="20"/>
              </w:rPr>
              <w:br/>
            </w:r>
            <w:r w:rsidRPr="005762E6">
              <w:rPr>
                <w:b/>
                <w:bCs/>
                <w:sz w:val="20"/>
                <w:szCs w:val="20"/>
              </w:rPr>
              <w:t>Keywords:</w:t>
            </w:r>
            <w:r w:rsidRPr="005762E6">
              <w:rPr>
                <w:sz w:val="20"/>
                <w:szCs w:val="20"/>
              </w:rPr>
              <w:br/>
              <w:t>Adult,​Cross-Over Studies,​Female,​Humans,​Male,​*Menthol,​Nicotine/an [Analysis],​Saliva/ch [Chemistry],​*Smoking,​Young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Our objective was to improve understanding of the differences in use behavior and exposure when smoking menthol and non-menthol cigarettes using a 2-part cross-over design.,​ METHODS: Adult daily smokers were assigned randomly to alternate between 2 weeks of exclusively smoking a menthol test cigarette or a non-menthol test cigarette. Urine and saliva were collected for biomarker measurements; carbon monoxide (CO) was measured,​ and participants smoked test cigarettes through a CreSS smoking topography device during 3 clinic visits. Participants turned in their cigarette butts from the test periods for determination of mouth level nicotine and completed subjective questionnaires related to the test cigarettes.,​ RESULTS: Regardless of cigarette preference,​ participants had higher salivary cotinine when smoking the non-menthol test cigarette,​ but there were no significant differences detected in urine 4-(methylnitrosamino)-1-(3-pyridyl)-1-butanol between the 2 test cigarettes. Mouth level nicotine,​ puff volume,​ and puff duration were significantly higher when smoking the menthol brand. Both menthol and non-menthol smokers reported significantly lower enjoyment and satisfaction scores for test cigarettes compared with their brand of choice.,​ CONCLUSIONS: Our results suggest that mentholation has an effect on measures of smoking behavior and that mouth level nicotine is a useful indicator of between-brand smoke exposure.</w:t>
            </w:r>
          </w:p>
        </w:tc>
      </w:tr>
      <w:tr w:rsidR="007F0AE0" w:rsidRPr="005762E6" w14:paraId="47139E7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444BC4" w14:textId="77777777" w:rsidR="007F0AE0" w:rsidRPr="005762E6" w:rsidRDefault="007F0AE0" w:rsidP="00453DE3">
            <w:pPr>
              <w:spacing w:after="120" w:line="240" w:lineRule="auto"/>
              <w:contextualSpacing/>
              <w:rPr>
                <w:sz w:val="20"/>
                <w:szCs w:val="20"/>
              </w:rPr>
            </w:pPr>
            <w:r w:rsidRPr="005762E6">
              <w:rPr>
                <w:sz w:val="20"/>
                <w:szCs w:val="20"/>
              </w:rPr>
              <w:t>348</w:t>
            </w:r>
          </w:p>
        </w:tc>
        <w:tc>
          <w:tcPr>
            <w:tcW w:w="0" w:type="auto"/>
            <w:tcBorders>
              <w:top w:val="single" w:sz="6" w:space="0" w:color="auto"/>
              <w:left w:val="single" w:sz="6" w:space="0" w:color="auto"/>
              <w:bottom w:val="single" w:sz="6" w:space="0" w:color="auto"/>
              <w:right w:val="single" w:sz="6" w:space="0" w:color="auto"/>
            </w:tcBorders>
          </w:tcPr>
          <w:p w14:paraId="141B963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15F7B8E" w14:textId="77777777" w:rsidR="007F0AE0" w:rsidRPr="005762E6" w:rsidRDefault="007F0AE0" w:rsidP="00453DE3">
            <w:pPr>
              <w:spacing w:after="120" w:line="240" w:lineRule="auto"/>
              <w:contextualSpacing/>
              <w:rPr>
                <w:sz w:val="20"/>
                <w:szCs w:val="20"/>
              </w:rPr>
            </w:pPr>
            <w:r w:rsidRPr="005762E6">
              <w:rPr>
                <w:sz w:val="20"/>
                <w:szCs w:val="20"/>
              </w:rPr>
              <w:t>Kathryn C Ross,​ Delia A Dempsey,​ Gideon St Helen,​ Kevin Delucchi,​ Neal L Benowitz The Influence of Puff Characteristics,​ Nicotine Dependence,​ and Rate of Nicotine Metabolism on Daily Nicotine Exposure in African American Smokers.. Cancer epidemiology,​ biomarkers &amp; prevention : a publication of the American Association for Cancer Research,​ cosponsored by the American Society of Preventive Oncology; 2016;25:936.</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Americans,​Female,​Humans,​Inhalation Exposure,​Male,​Middle Aged,​*Models,​ Biological,​*Nicotine/ad [Administration &amp; Dosage],​*Nicotine/me [Metabolism],​*Smokers,​*Tobacco Use Disorder,​Young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African American (AA) smokers experience greater tobacco-related disease burden than </w:t>
            </w:r>
            <w:r w:rsidRPr="005762E6">
              <w:rPr>
                <w:sz w:val="20"/>
                <w:szCs w:val="20"/>
              </w:rPr>
              <w:lastRenderedPageBreak/>
              <w:t>Whites,​ despite smoking fewer cigarettes per day (CPD). Understanding factors that influence daily nicotine intake in AA smokers is an important step toward decreasing tobacco-related health disparities. One factor of interest is smoking topography,​ or the study of puffing behavior.,​ AIMS: (i) to create a model using puff characteristics,​ nicotine dependence,​ and nicotine metabolism to predict daily nicotine exposure,​ and (ii) to compare puff characteristics and nicotine intake from two cigarettes smoked at different times to ensure the reliability of the puff characteristics included in our model.,​ METHODS: Sixty AA smokers smoked their preferred brand of cigarette at two time points through a topography device. Plasma nicotine,​ expired CO,​ and changes in subjective measures were measured before and after each cigarette. Total nicotine equivalents (TNE) was measured from 24-hour urine collected during ad libitum smoking.,​ RESULTS: In a model predicting daily nicotine exposure,​ total puff volume,​ CPD,​ sex,​ and menthol status were significant predictors (R(2) = 0.44,​ P &lt; 0.001). Total puff volume was significantly greater and inter-puff intervals were significantly shorter after ad lib smoking compared with the first cigarette of the day,​ but puffing behaviors for both cigarettes were highly correlated (r range = 0.69-0.89,​ P &lt; 0.001) within-subjects.,​ CONCLUSION: This is the first study,​ to our knowledge,​ to show that puff characteristics of individual cigarettes are predictive of daily nicotine intake.,​ IMPACT: These findings enhance our understanding of the relationship between smoking behavior and nicotine intake in AA smokers. Cancer Epidemiol Biomarkers Prev; 25(6); 936-43. ©2016 AACR.</w:t>
            </w:r>
            <w:r>
              <w:rPr>
                <w:sz w:val="20"/>
                <w:szCs w:val="20"/>
              </w:rPr>
              <w:t xml:space="preserve"> </w:t>
            </w:r>
            <w:r w:rsidRPr="005762E6">
              <w:rPr>
                <w:sz w:val="20"/>
                <w:szCs w:val="20"/>
              </w:rPr>
              <w:t>Copyright ©2016 American Association for Cancer Research.</w:t>
            </w:r>
          </w:p>
        </w:tc>
      </w:tr>
      <w:tr w:rsidR="007F0AE0" w:rsidRPr="005762E6" w14:paraId="3F8178D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B26D88" w14:textId="77777777" w:rsidR="007F0AE0" w:rsidRPr="005762E6" w:rsidRDefault="007F0AE0" w:rsidP="00453DE3">
            <w:pPr>
              <w:spacing w:after="120" w:line="240" w:lineRule="auto"/>
              <w:contextualSpacing/>
              <w:rPr>
                <w:sz w:val="20"/>
                <w:szCs w:val="20"/>
              </w:rPr>
            </w:pPr>
            <w:r w:rsidRPr="005762E6">
              <w:rPr>
                <w:sz w:val="20"/>
                <w:szCs w:val="20"/>
              </w:rPr>
              <w:lastRenderedPageBreak/>
              <w:t>350</w:t>
            </w:r>
          </w:p>
        </w:tc>
        <w:tc>
          <w:tcPr>
            <w:tcW w:w="0" w:type="auto"/>
            <w:tcBorders>
              <w:top w:val="single" w:sz="6" w:space="0" w:color="auto"/>
              <w:left w:val="single" w:sz="6" w:space="0" w:color="auto"/>
              <w:bottom w:val="single" w:sz="6" w:space="0" w:color="auto"/>
              <w:right w:val="single" w:sz="6" w:space="0" w:color="auto"/>
            </w:tcBorders>
          </w:tcPr>
          <w:p w14:paraId="1620D1D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41F4AB3" w14:textId="77777777" w:rsidR="007F0AE0" w:rsidRPr="005762E6" w:rsidRDefault="007F0AE0" w:rsidP="00453DE3">
            <w:pPr>
              <w:spacing w:after="120" w:line="240" w:lineRule="auto"/>
              <w:contextualSpacing/>
              <w:rPr>
                <w:sz w:val="20"/>
                <w:szCs w:val="20"/>
              </w:rPr>
            </w:pPr>
            <w:r w:rsidRPr="005762E6">
              <w:rPr>
                <w:sz w:val="20"/>
                <w:szCs w:val="20"/>
              </w:rPr>
              <w:t>Won S Choi,​ Niaman Nazir,​ Christina M Pacheco,​ Melissa K Filippi,​ Joseph Pacheco,​ Julia White Bull,​ Christi Nance,​ Babalola Faseru,​ K Allen Greiner,​ Christine Makosky Daley Recruitment and Baseline Characteristics of American Indian Tribal College Students Participating in a Tribal College Tobacco and Behavioral Survey.. Nicotine &amp; tobacco research : official journal of the Society for Research on Nicotine and Tobacco; 2016;18:1488.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Adolescent,​Adult,​Cross-Sectional Studies,​Female,​*Health Behavior,​Health Surveys,​Humans,​*Indians,​ North American/sn [Statistics &amp; Numerical Data],​Male,​*Smoking/ep [Epidemiology],​*Students/sn [Statistics &amp; Numerical Data],​United States/ep [Epidemiology],​Universities,​Young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American Indians (AIs) have the highest cigarette smoking rates of any racial/ethnic group in the United States. Although the overall smoking prevalence in the United States for nonminority populations has decreased over the past several decades,​ the same pattern is not observed among AIs. The purpose of this observational study was to collect cigarette smoking and related information from American Indian tribal college students to inform tailored interventions.,​ METHODS: We conducted a repeated cross-sectional survey of American Indian tribal college students,​ Tribal College Tobacco and Behavior Survey (TCTABS),​ with a focus on recruiting all incoming freshman at three participating tribal colleges in the Midwest and Northern Plains regions. A total of 1256 students participated in the baseline surveys between April 2011 and October 2014.,​ RESULTS: The overall smoking prevalence of this sample was 34.7%,​ with differences by region (Northern Plains-44.0% and Midwest-28%). The majority,​ 87.5% of current smokers reported smoking 10 or less cigarettes per day,​ 41% reported smoking menthol cigarettes,​ 52% smoked Marlboro brand,​ and the mean age of their first cigarette was 14 years. The majority,​ 62% had made at least one quit attempt in the past year. The overwhelming majority of respondents,​ regardless of their smoking status,​ thought that the current smoking prevalence on campus was greater than 41% and approximately one-third believed that it was as high as 61%.,​ CONCLUSIONS: Very few studies of smoking have been conducted in this population and results from our study confirm the need for effective interventions.,​ IMPLICATIONS: AIs have the highest cigarette smoking rates compared to other racial/ethnic groups in the United States. Furthermore,​ limited studies have examined the epidemiology of cigarette smoking among tribal college students. This study addresses health disparities related to smoking among college students by examining the demographic,​ cultural,​ and environmental characteristics of smoking and quitting. Results from this study could lead to the development of a culturally-tailored smoking cessation and prevention program for American Indian tribal college students. Copyright © The Author 2015. Published by Oxford University Press on behalf of the Society for Research on Nicotine and Tobacco. All rights reserved. For permissions,​ please e-mail: journals.permissions@oup.com.</w:t>
            </w:r>
          </w:p>
        </w:tc>
      </w:tr>
      <w:tr w:rsidR="007F0AE0" w:rsidRPr="005762E6" w14:paraId="179DED7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059257" w14:textId="77777777" w:rsidR="007F0AE0" w:rsidRPr="005762E6" w:rsidRDefault="007F0AE0" w:rsidP="00453DE3">
            <w:pPr>
              <w:spacing w:after="120" w:line="240" w:lineRule="auto"/>
              <w:contextualSpacing/>
              <w:rPr>
                <w:sz w:val="20"/>
                <w:szCs w:val="20"/>
              </w:rPr>
            </w:pPr>
            <w:r w:rsidRPr="005762E6">
              <w:rPr>
                <w:sz w:val="20"/>
                <w:szCs w:val="20"/>
              </w:rPr>
              <w:t>351</w:t>
            </w:r>
          </w:p>
        </w:tc>
        <w:tc>
          <w:tcPr>
            <w:tcW w:w="0" w:type="auto"/>
            <w:tcBorders>
              <w:top w:val="single" w:sz="6" w:space="0" w:color="auto"/>
              <w:left w:val="single" w:sz="6" w:space="0" w:color="auto"/>
              <w:bottom w:val="single" w:sz="6" w:space="0" w:color="auto"/>
              <w:right w:val="single" w:sz="6" w:space="0" w:color="auto"/>
            </w:tcBorders>
          </w:tcPr>
          <w:p w14:paraId="21CC035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AA85A53" w14:textId="77777777" w:rsidR="007F0AE0" w:rsidRPr="005762E6" w:rsidRDefault="007F0AE0" w:rsidP="00453DE3">
            <w:pPr>
              <w:spacing w:after="120" w:line="240" w:lineRule="auto"/>
              <w:contextualSpacing/>
              <w:rPr>
                <w:sz w:val="20"/>
                <w:szCs w:val="20"/>
              </w:rPr>
            </w:pPr>
            <w:r w:rsidRPr="005762E6">
              <w:rPr>
                <w:sz w:val="20"/>
                <w:szCs w:val="20"/>
              </w:rPr>
              <w:t>Erna Jz Krusemann,​ Wouter F Visser,​ Johannes Wjm Cremers,​ Jeroen LA Pennings,​ Reinskje Talhout Identification of flavour additives in tobacco products to develop a flavour library.. Tobacco control; 2018;27:105.</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*Flavoring Agents/an [Analysis],​*Gas Chromatography-Mass Spectrometry/mt [Methods],​*Tobacco Products/an [Analysis]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This study combines chemical analysis and flavour descriptions of flavour additives used in tobacco products,​ and provides a starting point to build an extensive library of flavour components,​ useful for product surveillance.,​ METHODS: Headspace gas chromatography-mass spectrometry (GC-MS) was used to compare 22 commercially available tobacco products (cigarettes and roll-your-own) expected to have a characterising flavour and 6 commercially available products not expected to have a characterising flavour with 5 reference products (natural tobacco leaves and research cigarettes containing no flavour additives). The flavour components naturally present in the reference products were excluded from components present in commercially available products containing flavour additives. A description of the remaining flavour additives was used for categorisation.,​ RESULTS: GC-MS measurements of the 33 tobacco products resulted in an overview of 186 chemical compounds. Of these,​ 144 were solely present in commercially available products. These 144 flavour additives were described using 62 different flavour descriptors extracted from flavour databases,​ which were categorised into eight groups largely based on the definition of characterising flavours from the European Tobacco Product Directive: fruit,​ spice,​ herb,​ alcohol,​ menthol,​ sweet,​ floral and miscellaneous.,​ CONCLUSIONS: We developed a method to identify and describe flavour additives in tobacco products. Flavour additives consist of single flavour compounds or mixtures of multiple flavour compounds,​ and different combinations of flavour compounds can cause a certain flavour. A flavour library helps to detect flavour additives that are characteristic for a certain flavour,​ and thus can be useful for regulation of flavours in tobacco and related products. Copyright © Article author(s) (or their employer(s) unless otherwise stated in the text of the article) 2018. All rights reserved. No commercial use is permitted unless otherwise expressly granted.</w:t>
            </w:r>
          </w:p>
        </w:tc>
      </w:tr>
      <w:tr w:rsidR="007F0AE0" w:rsidRPr="005762E6" w14:paraId="418F05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0AB6A09" w14:textId="77777777" w:rsidR="007F0AE0" w:rsidRPr="005762E6" w:rsidRDefault="007F0AE0" w:rsidP="00453DE3">
            <w:pPr>
              <w:spacing w:after="120" w:line="240" w:lineRule="auto"/>
              <w:contextualSpacing/>
              <w:rPr>
                <w:sz w:val="20"/>
                <w:szCs w:val="20"/>
              </w:rPr>
            </w:pPr>
            <w:r w:rsidRPr="005762E6">
              <w:rPr>
                <w:sz w:val="20"/>
                <w:szCs w:val="20"/>
              </w:rPr>
              <w:lastRenderedPageBreak/>
              <w:t>353</w:t>
            </w:r>
          </w:p>
        </w:tc>
        <w:tc>
          <w:tcPr>
            <w:tcW w:w="0" w:type="auto"/>
            <w:tcBorders>
              <w:top w:val="single" w:sz="6" w:space="0" w:color="auto"/>
              <w:left w:val="single" w:sz="6" w:space="0" w:color="auto"/>
              <w:bottom w:val="single" w:sz="6" w:space="0" w:color="auto"/>
              <w:right w:val="single" w:sz="6" w:space="0" w:color="auto"/>
            </w:tcBorders>
          </w:tcPr>
          <w:p w14:paraId="6B0FAE8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A6D039" w14:textId="77777777" w:rsidR="007F0AE0" w:rsidRPr="005762E6" w:rsidRDefault="007F0AE0" w:rsidP="00453DE3">
            <w:pPr>
              <w:spacing w:after="120" w:line="240" w:lineRule="auto"/>
              <w:contextualSpacing/>
              <w:rPr>
                <w:sz w:val="20"/>
                <w:szCs w:val="20"/>
              </w:rPr>
            </w:pPr>
            <w:r w:rsidRPr="005762E6">
              <w:rPr>
                <w:sz w:val="20"/>
                <w:szCs w:val="20"/>
              </w:rPr>
              <w:t>Erna J Z Krusemann,​ Johannes W J M Cremers,​ Wouter F Visser,​ Pieter H Punter,​ Reinskje Talhout The Sensory Difference Threshold of Menthol Odor in Flavored Tobacco Determined by Combining Sensory and Chemical Analysis.. Chemical senses; 2017;42:233.</w:t>
            </w:r>
            <w:r w:rsidRPr="005762E6">
              <w:rPr>
                <w:sz w:val="20"/>
                <w:szCs w:val="20"/>
              </w:rPr>
              <w:br/>
            </w:r>
            <w:r w:rsidRPr="005762E6">
              <w:rPr>
                <w:sz w:val="20"/>
                <w:szCs w:val="20"/>
              </w:rPr>
              <w:br/>
            </w:r>
            <w:r w:rsidRPr="005762E6">
              <w:rPr>
                <w:b/>
                <w:bCs/>
                <w:sz w:val="20"/>
                <w:szCs w:val="20"/>
              </w:rPr>
              <w:t>Keywords:</w:t>
            </w:r>
            <w:r w:rsidRPr="005762E6">
              <w:rPr>
                <w:sz w:val="20"/>
                <w:szCs w:val="20"/>
              </w:rPr>
              <w:br/>
              <w:t>Adult,​Female,​Humans,​*Menthol/an [Analysis],​Middle Aged,​*Odorants/an [Analysis],​Sensory Thresholds,​*Tobacco/ch [Chemistry],​Young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Cigarettes are an often-used consumer product,​ and flavor is an important determinant of their product appeal. Cigarettes with strong nontobacco flavors are popular among young people,​ and may facilitate smoking initiation. Discriminating flavors in tobacco is important for regulation purposes,​ for instance to set upper limits to the levels of important flavor additives. We provide a simple and fast method to determine the human odor difference threshold for flavor additives in a tobacco matrix,​ using a combination of chemical and sensory analysis. For an example,​ the human difference threshold for menthol odor,​ one of the most frequently used tobacco flavors,​ was determined. A consumer panel consisting of 20 women compared different concentrations of menthol-flavored tobacco to unflavored cigarette tobacco using the 2-alternative forced choice method. Components contributing to menthol odor were quantified using headspace GC-MS. The sensory difference threshold of menthol odor corresponded to a mixture of 43 (37-50)% menthol-flavored tobacco,​ containing 1.8 (1.6-2.1) mg menthol,​ 2.7 (2.3-3.1) micro g menthone,​ and 1.0 (0.9-1.2) micro g neomenthyl acetate per gram of tobacco. Such a method is important in the context of the European Tobacco Product Directive,​ and the US Food and Drug Administration Tobacco Control Act,​ that both prohibit cigarettes and roll-your-own tobacco with a characterizing flavor other than tobacco. Our method can also be adapted for matrices other than tobacco,​ such as food. Copyright © The Author 2016. Published by Oxford University Press.</w:t>
            </w:r>
          </w:p>
        </w:tc>
      </w:tr>
      <w:tr w:rsidR="007F0AE0" w:rsidRPr="005762E6" w14:paraId="092E192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6D7D30C" w14:textId="77777777" w:rsidR="007F0AE0" w:rsidRPr="005762E6" w:rsidRDefault="007F0AE0" w:rsidP="00453DE3">
            <w:pPr>
              <w:spacing w:after="120" w:line="240" w:lineRule="auto"/>
              <w:contextualSpacing/>
              <w:rPr>
                <w:sz w:val="20"/>
                <w:szCs w:val="20"/>
              </w:rPr>
            </w:pPr>
            <w:r w:rsidRPr="005762E6">
              <w:rPr>
                <w:sz w:val="20"/>
                <w:szCs w:val="20"/>
              </w:rPr>
              <w:t>355</w:t>
            </w:r>
          </w:p>
        </w:tc>
        <w:tc>
          <w:tcPr>
            <w:tcW w:w="0" w:type="auto"/>
            <w:tcBorders>
              <w:top w:val="single" w:sz="6" w:space="0" w:color="auto"/>
              <w:left w:val="single" w:sz="6" w:space="0" w:color="auto"/>
              <w:bottom w:val="single" w:sz="6" w:space="0" w:color="auto"/>
              <w:right w:val="single" w:sz="6" w:space="0" w:color="auto"/>
            </w:tcBorders>
          </w:tcPr>
          <w:p w14:paraId="40C839D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60D090" w14:textId="77777777" w:rsidR="007F0AE0" w:rsidRPr="005762E6" w:rsidRDefault="007F0AE0" w:rsidP="00453DE3">
            <w:pPr>
              <w:spacing w:after="120" w:line="240" w:lineRule="auto"/>
              <w:contextualSpacing/>
              <w:rPr>
                <w:sz w:val="20"/>
                <w:szCs w:val="20"/>
              </w:rPr>
            </w:pPr>
            <w:r w:rsidRPr="005762E6">
              <w:rPr>
                <w:sz w:val="20"/>
                <w:szCs w:val="20"/>
              </w:rPr>
              <w:t>Shyanika W Rose,​ Catherine L Jo,​ Steven Binns,​ Melissa Buenger,​ Sherry Emery,​ Kurt M Ribisl Perceptions of Menthol Cigarettes Among Twitter Users: Content and Sentiment Analysis.. Journal of medical Internet research; 2017;19:e56.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Adolescent,​Adult,​Female,​Humans,​*Menthol,​Perception,​Public Opinion,​*Smoking/px [Psychology],​*Social Media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Menthol cigarettes are used disproportionately by African American,​ female,​ and adolescent smokers. Twitter is also used disproportionately by minority and younger populations,​ providing a </w:t>
            </w:r>
            <w:r w:rsidRPr="005762E6">
              <w:rPr>
                <w:sz w:val="20"/>
                <w:szCs w:val="20"/>
              </w:rPr>
              <w:lastRenderedPageBreak/>
              <w:t>unique window into conversations reflecting social norms,​ behavioral intentions,​ and sentiment toward menthol cigarettes.,​ OBJECTIVE: Our purpose was to identify the content and frequency of conversations about menthol cigarettes,​ including themes,​ populations,​ user smoking status,​ other tobacco or substances,​ tweet characteristics,​ and sentiment. We also examined differences in menthol cigarette sentiment by prevalent categories,​ which allowed us to assess potential perceptions,​ misperceptions,​ and social norms about menthol cigarettes on Twitter. This approach can inform communication about these products,​ particularly to subgroups who are at risk for menthol cigarette use.,​ METHODS: Through a combination of human and machine classification,​ we identified 94,​627 menthol cigarette-relevant tweets from February 1,​ 2012 to January 31,​ 2013 (1 year) from over 47 million tobacco-related messages gathered prospectively from the Twitter Firehose of all public tweets and metadata. Then,​ 4 human coders evaluated a random sample of 7000 tweets for categories,​ including sentiment toward menthol cigarettes.,​ RESULTS: We found that 47.98% (3194/6657) of tweets expressed positive sentiment,​ while 40.26% (2680/6657) were negative toward menthol cigarettes. The majority of tweets by likely smokers (2653/4038,​ 65.70%) expressed positive sentiment,​ while 91.2% (320/351) of nonsmokers and 71.7% (91/127) of former smokers indicated negative views. Positive views toward menthol cigarettes were predominant in tweets that discussed addiction or craving,​ marijuana,​ smoking,​ taste or sensation,​ song lyrics,​ and tobacco industry or marketing or tweets that were commercial in nature. Negative views toward menthol were more common in tweets about smoking cessation,​ health,​ African Americans,​ women,​ and children and adolescents-largely due to expression of negative stereotypes associated with these groups' use of menthol cigarettes.,​ CONCLUSIONS: Examinations of public opinions toward menthol cigarettes through social media can help to inform the framing of public communication about menthol cigarettes,​ particularly in light of potential regulation by the European Union,​ US Food and Drug Administration,​ other jurisdictions,​ and localities. Copyright ©Shyanika W Rose,​ Catherine L Jo,​ Steven Binns,​ Melissa Buenger,​ Sherry Emery,​ Kurt M Ribisl. Originally published in the Journal of Medical Internet Research (http://www.jmir.org),​ 27.02.2017.</w:t>
            </w:r>
          </w:p>
        </w:tc>
      </w:tr>
      <w:tr w:rsidR="007F0AE0" w:rsidRPr="005762E6" w14:paraId="72B15A6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86C148" w14:textId="77777777" w:rsidR="007F0AE0" w:rsidRPr="005762E6" w:rsidRDefault="007F0AE0" w:rsidP="00453DE3">
            <w:pPr>
              <w:spacing w:after="120" w:line="240" w:lineRule="auto"/>
              <w:contextualSpacing/>
              <w:rPr>
                <w:sz w:val="20"/>
                <w:szCs w:val="20"/>
              </w:rPr>
            </w:pPr>
            <w:r w:rsidRPr="005762E6">
              <w:rPr>
                <w:sz w:val="20"/>
                <w:szCs w:val="20"/>
              </w:rPr>
              <w:lastRenderedPageBreak/>
              <w:t>356</w:t>
            </w:r>
          </w:p>
        </w:tc>
        <w:tc>
          <w:tcPr>
            <w:tcW w:w="0" w:type="auto"/>
            <w:tcBorders>
              <w:top w:val="single" w:sz="6" w:space="0" w:color="auto"/>
              <w:left w:val="single" w:sz="6" w:space="0" w:color="auto"/>
              <w:bottom w:val="single" w:sz="6" w:space="0" w:color="auto"/>
              <w:right w:val="single" w:sz="6" w:space="0" w:color="auto"/>
            </w:tcBorders>
          </w:tcPr>
          <w:p w14:paraId="74B1CD2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17735B" w14:textId="77777777" w:rsidR="007F0AE0" w:rsidRPr="005762E6" w:rsidRDefault="007F0AE0" w:rsidP="00453DE3">
            <w:pPr>
              <w:spacing w:after="120" w:line="240" w:lineRule="auto"/>
              <w:contextualSpacing/>
              <w:rPr>
                <w:sz w:val="20"/>
                <w:szCs w:val="20"/>
              </w:rPr>
            </w:pPr>
            <w:r w:rsidRPr="005762E6">
              <w:rPr>
                <w:sz w:val="20"/>
                <w:szCs w:val="20"/>
              </w:rPr>
              <w:t>Natalie Nardone,​ Eric C Donny,​ Dorothy K Hatsukami,​ Joseph S Koopmeiners,​ Sharon E Murphy,​ Andrew A Strasser,​ Jennifer W Tidey,​ Ryan Vandrey,​ Neal L Benowitz Estimations and predictors of non-compliance in switchers to reduced nicotine content cigarettes.. Addiction (Abingdon,​ England); 2016;111:2208.</w:t>
            </w:r>
            <w:r w:rsidRPr="005762E6">
              <w:rPr>
                <w:sz w:val="20"/>
                <w:szCs w:val="20"/>
              </w:rPr>
              <w:br/>
            </w:r>
            <w:r w:rsidRPr="005762E6">
              <w:rPr>
                <w:sz w:val="20"/>
                <w:szCs w:val="20"/>
              </w:rPr>
              <w:br/>
            </w:r>
            <w:r w:rsidRPr="005762E6">
              <w:rPr>
                <w:b/>
                <w:bCs/>
                <w:sz w:val="20"/>
                <w:szCs w:val="20"/>
              </w:rPr>
              <w:t>Keywords:</w:t>
            </w:r>
            <w:r w:rsidRPr="005762E6">
              <w:rPr>
                <w:sz w:val="20"/>
                <w:szCs w:val="20"/>
              </w:rPr>
              <w:br/>
              <w:t>Adult,​Biomarkers/an [Analysis],​Double-Blind Method,​Female,​*Ganglionic Stimulants/an [Analysis],​Healthy Volunteers,​Humans,​Male,​*Nicotine/an [Analysis],​Patient Compliance,​Saliva/ch [Chemistry],​*Smoking Reduction/mt [Methods],​Smoking Reduction/px [Psychology],​*Tobacco Products,​Urinalysis/mt [Methods]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AND AIMS: Clinical trials on the impact and safety of reduced nicotine content cigarettes (RNCs) are ongoing,​ and an important methodological concern is participant compliance with smoking only RNCs. Our aims were to measure non-compliance biochemically with urine cotinine (COT) and total nicotine equivalents (TNEs),​ compare with self-reported non-compliance and identify associated covariates.,​ DESIGN: Secondary analysis of a double-blind,​ parallel,​ randomized clinical trial.,​ SETTING: Research centers from the United States,​ enrolling participants from June 2013 to July 2014.,​ PARTICIPANTS: Volunteer sample of 242 participants (55% Caucasian),​ average age of 41.2 years,​ smoking at least five cigarettes per day (CPD).,​ INTERVENTION: Smoking very low nicotine cigarettes (VLNCs; 0.4 mg nicotine/g tobacco) for 6 weeks.,​ MEASUREMENTS: The primary outcome was biochemically verified non-compliance,​ measured as thresholds of COT/CPD and TNE/CPD ratios,​ considering changes in nicotine content from conventional levels to VLNCs,​ and as an absolute threshold of week 6 TNEs. Self-reported non-compliance was measured via daily phone calls. Key predictors included age,​ sex,​ race,​ menthol preference,​ nicotine metabolite ratio,​ time to first cigarette,​ dependence,​ CPD,​ TNEs,​ tar level and cigarette evaluation.,​ FINDINGS: Estimates of non-compliance with smoking the VLNCs exclusively include: the biochemical ratios (both 78%),​ the week 6 TNE threshold (76%) and self-report (39%). Of the key covariates,​ age,​ dependence and cigarette evaluations of satisfaction were significant; for age,​ younger participants more likely to be non-compliant [P = 0.01; odds ratio (OR) = 0.98,​ 95% confidence interval (CI) = 0.96-0.99]. Dependence was associated significantly with self-reported non-compliance (P = 0.01; OR = 1.28,​ 95% CI = 1.06-1.55). Cigarette evaluations of satisfaction were associated significantly with non-compliance (P = 0.001; OR = 0.71,​ 95% CI = 0.61-0.82).,​ CONCLUSIONS: Among smokers volunteering to smoke only very low nicotine cigarettes for 6 weeks,​ non-compliance was common and biochemical assessments detected more cases of non-compliance than self-report. Despite high levels of non-compliance,​ smokers reduced their intake of nicotine by an average of 60%.Copyright © 2016 Society for the Study of Addiction.</w:t>
            </w:r>
          </w:p>
        </w:tc>
      </w:tr>
      <w:tr w:rsidR="007F0AE0" w:rsidRPr="005762E6" w14:paraId="36277DF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E4F96E" w14:textId="77777777" w:rsidR="007F0AE0" w:rsidRPr="005762E6" w:rsidRDefault="007F0AE0" w:rsidP="00453DE3">
            <w:pPr>
              <w:spacing w:after="120" w:line="240" w:lineRule="auto"/>
              <w:contextualSpacing/>
              <w:rPr>
                <w:sz w:val="20"/>
                <w:szCs w:val="20"/>
              </w:rPr>
            </w:pPr>
            <w:r w:rsidRPr="005762E6">
              <w:rPr>
                <w:sz w:val="20"/>
                <w:szCs w:val="20"/>
              </w:rPr>
              <w:lastRenderedPageBreak/>
              <w:t>357</w:t>
            </w:r>
          </w:p>
        </w:tc>
        <w:tc>
          <w:tcPr>
            <w:tcW w:w="0" w:type="auto"/>
            <w:tcBorders>
              <w:top w:val="single" w:sz="6" w:space="0" w:color="auto"/>
              <w:left w:val="single" w:sz="6" w:space="0" w:color="auto"/>
              <w:bottom w:val="single" w:sz="6" w:space="0" w:color="auto"/>
              <w:right w:val="single" w:sz="6" w:space="0" w:color="auto"/>
            </w:tcBorders>
          </w:tcPr>
          <w:p w14:paraId="2341C1D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B4FBAA" w14:textId="77777777" w:rsidR="007F0AE0" w:rsidRPr="005762E6" w:rsidRDefault="007F0AE0" w:rsidP="00453DE3">
            <w:pPr>
              <w:spacing w:after="120" w:line="240" w:lineRule="auto"/>
              <w:contextualSpacing/>
              <w:rPr>
                <w:sz w:val="20"/>
                <w:szCs w:val="20"/>
              </w:rPr>
            </w:pPr>
            <w:r w:rsidRPr="005762E6">
              <w:rPr>
                <w:sz w:val="20"/>
                <w:szCs w:val="20"/>
              </w:rPr>
              <w:t>Elizabeth Needham Waddell,​ Rachel Sacks,​ Shannon M Farley,​ Michael Johns Point-of-Sale Tobacco Marketing to Youth in New York State.. The Journal of adolescent health : official publication of the Society for Adolescent Medicine; 2016;59:365.</w:t>
            </w:r>
            <w:r w:rsidRPr="005762E6">
              <w:rPr>
                <w:sz w:val="20"/>
                <w:szCs w:val="20"/>
              </w:rPr>
              <w:br/>
            </w:r>
            <w:r w:rsidRPr="005762E6">
              <w:rPr>
                <w:sz w:val="20"/>
                <w:szCs w:val="20"/>
              </w:rPr>
              <w:br/>
            </w:r>
            <w:r w:rsidRPr="005762E6">
              <w:rPr>
                <w:b/>
                <w:bCs/>
                <w:sz w:val="20"/>
                <w:szCs w:val="20"/>
              </w:rPr>
              <w:t>Keywords:</w:t>
            </w:r>
            <w:r w:rsidRPr="005762E6">
              <w:rPr>
                <w:sz w:val="20"/>
                <w:szCs w:val="20"/>
              </w:rPr>
              <w:br/>
              <w:t>Adolescent,​Cigarette Smoking,​*Commerce,​Confidence Intervals,​*Direct-to-Consumer Advertising/sn [Statistics &amp; Numerical Data],​Humans,​Menthol,​New York,​Population Density,​Residence Characteristics/sn [Statistics &amp; Numerical Data],​*Tobacco Industry/mt [Methods],​*Tobacco Products/ec [Economics]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PURPOSE: To assess youth exposure to menthol versus nonmenthol cigarette advertising,​ we examined whether menthol cigarette promotions are more likely in neighborhoods with relatively high youth populations.,​ METHODS: We linked 2011 New York State Retail Advertising Tobacco Survey observational data with U.S. Census and American Community Survey demographic data. Multivariable models assessed the relationship between neighborhood youth population and point-of-sale cigarette promotions for three brands of cigarettes,​ adjusting for neighborhood demographic characteristics including race/ethnicity and poverty.,​ RESULTS: Menthol cigarette point-of-sale marketing was more likely in neighborhoods with higher proportions of youth,​ adjusting for presence of nonmenthol brand marketing,​ neighborhood race/ethnicity,​ neighborhood poverty,​ and urban geography.,​ CONCLUSIONS: Data from the 2011 Retail Advertising Tobacco Study linked to block level census data clearly indicate that price reduction promotions for menthol cigarettes are disproportionately targeted to youth markets in New York State. Copyright Published by Elsevier Inc.</w:t>
            </w:r>
          </w:p>
        </w:tc>
      </w:tr>
      <w:tr w:rsidR="007F0AE0" w:rsidRPr="005762E6" w14:paraId="18CD53B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417C146" w14:textId="77777777" w:rsidR="007F0AE0" w:rsidRPr="005762E6" w:rsidRDefault="007F0AE0" w:rsidP="00453DE3">
            <w:pPr>
              <w:spacing w:after="120" w:line="240" w:lineRule="auto"/>
              <w:contextualSpacing/>
              <w:rPr>
                <w:sz w:val="20"/>
                <w:szCs w:val="20"/>
              </w:rPr>
            </w:pPr>
            <w:r w:rsidRPr="005762E6">
              <w:rPr>
                <w:sz w:val="20"/>
                <w:szCs w:val="20"/>
              </w:rPr>
              <w:t>360</w:t>
            </w:r>
          </w:p>
        </w:tc>
        <w:tc>
          <w:tcPr>
            <w:tcW w:w="0" w:type="auto"/>
            <w:tcBorders>
              <w:top w:val="single" w:sz="6" w:space="0" w:color="auto"/>
              <w:left w:val="single" w:sz="6" w:space="0" w:color="auto"/>
              <w:bottom w:val="single" w:sz="6" w:space="0" w:color="auto"/>
              <w:right w:val="single" w:sz="6" w:space="0" w:color="auto"/>
            </w:tcBorders>
          </w:tcPr>
          <w:p w14:paraId="3E5E66C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699E404" w14:textId="77777777" w:rsidR="007F0AE0" w:rsidRPr="005762E6" w:rsidRDefault="007F0AE0" w:rsidP="00453DE3">
            <w:pPr>
              <w:spacing w:after="120" w:line="240" w:lineRule="auto"/>
              <w:contextualSpacing/>
              <w:rPr>
                <w:sz w:val="20"/>
                <w:szCs w:val="20"/>
              </w:rPr>
            </w:pPr>
            <w:r w:rsidRPr="005762E6">
              <w:rPr>
                <w:sz w:val="20"/>
                <w:szCs w:val="20"/>
              </w:rPr>
              <w:t>Shannon M Farley,​ Michael Johns New York City flavoured tobacco product sales ban evaluation.. Tobacco control; 2017;26:78.</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Behavior,​*Commerce/sn [Statistics &amp; Numerical Data],​Female,​*Flavoring Agents/ad [Administration &amp; Dosage],​Humans,​Interrupted Time Series Analysis,​Logistic Models,​Male,​New York City/ep [Epidemiology],​Prevalence,​*Smoking/ep [Epidemiology],​Tobacco Products/ec [Economics],​Tobacco Products/lj [Legislation &amp; Jurisprudence],​*Tobacco Products/sn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availability of flavoured tobacco products is associated with increased initiation and youth smoking. New York City prohibited all sales of flavoured cigars,​ cigarillos,​ little cigars,​ chew,​ snuff,​ snus,​ tobacco,​ pipe tobacco,​ roll-your-own tobacco,​ and dissolvables,​ excluding menthol,​ in October 2009; enforcement began in November 2010. This paper describes the sales ban evaluation.,​ METHODS: Data on retail tobacco sales of cigars,​ smokeless and other tobacco products such as pipe tobacco and roll-your-own,​ were analysed using interrupted time series methods,​ estimating changes in flavoured and non-flavoured tobacco product inflation-adjusted dollar sales overall,​ and by product type. Changes in ever use of flavoured tobacco products,​ any tobacco product use,​ and smoking prevalence among adolescents were estimated using multivariable logistic regression.,​ RESULTS: Sales of flavoured tobacco products declined overall (87%; p&lt;0.001),​ and for flavoured cigars (86%; p&lt;0.001) and flavoured pipe and roll-your-own (91%; p&lt;0.001) following ban enforcement,​ while non-flavoured sales increased for cigars (5%; p=0.003) and pipe and roll-your-own (4%,​ p=0.030). In adjusted models,​ teens in 2013 had 37% lower odds of ever trying flavoured tobacco products (p&lt;0.001),​ 28% lower odds of using any type of tobacco product (p=0.025),​ and a non-significant change in current smoking prevalence (p=0.114) compared with teens in 2010.,​ CONCLUSIONS: Flavoured tobacco product sales and odds of ever using flavoured tobacco products or using any tobacco products among teens declined significantly after ban enforcement began. Collectively these findings demonstrate significant evidence that the flavoured tobacco products sales ban was successful in New York City,​ and could succeed elsewhere. Copyright Published by the BMJ Publishing Group Limited. For permission to use (where not already granted under a license) please go to http://www.bmj.com/company/products-services/rights-and-licensing/.</w:t>
            </w:r>
          </w:p>
        </w:tc>
      </w:tr>
      <w:tr w:rsidR="007F0AE0" w:rsidRPr="005762E6" w14:paraId="5AC6572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120474" w14:textId="77777777" w:rsidR="007F0AE0" w:rsidRPr="005762E6" w:rsidRDefault="007F0AE0" w:rsidP="00453DE3">
            <w:pPr>
              <w:spacing w:after="120" w:line="240" w:lineRule="auto"/>
              <w:contextualSpacing/>
              <w:rPr>
                <w:sz w:val="20"/>
                <w:szCs w:val="20"/>
              </w:rPr>
            </w:pPr>
            <w:r w:rsidRPr="005762E6">
              <w:rPr>
                <w:sz w:val="20"/>
                <w:szCs w:val="20"/>
              </w:rPr>
              <w:t>365</w:t>
            </w:r>
          </w:p>
        </w:tc>
        <w:tc>
          <w:tcPr>
            <w:tcW w:w="0" w:type="auto"/>
            <w:tcBorders>
              <w:top w:val="single" w:sz="6" w:space="0" w:color="auto"/>
              <w:left w:val="single" w:sz="6" w:space="0" w:color="auto"/>
              <w:bottom w:val="single" w:sz="6" w:space="0" w:color="auto"/>
              <w:right w:val="single" w:sz="6" w:space="0" w:color="auto"/>
            </w:tcBorders>
          </w:tcPr>
          <w:p w14:paraId="06418F9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C2F39BA" w14:textId="77777777" w:rsidR="007F0AE0" w:rsidRPr="005762E6" w:rsidRDefault="007F0AE0" w:rsidP="00453DE3">
            <w:pPr>
              <w:spacing w:after="120" w:line="240" w:lineRule="auto"/>
              <w:contextualSpacing/>
              <w:rPr>
                <w:sz w:val="20"/>
                <w:szCs w:val="20"/>
              </w:rPr>
            </w:pPr>
            <w:r w:rsidRPr="005762E6">
              <w:rPr>
                <w:sz w:val="20"/>
                <w:szCs w:val="20"/>
              </w:rPr>
              <w:t>Kenneth A Perkins,​ Nicole Kunkle,​ Joshua L Karelitz Threshold dose for behavioral discrimination of cigarette nicotine content in menthol vs. non-menthol smokers.. Psychopharmacology; 2017;234:1255.</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Adult,​Analysis of Variance,​Choice Behavior/de [Drug Effects],​*Discrimination Learning/de [Drug Effects],​Dose-Response Relationship,​ Drug,​Female,​Humans,​Male,​*Menthol/ad [Administration &amp; Dosage],​*Nicotine/ad </w:t>
            </w:r>
            <w:r w:rsidRPr="005762E6">
              <w:rPr>
                <w:sz w:val="20"/>
                <w:szCs w:val="20"/>
              </w:rPr>
              <w:lastRenderedPageBreak/>
              <w:t>[Administration &amp; Dosage],​Reinforcement (Psychology),​*Sensory Thresholds/ph [Physiology],​*Smoking/px [Psychology],​*Tobacco Use Disorder/px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RATIONALE: The lowest threshold content (or "dose") of nicotine discriminated in cigarettes may differ due to menthol preference.,​ OBJECTIVES: Menthol and non-menthol Spectrum research cigarettes differing in nicotine content were used to determine discrimination thresholds.,​ METHODS: Dependent smokers preferring menthol (n = 40) or non-menthol (n = 21) brands were tested on ability to discriminate cigarettes (matched for their menthol preference) with nicotine contents of 16-17,​ 11-12,​ 5,​ 2,​ and 1 mg/g,​ one per session,​ from an "ultra-low" cigarette with 0.4 mg/g. Controlled exposure to each cigarette was four puffs/trial,​ and the number of sessions was determined by the lowest nicotine content they could discriminate on &gt;80% of trials (i.e.,​ &gt;=5 of 6). We also assessed subjective perceptions and behavioral choice between cigarettes to relate them to discrimination responses.,​ RESULTS: Controlling for Fagerstrom Test of Nicotine Dependence score,​ discrimination thresholds were more likely to be at higher nicotine content cigarettes for menthol vs. non-menthol smokers (p &lt; .005),​ with medians of 16 vs. 11 mg/g,​ respectively. Compared to the ultra-low,​ threshold and subthreshold (next lowest) cigarettes differed on most perceptions and puff choice,​ but menthol preference did not alter these associations. Notably,​ threshold cigarettes did,​ but subthreshold did not,​ increase choice over the ultra-low.,​ CONCLUSIONS: Threshold for discriminating nicotine via smoking may be generally higher for menthol vs. non-menthol smokers. More research is needed to identify why menthol smoking is related to higher nicotine thresholds and to verify that cigarettes unable to be discriminated do not support reinforcement.</w:t>
            </w:r>
          </w:p>
        </w:tc>
      </w:tr>
      <w:tr w:rsidR="007F0AE0" w:rsidRPr="005762E6" w14:paraId="659BE52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0B6BE9" w14:textId="77777777" w:rsidR="007F0AE0" w:rsidRPr="005762E6" w:rsidRDefault="007F0AE0" w:rsidP="00453DE3">
            <w:pPr>
              <w:spacing w:after="120" w:line="240" w:lineRule="auto"/>
              <w:contextualSpacing/>
              <w:rPr>
                <w:sz w:val="20"/>
                <w:szCs w:val="20"/>
              </w:rPr>
            </w:pPr>
            <w:r w:rsidRPr="005762E6">
              <w:rPr>
                <w:sz w:val="20"/>
                <w:szCs w:val="20"/>
              </w:rPr>
              <w:lastRenderedPageBreak/>
              <w:t>367</w:t>
            </w:r>
          </w:p>
        </w:tc>
        <w:tc>
          <w:tcPr>
            <w:tcW w:w="0" w:type="auto"/>
            <w:tcBorders>
              <w:top w:val="single" w:sz="6" w:space="0" w:color="auto"/>
              <w:left w:val="single" w:sz="6" w:space="0" w:color="auto"/>
              <w:bottom w:val="single" w:sz="6" w:space="0" w:color="auto"/>
              <w:right w:val="single" w:sz="6" w:space="0" w:color="auto"/>
            </w:tcBorders>
          </w:tcPr>
          <w:p w14:paraId="7F37883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0714CCC" w14:textId="77777777" w:rsidR="007F0AE0" w:rsidRPr="005762E6" w:rsidRDefault="007F0AE0" w:rsidP="00453DE3">
            <w:pPr>
              <w:spacing w:after="120" w:line="240" w:lineRule="auto"/>
              <w:contextualSpacing/>
              <w:rPr>
                <w:sz w:val="20"/>
                <w:szCs w:val="20"/>
              </w:rPr>
            </w:pPr>
            <w:r w:rsidRPr="005762E6">
              <w:rPr>
                <w:sz w:val="20"/>
                <w:szCs w:val="20"/>
              </w:rPr>
              <w:t>Andrea C Villanti,​ Amanda L Johnson,​ Bridget K Ambrose,​ K Michael Cummings,​ Cassandra A Stanton,​ Shyanika W Rose,​ Shari P Feirman,​ Cindy Tworek,​ Allison M Glasser,​ Jennifer L Pearson,​ Amy M Cohn,​ Kevin P Conway,​ Raymond S Niaura,​ Maansi Bansal-Travers,​ Andrew Hyland Flavored Tobacco Product Use in Youth and Adults: Findings From the First Wave of the PATH Study (2013-2014).. American journal of preventive medicine; 2017;53:139.</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Adolescent,​Adult,​Aged,​Cross-Sectional Studies,​Electronic Nicotine Delivery Systems,​Female,​*Flavoring Agents,​Humans,​Male,​Middle Aged,​Multivariate Analysis,​Prevalence,​*Smoking Prevention/lj [Legislation &amp; Jurisprudence],​Tobacco Products/lj [Legislation &amp; Jurisprudence],​*Tobacco Products/ut [Utilization],​Tobacco Use Disorder/ep [Epidemiology],​*Tobacco Use Disorder/pc [Prevention &amp; Control],​United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2009 Family Smoking Prevention and Tobacco Control Act banned characterizing flavors other than menthol in cigarettes but did not restrict their use in other forms of tobacco (e.g.,​ smokeless,​ cigars,​ hookah,​ e-cigarettes).,​ METHODS: A cross-sectional analysis of Wave 1 data from 45,​971 U.S. adults and youth,​ aged &gt;=12 years in the Population Assessment of Tobacco and Health (PATH) Study collected in 2013-2014,​ was conducted in 2016. This study examined (1) the prevalence and reasons for use of flavored tobacco products; (2) the proportion of ever tobacco users reporting that their first product was flavored; and (3) correlates of current flavored tobacco product use.,​ RESULTS: Current flavored (including menthol) tobacco product use was highest in youth (80%,​ aged 12-17 years); and young adult tobacco users (73%,​ aged 18-24 years); and lowest in older adult tobacco users aged &gt;=65 years (29%). Flavor was a primary reason for using a given tobacco product,​ particularly among youth. Eighty-one percent of youth and 86% of young adult ever tobacco users reported that their first product was flavored versus 54% of adults aged &gt;=25 years. In multivariable models,​ reporting that one's first tobacco product was flavored was associated with a 13% higher prevalence of current tobacco use among youth ever tobacco users and a 32% higher prevalence of current tobacco use among adult ever users.,​ CONCLUSIONS: These results add to the evidence base that flavored tobacco products may attract young users and serve as starter products to regular tobacco use. Copyright © 2017 American Journal of Preventive Medicine. All rights reserved.</w:t>
            </w:r>
          </w:p>
        </w:tc>
      </w:tr>
      <w:tr w:rsidR="007F0AE0" w:rsidRPr="005762E6" w14:paraId="184335E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B402F5" w14:textId="77777777" w:rsidR="007F0AE0" w:rsidRPr="005762E6" w:rsidRDefault="007F0AE0" w:rsidP="00453DE3">
            <w:pPr>
              <w:spacing w:after="120" w:line="240" w:lineRule="auto"/>
              <w:contextualSpacing/>
              <w:rPr>
                <w:sz w:val="20"/>
                <w:szCs w:val="20"/>
              </w:rPr>
            </w:pPr>
            <w:r w:rsidRPr="005762E6">
              <w:rPr>
                <w:sz w:val="20"/>
                <w:szCs w:val="20"/>
              </w:rPr>
              <w:t>369</w:t>
            </w:r>
          </w:p>
        </w:tc>
        <w:tc>
          <w:tcPr>
            <w:tcW w:w="0" w:type="auto"/>
            <w:tcBorders>
              <w:top w:val="single" w:sz="6" w:space="0" w:color="auto"/>
              <w:left w:val="single" w:sz="6" w:space="0" w:color="auto"/>
              <w:bottom w:val="single" w:sz="6" w:space="0" w:color="auto"/>
              <w:right w:val="single" w:sz="6" w:space="0" w:color="auto"/>
            </w:tcBorders>
          </w:tcPr>
          <w:p w14:paraId="1CE2446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66DD44" w14:textId="77777777" w:rsidR="007F0AE0" w:rsidRPr="005762E6" w:rsidRDefault="007F0AE0" w:rsidP="00453DE3">
            <w:pPr>
              <w:spacing w:after="120" w:line="240" w:lineRule="auto"/>
              <w:contextualSpacing/>
              <w:rPr>
                <w:sz w:val="20"/>
                <w:szCs w:val="20"/>
              </w:rPr>
            </w:pPr>
            <w:r w:rsidRPr="005762E6">
              <w:rPr>
                <w:sz w:val="20"/>
                <w:szCs w:val="20"/>
              </w:rPr>
              <w:t>K Sterling,​ C Fryer,​ I Pagano,​ D Jones,​ P Fagan Association between menthol-flavoured cigarette smoking and flavoured little cigar and cigarillo use among African-American,​ Hispanic,​ and white young and middle-aged adult smokers.. Tobacco control; 2016;25:ii21.</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Data],​*Cigarette Smoking/ep [Epidemiology],​Cigarette Smoking/eh [Ethnology],​European Continental Ancestry Group/sn [Statistics &amp; Numerical Data],​Female,​</w:t>
            </w:r>
            <w:r w:rsidRPr="005762E6">
              <w:rPr>
                <w:sz w:val="20"/>
                <w:szCs w:val="20"/>
              </w:rPr>
              <w:lastRenderedPageBreak/>
              <w:t>*Flavoring Agents,​Hispanic Americans/sn [Statistics &amp; Numerical Data],​Humans,​Logistic Models,​Male,​*Menthol,​Smokers/sn [Statistics &amp; Numerical Data],​*Tobacco Products/sn [Statistics &amp; Numerical Data],​Vulnerable Populations/sn [Statistics &amp; Numerical Data],​Young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Flavour additives in cigarettes and little cigars and cigarillos (LCCs),​ which influence smokers' risk perceptions,​ may reinforce dual flavoured tobacco use. We examined the association among mentholated cigarette use,​ risk perceptions for flavour additives in LCCs and flavoured LCC smoking behaviour.,​ METHODS: Data from a national probability sample of 964 young and middle-aged adult current cigarette smokers were analysed. Multinomial logistic regression models examined the relationship among mentholated cigarette smoking,​ risk perceptions and current flavoured LCC use for the analytic sample and gender and race/ethnicity.,​ RESULTS: Daily menthol cigarette smokers,​ compared to occasional,​ non-menthol smokers,​ had increased odds of flavoured LCC smoking (OR=1.75,​ 95% CI 1.02 to 2.98). This relationship was found for males,​ blacks/African-Americans and Hispanics/Latinos (p&lt;0.05). Positive perceptions of menthol-flavoured additives in LCCs was associated with increased odds of flavoured LCC use among the analytic sample,​ males and blacks/African-Americans (p&lt;0.05). Positive perceptions for clove-flavoured,​ spice-flavoured and alcohol-flavoured additives were also associated with flavoured LCC use among the analytic sample (p&lt;0.05).,​ CONCLUSIONS: Use of menthol-flavoured cigarettes and positive perceptions about menthol-flavoured and other flavour additives in LCCs may contribute to dual use with flavoured LCCs among adult cigarette smokers,​ specifically those from vulnerable populations. Copyright Published by the BMJ Publishing Group Limited. For permission to use (where not already granted under a licence) please go to http://www.bmj.com/company/products-services/rights-and-licensing/.</w:t>
            </w:r>
          </w:p>
        </w:tc>
      </w:tr>
      <w:tr w:rsidR="007F0AE0" w:rsidRPr="005762E6" w14:paraId="03FB4A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768061" w14:textId="77777777" w:rsidR="007F0AE0" w:rsidRPr="005762E6" w:rsidRDefault="007F0AE0" w:rsidP="00453DE3">
            <w:pPr>
              <w:spacing w:after="120" w:line="240" w:lineRule="auto"/>
              <w:contextualSpacing/>
              <w:rPr>
                <w:sz w:val="20"/>
                <w:szCs w:val="20"/>
              </w:rPr>
            </w:pPr>
            <w:r w:rsidRPr="005762E6">
              <w:rPr>
                <w:sz w:val="20"/>
                <w:szCs w:val="20"/>
              </w:rPr>
              <w:lastRenderedPageBreak/>
              <w:t>376</w:t>
            </w:r>
          </w:p>
        </w:tc>
        <w:tc>
          <w:tcPr>
            <w:tcW w:w="0" w:type="auto"/>
            <w:tcBorders>
              <w:top w:val="single" w:sz="6" w:space="0" w:color="auto"/>
              <w:left w:val="single" w:sz="6" w:space="0" w:color="auto"/>
              <w:bottom w:val="single" w:sz="6" w:space="0" w:color="auto"/>
              <w:right w:val="single" w:sz="6" w:space="0" w:color="auto"/>
            </w:tcBorders>
          </w:tcPr>
          <w:p w14:paraId="0E27F75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476505" w14:textId="77777777" w:rsidR="007F0AE0" w:rsidRPr="005762E6" w:rsidRDefault="007F0AE0" w:rsidP="00453DE3">
            <w:pPr>
              <w:spacing w:after="120" w:line="240" w:lineRule="auto"/>
              <w:contextualSpacing/>
              <w:rPr>
                <w:sz w:val="20"/>
                <w:szCs w:val="20"/>
              </w:rPr>
            </w:pPr>
            <w:r w:rsidRPr="005762E6">
              <w:rPr>
                <w:sz w:val="20"/>
                <w:szCs w:val="20"/>
              </w:rPr>
              <w:t>P Clemmey,​ R Brooner,​ M A Chutuape,​ M Kidorf,​ M Stitzer Smoking habits and attitudes in a methadone maintenance treatment population.. Drug and alcohol dependence; 1997;44:123.</w:t>
            </w:r>
            <w:r w:rsidRPr="005762E6">
              <w:rPr>
                <w:sz w:val="20"/>
                <w:szCs w:val="20"/>
              </w:rPr>
              <w:br/>
            </w:r>
            <w:r w:rsidRPr="005762E6">
              <w:rPr>
                <w:sz w:val="20"/>
                <w:szCs w:val="20"/>
              </w:rPr>
              <w:br/>
            </w:r>
            <w:r w:rsidRPr="005762E6">
              <w:rPr>
                <w:b/>
                <w:bCs/>
                <w:sz w:val="20"/>
                <w:szCs w:val="20"/>
              </w:rPr>
              <w:t>Keywords:</w:t>
            </w:r>
            <w:r w:rsidRPr="005762E6">
              <w:rPr>
                <w:sz w:val="20"/>
                <w:szCs w:val="20"/>
              </w:rPr>
              <w:br/>
              <w:t>Adult,​Ambulatory Care,​*Attitude to Health,​Cohort Studies,​Comorbidity,​Female,​Heroin Dependence/px [Psychology],​*Heroin Dependence/rh [Rehabilitation],​Humans,​Male,​*Methadone/tu [Therapeutic Use],​Middle Aged,​Motivation,​Personality Inventory,​Smoking/ae [Adverse Effects],​*Smoking/px [Psychology],​*Smoking Cessation/px [Psychology],​Substance Abuse Detection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characterized smoking habits and attitudes about quitting in methadone maintenance treatment (MMT) patients,​ with attention to race and gender differences. Of 179 patients surveyed,​ 92% (n = 165) were current smokers. These patients reported smoking a mean of 24.8 cigarettes per day. Mean age at smoking initiation was 13.6 years with 53% starting at age 13 or younger. The mean Fagerstrom tolerance questionnaire (FTQ) score was 7.5. Blacks as compared to Whites smoked fewer cigarettes per day (21.6 versus 27.5),​ had lower expired CO levels (18.8 versus 21.6 ppm),​ but higher urinary cotinine levels (1812 versus 1419 ng/ml) and were more likely to smoke menthol cigarettes (95 versus 46%). Females scored higher than males on the FTQ measures of nicotine dependence (8.0 versus 7.2),​ and lower than males on a measure of quit smoking self-efficacy. Subjects in the sample as a whole were well aware of health risks of smoking,​ as indicated by high scores on health risk perception questions. Sixty-one percent (n = 110) of subjects planned to quit within the next 6 months,​ 57% were 'very interested' in an on-site quit smoking program and 80% expressed interest in using nicotine replacement products. Overall,​ these results indicate high rates of smoking in MMT patients,​ confirm within a drug abusing population prior findings of racial differences in smoking habits,​ and suggest that MMT patients are interested in quitting and in using nicotine replacement products. The data support feasibility of implementing smoking cessation treatments with this population in a setting that allows for convenient access to patients and close monitoring of progress.</w:t>
            </w:r>
          </w:p>
        </w:tc>
      </w:tr>
      <w:tr w:rsidR="007F0AE0" w:rsidRPr="005762E6" w14:paraId="2F7F1EE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54E1BD" w14:textId="77777777" w:rsidR="007F0AE0" w:rsidRPr="005762E6" w:rsidRDefault="007F0AE0" w:rsidP="00453DE3">
            <w:pPr>
              <w:spacing w:after="120" w:line="240" w:lineRule="auto"/>
              <w:contextualSpacing/>
              <w:rPr>
                <w:sz w:val="20"/>
                <w:szCs w:val="20"/>
              </w:rPr>
            </w:pPr>
            <w:r w:rsidRPr="005762E6">
              <w:rPr>
                <w:sz w:val="20"/>
                <w:szCs w:val="20"/>
              </w:rPr>
              <w:t>379</w:t>
            </w:r>
          </w:p>
        </w:tc>
        <w:tc>
          <w:tcPr>
            <w:tcW w:w="0" w:type="auto"/>
            <w:tcBorders>
              <w:top w:val="single" w:sz="6" w:space="0" w:color="auto"/>
              <w:left w:val="single" w:sz="6" w:space="0" w:color="auto"/>
              <w:bottom w:val="single" w:sz="6" w:space="0" w:color="auto"/>
              <w:right w:val="single" w:sz="6" w:space="0" w:color="auto"/>
            </w:tcBorders>
          </w:tcPr>
          <w:p w14:paraId="0564E3A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A7E6F43" w14:textId="77777777" w:rsidR="007F0AE0" w:rsidRPr="005762E6" w:rsidRDefault="007F0AE0" w:rsidP="00453DE3">
            <w:pPr>
              <w:spacing w:after="120" w:line="240" w:lineRule="auto"/>
              <w:contextualSpacing/>
              <w:rPr>
                <w:sz w:val="20"/>
                <w:szCs w:val="20"/>
              </w:rPr>
            </w:pPr>
            <w:r w:rsidRPr="005762E6">
              <w:rPr>
                <w:sz w:val="20"/>
                <w:szCs w:val="20"/>
              </w:rPr>
              <w:t>Nancy C Jao,​ Anna K Veluz-Wilkins,​ Matthew J Smith,​ Allison J Carroll,​ Sonja Blazekovic,​ Frank T Leone,​ Rachel F Tyndale,​ Robert A Schnoll,​ Brian Hitsman Does menthol cigarette use moderate the effect of nicotine metabolism on short-term smoking cessation?.. Experimental and clinical psychopharmacology; 2017;25:216.</w:t>
            </w:r>
            <w:r w:rsidRPr="005762E6">
              <w:rPr>
                <w:sz w:val="20"/>
                <w:szCs w:val="20"/>
              </w:rPr>
              <w:br/>
            </w:r>
            <w:r w:rsidRPr="005762E6">
              <w:rPr>
                <w:sz w:val="20"/>
                <w:szCs w:val="20"/>
              </w:rPr>
              <w:br/>
            </w:r>
            <w:r w:rsidRPr="005762E6">
              <w:rPr>
                <w:b/>
                <w:bCs/>
                <w:sz w:val="20"/>
                <w:szCs w:val="20"/>
              </w:rPr>
              <w:t>Keywords:</w:t>
            </w:r>
            <w:r w:rsidRPr="005762E6">
              <w:rPr>
                <w:sz w:val="20"/>
                <w:szCs w:val="20"/>
              </w:rPr>
              <w:br/>
              <w:t>Adult,​Female,​Humans,​Logistic Models,​Male,​Menthol/ch [Chemistry],​Middle Aged,​Nicotine/ad [Administration &amp; Dosage],​*Nicotine/me [Metabolism],​*Smoking Cessation/mt [Methods],​Smoking Prevention,​Time Factors,​Tobacco Products,​*Tobacco Use Cessation Products,​*Tobacco Use Disorder/rh [Rehabilitation]</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The nicotine metabolite ratio (NMR) has been shown to predict response to the transdermal nicotine patch,​ such that faster nicotine metabolism is associated with a lower abstinence rate. Menthol cigarette use,​ versus nonmenthol cigarette use,​ slows nicotine metabolism and therefore may attenuate the effect of NMR on smoking abstinence. In this study,​ we evaluated whether cigarette type (menthol vs. nonmenthol) modified the association between NMR and short-term abstinence. This was a secondary analysis examining treatment in the first 8 weeks of 21 mg/day nicotine patch therapy in a completed clinical trial (n = 474). Menthol cigarette use was based on self-report. NMR was defined dichotomously (0 = fast,​ 1 = slow) to distinguish between fast (&gt;=0.47) versus slow NMR. Using logistic regression analysis,​ we tested whether cigarette type moderated the association between NMR and bioverified 7-day point prevalence abstinence at Week 8. Covariates include nicotine dependence,​ age,​ race,​ and gender. Three hundred two participants reported smoking menthol cigarettes,​ of which 234 (77%) were classified as slow NMR. Among the 172 nonmenthol smokers,​ 136 were classified as slow NMR (79%). Contrary to our expectations,​ the NMR xCigarette Type interaction effect on abstinence was not significant (odds ratio [OR] = 0.91,​ p = .86). Excluding the interaction variable,​ fast NMR was associated with decreased likelihood of abstinence (OR = 0.55,​ p = .03),​ but menthol cigarette use was not (OR = 1.15,​ p = .56). Further exploration of risk factors among menthol cigarette smokers,​ especially among racially diverse and light smokers,​ could clarify the association between menthol cigarette use and poorer smoking outcomes. (PsycINFO Database Record Copyright (c) 2017 APA,​ all rights reserved).</w:t>
            </w:r>
          </w:p>
        </w:tc>
      </w:tr>
      <w:tr w:rsidR="007F0AE0" w:rsidRPr="005762E6" w14:paraId="7F9349B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D15B49" w14:textId="77777777" w:rsidR="007F0AE0" w:rsidRPr="005762E6" w:rsidRDefault="007F0AE0" w:rsidP="00453DE3">
            <w:pPr>
              <w:spacing w:after="120" w:line="240" w:lineRule="auto"/>
              <w:contextualSpacing/>
              <w:rPr>
                <w:sz w:val="20"/>
                <w:szCs w:val="20"/>
              </w:rPr>
            </w:pPr>
            <w:r w:rsidRPr="005762E6">
              <w:rPr>
                <w:sz w:val="20"/>
                <w:szCs w:val="20"/>
              </w:rPr>
              <w:lastRenderedPageBreak/>
              <w:t>380</w:t>
            </w:r>
          </w:p>
        </w:tc>
        <w:tc>
          <w:tcPr>
            <w:tcW w:w="0" w:type="auto"/>
            <w:tcBorders>
              <w:top w:val="single" w:sz="6" w:space="0" w:color="auto"/>
              <w:left w:val="single" w:sz="6" w:space="0" w:color="auto"/>
              <w:bottom w:val="single" w:sz="6" w:space="0" w:color="auto"/>
              <w:right w:val="single" w:sz="6" w:space="0" w:color="auto"/>
            </w:tcBorders>
          </w:tcPr>
          <w:p w14:paraId="0CA7D16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D19BDCE" w14:textId="77777777" w:rsidR="007F0AE0" w:rsidRPr="005762E6" w:rsidRDefault="007F0AE0" w:rsidP="00453DE3">
            <w:pPr>
              <w:spacing w:after="120" w:line="240" w:lineRule="auto"/>
              <w:contextualSpacing/>
              <w:rPr>
                <w:sz w:val="20"/>
                <w:szCs w:val="20"/>
              </w:rPr>
            </w:pPr>
            <w:r w:rsidRPr="005762E6">
              <w:rPr>
                <w:sz w:val="20"/>
                <w:szCs w:val="20"/>
              </w:rPr>
              <w:t>N H Caskey,​ M E Jarvik,​ W J McCarthy,​ M R Rosenblatt,​ T M Gross,​ C L Carpenter Rapid smoking of menthol and nonmenthol cigarettes by black and white smokers.. Pharmacology,​ biochemistry,​ and behavior; 1993;46:259.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Group,​Blood Pressure/de [Drug Effects],​Carbon Monoxide/bl [Blood],​European Continental Ancestry Group,​Female,​Heart Rate/de [Drug Effects],​Humans,​Male,​*Menthol/pd [Pharmacology],​Smoking/pp [Physiopathology],​*Smoking/px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White subjects took significantly more puffs of cigarette smoke before stopping than did black subjects in a modified,​ controlled-dose rapid smoking procedure. Paradoxically,​ however,​ no racial differences were detected for changes in carbon monoxide levels,​ or changes in cardiovascular variables (systolic and diastolic blood pressure,​ and heart rate). Due to the cooling and topical anesthetic properties of menthol,​ it was hypothesized that menthol and regular cigarette smokers would take more puffs from menthol cigarettes than from regular cigarettes before stopping in the controlled-dose rapid smoking procedure. However,​ no difference was observed for the number of puffs taken from regular as opposed to menthol cigarettes (cigarette type condition) and no differences were found for Cigarette Preference (regular smokers vs. menthol smokers).</w:t>
            </w:r>
          </w:p>
        </w:tc>
      </w:tr>
      <w:tr w:rsidR="007F0AE0" w:rsidRPr="005762E6" w14:paraId="6B9345A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07F24E7" w14:textId="77777777" w:rsidR="007F0AE0" w:rsidRPr="005762E6" w:rsidRDefault="007F0AE0" w:rsidP="00453DE3">
            <w:pPr>
              <w:spacing w:after="120" w:line="240" w:lineRule="auto"/>
              <w:contextualSpacing/>
              <w:rPr>
                <w:sz w:val="20"/>
                <w:szCs w:val="20"/>
              </w:rPr>
            </w:pPr>
            <w:r w:rsidRPr="005762E6">
              <w:rPr>
                <w:sz w:val="20"/>
                <w:szCs w:val="20"/>
              </w:rPr>
              <w:t>381</w:t>
            </w:r>
          </w:p>
        </w:tc>
        <w:tc>
          <w:tcPr>
            <w:tcW w:w="0" w:type="auto"/>
            <w:tcBorders>
              <w:top w:val="single" w:sz="6" w:space="0" w:color="auto"/>
              <w:left w:val="single" w:sz="6" w:space="0" w:color="auto"/>
              <w:bottom w:val="single" w:sz="6" w:space="0" w:color="auto"/>
              <w:right w:val="single" w:sz="6" w:space="0" w:color="auto"/>
            </w:tcBorders>
          </w:tcPr>
          <w:p w14:paraId="38B799D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695CAD5" w14:textId="77777777" w:rsidR="007F0AE0" w:rsidRPr="005762E6" w:rsidRDefault="007F0AE0" w:rsidP="00453DE3">
            <w:pPr>
              <w:spacing w:after="120" w:line="240" w:lineRule="auto"/>
              <w:contextualSpacing/>
              <w:rPr>
                <w:sz w:val="20"/>
                <w:szCs w:val="20"/>
              </w:rPr>
            </w:pPr>
            <w:r w:rsidRPr="005762E6">
              <w:rPr>
                <w:sz w:val="20"/>
                <w:szCs w:val="20"/>
              </w:rPr>
              <w:t>Seoung Ju Park,​ Marilyn G Foreman,​ Dawn L Demeo,​ Surya P Bhatt,​ Nadia N Hansel,​ Robert A Wise,​ Xavier Soler,​ Russell P Bowler Menthol cigarette smoking in the COPDGene cohort: relationship with COPD,​ comorbidities and CT metrics.. Respirology (Carlton,​ Vic.); 2015;20:108.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Americans,​Age Factors,​Aged,​Comorbidity,​Disease Progression,​Female,​Humans,​Longitudinal Studies,​Male,​*Menthol,​Middle Aged,​Odds Ratio,​Pulmonary Disease,​ Chronic Obstructive/ep [Epidemiology],​Pulmonary Disease,​ Chronic Obstructive/et [Etiology],​Pulmonary Disease,​ Chronic Obstructive/pp [Physiopathology],​*Pulmonary Disease,​ Chronic Obstructive,​Risk Factors,​Smoking/ae [Adverse Effects],​Smoking/eh [Ethnology],​*Smoking,​*Tobacco Products,​Tomography,​ X-Ray Computed/mt [Methods],​United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AND OBJECTIVE: Menthol cigarettes contain higher levels of menthol to produce a characteristic mint flavour and cooling sensation. Compared with non-menthol cigarettes,​ little information exists on the effects of menthol cigarette smoking on clinical and radiological characteristics of chronic obstructive pulmonary disease (COPD). The main objective of the present study was to examine associations between menthol cigarette use and the risk of COPD and its characteristics,​ such as exacerbation,​ comorbidities and computed tomography (CT) abnormalities.,​ METHODS: We analysed the data from 5699 current smokers in the COPDGene cohort to evaluate whether lung function,​ comorbidities,​ exacerbations and CT parameters were different between menthol and non-menthol cigarette smokers.,​ RESULTS: There were 3758 (65.9%) who </w:t>
            </w:r>
            <w:r w:rsidRPr="005762E6">
              <w:rPr>
                <w:sz w:val="20"/>
                <w:szCs w:val="20"/>
              </w:rPr>
              <w:lastRenderedPageBreak/>
              <w:t>reported use of menthol cigarettes. Multivariable regression analysis revealed that younger age,​ female gender and African-American ethnicity were significantly associated with smoking of menthol cigarettes. No significant associations were found between menthol cigarette use and COPD,​ major CT findings or comorbidities,​ such as cardiovascular disease,​ congestive heart failure,​ peripheral vascular disease,​ cerebrovascular disease,​ hypertension,​ diabetes,​ gastro-oesophageal reflux and osteoporosis; however,​ menthol cigarette smokers were more likely to experience a severe exacerbation of COPD during longitudinal follow-up (odds ratio 1.29; 95% confidence interval: 1.01-1.54) compared with the non-menthol cigarette smokers.,​ CONCLUSIONS: These results confirm that menthol cigarettes are not safer than traditional cigarettes and suggest that menthol cigarette smokers may have more frequent severe exacerbations than non-menthol cigarette smokers. Copyright © 2014 Asian Pacific Society of Respirology.</w:t>
            </w:r>
          </w:p>
        </w:tc>
      </w:tr>
      <w:tr w:rsidR="007F0AE0" w:rsidRPr="005762E6" w14:paraId="5FE7255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E36C96" w14:textId="77777777" w:rsidR="007F0AE0" w:rsidRPr="005762E6" w:rsidRDefault="007F0AE0" w:rsidP="00453DE3">
            <w:pPr>
              <w:spacing w:after="120" w:line="240" w:lineRule="auto"/>
              <w:contextualSpacing/>
              <w:rPr>
                <w:sz w:val="20"/>
                <w:szCs w:val="20"/>
              </w:rPr>
            </w:pPr>
            <w:r w:rsidRPr="005762E6">
              <w:rPr>
                <w:sz w:val="20"/>
                <w:szCs w:val="20"/>
              </w:rPr>
              <w:lastRenderedPageBreak/>
              <w:t>382</w:t>
            </w:r>
          </w:p>
        </w:tc>
        <w:tc>
          <w:tcPr>
            <w:tcW w:w="0" w:type="auto"/>
            <w:tcBorders>
              <w:top w:val="single" w:sz="6" w:space="0" w:color="auto"/>
              <w:left w:val="single" w:sz="6" w:space="0" w:color="auto"/>
              <w:bottom w:val="single" w:sz="6" w:space="0" w:color="auto"/>
              <w:right w:val="single" w:sz="6" w:space="0" w:color="auto"/>
            </w:tcBorders>
          </w:tcPr>
          <w:p w14:paraId="2EC97F6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3293BC8" w14:textId="77777777" w:rsidR="007F0AE0" w:rsidRPr="005762E6" w:rsidRDefault="007F0AE0" w:rsidP="00453DE3">
            <w:pPr>
              <w:spacing w:after="120" w:line="240" w:lineRule="auto"/>
              <w:contextualSpacing/>
              <w:rPr>
                <w:sz w:val="20"/>
                <w:szCs w:val="20"/>
              </w:rPr>
            </w:pPr>
            <w:r w:rsidRPr="005762E6">
              <w:rPr>
                <w:sz w:val="20"/>
                <w:szCs w:val="20"/>
              </w:rPr>
              <w:t>Stevens S Smith,​ Michael C Fiore,​ Timothy B Baker Smoking cessation in smokers who smoke menthol and non-menthol cigarettes.. Addiction (Abingdon,​ England); 2014;109:2107.</w:t>
            </w:r>
            <w:r w:rsidRPr="005762E6">
              <w:rPr>
                <w:sz w:val="20"/>
                <w:szCs w:val="20"/>
              </w:rPr>
              <w:br/>
            </w:r>
            <w:r w:rsidRPr="005762E6">
              <w:rPr>
                <w:sz w:val="20"/>
                <w:szCs w:val="20"/>
              </w:rPr>
              <w:br/>
            </w:r>
            <w:r w:rsidRPr="005762E6">
              <w:rPr>
                <w:b/>
                <w:bCs/>
                <w:sz w:val="20"/>
                <w:szCs w:val="20"/>
              </w:rPr>
              <w:t>Keywords:</w:t>
            </w:r>
            <w:r w:rsidRPr="005762E6">
              <w:rPr>
                <w:sz w:val="20"/>
                <w:szCs w:val="20"/>
              </w:rPr>
              <w:br/>
              <w:t>Administration,​ Cutaneous,​Adult,​Bupropion/ad [Administration &amp; Dosage],​Combined Modality Therapy,​Counseling,​Double-Blind Method,​Drug Therapy,​ Combination,​History,​ 15th Century,​Humans,​Longitudinal Studies,​Male,​*Menthol,​Nicotine/ad [Administration &amp; Dosage],​Sex Factors,​*Smoking Cessation/mt [Methods],​*Smoking Cessation/sn [Statistics &amp; Numerical Data],​*Tobacco Products,​Tobacco Use Cessation Products,​Treatment Failure,​Treatment Outcome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To assess the relations of menthol cigarette use with measures of cessation success in a large comparative effectiveness trial (CET).,​ DESIGN: Participants were randomized to one of six medication treatment conditions in a randomized double-blind,​ placebo-controlled clinical trial. All participants received six individual counseling sessions.,​ SETTING: Community-based smokers in two communities in Wisconsin,​ USA.,​ PARTICIPANTS: A total of 1504 adult smokers who smoked at least 10 cigarettes per day during the past 6 months and reported being motivated to quit smoking. The analysis sample comprised 1439 participants: 814 white non-menthol smokers,​ 439 white menthol smokers and 186 African American (AA) menthol smokers. There were too few AA non-menthol smokers (n = 16) to be included in the analyses.,​ INTERVENTIONS: Nicotine lozenge,​ nicotine patch,​ bupropion sustained release,​ nicotine patch + nicotine lozenge,​ bupropion + nicotine lozenge and placebo.,​ MEASUREMENTS: Biochemically confirmed 7-day point-prevalence abstinence assessed at 4,​ 8 and 26 weeks post-quit.,​ FINDINGS: In longitudinal abstinence analyses (generalized estimating equations) controlling for cessation treatment,​ menthol smoking was associated with reduced likelihood of smoking cessation success relative to non-menthol smoking [model-based estimates of abstinence = 31 versus 38%,​ respectively; odds ratio (OR) = 0.71,​ 95% confidence interval (CI) = 0.59,​ 0.86]. In addition,​ among menthol smokers,​ AA women were at especially high risk of cessation failure relative to white women (estimated abstinence = 17 versus 35%,​ respectively; OR = 2.63,​ 95% CI = 1.75,​ 3.96; estimated abstinence rates for AA males and white males were both 30%,​ OR = 1.06,​ 95% CI = 0.60,​ 1.66).,​ CONCLUSION: In the United States,​ smoking menthol cigarettes appears to be associated with reduced cessation success compared with non-menthol smoking,​ especially in African American females. Copyright © 2014 Society for the Study of Addiction.</w:t>
            </w:r>
          </w:p>
        </w:tc>
      </w:tr>
      <w:tr w:rsidR="007F0AE0" w:rsidRPr="005762E6" w14:paraId="510F8A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8FA770" w14:textId="77777777" w:rsidR="007F0AE0" w:rsidRPr="005762E6" w:rsidRDefault="007F0AE0" w:rsidP="00453DE3">
            <w:pPr>
              <w:spacing w:after="120" w:line="240" w:lineRule="auto"/>
              <w:contextualSpacing/>
              <w:rPr>
                <w:sz w:val="20"/>
                <w:szCs w:val="20"/>
              </w:rPr>
            </w:pPr>
            <w:r w:rsidRPr="005762E6">
              <w:rPr>
                <w:sz w:val="20"/>
                <w:szCs w:val="20"/>
              </w:rPr>
              <w:t>384</w:t>
            </w:r>
          </w:p>
        </w:tc>
        <w:tc>
          <w:tcPr>
            <w:tcW w:w="0" w:type="auto"/>
            <w:tcBorders>
              <w:top w:val="single" w:sz="6" w:space="0" w:color="auto"/>
              <w:left w:val="single" w:sz="6" w:space="0" w:color="auto"/>
              <w:bottom w:val="single" w:sz="6" w:space="0" w:color="auto"/>
              <w:right w:val="single" w:sz="6" w:space="0" w:color="auto"/>
            </w:tcBorders>
          </w:tcPr>
          <w:p w14:paraId="3F174CB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BE66722" w14:textId="77777777" w:rsidR="007F0AE0" w:rsidRPr="005762E6" w:rsidRDefault="007F0AE0" w:rsidP="00453DE3">
            <w:pPr>
              <w:spacing w:after="120" w:line="240" w:lineRule="auto"/>
              <w:contextualSpacing/>
              <w:rPr>
                <w:sz w:val="20"/>
                <w:szCs w:val="20"/>
              </w:rPr>
            </w:pPr>
            <w:r w:rsidRPr="005762E6">
              <w:rPr>
                <w:sz w:val="20"/>
                <w:szCs w:val="20"/>
              </w:rPr>
              <w:t>Christine Muench,​ Laura M Juliano Predictors of smoking lapse during a 48-hour laboratory analogue smoking cessation attempt.. Psychology of addictive behaviors : journal of the Society of Psychologists in Addictive Behaviors; 2017;31:415.</w:t>
            </w:r>
            <w:r w:rsidRPr="005762E6">
              <w:rPr>
                <w:sz w:val="20"/>
                <w:szCs w:val="20"/>
              </w:rPr>
              <w:br/>
            </w:r>
            <w:r w:rsidRPr="005762E6">
              <w:rPr>
                <w:sz w:val="20"/>
                <w:szCs w:val="20"/>
              </w:rPr>
              <w:br/>
            </w:r>
            <w:r w:rsidRPr="005762E6">
              <w:rPr>
                <w:b/>
                <w:bCs/>
                <w:sz w:val="20"/>
                <w:szCs w:val="20"/>
              </w:rPr>
              <w:t>Keywords:</w:t>
            </w:r>
            <w:r w:rsidRPr="005762E6">
              <w:rPr>
                <w:sz w:val="20"/>
                <w:szCs w:val="20"/>
              </w:rPr>
              <w:br/>
              <w:t>Adult,​*Counseling,​Delay Discounting,​Female,​Humans,​Male,​Middle Aged,​Motivation,​Recurrence,​Self-Efficacy,​*Smoking/px [Psychology],​*Smoking Cessation/px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Many individuals who attempt to quit smoking experience a smoking lapse early on in the quitting process,​ with most lapses resulting in a return to regular smoking. Using a novel laboratory model,​ this study sought to investigate baseline predictors of smoking lapse during a brief,​ simulated smoking quit attempt. Self-report baseline measures were completed by 81 smokers,​ who also smoked a cigarette in the laboratory to equate recent smoke exposure. Participants were then given brief face-to-face smoking-cessation counseling along with monetary incentives to abstain from smoking for 48 hr (i.e.,​ ). Participants returned to the laboratory after 24 hr and 48 hr for assessment of smoking behavior. By 48 hr,​ 25 participants lapsed,​ with rates equivalent </w:t>
            </w:r>
            <w:r w:rsidRPr="005762E6">
              <w:rPr>
                <w:sz w:val="20"/>
                <w:szCs w:val="20"/>
              </w:rPr>
              <w:lastRenderedPageBreak/>
              <w:t>among men and women (31% vs. 31%). Higher rates of delay discounting and a preference for menthol cigarettes significantly predicted greater odds of lapsing. Shorter time to first cigarette after waking (TTFC) was associated with greater lapse risk at trend levels. No effects were observed for demographic variables,​ cigarettes per day,​ prequit abstinence self-efficacy,​ or depressive symptoms. Future research examining predictors of early lapse and underlying mechanisms is needed,​ and laboratory analogue models offer a controlled time- and cost-effective framework in which to investigate smoking cessation processes. (PsycINFO Database Record Copyright (c) 2017 APA,​ all rights reserved).</w:t>
            </w:r>
          </w:p>
        </w:tc>
      </w:tr>
      <w:tr w:rsidR="007F0AE0" w:rsidRPr="005762E6" w14:paraId="5BEEA92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30C528" w14:textId="77777777" w:rsidR="007F0AE0" w:rsidRPr="005762E6" w:rsidRDefault="007F0AE0" w:rsidP="00453DE3">
            <w:pPr>
              <w:spacing w:after="120" w:line="240" w:lineRule="auto"/>
              <w:contextualSpacing/>
              <w:rPr>
                <w:sz w:val="20"/>
                <w:szCs w:val="20"/>
              </w:rPr>
            </w:pPr>
            <w:r w:rsidRPr="005762E6">
              <w:rPr>
                <w:sz w:val="20"/>
                <w:szCs w:val="20"/>
              </w:rPr>
              <w:lastRenderedPageBreak/>
              <w:t>385</w:t>
            </w:r>
          </w:p>
        </w:tc>
        <w:tc>
          <w:tcPr>
            <w:tcW w:w="0" w:type="auto"/>
            <w:tcBorders>
              <w:top w:val="single" w:sz="6" w:space="0" w:color="auto"/>
              <w:left w:val="single" w:sz="6" w:space="0" w:color="auto"/>
              <w:bottom w:val="single" w:sz="6" w:space="0" w:color="auto"/>
              <w:right w:val="single" w:sz="6" w:space="0" w:color="auto"/>
            </w:tcBorders>
          </w:tcPr>
          <w:p w14:paraId="5608699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C7D2CC" w14:textId="77777777" w:rsidR="007F0AE0" w:rsidRPr="005762E6" w:rsidRDefault="007F0AE0" w:rsidP="00453DE3">
            <w:pPr>
              <w:spacing w:after="120" w:line="240" w:lineRule="auto"/>
              <w:contextualSpacing/>
              <w:rPr>
                <w:sz w:val="20"/>
                <w:szCs w:val="20"/>
              </w:rPr>
            </w:pPr>
            <w:r w:rsidRPr="005762E6">
              <w:rPr>
                <w:sz w:val="20"/>
                <w:szCs w:val="20"/>
              </w:rPr>
              <w:t>Pamela Valera,​ F Joseph McClernon,​ Greer Burkholder,​ Michael J Mugavero,​ James Willig,​ Conall O'Cleirigh,​ Karen L Cropsey A Pilot Trial Examining African American and White Responses to Algorithm-Guided Smoking Cessation Medication Selection in Persons Living with HIV.. AIDS and behavior; 2017;21:1975.</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Americans,​*Algorithms,​Antidepressive Agents,​ Second-Generation/tu [Therapeutic Use],​Bupropion/tu [Therapeutic Use],​Counseling,​*European Continental Ancestry Group,​Female,​*HIV Infections/ep [Epidemiology],​Humans,​Male,​Middle Aged,​Nicotinic Agonists/tu [Therapeutic Use],​Pilot Projects,​Smoking/ep [Epidemiology],​*Smoking/th [Therapy],​Smoking Cessation/eh [Ethnology],​*Smoking Cessation/mt [Methods],​Tobacco Use Cessation Products,​Treatment Outcome,​Varenicline/tu [Therapeutic Use]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Algorithm-based treatments (AT) may be an effective clinical tool to aid HIV clinicians in prescribing pharmacotherapy to increase smoking cessation among people living with HIV (PLWH). Initial results from AT indicated significant increases in abstinence self-efficacy and medication utilization and declines in cigarettes smoked per day across time. Given historical racial disparities,​ it is unclear if both African Americans and White smokers would benefit equally from this type of intervention. Thus,​ the aim of this study was to examine racial differences in response to AT guided smoking cessation for African American and White smokers living with HIV. One hundred PLWH smokers (n = 100) were randomized to receive either AT guided smoking cessation or Treatment as Usual (TAU) which consisted of instructing participants to talk to a provider about smoking cessation assistance when ready to make a quit attempt. Participants were African American (75%) and White (25%) and majority men (71%) who had never been married (56%). African Americans smoked fewer cigarettes and were more likely to smoke mentholated cigarettes compared to White smokers at baseline. African Americans increased their use of other tobacco products (cigars/cigarillos) over time relative to White smokers. A significant interaction between race and quit goal was observed,​ with White smokers who reported complete abstinence as their goal having higher quit rates,​ while African Americans who reported a goal other than complete abstinence demonstrating higher quit rates. The increased use of cigars/cigarillos during quit attempts as well as having a goal other than complete abstinence should be considered when applying algorithm based interventions for PLWH African American smokers.</w:t>
            </w:r>
          </w:p>
        </w:tc>
      </w:tr>
      <w:tr w:rsidR="007F0AE0" w:rsidRPr="005762E6" w14:paraId="4BE182B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DDB7310" w14:textId="77777777" w:rsidR="007F0AE0" w:rsidRPr="005762E6" w:rsidRDefault="007F0AE0" w:rsidP="00453DE3">
            <w:pPr>
              <w:spacing w:after="120" w:line="240" w:lineRule="auto"/>
              <w:contextualSpacing/>
              <w:rPr>
                <w:sz w:val="20"/>
                <w:szCs w:val="20"/>
              </w:rPr>
            </w:pPr>
            <w:r w:rsidRPr="005762E6">
              <w:rPr>
                <w:sz w:val="20"/>
                <w:szCs w:val="20"/>
              </w:rPr>
              <w:t>387</w:t>
            </w:r>
          </w:p>
        </w:tc>
        <w:tc>
          <w:tcPr>
            <w:tcW w:w="0" w:type="auto"/>
            <w:tcBorders>
              <w:top w:val="single" w:sz="6" w:space="0" w:color="auto"/>
              <w:left w:val="single" w:sz="6" w:space="0" w:color="auto"/>
              <w:bottom w:val="single" w:sz="6" w:space="0" w:color="auto"/>
              <w:right w:val="single" w:sz="6" w:space="0" w:color="auto"/>
            </w:tcBorders>
          </w:tcPr>
          <w:p w14:paraId="16DA145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74C0ED3" w14:textId="77777777" w:rsidR="007F0AE0" w:rsidRPr="005762E6" w:rsidRDefault="007F0AE0" w:rsidP="00453DE3">
            <w:pPr>
              <w:spacing w:after="120" w:line="240" w:lineRule="auto"/>
              <w:contextualSpacing/>
              <w:rPr>
                <w:sz w:val="20"/>
                <w:szCs w:val="20"/>
              </w:rPr>
            </w:pPr>
            <w:r w:rsidRPr="005762E6">
              <w:rPr>
                <w:sz w:val="20"/>
                <w:szCs w:val="20"/>
              </w:rPr>
              <w:t>Charles J Courtemanche,​ Makayla K Palmer,​ Michael F Pesko Influence of the Flavored Cigarette Ban on Adolescent Tobacco Use.. American journal of preventive medicine; 2017;52:e139.</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Behavior,​Cross-Sectional Studies,​Databases,​ Factual,​Female,​*Flavoring Agents,​Humans,​Incidence,​Logistic Models,​Male,​Risk Assessment,​*Smoking/ae [Adverse Effects],​Smoking/lj [Legislation &amp; Jurisprudence],​*Smoking Cessation/lj [Legislation &amp; Jurisprudence],​Students/px [Psychology],​Tobacco Products/ae [Adverse Effects],​*Tobacco Products/lj [Legislation &amp; Jurisprudence],​Tobacco,​ Smokeless/lj [Legislation &amp; Jurisprudence],​United States,​United States Food and Drug Administration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This paper estimated the association between the U.S. Food and Drug Administration's 2009 ban on flavored cigarettes (which did not apply to menthol cigarettes or tobacco products besides cigarettes) and adolescents' tobacco use.,​ METHODS: Regression modeling was used to evaluate tobacco use before and after the ban. The analyses controlled for a quadratic time trend,​ demographic variables,​ prices of cigarettes and other tobacco products,​ and teenage unemployment rate. Data from the 1999-2013 National Youth Tobacco Surveys were collected and analyzed in 2016. The sample included 197,​834 middle and high schoolers. Outcomes were past 30-day cigarette use; cigarettes smoked in the past 30 days among smokers; rate of menthol cigarette use among smokers; and past 30-day use of cigars,​ smokeless tobacco,​ pipes,​ any tobacco products besides cigarettes,​ and any tobacco products including cigarettes.,​ RESULTS: Banning flavored cigarettes </w:t>
            </w:r>
            <w:r w:rsidRPr="005762E6">
              <w:rPr>
                <w:sz w:val="20"/>
                <w:szCs w:val="20"/>
              </w:rPr>
              <w:lastRenderedPageBreak/>
              <w:t>was associated with reductions in the probability of being a cigarette smoker (17%,​ p&lt;0.001) and cigarettes smoked by smokers (58%,​ p=0.005). However,​ the ban was positively associated with the use by smokers of menthol cigarettes (45%,​ p&lt;0.001),​ cigars (34%,​ p&lt;0.001),​ and pipes (55%,​ p&lt;0.001),​ implying substitution toward the remaining legal flavored tobacco products. Despite increases in some forms of tobacco,​ overall there was a 6% (p&lt;0.001) reduction in the probability of using any tobacco.,​ CONCLUSIONS: The results suggest the 2009 flavored cigarette ban did achieve its objective of reducing adolescent tobacco use,​ but effects were likely diminished by the continued availability of menthol cigarettes and other flavored tobacco products. Copyright © 2017 American Journal of Preventive Medicine. Published by Elsevier Inc. All rights reserved.</w:t>
            </w:r>
          </w:p>
        </w:tc>
      </w:tr>
      <w:tr w:rsidR="007F0AE0" w:rsidRPr="005762E6" w14:paraId="21EA40A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60FDC0" w14:textId="77777777" w:rsidR="007F0AE0" w:rsidRPr="005762E6" w:rsidRDefault="007F0AE0" w:rsidP="00453DE3">
            <w:pPr>
              <w:spacing w:after="120" w:line="240" w:lineRule="auto"/>
              <w:contextualSpacing/>
              <w:rPr>
                <w:sz w:val="20"/>
                <w:szCs w:val="20"/>
              </w:rPr>
            </w:pPr>
            <w:r w:rsidRPr="005762E6">
              <w:rPr>
                <w:sz w:val="20"/>
                <w:szCs w:val="20"/>
              </w:rPr>
              <w:lastRenderedPageBreak/>
              <w:t>389</w:t>
            </w:r>
          </w:p>
        </w:tc>
        <w:tc>
          <w:tcPr>
            <w:tcW w:w="0" w:type="auto"/>
            <w:tcBorders>
              <w:top w:val="single" w:sz="6" w:space="0" w:color="auto"/>
              <w:left w:val="single" w:sz="6" w:space="0" w:color="auto"/>
              <w:bottom w:val="single" w:sz="6" w:space="0" w:color="auto"/>
              <w:right w:val="single" w:sz="6" w:space="0" w:color="auto"/>
            </w:tcBorders>
          </w:tcPr>
          <w:p w14:paraId="14F382F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F4443A" w14:textId="77777777" w:rsidR="007F0AE0" w:rsidRPr="005762E6" w:rsidRDefault="007F0AE0" w:rsidP="00453DE3">
            <w:pPr>
              <w:spacing w:after="120" w:line="240" w:lineRule="auto"/>
              <w:contextualSpacing/>
              <w:rPr>
                <w:sz w:val="20"/>
                <w:szCs w:val="20"/>
              </w:rPr>
            </w:pPr>
            <w:r w:rsidRPr="005762E6">
              <w:rPr>
                <w:sz w:val="20"/>
                <w:szCs w:val="20"/>
              </w:rPr>
              <w:t>Arnab Mukherjea,​ Olivia A Wackowski,​ Youn Ok Lee,​ Cristine D Delnevo Asian American,​ Native Hawaiian and Pacific Islander tobacco use patterns.. American journal of health behavior; 2014;38:362.</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Adolescent,​Adult,​Aged,​*Asian Americans,​Female,​Hawaii/eh [Ethnology],​Humans,​Male,​Middle Aged,​*Oceanic Ancestry Group,​Pacific Islands/eh [Ethnology],​Smoking/eh [Ethnology],​*Tobacco Use/eh [Ethnology],​Young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To provide a national depiction of Asian American (AA) and Native Hawaiian/Pacific Islander (NHPI) tobacco use and highlight considerations for targeted interventions.,​ METHODS: We analyzed data from the 2009-2010 National Adult Tobacco Survey for subgroup differences in prevalence and consumption of various tobacco products.,​ RESULTS: Use varies considerably by ethnic subgroups for cigarette smoking (including menthol) and other forms of tobacco. Despite being lighter,​ less frequent,​ and seemingly less dependent smokers,​ AANHPIs had similar quit ratios as non-AANHPIs.,​ CONCLUSIONS: AA and NHPI disparities in tobacco use may be due to underutilization of cessation resources,​ including those for non-cigarette tobacco products,​ and lack of availability of culturally-appropriate resources. Community-based and regulatory approaches should be employed to reduce use of all tobacco products,​ especially among high prevalence subgroups.</w:t>
            </w:r>
          </w:p>
        </w:tc>
      </w:tr>
      <w:tr w:rsidR="007F0AE0" w:rsidRPr="005762E6" w14:paraId="51F4C3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BE5F58" w14:textId="77777777" w:rsidR="007F0AE0" w:rsidRPr="005762E6" w:rsidRDefault="007F0AE0" w:rsidP="00453DE3">
            <w:pPr>
              <w:spacing w:after="120" w:line="240" w:lineRule="auto"/>
              <w:contextualSpacing/>
              <w:rPr>
                <w:sz w:val="20"/>
                <w:szCs w:val="20"/>
              </w:rPr>
            </w:pPr>
            <w:r w:rsidRPr="005762E6">
              <w:rPr>
                <w:sz w:val="20"/>
                <w:szCs w:val="20"/>
              </w:rPr>
              <w:t>390</w:t>
            </w:r>
          </w:p>
        </w:tc>
        <w:tc>
          <w:tcPr>
            <w:tcW w:w="0" w:type="auto"/>
            <w:tcBorders>
              <w:top w:val="single" w:sz="6" w:space="0" w:color="auto"/>
              <w:left w:val="single" w:sz="6" w:space="0" w:color="auto"/>
              <w:bottom w:val="single" w:sz="6" w:space="0" w:color="auto"/>
              <w:right w:val="single" w:sz="6" w:space="0" w:color="auto"/>
            </w:tcBorders>
          </w:tcPr>
          <w:p w14:paraId="4C5C7A4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2CCB2D1" w14:textId="77777777" w:rsidR="007F0AE0" w:rsidRPr="005762E6" w:rsidRDefault="007F0AE0" w:rsidP="00453DE3">
            <w:pPr>
              <w:spacing w:after="120" w:line="240" w:lineRule="auto"/>
              <w:contextualSpacing/>
              <w:rPr>
                <w:sz w:val="20"/>
                <w:szCs w:val="20"/>
              </w:rPr>
            </w:pPr>
            <w:r w:rsidRPr="005762E6">
              <w:rPr>
                <w:sz w:val="20"/>
                <w:szCs w:val="20"/>
              </w:rPr>
              <w:t>Ping-Ching Hsu,​ Renny S Lan,​ Theodore M Brasky,​ Catalin Marian,​ Amrita K Cheema,​ Habtom W Ressom,​ Christopher A Loffredo,​ Wallace B Pickworth,​ Peter G Shields Menthol Smokers: Metabolomic Profiling and Smoking Behavior.. Cancer epidemiology,​ biomarkers &amp; prevention : a publication of the American Association for Cancer Research,​ cosponsored by the American Society of Preventive Oncology; 2017;26:51.</w:t>
            </w:r>
            <w:r w:rsidRPr="005762E6">
              <w:rPr>
                <w:sz w:val="20"/>
                <w:szCs w:val="20"/>
              </w:rPr>
              <w:br/>
            </w:r>
            <w:r w:rsidRPr="005762E6">
              <w:rPr>
                <w:sz w:val="20"/>
                <w:szCs w:val="20"/>
              </w:rPr>
              <w:br/>
            </w:r>
            <w:r w:rsidRPr="005762E6">
              <w:rPr>
                <w:b/>
                <w:bCs/>
                <w:sz w:val="20"/>
                <w:szCs w:val="20"/>
              </w:rPr>
              <w:t>Keywords:</w:t>
            </w:r>
            <w:r w:rsidRPr="005762E6">
              <w:rPr>
                <w:sz w:val="20"/>
                <w:szCs w:val="20"/>
              </w:rPr>
              <w:br/>
              <w:t>Adult,​Age Factors,​Biomarkers/bl [Blood],​*Cigarette Smoking/ae [Adverse Effects],​Cigarette Smoking/bl [Blood],​Cross-Sectional Studies,​Female,​Humans,​Male,​*Menthol,​*Metabolomics,​Middle Aged,​Multivariate Analysis,​*Nicotine/ae [Adverse Effects],​Nicotine/bl [Blood],​Reproducibility of Results,​Risk Assessment,​Sex Factors,​*Smoking/px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The use of menthol in cigarettes and marketing is under consideration for regulation by the FDA. However,​ the effects of menthol on smoking behavior and carcinogen exposure have been inconclusive. We previously reported metabolomic profiling for cigarette smokers,​ and novelly identified a menthol-glucuronide (MG) as the most significant metabolite directly related to smoking. Here,​ MG is studied in relation to smoking behavior and metabolomic profiles.,​ METHODS: This is a cross-sectional study of 105 smokers who smoked two cigarettes in the laboratory one hour apart. Blood nicotine,​ MG,​ and exhaled carbon monoxide (CO) boosts were determined (the difference before and after smoking). Spearman correlation,​ chi2,​ and ANCOVA adjusted for gender,​ race,​ and cotinine levels for menthol smokers assessed the relationship of MG boost,​ smoking behavior,​ and metabolic profiles. Multivariate metabolite characterization using supervised partial least squares-discriminant analysis (PLS-DA) was carried out for the classification of metabolomics profiles.,​ RESULTS: MG boost was positively correlated with CO boost,​ nicotine boost,​ average puff volume,​ puff duration,​ and total smoke exposure. Classification using PLS-DA,​ MG was the top metabolite discriminating metabolome of menthol versus nonmenthol smokers. Among menthol smokers,​ 42 metabolites were significantly correlated with MG boost,​ which linked to cellular functions,​ such as of cell death,​ survival,​ and movement.,​ CONCLUSIONS: Plasma MG boost is a new smoking behavior biomarker that may provide novel information over self-reported use of menthol cigarettes by integrating different smoking measures for understanding smoking behavior and harm of menthol cigarettes.,​ IMPACT: These results provide insight into the biological effect of menthol smoking. Cancer </w:t>
            </w:r>
            <w:r w:rsidRPr="005762E6">
              <w:rPr>
                <w:sz w:val="20"/>
                <w:szCs w:val="20"/>
              </w:rPr>
              <w:lastRenderedPageBreak/>
              <w:t>Epidemiol Biomarkers Prev; 26(1); 51-60. ©2016 AACR.</w:t>
            </w:r>
            <w:r>
              <w:rPr>
                <w:sz w:val="20"/>
                <w:szCs w:val="20"/>
              </w:rPr>
              <w:t xml:space="preserve"> </w:t>
            </w:r>
            <w:r w:rsidRPr="005762E6">
              <w:rPr>
                <w:sz w:val="20"/>
                <w:szCs w:val="20"/>
              </w:rPr>
              <w:t>Copyright ©2016 American Association for Cancer Research.</w:t>
            </w:r>
          </w:p>
        </w:tc>
      </w:tr>
      <w:tr w:rsidR="007F0AE0" w:rsidRPr="005762E6" w14:paraId="2DCA925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F95190" w14:textId="77777777" w:rsidR="007F0AE0" w:rsidRPr="005762E6" w:rsidRDefault="007F0AE0" w:rsidP="00453DE3">
            <w:pPr>
              <w:spacing w:after="120" w:line="240" w:lineRule="auto"/>
              <w:contextualSpacing/>
              <w:rPr>
                <w:sz w:val="20"/>
                <w:szCs w:val="20"/>
              </w:rPr>
            </w:pPr>
            <w:r w:rsidRPr="005762E6">
              <w:rPr>
                <w:sz w:val="20"/>
                <w:szCs w:val="20"/>
              </w:rPr>
              <w:lastRenderedPageBreak/>
              <w:t>391</w:t>
            </w:r>
          </w:p>
        </w:tc>
        <w:tc>
          <w:tcPr>
            <w:tcW w:w="0" w:type="auto"/>
            <w:tcBorders>
              <w:top w:val="single" w:sz="6" w:space="0" w:color="auto"/>
              <w:left w:val="single" w:sz="6" w:space="0" w:color="auto"/>
              <w:bottom w:val="single" w:sz="6" w:space="0" w:color="auto"/>
              <w:right w:val="single" w:sz="6" w:space="0" w:color="auto"/>
            </w:tcBorders>
          </w:tcPr>
          <w:p w14:paraId="38BAC08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F79C6BF" w14:textId="77777777" w:rsidR="007F0AE0" w:rsidRPr="005762E6" w:rsidRDefault="007F0AE0" w:rsidP="00453DE3">
            <w:pPr>
              <w:spacing w:after="120" w:line="240" w:lineRule="auto"/>
              <w:contextualSpacing/>
              <w:rPr>
                <w:sz w:val="20"/>
                <w:szCs w:val="20"/>
              </w:rPr>
            </w:pPr>
            <w:r w:rsidRPr="005762E6">
              <w:rPr>
                <w:sz w:val="20"/>
                <w:szCs w:val="20"/>
              </w:rPr>
              <w:t>Ping-Ching Hsu,​ Renny S Lan,​ Theodore M Brasky,​ Catalin Marian,​ Amrita K Cheema,​ Habtom W Ressom,​ Christopher A Loffredo,​ Wallace B Pickworth,​ Peter G Shields Metabolomic profiles of current cigarette smokers.. Molecular carcinogenesis; 2017;56:594.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Adolescent,​Adult,​Aged,​Biomarkers/bl [Blood],​Biomarkers/me [Metabolism],​Female,​*Glucuronates/bl [Blood],​Glucuronates/me [Metabolism],​Humans,​Male,​*Menthol/aa [Analogs &amp; Derivatives],​Menthol/bl [Blood],​Menthol/me [Metabolism],​*Metabolome,​Metabolomics,​Middle Aged,​*Smoking/bl [Blood],​Smoking/me [Metabolism],​Young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Smoking-related biomarkers for lung cancer and other diseases are needed to enhance early detection strategies and to provide a science base for tobacco product regulation. An untargeted metabolomics approach by ultra-performance liquid chromatography-quadrupole-time of flight mass spectrometry (UHPLC-Q-TOF MS) totaling 957 assays was used in a novel experimental design where 105 current smokers smoked two cigarettes 1h apart. Blood was collected immediately before and after each cigarette allowing for within-subject replication. Dynamic changes of the metabolomic profiles from smokers' four blood samples were observed and biomarkers affected by cigarette smoking were identified. Thirty-one metabolites were definitively shown to be affected by acute effect of cigarette smoking,​ uniquely including menthol-glucuronide,​ the reduction of glutamate,​ oleamide,​ and 13 glycerophospholipids. This first time identification of a menthol metabolite in smokers' blood serves as proof-of-principle for using metabolomics to identify new tobacco-exposure biomarkers,​ and also provides new opportunities in studying menthol-containing tobacco products in humans. Gender and race differences also were observed. Network analysis revealed 12 molecules involved in cancer,​ notably inhibition of cAMP. These novel tobacco-related biomarkers provide new insights to the effects of smoking which may be important in carcinogenesis but not previously linked with tobacco-related diseases. © 2016 Wiley Periodicals,​ Inc.</w:t>
            </w:r>
            <w:r>
              <w:rPr>
                <w:sz w:val="20"/>
                <w:szCs w:val="20"/>
              </w:rPr>
              <w:t xml:space="preserve"> </w:t>
            </w:r>
            <w:r w:rsidRPr="005762E6">
              <w:rPr>
                <w:sz w:val="20"/>
                <w:szCs w:val="20"/>
              </w:rPr>
              <w:t>Copyright © 2016 Wiley Periodicals,​ Inc.</w:t>
            </w:r>
          </w:p>
        </w:tc>
      </w:tr>
      <w:tr w:rsidR="007F0AE0" w:rsidRPr="005762E6" w14:paraId="503748A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5BC387" w14:textId="77777777" w:rsidR="007F0AE0" w:rsidRPr="005762E6" w:rsidRDefault="007F0AE0" w:rsidP="00453DE3">
            <w:pPr>
              <w:spacing w:after="120" w:line="240" w:lineRule="auto"/>
              <w:contextualSpacing/>
              <w:rPr>
                <w:sz w:val="20"/>
                <w:szCs w:val="20"/>
              </w:rPr>
            </w:pPr>
            <w:r w:rsidRPr="005762E6">
              <w:rPr>
                <w:sz w:val="20"/>
                <w:szCs w:val="20"/>
              </w:rPr>
              <w:t>393</w:t>
            </w:r>
          </w:p>
        </w:tc>
        <w:tc>
          <w:tcPr>
            <w:tcW w:w="0" w:type="auto"/>
            <w:tcBorders>
              <w:top w:val="single" w:sz="6" w:space="0" w:color="auto"/>
              <w:left w:val="single" w:sz="6" w:space="0" w:color="auto"/>
              <w:bottom w:val="single" w:sz="6" w:space="0" w:color="auto"/>
              <w:right w:val="single" w:sz="6" w:space="0" w:color="auto"/>
            </w:tcBorders>
          </w:tcPr>
          <w:p w14:paraId="0E69024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D89881A" w14:textId="77777777" w:rsidR="007F0AE0" w:rsidRPr="005762E6" w:rsidRDefault="007F0AE0" w:rsidP="00453DE3">
            <w:pPr>
              <w:spacing w:after="120" w:line="240" w:lineRule="auto"/>
              <w:contextualSpacing/>
              <w:rPr>
                <w:sz w:val="20"/>
                <w:szCs w:val="20"/>
              </w:rPr>
            </w:pPr>
            <w:r w:rsidRPr="005762E6">
              <w:rPr>
                <w:sz w:val="20"/>
                <w:szCs w:val="20"/>
              </w:rPr>
              <w:t>Stacey J Anderson Menthol cigarettes and smoking cessation behaviour: a review of tobacco industry documents.. Tobacco control; 2011;20 Suppl 2:ii49.</w:t>
            </w:r>
            <w:r w:rsidRPr="005762E6">
              <w:rPr>
                <w:sz w:val="20"/>
                <w:szCs w:val="20"/>
              </w:rPr>
              <w:br/>
            </w:r>
            <w:r w:rsidRPr="005762E6">
              <w:rPr>
                <w:sz w:val="20"/>
                <w:szCs w:val="20"/>
              </w:rPr>
              <w:br/>
            </w:r>
            <w:r w:rsidRPr="005762E6">
              <w:rPr>
                <w:b/>
                <w:bCs/>
                <w:sz w:val="20"/>
                <w:szCs w:val="20"/>
              </w:rPr>
              <w:t>Keywords:</w:t>
            </w:r>
            <w:r w:rsidRPr="005762E6">
              <w:rPr>
                <w:sz w:val="20"/>
                <w:szCs w:val="20"/>
              </w:rPr>
              <w:br/>
              <w:t>Anesthesia,​Documentation,​Female,​*Health Behavior,​Humans,​*Menthol,​*Motivation,​Perception,​Pleasure,​Qualitative Research,​Smoking/ae [Adverse Effects],​*Smoking/px [Psychology],​*Smoking Cessation/px [Psychology],​Social Environment,​Taste,​*Tobacco Industry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determine what the tobacco industry knew about menthol's relation to smoking cessation behaviour.,​ METHODS: A snowball sampling design was used to systematically search the Legacy Tobacco Documents Library (LTDL) (http://legacy.library.ucsf.edu) between 15 May to 1 August 2010. Of the approximately 11 million documents available in the LTDL,​ the iterative searches returned tens of thousands of results. A final collection of 509 documents relevant to 1 or more of the research questions were qualitatively analysed,​ as follows: (1) perceived sensory and taste rewards of menthol and potential relation to quitting; and (2) motivation to quit among menthol users.,​ RESULTS: Menthol's cooling and anesthetic effects mask the short-term negative physiological effects of smoking such as throat pain,​ burning and cough. This provides superficial physical relief as well as psychological assurance against concerns about the health dangers of smoking that would otherwise motivate smokers to quit. Menthol smokers,​ particularly women,​ perceive the minty aroma of menthol cigarettes to be more socially acceptable than non-menthol cigarettes.,​ DISCUSSION: Consumers believe menthol's sensory effects equate to health protections and that menthol cigarettes are more socially acceptable than non-menthol cigarettes. Menthol in cigarettes may encourage experimenters who find non-mentholated cigarettes too harsh,​ including young or inexperienced users,​ to progress to regular smoking rather than quitting,​ and may lessen the motivation to quit among established menthol smokers. The perception of menthol cigarettes as more socially acceptable lessens the impact of smoking denormalisation on quitting motivation. Menthol makes cigarettes easier and more palatable to smoke and less desirable to quit among established smokers. Fewer smokers quitting contributes to the incidence of tobacco-related diseases.</w:t>
            </w:r>
          </w:p>
        </w:tc>
      </w:tr>
      <w:tr w:rsidR="007F0AE0" w:rsidRPr="005762E6" w14:paraId="3965DF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EA13A3" w14:textId="77777777" w:rsidR="007F0AE0" w:rsidRPr="005762E6" w:rsidRDefault="007F0AE0" w:rsidP="00453DE3">
            <w:pPr>
              <w:spacing w:after="120" w:line="240" w:lineRule="auto"/>
              <w:contextualSpacing/>
              <w:rPr>
                <w:sz w:val="20"/>
                <w:szCs w:val="20"/>
              </w:rPr>
            </w:pPr>
            <w:r w:rsidRPr="005762E6">
              <w:rPr>
                <w:sz w:val="20"/>
                <w:szCs w:val="20"/>
              </w:rPr>
              <w:lastRenderedPageBreak/>
              <w:t>395</w:t>
            </w:r>
          </w:p>
        </w:tc>
        <w:tc>
          <w:tcPr>
            <w:tcW w:w="0" w:type="auto"/>
            <w:tcBorders>
              <w:top w:val="single" w:sz="6" w:space="0" w:color="auto"/>
              <w:left w:val="single" w:sz="6" w:space="0" w:color="auto"/>
              <w:bottom w:val="single" w:sz="6" w:space="0" w:color="auto"/>
              <w:right w:val="single" w:sz="6" w:space="0" w:color="auto"/>
            </w:tcBorders>
          </w:tcPr>
          <w:p w14:paraId="76005B8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6C47269" w14:textId="77777777" w:rsidR="007F0AE0" w:rsidRPr="005762E6" w:rsidRDefault="007F0AE0" w:rsidP="00453DE3">
            <w:pPr>
              <w:spacing w:after="120" w:line="240" w:lineRule="auto"/>
              <w:contextualSpacing/>
              <w:rPr>
                <w:sz w:val="20"/>
                <w:szCs w:val="20"/>
              </w:rPr>
            </w:pPr>
            <w:r w:rsidRPr="005762E6">
              <w:rPr>
                <w:sz w:val="20"/>
                <w:szCs w:val="20"/>
              </w:rPr>
              <w:t>Valerie B Yerger,​ Phyra M McCandless Menthol sensory qualities and smoking topography: a review of tobacco industry documents.. Tobacco control; 2011;20 Suppl 2:ii37.</w:t>
            </w:r>
            <w:r w:rsidRPr="005762E6">
              <w:rPr>
                <w:sz w:val="20"/>
                <w:szCs w:val="20"/>
              </w:rPr>
              <w:br/>
            </w:r>
            <w:r w:rsidRPr="005762E6">
              <w:rPr>
                <w:sz w:val="20"/>
                <w:szCs w:val="20"/>
              </w:rPr>
              <w:br/>
            </w:r>
            <w:r w:rsidRPr="005762E6">
              <w:rPr>
                <w:b/>
                <w:bCs/>
                <w:sz w:val="20"/>
                <w:szCs w:val="20"/>
              </w:rPr>
              <w:t>Keywords:</w:t>
            </w:r>
            <w:r w:rsidRPr="005762E6">
              <w:rPr>
                <w:sz w:val="20"/>
                <w:szCs w:val="20"/>
              </w:rPr>
              <w:br/>
              <w:t>*Consumer Behavior,​Documentation,​*Habits,​Humans,​*Menthol,​*Pleasure,​Smoke,​*Smoking,​Tobacco,​*Tobacco Industry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determine what the tobacco industry knew about the potential effects of menthol on smoking topography-how a person smokes a cigarette.,​ METHODS: A snowball strategy was used to systematically search the Legacy Tobacco Documents Library (http://legacy.library.ucsf.edu) between 1 June 2010 and 9 August 2010. We qualitatively analysed a final collection of 252 documents related to menthol and smoking topography.,​ RESULTS: The tobacco industry knew that menthol has cooling,​ anaesthetic and analgesic properties that moderate the harshness and irritation of tobacco. Owing to its physiological effects,​ menthol contributes to the sensory qualities of the smoke and affects smoking topography and cigarette preference.,​ CONCLUSION: Our review of industry studies suggests that the amount of menthol in a cigarette is associated with how the cigarette is smoked and how satisfying it is to the smoker. If menthol in cigarettes was banned,​ as the US Food and Drug Administration (FDA) is currently considering,​ new/experimental smokers might choose not to smoke rather than experience the harshness of tobacco smoke and the irritating qualities of nicotine. Similarly,​ established menthol smokers might choose to quit if faced with an unpleasant smoking alternative.</w:t>
            </w:r>
          </w:p>
        </w:tc>
      </w:tr>
      <w:tr w:rsidR="007F0AE0" w:rsidRPr="005762E6" w14:paraId="5A29E28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34F09C" w14:textId="77777777" w:rsidR="007F0AE0" w:rsidRPr="005762E6" w:rsidRDefault="007F0AE0" w:rsidP="00453DE3">
            <w:pPr>
              <w:spacing w:after="120" w:line="240" w:lineRule="auto"/>
              <w:contextualSpacing/>
              <w:rPr>
                <w:sz w:val="20"/>
                <w:szCs w:val="20"/>
              </w:rPr>
            </w:pPr>
            <w:r w:rsidRPr="005762E6">
              <w:rPr>
                <w:sz w:val="20"/>
                <w:szCs w:val="20"/>
              </w:rPr>
              <w:t>396</w:t>
            </w:r>
          </w:p>
        </w:tc>
        <w:tc>
          <w:tcPr>
            <w:tcW w:w="0" w:type="auto"/>
            <w:tcBorders>
              <w:top w:val="single" w:sz="6" w:space="0" w:color="auto"/>
              <w:left w:val="single" w:sz="6" w:space="0" w:color="auto"/>
              <w:bottom w:val="single" w:sz="6" w:space="0" w:color="auto"/>
              <w:right w:val="single" w:sz="6" w:space="0" w:color="auto"/>
            </w:tcBorders>
          </w:tcPr>
          <w:p w14:paraId="4DFF3D6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E3831D" w14:textId="77777777" w:rsidR="007F0AE0" w:rsidRPr="005762E6" w:rsidRDefault="007F0AE0" w:rsidP="00453DE3">
            <w:pPr>
              <w:spacing w:after="120" w:line="240" w:lineRule="auto"/>
              <w:contextualSpacing/>
              <w:rPr>
                <w:sz w:val="20"/>
                <w:szCs w:val="20"/>
              </w:rPr>
            </w:pPr>
            <w:r w:rsidRPr="005762E6">
              <w:rPr>
                <w:sz w:val="20"/>
                <w:szCs w:val="20"/>
              </w:rPr>
              <w:t>Valerie B Yerger Menthol's potential effects on nicotine dependence: a tobacco industry perspective.. Tobacco control; 2011;20 Suppl 2:ii29.</w:t>
            </w:r>
            <w:r w:rsidRPr="005762E6">
              <w:rPr>
                <w:sz w:val="20"/>
                <w:szCs w:val="20"/>
              </w:rPr>
              <w:br/>
            </w:r>
            <w:r w:rsidRPr="005762E6">
              <w:rPr>
                <w:sz w:val="20"/>
                <w:szCs w:val="20"/>
              </w:rPr>
              <w:br/>
            </w:r>
            <w:r w:rsidRPr="005762E6">
              <w:rPr>
                <w:b/>
                <w:bCs/>
                <w:sz w:val="20"/>
                <w:szCs w:val="20"/>
              </w:rPr>
              <w:t>Keywords:</w:t>
            </w:r>
            <w:r w:rsidRPr="005762E6">
              <w:rPr>
                <w:sz w:val="20"/>
                <w:szCs w:val="20"/>
              </w:rPr>
              <w:br/>
              <w:t>*Consumer Behavior,​Documentation,​Humans,​*Marketing/mt [Methods],​*Menthol,​*Nicotine,​*Smoking,​Tars,​Taste,​*Tobacco Industry,​*Tobacco Use Disorder</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examine what the tobacco industry knows about the potential effects menthol may have on nicotine dependence.,​ METHODS: A snowball strategy was used to systematically search the Legacy Tobacco Documents Library (http://legacy.library.ucsf.edu/) between 22 February and 29 April,​ 2010. Of the approximately 11 million documents available in the Legacy Tobacco Documents Library,​ the iterative searches returned tens of thousands of results. We qualitatively analysed a final collection of 309 documents relevant the effects of menthol on nicotine dependence.,​ RESULTS: The tobacco industry knows that menthol overrides the harsh taste of tobacco and alleviates nicotine's irritating effects,​ synergistically interacts with nicotine,​ stimulates the trigeminal nerve to elicit a 'liking' response for a tobacco product,​ and makes low tar,​ low nicotine tobacco products more acceptable to smokers than non-mentholated low delivery products.,​ CONCLUSION: Menthol is not only used in cigarettes as a flavour additive; tobacco companies know that menthol also has sensory effects and interacts with nicotine to produce tobacco products that are easier to smoke,​ thereby making it easier to expose smokers,​ especially those who are new and uninitiated,​ to the addictive power of nicotine.</w:t>
            </w:r>
          </w:p>
        </w:tc>
      </w:tr>
      <w:tr w:rsidR="007F0AE0" w:rsidRPr="005762E6" w14:paraId="1B9202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E50E19" w14:textId="77777777" w:rsidR="007F0AE0" w:rsidRPr="005762E6" w:rsidRDefault="007F0AE0" w:rsidP="00453DE3">
            <w:pPr>
              <w:spacing w:after="120" w:line="240" w:lineRule="auto"/>
              <w:contextualSpacing/>
              <w:rPr>
                <w:sz w:val="20"/>
                <w:szCs w:val="20"/>
              </w:rPr>
            </w:pPr>
            <w:r w:rsidRPr="005762E6">
              <w:rPr>
                <w:sz w:val="20"/>
                <w:szCs w:val="20"/>
              </w:rPr>
              <w:t>401</w:t>
            </w:r>
          </w:p>
        </w:tc>
        <w:tc>
          <w:tcPr>
            <w:tcW w:w="0" w:type="auto"/>
            <w:tcBorders>
              <w:top w:val="single" w:sz="6" w:space="0" w:color="auto"/>
              <w:left w:val="single" w:sz="6" w:space="0" w:color="auto"/>
              <w:bottom w:val="single" w:sz="6" w:space="0" w:color="auto"/>
              <w:right w:val="single" w:sz="6" w:space="0" w:color="auto"/>
            </w:tcBorders>
          </w:tcPr>
          <w:p w14:paraId="555A848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C9A6E9C" w14:textId="77777777" w:rsidR="007F0AE0" w:rsidRPr="005762E6" w:rsidRDefault="007F0AE0" w:rsidP="00453DE3">
            <w:pPr>
              <w:spacing w:after="120" w:line="240" w:lineRule="auto"/>
              <w:contextualSpacing/>
              <w:rPr>
                <w:sz w:val="20"/>
                <w:szCs w:val="20"/>
              </w:rPr>
            </w:pPr>
            <w:r w:rsidRPr="005762E6">
              <w:rPr>
                <w:sz w:val="20"/>
                <w:szCs w:val="20"/>
              </w:rPr>
              <w:t>Megan E Roberts,​ Nathan J Doogan,​ Allison N Kurti,​ Ryan Redner,​ Diann E Gaalema,​ Cassandra A Stanton,​ Thomas J White,​ Stephen T Higgins Rural tobacco use across the United States: How rural and urban areas differ,​ broken down by census regions and divisions.. Health &amp; place; 2016;39:153.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Adolescent,​Adult,​*Censuses,​Female,​Health Surveys,​Humans,​Male,​Middle Aged,​Poverty,​Prevalence,​*Rural Population/sn [Statistics &amp; Numerical Data],​Smoking/ep [Epidemiology],​Socioeconomic Factors,​*Tobacco Products/sn [Statistics &amp; Numerical Data],​*Tobacco Use/td [Trends],​United States/ep [Epidemiology],​*Urban Population/sn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This project compared urban/rural differences in tobacco use,​ and examined how such differences vary across regions/divisions of the U.S. Using pooled 2012-2013 data from the National Survey on Drug Use and Health (NSDUH),​ we obtained weighted prevalence estimates for the use of cigarettes,​ menthol cigarettes,​ chewing tobacco,​ snuff,​ cigars,​ and pipes. NSDUH also provides information on participants' residence: rural vs. urban,​ and Census region and division. Overall,​ use of cigarettes,​ chew,​ and snuff were higher in rural,​ compared to urban areas. Across all tobacco products,​ urban/rural differences were particularly pronounced in certain </w:t>
            </w:r>
            <w:r w:rsidRPr="005762E6">
              <w:rPr>
                <w:sz w:val="20"/>
                <w:szCs w:val="20"/>
              </w:rPr>
              <w:lastRenderedPageBreak/>
              <w:t>divisions (e.g.,​ the South Atlantic). Effects did not appear to be fully explained by differences in poverty. Going beyond previous research,​ these findings show that urban/rural differences vary across different types of tobacco products,​ as well as by division of the country. Results underscore the need for regulatory efforts that will reduce health disparities. Copyright © 2016 Elsevier Ltd. All rights reserved.</w:t>
            </w:r>
          </w:p>
        </w:tc>
      </w:tr>
      <w:tr w:rsidR="007F0AE0" w:rsidRPr="005762E6" w14:paraId="008905E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65B371" w14:textId="77777777" w:rsidR="007F0AE0" w:rsidRPr="005762E6" w:rsidRDefault="007F0AE0" w:rsidP="00453DE3">
            <w:pPr>
              <w:spacing w:after="120" w:line="240" w:lineRule="auto"/>
              <w:contextualSpacing/>
              <w:rPr>
                <w:sz w:val="20"/>
                <w:szCs w:val="20"/>
              </w:rPr>
            </w:pPr>
            <w:r w:rsidRPr="005762E6">
              <w:rPr>
                <w:sz w:val="20"/>
                <w:szCs w:val="20"/>
              </w:rPr>
              <w:lastRenderedPageBreak/>
              <w:t>402</w:t>
            </w:r>
          </w:p>
        </w:tc>
        <w:tc>
          <w:tcPr>
            <w:tcW w:w="0" w:type="auto"/>
            <w:tcBorders>
              <w:top w:val="single" w:sz="6" w:space="0" w:color="auto"/>
              <w:left w:val="single" w:sz="6" w:space="0" w:color="auto"/>
              <w:bottom w:val="single" w:sz="6" w:space="0" w:color="auto"/>
              <w:right w:val="single" w:sz="6" w:space="0" w:color="auto"/>
            </w:tcBorders>
          </w:tcPr>
          <w:p w14:paraId="17A1E68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154872" w14:textId="77777777" w:rsidR="007F0AE0" w:rsidRPr="005762E6" w:rsidRDefault="007F0AE0" w:rsidP="00453DE3">
            <w:pPr>
              <w:spacing w:after="120" w:line="240" w:lineRule="auto"/>
              <w:contextualSpacing/>
              <w:rPr>
                <w:sz w:val="20"/>
                <w:szCs w:val="20"/>
              </w:rPr>
            </w:pPr>
            <w:r w:rsidRPr="005762E6">
              <w:rPr>
                <w:sz w:val="20"/>
                <w:szCs w:val="20"/>
              </w:rPr>
              <w:t>Olivia A Wackowski,​ Cristine D Delnevo Young Adults' Risk Perceptions of Various Tobacco Products Relative to Cigarettes: Results From the National Young Adult Health Survey.. Health education &amp; behavior : the official publication of the Society for Public Health Education; 2016;43:328.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Adolescent,​Adult,​Cigarette Smoking,​*Electronic Nicotine Delivery Systems,​Female,​*Health Knowledge,​ Attitudes,​ Practice,​Health Surveys,​Humans,​Male,​*Perception,​Risk,​Sex Distribution,​Smoking/ep [Epidemiology],​*Smoking/px [Psychology],​Smoking Water Pipes,​*Tobacco Products,​United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Tobacco product risk perceptions may influence whether individuals use those products instead of or in addition to regular cigarettes. This study aimed to explore risk perceptions of various tobacco products relative to traditional cigarettes with young adults,​ a group with higher rates of tobacco use. Method We examined risk perception responses among a nationally representative sample of young adults (age 18-34 years; n = 2,​871,​ including tobacco and non-tobacco users) from the 2011 National Young Adult Health Survey. Results Most (57.8%) respondents believed that e-cigarettes were less risky than cigarettes. Respondents were more likely to rate combustible products hookah (24.5%) and cigars (13.9%) as being less risky compared to noncombustible snus (10%) and other smokeless tobacco (SLT) products (7.1%) relative to cigarettes. Few (2.5%) rated menthol cigarettes as less risky. For e-cigarettes,​ hookah,​ and SLT,​ less risky beliefs were significantly higher among ever or current versus never product users. Between 22% and 33% of all respondents believed that SLT,​ snus,​ menthol cigarettes,​ and cigars were more risky than cigarettes,​ but differences in this belief between current and nonusers of these products were small and insignificant. Younger young adults were more likely to rate e-cigarettes and hookah as being "less risky" and rate cigars and SLT as being "more risky" than older young adults. Conclusion The public's views of comparative tobacco risk perceptions vary widely by tobacco product type and age-group. While "less risky" perceptions may be associated with product use,​ perceptions that products are "more risky" than cigarettes may not necessarily dissuade people from their use.</w:t>
            </w:r>
            <w:r>
              <w:rPr>
                <w:sz w:val="20"/>
                <w:szCs w:val="20"/>
              </w:rPr>
              <w:t xml:space="preserve"> </w:t>
            </w:r>
            <w:r w:rsidRPr="005762E6">
              <w:rPr>
                <w:sz w:val="20"/>
                <w:szCs w:val="20"/>
              </w:rPr>
              <w:t>Copyright © 2015 Society for Public Health Education.</w:t>
            </w:r>
          </w:p>
        </w:tc>
      </w:tr>
      <w:tr w:rsidR="007F0AE0" w:rsidRPr="005762E6" w14:paraId="5931804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B3084A" w14:textId="77777777" w:rsidR="007F0AE0" w:rsidRPr="005762E6" w:rsidRDefault="007F0AE0" w:rsidP="00453DE3">
            <w:pPr>
              <w:spacing w:after="120" w:line="240" w:lineRule="auto"/>
              <w:contextualSpacing/>
              <w:rPr>
                <w:sz w:val="20"/>
                <w:szCs w:val="20"/>
              </w:rPr>
            </w:pPr>
            <w:r w:rsidRPr="005762E6">
              <w:rPr>
                <w:sz w:val="20"/>
                <w:szCs w:val="20"/>
              </w:rPr>
              <w:t>403</w:t>
            </w:r>
          </w:p>
        </w:tc>
        <w:tc>
          <w:tcPr>
            <w:tcW w:w="0" w:type="auto"/>
            <w:tcBorders>
              <w:top w:val="single" w:sz="6" w:space="0" w:color="auto"/>
              <w:left w:val="single" w:sz="6" w:space="0" w:color="auto"/>
              <w:bottom w:val="single" w:sz="6" w:space="0" w:color="auto"/>
              <w:right w:val="single" w:sz="6" w:space="0" w:color="auto"/>
            </w:tcBorders>
          </w:tcPr>
          <w:p w14:paraId="2651D54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6FD455" w14:textId="77777777" w:rsidR="007F0AE0" w:rsidRPr="005762E6" w:rsidRDefault="007F0AE0" w:rsidP="00453DE3">
            <w:pPr>
              <w:spacing w:after="120" w:line="240" w:lineRule="auto"/>
              <w:contextualSpacing/>
              <w:rPr>
                <w:sz w:val="20"/>
                <w:szCs w:val="20"/>
              </w:rPr>
            </w:pPr>
            <w:r w:rsidRPr="005762E6">
              <w:rPr>
                <w:sz w:val="20"/>
                <w:szCs w:val="20"/>
              </w:rPr>
              <w:t>Patricia Folan,​ Raisa Abramova,​ Christine Fardellone What Is Menthol?.. American journal of respiratory and critical care medicine; 2017;196:P9.</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Americans,​*Electronic Nicotine Delivery Systems,​Humans,​*Menthol,​*Smoking,​*Smoking Cessation,​*Tobacco Products,​*Tobacco Use Disorder</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277E4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14141A" w14:textId="77777777" w:rsidR="007F0AE0" w:rsidRPr="005762E6" w:rsidRDefault="007F0AE0" w:rsidP="00453DE3">
            <w:pPr>
              <w:spacing w:after="120" w:line="240" w:lineRule="auto"/>
              <w:contextualSpacing/>
              <w:rPr>
                <w:sz w:val="20"/>
                <w:szCs w:val="20"/>
              </w:rPr>
            </w:pPr>
            <w:r w:rsidRPr="005762E6">
              <w:rPr>
                <w:sz w:val="20"/>
                <w:szCs w:val="20"/>
              </w:rPr>
              <w:t>404</w:t>
            </w:r>
          </w:p>
        </w:tc>
        <w:tc>
          <w:tcPr>
            <w:tcW w:w="0" w:type="auto"/>
            <w:tcBorders>
              <w:top w:val="single" w:sz="6" w:space="0" w:color="auto"/>
              <w:left w:val="single" w:sz="6" w:space="0" w:color="auto"/>
              <w:bottom w:val="single" w:sz="6" w:space="0" w:color="auto"/>
              <w:right w:val="single" w:sz="6" w:space="0" w:color="auto"/>
            </w:tcBorders>
          </w:tcPr>
          <w:p w14:paraId="2C5410D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01721C9" w14:textId="77777777" w:rsidR="007F0AE0" w:rsidRPr="005762E6" w:rsidRDefault="007F0AE0" w:rsidP="00453DE3">
            <w:pPr>
              <w:spacing w:after="120" w:line="240" w:lineRule="auto"/>
              <w:contextualSpacing/>
              <w:rPr>
                <w:sz w:val="20"/>
                <w:szCs w:val="20"/>
              </w:rPr>
            </w:pPr>
            <w:r w:rsidRPr="005762E6">
              <w:rPr>
                <w:sz w:val="20"/>
                <w:szCs w:val="20"/>
              </w:rPr>
              <w:t>Joelle M Lester,​ Stacey Younger Gagosian Finished with Menthol: An Evidence-Based Policy Option That Will Save Lives.. The Journal of law,​ medicine &amp; ethics : a journal of the American Society of Law,​ Medicine &amp; Ethics; 2017;45:41.</w:t>
            </w:r>
            <w:r w:rsidRPr="005762E6">
              <w:rPr>
                <w:sz w:val="20"/>
                <w:szCs w:val="20"/>
              </w:rPr>
              <w:br/>
            </w:r>
            <w:r w:rsidRPr="005762E6">
              <w:rPr>
                <w:sz w:val="20"/>
                <w:szCs w:val="20"/>
              </w:rPr>
              <w:br/>
            </w:r>
            <w:r w:rsidRPr="005762E6">
              <w:rPr>
                <w:b/>
                <w:bCs/>
                <w:sz w:val="20"/>
                <w:szCs w:val="20"/>
              </w:rPr>
              <w:t>Keywords:</w:t>
            </w:r>
            <w:r w:rsidRPr="005762E6">
              <w:rPr>
                <w:sz w:val="20"/>
                <w:szCs w:val="20"/>
              </w:rPr>
              <w:br/>
              <w:t>Adult,​Commerce,​Female,​*Flavoring Agents,​Humans,​Male,​*Menthol,​Smoking,​Tobacco,​*Tobacco Industry,​*Tobacco Products,​United States,​Vulnerable Populations,​Young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Smoking remains the leading cause of preventable disease and death in the United States,​ killing approximately 480,​000 people each year. This crushing health burden falls disproportionately,​ and recent CDC data shows that large disparities in adult cigarette smoking remain. One factor in these disparities is the use of flavors. Menthol cigarettes and other flavored tobacco products are used at higher rates by vulnerable populations including youth and young adults,​ African Americans,​ women,​ Hispanics and Asian Americans. This is no accident; the tobacco industry has long targeted these same groups. Given FDA's failure to act to ban flavored tobacco products,​ states and municipalities are considering taking matters into their own hands to protect their </w:t>
            </w:r>
            <w:r w:rsidRPr="005762E6">
              <w:rPr>
                <w:sz w:val="20"/>
                <w:szCs w:val="20"/>
              </w:rPr>
              <w:lastRenderedPageBreak/>
              <w:t>communities from these dangerous products. The authors will explore state and local authority to restrict the sales of these products and review the evidence base indicating that removing flavored tobacco products - and menthol combustible products in particular - from the market would significantly reduce the toll of illness and death caused by these products.</w:t>
            </w:r>
          </w:p>
        </w:tc>
      </w:tr>
      <w:tr w:rsidR="007F0AE0" w:rsidRPr="005762E6" w14:paraId="2CBDFE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8208BA" w14:textId="77777777" w:rsidR="007F0AE0" w:rsidRPr="005762E6" w:rsidRDefault="007F0AE0" w:rsidP="00453DE3">
            <w:pPr>
              <w:spacing w:after="120" w:line="240" w:lineRule="auto"/>
              <w:contextualSpacing/>
              <w:rPr>
                <w:sz w:val="20"/>
                <w:szCs w:val="20"/>
              </w:rPr>
            </w:pPr>
            <w:r w:rsidRPr="005762E6">
              <w:rPr>
                <w:sz w:val="20"/>
                <w:szCs w:val="20"/>
              </w:rPr>
              <w:lastRenderedPageBreak/>
              <w:t>407</w:t>
            </w:r>
          </w:p>
        </w:tc>
        <w:tc>
          <w:tcPr>
            <w:tcW w:w="0" w:type="auto"/>
            <w:tcBorders>
              <w:top w:val="single" w:sz="6" w:space="0" w:color="auto"/>
              <w:left w:val="single" w:sz="6" w:space="0" w:color="auto"/>
              <w:bottom w:val="single" w:sz="6" w:space="0" w:color="auto"/>
              <w:right w:val="single" w:sz="6" w:space="0" w:color="auto"/>
            </w:tcBorders>
          </w:tcPr>
          <w:p w14:paraId="3395A21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E7800A9" w14:textId="77777777" w:rsidR="007F0AE0" w:rsidRPr="005762E6" w:rsidRDefault="007F0AE0" w:rsidP="00453DE3">
            <w:pPr>
              <w:spacing w:after="120" w:line="240" w:lineRule="auto"/>
              <w:contextualSpacing/>
              <w:rPr>
                <w:sz w:val="20"/>
                <w:szCs w:val="20"/>
              </w:rPr>
            </w:pPr>
            <w:r w:rsidRPr="005762E6">
              <w:rPr>
                <w:sz w:val="20"/>
                <w:szCs w:val="20"/>
              </w:rPr>
              <w:t>Nathan Gale,​ Mike McEwan,​ Alison C Eldridge,​ Neil Sherwood,​ Edward Bowen,​ Simon McDermott,​ Emma Holmes,​ Andrew Hedge,​ Stuart Hossack,​ Oscar M Camacho,​ Graham Errington,​ John McAughey,​ James Murphy,​ Chuan Liu,​ Christopher J Proctor,​ Ian M Fearon A randomised,​ controlled,​ two-Centre open-label study in healthy Japanese subjects to evaluate the effect on biomarkers of exposure of switching from a conventional cigarette to a tobacco heating product.. BMC public health; 2017;17:673.</w:t>
            </w:r>
            <w:r w:rsidRPr="005762E6">
              <w:rPr>
                <w:sz w:val="20"/>
                <w:szCs w:val="20"/>
              </w:rPr>
              <w:br/>
            </w:r>
            <w:r w:rsidRPr="005762E6">
              <w:rPr>
                <w:sz w:val="20"/>
                <w:szCs w:val="20"/>
              </w:rPr>
              <w:br/>
            </w:r>
            <w:r w:rsidRPr="005762E6">
              <w:rPr>
                <w:b/>
                <w:bCs/>
                <w:sz w:val="20"/>
                <w:szCs w:val="20"/>
              </w:rPr>
              <w:t>Keywords:</w:t>
            </w:r>
            <w:r w:rsidRPr="005762E6">
              <w:rPr>
                <w:sz w:val="20"/>
                <w:szCs w:val="20"/>
              </w:rPr>
              <w:br/>
              <w:t>Adult,​*Biomarkers/an [Analysis],​Biomarkers/ur [Urine],​Breath Tests,​Female,​Heating,​Humans,​Japan,​Male,​Middle Aged,​Smoking/ur [Urine],​*Smoking,​*Tobacco Products/sn [Statistics &amp; Numerical Data],​Young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Smoking is a leading cause of numerous human disorders including lung cancer,​ chronic obstructive pulmonary disease,​ and atherosclerotic cardiovascular disease. The development of modified risk tobacco products (MRTPs) has been suggested as a possible way to reduce the risks of tobacco smoking by reducing exposure to cigarette smoke toxicants. This study is designed to investigate whether biomarkers of such exposure are reduced when smokers switch from smoking commercial cigarettes to using either a novel or a commercially-available tobacco heating product (THP).,​ DESIGN AND METHODS: This study will assess biomarkers of exposure in current smokers who either remain smoking,​ switch to THP use,​ or quit all tobacco use completely,​ for 5 days. The study is an in-clinic (confinement) two-centre,​ randomised controlled clinical study with a forced-switching design. Subjects of either gender will be aged 23-55 years (minimum legal smoking age plus 3 years),​ of Japanese origin and with a verified smoking status (assessed by exhaled breath carbon monoxide and urinary cotinine levels). Subjects will have a usual brand cigarette within the International Organisation for Standardisation (ISO) tar band of 6-8 mg and will be judged to be healthy by medical history,​ physical examination,​ vital signs,​ electrocardiography (ECG),​ clinical biochemistry and lung function tests. The primary objective of this study is to assess changes within groups in selected biomarkers of exposure (BoE) and of biological effect (BoBE) after a forced switch from a commercial control cigarette to either a menthol or a non-menthol THP. Secondary objectives are to assess between-group differences,​ to determine nicotine pharmacokinetics for cigarettes and THPs,​ to assess subject's satisfaction with the study products,​ and to monitor additional endpoints related to safety and product use.,​ DISCUSSION: Data from this study will advance our scientific understanding of the changes in exposure to cigarette smoke toxicants in smokers who switch to using a THP.,​ TRIAL REGISTRATIONS: UMIN000024988 (25th November 2016); ISRCTN14301360 (14th December 2016).</w:t>
            </w:r>
          </w:p>
        </w:tc>
      </w:tr>
      <w:tr w:rsidR="007F0AE0" w:rsidRPr="005762E6" w14:paraId="767F192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FDE38EA" w14:textId="77777777" w:rsidR="007F0AE0" w:rsidRPr="005762E6" w:rsidRDefault="007F0AE0" w:rsidP="00453DE3">
            <w:pPr>
              <w:spacing w:after="120" w:line="240" w:lineRule="auto"/>
              <w:contextualSpacing/>
              <w:rPr>
                <w:sz w:val="20"/>
                <w:szCs w:val="20"/>
              </w:rPr>
            </w:pPr>
            <w:r w:rsidRPr="005762E6">
              <w:rPr>
                <w:sz w:val="20"/>
                <w:szCs w:val="20"/>
              </w:rPr>
              <w:t>409</w:t>
            </w:r>
          </w:p>
        </w:tc>
        <w:tc>
          <w:tcPr>
            <w:tcW w:w="0" w:type="auto"/>
            <w:tcBorders>
              <w:top w:val="single" w:sz="6" w:space="0" w:color="auto"/>
              <w:left w:val="single" w:sz="6" w:space="0" w:color="auto"/>
              <w:bottom w:val="single" w:sz="6" w:space="0" w:color="auto"/>
              <w:right w:val="single" w:sz="6" w:space="0" w:color="auto"/>
            </w:tcBorders>
          </w:tcPr>
          <w:p w14:paraId="5B3A14F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E441FA6" w14:textId="77777777" w:rsidR="007F0AE0" w:rsidRPr="005762E6" w:rsidRDefault="007F0AE0" w:rsidP="00453DE3">
            <w:pPr>
              <w:spacing w:after="120" w:line="240" w:lineRule="auto"/>
              <w:contextualSpacing/>
              <w:rPr>
                <w:sz w:val="20"/>
                <w:szCs w:val="20"/>
              </w:rPr>
            </w:pPr>
            <w:r w:rsidRPr="005762E6">
              <w:rPr>
                <w:sz w:val="20"/>
                <w:szCs w:val="20"/>
              </w:rPr>
              <w:t>Andrea C Villanti,​ Paul D Mowery,​ Cristine D Delnevo,​ Raymond S Niaura,​ David B Abrams,​ Gary A Giovino Changes in the prevalence and correlates of menthol cigarette use in the USA,​ 2004-2014.. Tobacco control; 2016;25:ii14.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 Factors,​Child,​*Commerce/sn [Statistics &amp; Numerical Data],​Continental Population Groups/sn [Statistics &amp; Numerical Data],​Cross-Sectional Studies,​Female,​Health Surveys,​Humans,​Male,​*Menthol,​Prevalence,​Smokers/sn [Statistics &amp; Numerical Data],​*Smoking/ep [Epidemiology],​Smoking/eh [Ethnology],​Tobacco Products/ec [Economics],​*Tobacco Products/sn [Statistics &amp; Numerical Data],​Tobacco,​ Smokeless/ec [Economics],​Tobacco,​ Smokeless/sn [Statistics &amp; Numerical Data],​United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National data from 2004 to 2010 showed that despite decreases in non-menthol cigarette use prevalence,​ menthol cigarette use prevalence remained constant in adolescents and adults and increased in young adults. The purpose of the current study was to extend these analyses through 2014.,​ METHODS: We estimated the prevalence of menthol cigarette smoking in the USA during 2004-2014 using annual cross-sectional data on persons aged &gt;=12 years from the National Survey on Drug Use and Health. Self-reported menthol status for selected brands that were either exclusively menthol or non-menthol were adjusted based on retail sales data. Data were weighted to provide national estimates.,​ RESULTS: Although overall smoking prevalence has decreased,​ the proportion of past 30-day cigarette smokers using menthol cigarettes was higher (39%) in 2012-2014 compared to 2008-2010 (35%). Youth smokers remain the most likely group to use menthol </w:t>
            </w:r>
            <w:r w:rsidRPr="005762E6">
              <w:rPr>
                <w:sz w:val="20"/>
                <w:szCs w:val="20"/>
              </w:rPr>
              <w:lastRenderedPageBreak/>
              <w:t>cigarettes compared to all other age groups. Menthol cigarette prevalence has increased in white,​ Asian and Hispanic smokers since 2010. Menthol cigarette prevalence exceeded non-menthol cigarette prevalence in youth and young adult smokers in 2014. Among smokers,​ menthol cigarette use was positively correlated with co-use of cigars. Menthol cigarette and smokeless tobacco co-use also increased from 2004 to 2014.,​ CONCLUSIONS: The youngest smokers are most likely to use menthol cigarettes. Among smokers,​ increases in overall menthol cigarette use and menthol cigarette use in whites,​ Asians and Hispanics since 2010 are of concern. There is tremendous urgency to limit the impact of menthol cigarettes on public health,​ particularly the health of youth and young adults. Copyright Published by the BMJ Publishing Group Limited. For permission to use (where not already granted under a licence) please go to http://www.bmj.com/company/products-services/rights-and-licensing/.</w:t>
            </w:r>
          </w:p>
        </w:tc>
      </w:tr>
      <w:tr w:rsidR="007F0AE0" w:rsidRPr="005762E6" w14:paraId="53F580E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F555C0" w14:textId="77777777" w:rsidR="007F0AE0" w:rsidRPr="005762E6" w:rsidRDefault="007F0AE0" w:rsidP="00453DE3">
            <w:pPr>
              <w:spacing w:after="120" w:line="240" w:lineRule="auto"/>
              <w:contextualSpacing/>
              <w:rPr>
                <w:sz w:val="20"/>
                <w:szCs w:val="20"/>
              </w:rPr>
            </w:pPr>
            <w:r w:rsidRPr="005762E6">
              <w:rPr>
                <w:sz w:val="20"/>
                <w:szCs w:val="20"/>
              </w:rPr>
              <w:lastRenderedPageBreak/>
              <w:t>411</w:t>
            </w:r>
          </w:p>
        </w:tc>
        <w:tc>
          <w:tcPr>
            <w:tcW w:w="0" w:type="auto"/>
            <w:tcBorders>
              <w:top w:val="single" w:sz="6" w:space="0" w:color="auto"/>
              <w:left w:val="single" w:sz="6" w:space="0" w:color="auto"/>
              <w:bottom w:val="single" w:sz="6" w:space="0" w:color="auto"/>
              <w:right w:val="single" w:sz="6" w:space="0" w:color="auto"/>
            </w:tcBorders>
          </w:tcPr>
          <w:p w14:paraId="52E7530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F694129" w14:textId="77777777" w:rsidR="007F0AE0" w:rsidRPr="005762E6" w:rsidRDefault="007F0AE0" w:rsidP="00453DE3">
            <w:pPr>
              <w:spacing w:after="120" w:line="240" w:lineRule="auto"/>
              <w:contextualSpacing/>
              <w:rPr>
                <w:sz w:val="20"/>
                <w:szCs w:val="20"/>
              </w:rPr>
            </w:pPr>
            <w:r w:rsidRPr="005762E6">
              <w:rPr>
                <w:sz w:val="20"/>
                <w:szCs w:val="20"/>
              </w:rPr>
              <w:t>Danielle M Smith,​ Maansi Bansal-Travers,​ Jidong Huang,​ Dianne Barker,​ Andrew J Hyland,​ Frank Chaloupka Association between use of flavoured tobacco products and quit behaviours: findings from a cross-sectional survey of US adult tobacco users.. Tobacco control; 2016;25:ii73.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Adolescent,​Adult,​Cross-Sectional Studies,​Electronic Nicotine Delivery Systems,​Female,​*Flavoring Agents/ad [Administration &amp; Dosage],​Humans,​Logistic Models,​Male,​Middle Aged,​*Smoking Cessation/sn [Statistics &amp; Numerical Data],​Surveys and Questionnaires,​*Tobacco Products/sn [Statistics &amp; Numerical Data],​*Tobacco Use/ep [Epidemiology],​Tobacco,​ Smokeless/sn [Statistics &amp; Numerical Data],​United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Non-menthol characterising flavours (eg,​ fruit,​ candy) are banned in cigarettes,​ yet are still permitted in non-cigarette tobacco (NCT) products. This study examined associations between first use and current use of flavoured tobacco products,​ and current flavoured tobacco use and quit behaviours.,​ METHODS: A nationally representative,​ telephone-based survey completed in 2012 by 1443 US adult tobacco users asked about use of 9 tobacco products: cigarettes,​ e-cigarettes,​ cigars,​ cigarillos,​ little filtered cigars,​ pipes,​ hookah,​ smokeless tobacco and snus. Ever users reported first use of flavoured products,​ while current users also reported current flavoured product use. Current users reported quit attempts made in the past year. Data were weighted to reflect the US adult tobacco user population. Logistic regression models were used to examine associations between first/current flavour use and quit behaviours.,​ RESULTS: Over 70% of respondents reported first use of a flavoured tobacco product,​ while 54% reported current use of at least one flavoured product. Odds of current flavoured product use were greater among those who reported first use of a flavoured product (OR 14.82,​ 95% CI 9.96 to 22.06). First use of a flavoured product was associated with being a current tobacco user (OR 1.55,​ 95% CI 1.08 to 2.22). Compared to single product users,​ polytobacco users exhibited greater odds of reporting current use of flavoured products (OR 2.09,​ 95% CI 1.47 to 2.97). Forty-four percent of current tobacco users reported a past-year quit attempt. Adjusted analyses among current NCT users of at least one flavoured tobacco product showed reduced odds of reporting a quit attempt.,​ CONCLUSIONS: First use of a flavoured tobacco product was associated with current flavoured tobacco use and polytobacco use. Users of only flavoured NCT products exhibited reduced odds of reporting a quit attempt. Findings from this study reinforce the importance of flavoured product availability in the USA,​ which may have significant implications for efforts to reduce tobacco initiation and use at a population level. The relationship between characterising flavours and quit behaviours merits further exploration in longitudinal,​ population-based samples. Copyright Published by the BMJ Publishing Group Limited. For permission to use (where not already granted under a licence) please go to http://www.bmj.com/company/products-services/rights-and-licensing/.</w:t>
            </w:r>
          </w:p>
        </w:tc>
      </w:tr>
      <w:tr w:rsidR="007F0AE0" w:rsidRPr="005762E6" w14:paraId="2E13E91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5F3B45" w14:textId="77777777" w:rsidR="007F0AE0" w:rsidRPr="005762E6" w:rsidRDefault="007F0AE0" w:rsidP="00453DE3">
            <w:pPr>
              <w:spacing w:after="120" w:line="240" w:lineRule="auto"/>
              <w:contextualSpacing/>
              <w:rPr>
                <w:sz w:val="20"/>
                <w:szCs w:val="20"/>
              </w:rPr>
            </w:pPr>
            <w:r w:rsidRPr="005762E6">
              <w:rPr>
                <w:sz w:val="20"/>
                <w:szCs w:val="20"/>
              </w:rPr>
              <w:t>414</w:t>
            </w:r>
          </w:p>
        </w:tc>
        <w:tc>
          <w:tcPr>
            <w:tcW w:w="0" w:type="auto"/>
            <w:tcBorders>
              <w:top w:val="single" w:sz="6" w:space="0" w:color="auto"/>
              <w:left w:val="single" w:sz="6" w:space="0" w:color="auto"/>
              <w:bottom w:val="single" w:sz="6" w:space="0" w:color="auto"/>
              <w:right w:val="single" w:sz="6" w:space="0" w:color="auto"/>
            </w:tcBorders>
          </w:tcPr>
          <w:p w14:paraId="3C718AA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ADFFDAE" w14:textId="77777777" w:rsidR="007F0AE0" w:rsidRPr="005762E6" w:rsidRDefault="007F0AE0" w:rsidP="00453DE3">
            <w:pPr>
              <w:spacing w:after="120" w:line="240" w:lineRule="auto"/>
              <w:contextualSpacing/>
              <w:rPr>
                <w:sz w:val="20"/>
                <w:szCs w:val="20"/>
              </w:rPr>
            </w:pPr>
            <w:r w:rsidRPr="005762E6">
              <w:rPr>
                <w:sz w:val="20"/>
                <w:szCs w:val="20"/>
              </w:rPr>
              <w:t>Jonathan M Samet,​ Mary Ann Pentz,​ Jennifer B Unger Flavoured tobacco products and the public's health: lessons from the TPSAC menthol report.. Tobacco control; 2016;25:ii103.</w:t>
            </w:r>
            <w:r w:rsidRPr="005762E6">
              <w:rPr>
                <w:sz w:val="20"/>
                <w:szCs w:val="20"/>
              </w:rPr>
              <w:br/>
            </w:r>
            <w:r w:rsidRPr="005762E6">
              <w:rPr>
                <w:sz w:val="20"/>
                <w:szCs w:val="20"/>
              </w:rPr>
              <w:br/>
            </w:r>
            <w:r w:rsidRPr="005762E6">
              <w:rPr>
                <w:b/>
                <w:bCs/>
                <w:sz w:val="20"/>
                <w:szCs w:val="20"/>
              </w:rPr>
              <w:t>Keywords:</w:t>
            </w:r>
            <w:r w:rsidRPr="005762E6">
              <w:rPr>
                <w:sz w:val="20"/>
                <w:szCs w:val="20"/>
              </w:rPr>
              <w:br/>
              <w:t>Advisory Committees,​*Flavoring Agents/ad [Administration &amp; Dosage],​Humans,​*Menthol/ad [Administration &amp; Dosage],​Models,​ Statistical,​*Public Health,​Tobacco Industry/mt [Methods],​*Tobacco Products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menthol report developed by the Tobacco Products Scientific Advisory Committee (TPSAC) of the Center for Tobacco Products elaborated a methodology for considering the public health impact of menthol in cigarettes that has relevance to flavourings generally. The TPSAC report was based on a conceptual framework </w:t>
            </w:r>
            <w:r w:rsidRPr="005762E6">
              <w:rPr>
                <w:sz w:val="20"/>
                <w:szCs w:val="20"/>
              </w:rPr>
              <w:lastRenderedPageBreak/>
              <w:t>on how menthol in cigarettes has public health impact results of evidence from related systematic reviews,​ and an evidence-based statistical model. In extending this approach to flavourings generally,​ consideration will need to be given to the existence of multiple flavourings,​ a very dynamic market place and regulatory interventions and industry activities. Now is the time to begin to develop the research strategies and models needed to extend the TPSAC approach to flavoured tobacco products generally. Copyright Published by the BMJ Publishing Group Limited. For permission to use (where not already granted under a licence) please go to http://www.bmj.com/company/products-services/rights-and-licensing/.</w:t>
            </w:r>
          </w:p>
        </w:tc>
      </w:tr>
      <w:tr w:rsidR="007F0AE0" w:rsidRPr="005762E6" w14:paraId="50A74A3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E1A19F" w14:textId="77777777" w:rsidR="007F0AE0" w:rsidRPr="005762E6" w:rsidRDefault="007F0AE0" w:rsidP="00453DE3">
            <w:pPr>
              <w:spacing w:after="120" w:line="240" w:lineRule="auto"/>
              <w:contextualSpacing/>
              <w:rPr>
                <w:sz w:val="20"/>
                <w:szCs w:val="20"/>
              </w:rPr>
            </w:pPr>
            <w:r w:rsidRPr="005762E6">
              <w:rPr>
                <w:sz w:val="20"/>
                <w:szCs w:val="20"/>
              </w:rPr>
              <w:lastRenderedPageBreak/>
              <w:t>416</w:t>
            </w:r>
          </w:p>
        </w:tc>
        <w:tc>
          <w:tcPr>
            <w:tcW w:w="0" w:type="auto"/>
            <w:tcBorders>
              <w:top w:val="single" w:sz="6" w:space="0" w:color="auto"/>
              <w:left w:val="single" w:sz="6" w:space="0" w:color="auto"/>
              <w:bottom w:val="single" w:sz="6" w:space="0" w:color="auto"/>
              <w:right w:val="single" w:sz="6" w:space="0" w:color="auto"/>
            </w:tcBorders>
          </w:tcPr>
          <w:p w14:paraId="0702262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87F8F3F" w14:textId="77777777" w:rsidR="007F0AE0" w:rsidRPr="005762E6" w:rsidRDefault="007F0AE0" w:rsidP="00453DE3">
            <w:pPr>
              <w:spacing w:after="120" w:line="240" w:lineRule="auto"/>
              <w:contextualSpacing/>
              <w:rPr>
                <w:sz w:val="20"/>
                <w:szCs w:val="20"/>
              </w:rPr>
            </w:pPr>
            <w:r w:rsidRPr="005762E6">
              <w:rPr>
                <w:sz w:val="20"/>
                <w:szCs w:val="20"/>
              </w:rPr>
              <w:t>Cristine D Delnevo,​ Andrea C Villanti,​ Olivia A Wackowski,​ Daniel A Gundersen,​ Daniel P Giovenco The influence of menthol,​ e-cigarettes and other tobacco products on young adults' self-reported changes in past year smoking.. Tobacco control; 2016;25:571.</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Data],​Age Factors,​Cross-Sectional Studies,​*Electronic Nicotine Delivery Systems,​European Continental Ancestry Group/sn [Statistics &amp; Numerical Data],​Female,​Health Surveys,​Humans,​Male,​*Menthol,​Self-Report,​*Smoking/ep [Epidemiology],​*Tobacco Products/sn [Statistics &amp; Numerical Data],​Tobacco,​ Smokeless/ut [Utilization],​Young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Progression to regular smoking often occurs during young adulthood. This study examines self-reported changes in past year smoking among young adults and the potential influence of tobacco products on these trajectories.,​ METHODS: Respondents to the 2011 National Young Adult Health Survey who smoked 100 cigarettes in their lifetime (n=909) described smoking behaviour at the time of the survey and 1 year prior. Cigarette smoking trajectories were categorised as: no change,​ quit,​ decreased smoking or increased smoking. Participants were also asked about current use of menthol cigarettes and other tobacco products (ie,​ cigars,​ smokeless tobacco,​ hookah) and ever use of e-cigarettes.,​ RESULTS: Most young adults (73.1%) reported stable cigarette smoking behaviours,​ while 8.2% reported having quit,​ 5.8% reported that they smoke on fewer days,​ 5% progressed from someday to daily smoking and 8% increased from not at all to current smoking. The youngest smokers (18-20) had significantly higher odds (adjusted OR (AOR) =2.6) of increasing cigarette use over the past year compared to those aged 30-34,​ as did blacks versus whites (AOR=2.35). Menthol cigarette use nearly doubled (AOR=1.87) the odds of increased smoking behaviour. E-cigarette and other tobacco product (OTP) use were not associated with increasing smoking but OTP use was negatively associated with remaining quit from cigarettes.,​ CONCLUSIONS: Young adulthood is a critical period for smoking interventions,​ particularly among those most vulnerable to increasing smoking behaviours (ie,​ black and younger young adults). Policy efforts to restrict menthol cigarettes may reduce young adult smoking progression. Copyright Published by the BMJ Publishing Group Limited. For permission to use (where not already granted under a licence) please go to http://www.bmj.com/company/products-services/rights-and-licensing/</w:t>
            </w:r>
          </w:p>
        </w:tc>
      </w:tr>
      <w:tr w:rsidR="007F0AE0" w:rsidRPr="005762E6" w14:paraId="2078A89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CD7E4CC" w14:textId="77777777" w:rsidR="007F0AE0" w:rsidRPr="005762E6" w:rsidRDefault="007F0AE0" w:rsidP="00453DE3">
            <w:pPr>
              <w:spacing w:after="120" w:line="240" w:lineRule="auto"/>
              <w:contextualSpacing/>
              <w:rPr>
                <w:sz w:val="20"/>
                <w:szCs w:val="20"/>
              </w:rPr>
            </w:pPr>
            <w:r w:rsidRPr="005762E6">
              <w:rPr>
                <w:sz w:val="20"/>
                <w:szCs w:val="20"/>
              </w:rPr>
              <w:t>418</w:t>
            </w:r>
          </w:p>
        </w:tc>
        <w:tc>
          <w:tcPr>
            <w:tcW w:w="0" w:type="auto"/>
            <w:tcBorders>
              <w:top w:val="single" w:sz="6" w:space="0" w:color="auto"/>
              <w:left w:val="single" w:sz="6" w:space="0" w:color="auto"/>
              <w:bottom w:val="single" w:sz="6" w:space="0" w:color="auto"/>
              <w:right w:val="single" w:sz="6" w:space="0" w:color="auto"/>
            </w:tcBorders>
          </w:tcPr>
          <w:p w14:paraId="4171296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D4DE5E1" w14:textId="77777777" w:rsidR="007F0AE0" w:rsidRPr="005762E6" w:rsidRDefault="007F0AE0" w:rsidP="00453DE3">
            <w:pPr>
              <w:spacing w:after="120" w:line="240" w:lineRule="auto"/>
              <w:contextualSpacing/>
              <w:rPr>
                <w:sz w:val="20"/>
                <w:szCs w:val="20"/>
              </w:rPr>
            </w:pPr>
            <w:r w:rsidRPr="005762E6">
              <w:rPr>
                <w:sz w:val="20"/>
                <w:szCs w:val="20"/>
              </w:rPr>
              <w:t>Man Ki Ho,​ Babalola Faseru,​ Won S Choi,​ Nicole L Nollen,​ Matthew S Mayo,​ Janet L Thomas,​ Kolawole S Okuyemi,​ Jasjit S Ahluwalia,​ Neal L Benowitz,​ Rachel F Tyndale Utility and relationships of biomarkers of smoking in African-American light smokers.. Cancer epidemiology,​ biomarkers &amp; prevention : a publication of the American Association for Cancer Research,​ cosponsored by the American Society of Preventive Oncology; 2009;18:3426.</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Americans,​Aged,​Aged,​ 80 and over,​*Aryl Hydrocarbon Hydroxylases/ge [Genetics],​*Biomarkers,​ Pharmacological/bl [Blood],​*Carbon Monoxide/bl [Blood],​*Cotinine/bl [Blood],​Cytochrome P-450 CYP2A6,​Double-Blind Method,​Female,​Genotype,​Humans,​Male,​Middle Aged,​Placebos,​Polymorphism,​ Genetic/ge [Genetics],​Prognosis,​Risk Factors,​*Smoking/bl [Blood],​Smoking/eh [Ethnology],​Smoking Cessation,​Young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Although expired carbon monoxide (CO) and plasma cotinine (COT) have been validated as biomarkers of self-reported cigarettes per day (CPD) in heavy smoking Caucasians,​ their utility in light smokers is unknown. Further,​ variability in CYP2A6,​ the enzyme that mediates formation of COT from nicotine and its metabolism to trans-3'-hydroxycotinine (3HC),​ may limit the usefulness of COT. We assessed whether CO and COT are correlated with CPD in African-American light smokers (&lt; or =10 CPD,​ n = 700),​ a population with known reduced CYP2A6 activity and slow COT metabolism. We also examined whether gender,​ age,​ body mass index,​ smoking mentholated cigarettes,​ or rate of CYP2A6 activity,​ by genotype and phenotype measures (3HC/COT),​ influence these relationships. At baseline,​ many participants (42%) exhaled CO of &lt; or =10 ppm,​ the traditional cutoff for </w:t>
            </w:r>
            <w:r w:rsidRPr="005762E6">
              <w:rPr>
                <w:sz w:val="20"/>
                <w:szCs w:val="20"/>
              </w:rPr>
              <w:lastRenderedPageBreak/>
              <w:t>smoking,​ whereas few (3.1%) had COT below the cutoff of &lt; or =14 ng/mL; thus,​ COT seems to be a better biomarker of smoking status in this population. CPD was weakly correlated with CO and COT (r = 0.32-0.39,​ P &lt; 0.001),​ and those reporting fewer CPD had higher CO/cigarette and COT/cigarette,​ although the correlations coefficients between these variables were also weak (r = -0.33 and -0.08,​ P &lt; 0.05). The correlation between CPD and CO was not greatly increased when analyzed by CYP2A6 activity,​ smoking mentholated cigarettes,​ or age,​ although it appeared stronger in females (r = 0.38 versus 0.21,​ P &lt; 0.05) and obese individuals (r = 0.38 versus 0.24,​ P &lt; 0.05). Together,​ these results suggest that CO and COT are weakly associated with self-reported cigarette consumption in African-American light smokers,​ and that these relationships are not substantially improved when variables previously reported to influence these biomarkers are considered.</w:t>
            </w:r>
          </w:p>
        </w:tc>
      </w:tr>
      <w:tr w:rsidR="007F0AE0" w:rsidRPr="005762E6" w14:paraId="39B0C87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E80650" w14:textId="77777777" w:rsidR="007F0AE0" w:rsidRPr="005762E6" w:rsidRDefault="007F0AE0" w:rsidP="00453DE3">
            <w:pPr>
              <w:spacing w:after="120" w:line="240" w:lineRule="auto"/>
              <w:contextualSpacing/>
              <w:rPr>
                <w:sz w:val="20"/>
                <w:szCs w:val="20"/>
              </w:rPr>
            </w:pPr>
            <w:r w:rsidRPr="005762E6">
              <w:rPr>
                <w:sz w:val="20"/>
                <w:szCs w:val="20"/>
              </w:rPr>
              <w:lastRenderedPageBreak/>
              <w:t>419</w:t>
            </w:r>
          </w:p>
        </w:tc>
        <w:tc>
          <w:tcPr>
            <w:tcW w:w="0" w:type="auto"/>
            <w:tcBorders>
              <w:top w:val="single" w:sz="6" w:space="0" w:color="auto"/>
              <w:left w:val="single" w:sz="6" w:space="0" w:color="auto"/>
              <w:bottom w:val="single" w:sz="6" w:space="0" w:color="auto"/>
              <w:right w:val="single" w:sz="6" w:space="0" w:color="auto"/>
            </w:tcBorders>
          </w:tcPr>
          <w:p w14:paraId="13470F0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817F222" w14:textId="77777777" w:rsidR="007F0AE0" w:rsidRPr="005762E6" w:rsidRDefault="007F0AE0" w:rsidP="00453DE3">
            <w:pPr>
              <w:spacing w:after="120" w:line="240" w:lineRule="auto"/>
              <w:contextualSpacing/>
              <w:rPr>
                <w:sz w:val="20"/>
                <w:szCs w:val="20"/>
              </w:rPr>
            </w:pPr>
            <w:r w:rsidRPr="005762E6">
              <w:rPr>
                <w:sz w:val="20"/>
                <w:szCs w:val="20"/>
              </w:rPr>
              <w:t>Jill C Mwenifumbo,​ Edward M Sellers,​ Rachel F Tyndale Socioeconomic and drug use determinants of smoking status in an urban adult population of Black African descent.. Nicotine &amp; tobacco research : official journal of the Society for Research on Nicotine and Tobacco; 2008;10:1319.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[Psychology],​*African Americans/sn [Statistics &amp; Numerical Data],​*Alcohol-Related Disorders/eh [Ethnology],​Alcohol-Related Disorders/px [Psychology],​*Attitude to Health/eh [Ethnology],​Comorbidity,​Educational Status,​Female,​Humans,​Life Style,​Male,​*Marijuana Abuse/eh [Ethnology],​Marijuana Abuse/px [Psychology],​Middle Aged,​Ontario/ep [Epidemiology],​Risk Factors,​*Smoking/eh [Ethnology],​Smoking/px [Psychology],​Smoking Cessation/sn [Statistics &amp; Numerical Data],​Socioeconomic Factors,​Surveys and Questionnaires,​*Urban Population/sn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We examined the influence of socioeconomics and drug use on current smokers (N = 137) and nonsmokers (N = 143) from an urban adult population of Black African descent. Median participant age was 33 years (range = 20-59). Smokers consumed a median of eight cigarettes/day (range = 0-35). Interestingly,​ 86% smoked fewer than 15 cigarettes/day and only 8% smoked menthol cigarettes. Socioeconomic and drug use variables significantly associated with smoking status in univariate analyses were included in a multiple logistic regression model that controlled for gender and age. Compared with nonsmokers,​ smokers were less likely to be university educated,​ more likely to be divorced,​ separated,​ or widowed,​ more likely to be current alcohol users,​ and more likely to be current marijuana users. Unexpectedly,​ household income and employment status were not associated with smoking status. Among current alcohol users,​ smokers consumed three times the number of drinks per month that nonsmokers consumed (p&lt;.001). Among current marijuana users,​ smokers consumed more than five times the number of joints per month that nonsmokers consumed (p&lt;.001). Overall,​ lower education levels,​ divorce,​ and alcohol and marijuana use were significantly associated with increased likelihood of smoking among this population.</w:t>
            </w:r>
          </w:p>
        </w:tc>
      </w:tr>
      <w:tr w:rsidR="007F0AE0" w:rsidRPr="005762E6" w14:paraId="49B287A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08177C" w14:textId="77777777" w:rsidR="007F0AE0" w:rsidRPr="005762E6" w:rsidRDefault="007F0AE0" w:rsidP="00453DE3">
            <w:pPr>
              <w:spacing w:after="120" w:line="240" w:lineRule="auto"/>
              <w:contextualSpacing/>
              <w:rPr>
                <w:sz w:val="20"/>
                <w:szCs w:val="20"/>
              </w:rPr>
            </w:pPr>
            <w:r w:rsidRPr="005762E6">
              <w:rPr>
                <w:sz w:val="20"/>
                <w:szCs w:val="20"/>
              </w:rPr>
              <w:t>421</w:t>
            </w:r>
          </w:p>
        </w:tc>
        <w:tc>
          <w:tcPr>
            <w:tcW w:w="0" w:type="auto"/>
            <w:tcBorders>
              <w:top w:val="single" w:sz="6" w:space="0" w:color="auto"/>
              <w:left w:val="single" w:sz="6" w:space="0" w:color="auto"/>
              <w:bottom w:val="single" w:sz="6" w:space="0" w:color="auto"/>
              <w:right w:val="single" w:sz="6" w:space="0" w:color="auto"/>
            </w:tcBorders>
          </w:tcPr>
          <w:p w14:paraId="2779D3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A46B3C" w14:textId="77777777" w:rsidR="007F0AE0" w:rsidRPr="005762E6" w:rsidRDefault="007F0AE0" w:rsidP="00453DE3">
            <w:pPr>
              <w:spacing w:after="120" w:line="240" w:lineRule="auto"/>
              <w:contextualSpacing/>
              <w:rPr>
                <w:sz w:val="20"/>
                <w:szCs w:val="20"/>
              </w:rPr>
            </w:pPr>
            <w:r w:rsidRPr="005762E6">
              <w:rPr>
                <w:sz w:val="20"/>
                <w:szCs w:val="20"/>
              </w:rPr>
              <w:t>Wenlin Huang,​ Benjamin C Blount,​ Clifford H Watson,​ Christina Watson,​ David M Chambers Quantitative analysis of menthol in human urine using solid phase microextraction and stable isotope dilution gas chromatography-mass spectrometry.. Journal of chromatography. B,​ Analytical technologies in the biomedical and life sciences; 2017;1044-1045:200.</w:t>
            </w:r>
            <w:r w:rsidRPr="005762E6">
              <w:rPr>
                <w:sz w:val="20"/>
                <w:szCs w:val="20"/>
              </w:rPr>
              <w:br/>
            </w:r>
            <w:r w:rsidRPr="005762E6">
              <w:rPr>
                <w:sz w:val="20"/>
                <w:szCs w:val="20"/>
              </w:rPr>
              <w:br/>
            </w:r>
            <w:r w:rsidRPr="005762E6">
              <w:rPr>
                <w:b/>
                <w:bCs/>
                <w:sz w:val="20"/>
                <w:szCs w:val="20"/>
              </w:rPr>
              <w:t>Keywords:</w:t>
            </w:r>
            <w:r w:rsidRPr="005762E6">
              <w:rPr>
                <w:sz w:val="20"/>
                <w:szCs w:val="20"/>
              </w:rPr>
              <w:br/>
              <w:t>*Gas Chromatography-Mass Spectrometry/mt [Methods],​Humans,​Limit of Detection,​Linear Models,​*Menthol/ur [Urine],​Reproducibility of Results,​Smoking,​*Solid Phase Microextraction/mt [Methods]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To accurately measure menthol levels in human urine,​ we developed a method using gas chromatography/electron ionization mass spectrometry with menthol-d4 stable isotope internal standardization. We used solid phase microextraction (SPME) headspace sampling for collection,​ preconcentration and automation. Conjugated forms of menthol were released using beta-glucuronidase/sulfatase to allow for measuring total menthol. Additionally,​ we processed the specimens without using beta-glucuronidase/sulfatase to quantify the levels of unconjugated (free) menthol in urine. This method was developed to verify mentholated cigarette smoking status to study the influence of menthol on smoking behaviour and exposure. This objective was accomplished with this method,​ which has no carryover or memory from the SPME fiber assembly,​ a method detection limit of 0.0017mug/mL,​ a broad linear range of 0.002-0.5mug/mL for free menthol and 0.01-10mug/mL for total menthol,​ a 7.6% precision and 88.5% accuracy,​ and an analysis runtime of 17min. We applied this method in analysis of urine specimens collected from cigarette smokers who smoke either mentholated or non-</w:t>
            </w:r>
            <w:r w:rsidRPr="005762E6">
              <w:rPr>
                <w:sz w:val="20"/>
                <w:szCs w:val="20"/>
              </w:rPr>
              <w:lastRenderedPageBreak/>
              <w:t>mentholated cigarettes. Among these smokers,​ the average total urinary menthol levels was three-fold higher (p&lt;0.001) among mentholated cigarette smokers compared with non-mentholated cigarette smokers. Copyright Published by Elsevier B.V.</w:t>
            </w:r>
          </w:p>
        </w:tc>
      </w:tr>
      <w:tr w:rsidR="007F0AE0" w:rsidRPr="005762E6" w14:paraId="64A7826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0B0DF9" w14:textId="77777777" w:rsidR="007F0AE0" w:rsidRPr="005762E6" w:rsidRDefault="007F0AE0" w:rsidP="00453DE3">
            <w:pPr>
              <w:spacing w:after="120" w:line="240" w:lineRule="auto"/>
              <w:contextualSpacing/>
              <w:rPr>
                <w:sz w:val="20"/>
                <w:szCs w:val="20"/>
              </w:rPr>
            </w:pPr>
            <w:r w:rsidRPr="005762E6">
              <w:rPr>
                <w:sz w:val="20"/>
                <w:szCs w:val="20"/>
              </w:rPr>
              <w:lastRenderedPageBreak/>
              <w:t>425</w:t>
            </w:r>
          </w:p>
        </w:tc>
        <w:tc>
          <w:tcPr>
            <w:tcW w:w="0" w:type="auto"/>
            <w:tcBorders>
              <w:top w:val="single" w:sz="6" w:space="0" w:color="auto"/>
              <w:left w:val="single" w:sz="6" w:space="0" w:color="auto"/>
              <w:bottom w:val="single" w:sz="6" w:space="0" w:color="auto"/>
              <w:right w:val="single" w:sz="6" w:space="0" w:color="auto"/>
            </w:tcBorders>
          </w:tcPr>
          <w:p w14:paraId="0023F06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DCAB5A5" w14:textId="77777777" w:rsidR="007F0AE0" w:rsidRPr="005762E6" w:rsidRDefault="007F0AE0" w:rsidP="00453DE3">
            <w:pPr>
              <w:spacing w:after="120" w:line="240" w:lineRule="auto"/>
              <w:contextualSpacing/>
              <w:rPr>
                <w:sz w:val="20"/>
                <w:szCs w:val="20"/>
              </w:rPr>
            </w:pPr>
            <w:r w:rsidRPr="005762E6">
              <w:rPr>
                <w:sz w:val="20"/>
                <w:szCs w:val="20"/>
              </w:rPr>
              <w:t>Amanda Fallin,​ Amie J Goodin,​ Brian A King Menthol cigarette smoking among lesbian,​ gay,​ bisexual,​ and transgender adults.. American journal of preventive medicine; 2015;48:93.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Adolescent,​Adult,​Bisexuality,​Data Collection,​Drug Synergism,​Female,​Homosexuality,​ Female,​Homosexuality,​ Male,​Humans,​Interviews as Topic,​Male,​*Marketing/mt [Methods],​*Menthol,​Middle Aged,​*Nicotine,​*Sexual Behavior/sn [Statistics &amp; Numerical Data],​Smoking/ep [Epidemiology],​*Smoking/td [Trends],​Tobacco Products/cl [Classification],​*Tobacco Products/sn [Statistics &amp; Numerical Data],​Transgender Persons,​United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Menthol can mask the harshness and taste of tobacco,​ making menthol cigarettes easier to use and increasing their appeal among vulnerable populations. The tobacco industry has targeted youth,​ women,​ and racial minorities with menthol cigarettes,​ and these groups smoke menthol cigarettes at higher rates. The tobacco industry has also targeted the lesbian,​ gay,​ bisexual,​ and transgender (LGBT) communities with tobacco product marketing.,​ PURPOSE: To assess current menthol cigarette smoking by sexual orientation among a nationally representative sample of U.S. adults.,​ METHODS: Data were obtained from the 2009-2010 National Adult Tobacco Survey,​ a national landline and cellular telephone survey of non-institutionalized U.S. adults aged &gt;=18 years,​ to compare current menthol cigarette smoking between LGBT (n=2,​431) and heterosexual/straight (n=110,​841) adults. Data were analyzed during January-April 2014 using descriptive statistics and logistic regression adjusted for sex,​ age,​ race,​ and educational attainment.,​ RESULTS: Among all current cigarette smokers,​ 29.6% reported usually smoking menthol cigarettes in the past 30 days. Menthol use was significantly higher among LGBT smokers,​ with 36.3% reporting that the cigarettes they usually smoked were menthol compared to 29.3% of heterosexual/straight smokers (p&lt;0.05); this difference was particularly prominent among LGBT females (42.9%) compared to heterosexual/straight women (32.4%) (p&lt;0.05). Following adjustment,​ LGBT smokers had greater odds of usually smoking menthol cigarettes than heterosexual/straight smokers (OR=1.31,​ 95% CI=1.09,​ 1.57).,​ CONCLUSIONS: These findings suggest that efforts to reduce menthol cigarette use may have the potential to reduce tobacco use and tobacco-related disease and death among LGBT adults. Copyright © 2015 American Journal of Preventive Medicine. All rights reserved.</w:t>
            </w:r>
          </w:p>
        </w:tc>
      </w:tr>
      <w:tr w:rsidR="007F0AE0" w:rsidRPr="005762E6" w14:paraId="1AE97C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942EDF5" w14:textId="77777777" w:rsidR="007F0AE0" w:rsidRPr="005762E6" w:rsidRDefault="007F0AE0" w:rsidP="00453DE3">
            <w:pPr>
              <w:spacing w:after="120" w:line="240" w:lineRule="auto"/>
              <w:contextualSpacing/>
              <w:rPr>
                <w:sz w:val="20"/>
                <w:szCs w:val="20"/>
              </w:rPr>
            </w:pPr>
            <w:r w:rsidRPr="005762E6">
              <w:rPr>
                <w:sz w:val="20"/>
                <w:szCs w:val="20"/>
              </w:rPr>
              <w:t>428</w:t>
            </w:r>
          </w:p>
        </w:tc>
        <w:tc>
          <w:tcPr>
            <w:tcW w:w="0" w:type="auto"/>
            <w:tcBorders>
              <w:top w:val="single" w:sz="6" w:space="0" w:color="auto"/>
              <w:left w:val="single" w:sz="6" w:space="0" w:color="auto"/>
              <w:bottom w:val="single" w:sz="6" w:space="0" w:color="auto"/>
              <w:right w:val="single" w:sz="6" w:space="0" w:color="auto"/>
            </w:tcBorders>
          </w:tcPr>
          <w:p w14:paraId="67AF947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5E059FF" w14:textId="77777777" w:rsidR="007F0AE0" w:rsidRPr="005762E6" w:rsidRDefault="007F0AE0" w:rsidP="00453DE3">
            <w:pPr>
              <w:spacing w:after="120" w:line="240" w:lineRule="auto"/>
              <w:contextualSpacing/>
              <w:rPr>
                <w:sz w:val="20"/>
                <w:szCs w:val="20"/>
              </w:rPr>
            </w:pPr>
            <w:r w:rsidRPr="005762E6">
              <w:rPr>
                <w:sz w:val="20"/>
                <w:szCs w:val="20"/>
              </w:rPr>
              <w:t>Cheyenne E Allenby,​ Kelly A Boylan,​ Caryn Lerman,​ Mary Falcone Precision Medicine for Tobacco Dependence: Development and Validation of the Nicotine Metabolite Ratio.. Journal of neuroimmune pharmacology : the official journal of the Society on NeuroImmune Pharmacology; 2016;11:471.</w:t>
            </w:r>
            <w:r w:rsidRPr="005762E6">
              <w:rPr>
                <w:sz w:val="20"/>
                <w:szCs w:val="20"/>
              </w:rPr>
              <w:br/>
            </w:r>
            <w:r w:rsidRPr="005762E6">
              <w:rPr>
                <w:sz w:val="20"/>
                <w:szCs w:val="20"/>
              </w:rPr>
              <w:br/>
            </w:r>
            <w:r w:rsidRPr="005762E6">
              <w:rPr>
                <w:b/>
                <w:bCs/>
                <w:sz w:val="20"/>
                <w:szCs w:val="20"/>
              </w:rPr>
              <w:t>Keywords:</w:t>
            </w:r>
            <w:r w:rsidRPr="005762E6">
              <w:rPr>
                <w:sz w:val="20"/>
                <w:szCs w:val="20"/>
              </w:rPr>
              <w:br/>
              <w:t>Humans,​*Nicotine/me [Metabolism],​*Precision Medicine/mt [Methods],​*Precision Medicine/st [Standards],​Precision Medicine/td [Trends],​Reproducibility of Results,​*Smoking Cessation/mt [Methods],​*Tobacco Use Disorder/me [Metabolism],​*Tobacco Use Disorder/th [Therapy]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Quitting smoking significantly reduces the risk of tobacco-related morbidity and mortality,​ yet there is a high rate of relapse amongst smokers who try to quit. Phenotypic biomarkers have the potential to improve smoking cessation outcomes by identifying the best available treatment for an individual smoker. In this review,​ we introduce the nicotine metabolite ratio (NMR) as a reliable and stable phenotypic measure of nicotine metabolism that can guide smoking cessation treatment among smokers who wish to quit. We address how the NMR accounts for sources of variation in nicotine metabolism including genotype and other biological and environmental factors such as estrogen levels,​ alcohol use,​ body mass index,​ or menthol exposure. Then,​ we highlight clinical trials that validate the NMR as a biomarker to predict therapeutic response to different pharmacotherapies for smoking cessation. Current evidence supports the use of nicotine replacement therapy for slow metabolizers,​ and non-nicotine treatments such as varenicline for normal metabolizers. Finally,​ we discuss future research directions to elucidate mechanisms underlying NMR associations with treatment response,​ and facilitate the implementation of the NMR as biomarker in clinical practice to guide smoking cessation.</w:t>
            </w:r>
          </w:p>
        </w:tc>
      </w:tr>
      <w:tr w:rsidR="007F0AE0" w:rsidRPr="005762E6" w14:paraId="5D1832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5F0309" w14:textId="77777777" w:rsidR="007F0AE0" w:rsidRPr="005762E6" w:rsidRDefault="007F0AE0" w:rsidP="00453DE3">
            <w:pPr>
              <w:spacing w:after="120" w:line="240" w:lineRule="auto"/>
              <w:contextualSpacing/>
              <w:rPr>
                <w:sz w:val="20"/>
                <w:szCs w:val="20"/>
              </w:rPr>
            </w:pPr>
            <w:r w:rsidRPr="005762E6">
              <w:rPr>
                <w:sz w:val="20"/>
                <w:szCs w:val="20"/>
              </w:rPr>
              <w:lastRenderedPageBreak/>
              <w:t>429</w:t>
            </w:r>
          </w:p>
        </w:tc>
        <w:tc>
          <w:tcPr>
            <w:tcW w:w="0" w:type="auto"/>
            <w:tcBorders>
              <w:top w:val="single" w:sz="6" w:space="0" w:color="auto"/>
              <w:left w:val="single" w:sz="6" w:space="0" w:color="auto"/>
              <w:bottom w:val="single" w:sz="6" w:space="0" w:color="auto"/>
              <w:right w:val="single" w:sz="6" w:space="0" w:color="auto"/>
            </w:tcBorders>
          </w:tcPr>
          <w:p w14:paraId="7A041BE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AAE55A4" w14:textId="77777777" w:rsidR="007F0AE0" w:rsidRPr="005762E6" w:rsidRDefault="007F0AE0" w:rsidP="00453DE3">
            <w:pPr>
              <w:spacing w:after="120" w:line="240" w:lineRule="auto"/>
              <w:contextualSpacing/>
              <w:rPr>
                <w:sz w:val="20"/>
                <w:szCs w:val="20"/>
              </w:rPr>
            </w:pPr>
            <w:r w:rsidRPr="005762E6">
              <w:rPr>
                <w:sz w:val="20"/>
                <w:szCs w:val="20"/>
              </w:rPr>
              <w:t>Naoto Ogura,​ Yuta Kono,​ Masako To,​ Shintaro Mikami,​ Seiko Soeda,​ Hiroko Hara,​ Yasuo To Menthol-Flavored Cigarettes: Potentially a Strong Trigger of Acute Eosinophilic Pneumonia.. The American journal of medicine; 2017;130:e63.</w:t>
            </w:r>
            <w:r w:rsidRPr="005762E6">
              <w:rPr>
                <w:sz w:val="20"/>
                <w:szCs w:val="20"/>
              </w:rPr>
              <w:br/>
            </w:r>
            <w:r w:rsidRPr="005762E6">
              <w:rPr>
                <w:sz w:val="20"/>
                <w:szCs w:val="20"/>
              </w:rPr>
              <w:br/>
            </w:r>
            <w:r w:rsidRPr="005762E6">
              <w:rPr>
                <w:b/>
                <w:bCs/>
                <w:sz w:val="20"/>
                <w:szCs w:val="20"/>
              </w:rPr>
              <w:t>Keywords:</w:t>
            </w:r>
            <w:r w:rsidRPr="005762E6">
              <w:rPr>
                <w:sz w:val="20"/>
                <w:szCs w:val="20"/>
              </w:rPr>
              <w:br/>
              <w:t>Acute Disease,​C-Reactive Protein/an [Analysis],​*Cigarette Smoking/ae [Adverse Effects],​Humans,​Leukocytosis/et [Etiology],​Male,​*Menthol/ae [Adverse Effects],​*Pulmonary Eosinophilia/ci [Chemically Induced],​Pulmonary Eosinophilia/di [Diagnosis],​Pulmonary Surfactant-Associated Protein D/bl [Blood],​Young Adult</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49EBD0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5220EA" w14:textId="77777777" w:rsidR="007F0AE0" w:rsidRPr="005762E6" w:rsidRDefault="007F0AE0" w:rsidP="00453DE3">
            <w:pPr>
              <w:spacing w:after="120" w:line="240" w:lineRule="auto"/>
              <w:contextualSpacing/>
              <w:rPr>
                <w:sz w:val="20"/>
                <w:szCs w:val="20"/>
              </w:rPr>
            </w:pPr>
            <w:r w:rsidRPr="005762E6">
              <w:rPr>
                <w:sz w:val="20"/>
                <w:szCs w:val="20"/>
              </w:rPr>
              <w:t>430</w:t>
            </w:r>
          </w:p>
        </w:tc>
        <w:tc>
          <w:tcPr>
            <w:tcW w:w="0" w:type="auto"/>
            <w:tcBorders>
              <w:top w:val="single" w:sz="6" w:space="0" w:color="auto"/>
              <w:left w:val="single" w:sz="6" w:space="0" w:color="auto"/>
              <w:bottom w:val="single" w:sz="6" w:space="0" w:color="auto"/>
              <w:right w:val="single" w:sz="6" w:space="0" w:color="auto"/>
            </w:tcBorders>
          </w:tcPr>
          <w:p w14:paraId="5DC56AC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99E2FDA" w14:textId="77777777" w:rsidR="007F0AE0" w:rsidRPr="005762E6" w:rsidRDefault="007F0AE0" w:rsidP="00453DE3">
            <w:pPr>
              <w:spacing w:after="120" w:line="240" w:lineRule="auto"/>
              <w:contextualSpacing/>
              <w:rPr>
                <w:sz w:val="20"/>
                <w:szCs w:val="20"/>
              </w:rPr>
            </w:pPr>
            <w:r w:rsidRPr="005762E6">
              <w:rPr>
                <w:sz w:val="20"/>
                <w:szCs w:val="20"/>
              </w:rPr>
              <w:t>Jessica Chopyk,​ Suhana Chattopadhyay,​ Prachi Kulkarni,​ Emma Claye,​ Kelsey R Babik,​ Molly C Reid,​ Eoghan M Smyth,​ Lauren E Hittle,​ Joseph N Paulson,​ Raul Cruz-Cano,​ Mihai Pop,​ Stephanie S Buehler,​ Pamela I Clark,​ Amy R Sapkota,​ Emmanuel F Mongodin Mentholation affects the cigarette microbiota by selecting for bacteria resistant to harsh environmental conditions and selecting against potential bacterial pathogens.. Microbiome; 2017;5:22.</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Americans,​Bacteria/ge [Genetics],​*Bacteria/ip [Isolation &amp; Purification],​Bacteria/py [Pathogenicity],​DNA,​ Bacterial,​Humans,​*Menthol/an [Analysis],​Microbiota/ge [Genetics],​*Microbiota/ph [Physiology],​Polymerase Chain Reaction,​Pseudomonas/ge [Genetics],​Pseudomonas/ip [Isolation &amp; Purification],​RNA,​ Ribosomal,​ 16S,​*Smoking,​Tobacco/ch [Chemistry],​*Tobacco/mi [Microbiology],​Tobacco Products/an [Analysis],​*Tobacco Products/mi [Microbiology]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There is a paucity of data regarding the microbial constituents of tobacco products and their impacts on public health. Moreover,​ there has been no comparative characterization performed on the bacterial microbiota associated with the addition of menthol,​ an additive that has been used by tobacco manufacturers for nearly a century. To address this knowledge gap,​ we conducted bacterial community profiling on tobacco from user- and custom-mentholated/non-mentholated cigarette pairs,​ as well as a commercially-mentholated product. Total genomic DNA was extracted using a multi-step enzymatic and mechanical lysis protocol followed by PCR amplification of the V3-V4 hypervariable regions of the 16S rRNA gene from five cigarette products (18 cigarettes per product for a total of 90 samples): Camel Crush,​ user-mentholated Camel Crush,​ Camel Kings,​ custom-mentholated Camel Kings,​ and Newport Menthols. Sequencing was performed on the Illumina MiSeq platform and sequences were processed using the Quantitative Insights Into Microbial Ecology (QIIME) software package.,​ RESULTS: In all products,​ Pseudomonas was the most abundant genera and included Pseudomonas oryzihabitans and Pseudomonas putida,​ regardless of mentholation status. However,​ further comparative analysis of the five products revealed significant differences in the bacterial compositions across products. Bacterial community richness was higher among non-mentholated products compared to those that were mentholated,​ particularly those that were custom-mentholated. In addition,​ mentholation appeared to be correlated with a reduction in potential human bacterial pathogens and an increase in bacterial species resistant to harsh environmental conditions.,​ CONCLUSIONS: Taken together,​ these data provide preliminary evidence that the mentholation of commercially available cigarettes can impact the bacterial community of these products.</w:t>
            </w:r>
          </w:p>
        </w:tc>
      </w:tr>
      <w:tr w:rsidR="007F0AE0" w:rsidRPr="005762E6" w14:paraId="2045F58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C76322" w14:textId="77777777" w:rsidR="007F0AE0" w:rsidRPr="005762E6" w:rsidRDefault="007F0AE0" w:rsidP="00453DE3">
            <w:pPr>
              <w:spacing w:after="120" w:line="240" w:lineRule="auto"/>
              <w:contextualSpacing/>
              <w:rPr>
                <w:sz w:val="20"/>
                <w:szCs w:val="20"/>
              </w:rPr>
            </w:pPr>
            <w:r w:rsidRPr="005762E6">
              <w:rPr>
                <w:sz w:val="20"/>
                <w:szCs w:val="20"/>
              </w:rPr>
              <w:t>432</w:t>
            </w:r>
          </w:p>
        </w:tc>
        <w:tc>
          <w:tcPr>
            <w:tcW w:w="0" w:type="auto"/>
            <w:tcBorders>
              <w:top w:val="single" w:sz="6" w:space="0" w:color="auto"/>
              <w:left w:val="single" w:sz="6" w:space="0" w:color="auto"/>
              <w:bottom w:val="single" w:sz="6" w:space="0" w:color="auto"/>
              <w:right w:val="single" w:sz="6" w:space="0" w:color="auto"/>
            </w:tcBorders>
          </w:tcPr>
          <w:p w14:paraId="3432C6C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0169D6" w14:textId="77777777" w:rsidR="007F0AE0" w:rsidRPr="005762E6" w:rsidRDefault="007F0AE0" w:rsidP="00453DE3">
            <w:pPr>
              <w:spacing w:after="120" w:line="240" w:lineRule="auto"/>
              <w:contextualSpacing/>
              <w:rPr>
                <w:sz w:val="20"/>
                <w:szCs w:val="20"/>
              </w:rPr>
            </w:pPr>
            <w:r w:rsidRPr="005762E6">
              <w:rPr>
                <w:sz w:val="20"/>
                <w:szCs w:val="20"/>
              </w:rPr>
              <w:t>Shelley D Golden,​ Amanda Y Kong,​ Kurt M Ribisl Racial and Ethnic Differences in What Smokers Report Paying for Their Cigarettes.. Nicotine &amp; tobacco research : official journal of the Society for Research on Nicotine and Tobacco; 2016;18:1649.</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Adolescent,​Adult,​Aged,​Commerce/ec [Economics],​*Consumer Behavior,​Ethnic Groups,​Female,​Humans,​Male,​Middle Aged,​Smoking/ec [Economics],​*Smoking/ep [Epidemiology],​Smoking/lj [Legislation &amp; Jurisprudence],​Socioeconomic Factors,​*Taxes/ec [Economics],​*Tobacco Products/ec [Economics],​United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Smoking rates and tobacco-related health problems vary by race and ethnicity. We explore whether cigarette prices,​ a determinant of tobacco use,​ differ across racial and ethnic groups,​ and whether consumer behaviors influence these differences.,​ METHODS: We used national Tobacco Use </w:t>
            </w:r>
            <w:r w:rsidRPr="005762E6">
              <w:rPr>
                <w:sz w:val="20"/>
                <w:szCs w:val="20"/>
              </w:rPr>
              <w:lastRenderedPageBreak/>
              <w:t>Supplement data from 23 299 adult smokers in the United States to calculate average reported cigarette pack prices for six racial and ethnic groups. Using multivariate regression models,​ we analyzed the independent effect of race and ethnicity on price,​ and whether these effects changed once indicators of carton purchasing,​ menthol use,​ Indian reservation purchase,​ and state market prices were incorporated.,​ RESULTS: American Indians and whites pay similar amounts and report the lowest prices. Blacks,​ Hispanics,​ and Asians reported paying .42,​ .68,​ and .89 more for a pack of cigarettes than whites. After accounting for differences in consumer behaviors,​ these gaps shrunk to .27,​ .29,​ and .27,​ respectively,​ while American Indians paid .38 more than whites. Pack buying was associated with .99 higher per-pack prices than carton buying,​ which was most common among whites. Additionally,​ people who purchased off an Indian reservation reporting paying .54 more than those who purchased on reservation.,​ CONCLUSIONS: Average reported cigarette prices vary by race and ethnicity,​ in part due to differences in product use and purchase location. Tobacco price policies,​ especially those that target low prices for multipack products or on Indian reservations may increase the prices paid by whites and American Indians,​ who smoke at the highest rates and pay the least per pack.,​ IMPLICATIONS: This study examines differences in reported prices paid by different racial and ethnic groups,​ using recent,​ national data from the United States. Results indicating that racial and ethnic groups that smoke at the highest rates (American Indians and whites) also pay the least are consistent with evidence that price is a key factor in cigarette use. Additional analysis finds that cigarette purchasing behaviors,​ especially carton buying and purchasing on Indian reservations,​ partially account for the documented price differences,​ and suggest that policies focused on bulk purchases (carton,​ multipack) and reservation prices have strong tobacco control potential. Copyright © The Author 2016. Published by Oxford University Press on behalf of the Society for Research on Nicotine and Tobacco. All rights reserved. For permissions,​ please e-mail: journals.permissions@oup.com.</w:t>
            </w:r>
          </w:p>
        </w:tc>
      </w:tr>
      <w:tr w:rsidR="007F0AE0" w:rsidRPr="005762E6" w14:paraId="2684172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E9447D" w14:textId="77777777" w:rsidR="007F0AE0" w:rsidRPr="005762E6" w:rsidRDefault="007F0AE0" w:rsidP="00453DE3">
            <w:pPr>
              <w:spacing w:after="120" w:line="240" w:lineRule="auto"/>
              <w:contextualSpacing/>
              <w:rPr>
                <w:sz w:val="20"/>
                <w:szCs w:val="20"/>
              </w:rPr>
            </w:pPr>
            <w:r w:rsidRPr="005762E6">
              <w:rPr>
                <w:sz w:val="20"/>
                <w:szCs w:val="20"/>
              </w:rPr>
              <w:lastRenderedPageBreak/>
              <w:t>436</w:t>
            </w:r>
          </w:p>
        </w:tc>
        <w:tc>
          <w:tcPr>
            <w:tcW w:w="0" w:type="auto"/>
            <w:tcBorders>
              <w:top w:val="single" w:sz="6" w:space="0" w:color="auto"/>
              <w:left w:val="single" w:sz="6" w:space="0" w:color="auto"/>
              <w:bottom w:val="single" w:sz="6" w:space="0" w:color="auto"/>
              <w:right w:val="single" w:sz="6" w:space="0" w:color="auto"/>
            </w:tcBorders>
          </w:tcPr>
          <w:p w14:paraId="2DF5405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4B1DD50" w14:textId="77777777" w:rsidR="007F0AE0" w:rsidRPr="005762E6" w:rsidRDefault="007F0AE0" w:rsidP="00453DE3">
            <w:pPr>
              <w:spacing w:after="120" w:line="240" w:lineRule="auto"/>
              <w:contextualSpacing/>
              <w:rPr>
                <w:sz w:val="20"/>
                <w:szCs w:val="20"/>
              </w:rPr>
            </w:pPr>
            <w:r w:rsidRPr="005762E6">
              <w:rPr>
                <w:sz w:val="20"/>
                <w:szCs w:val="20"/>
              </w:rPr>
              <w:t>Meike Paschke,​ Anna Tkachenko,​ Katja Ackermann,​ Christoph Hutzler,​ Frank Henkler,​ Andreas Luch Activation of the cold-receptor TRPM8 by low levels of menthol in tobacco products.. Toxicology letters; 2017;271:50.</w:t>
            </w:r>
            <w:r w:rsidRPr="005762E6">
              <w:rPr>
                <w:sz w:val="20"/>
                <w:szCs w:val="20"/>
              </w:rPr>
              <w:br/>
            </w:r>
            <w:r w:rsidRPr="005762E6">
              <w:rPr>
                <w:sz w:val="20"/>
                <w:szCs w:val="20"/>
              </w:rPr>
              <w:br/>
            </w:r>
            <w:r w:rsidRPr="005762E6">
              <w:rPr>
                <w:b/>
                <w:bCs/>
                <w:sz w:val="20"/>
                <w:szCs w:val="20"/>
              </w:rPr>
              <w:t>Keywords:</w:t>
            </w:r>
            <w:r w:rsidRPr="005762E6">
              <w:rPr>
                <w:sz w:val="20"/>
                <w:szCs w:val="20"/>
              </w:rPr>
              <w:br/>
              <w:t>Biological Assay,​Calcium Signaling/de [Drug Effects],​Dose-Response Relationship,​ Drug,​HEK293 Cells,​Humans,​*Menthol/to [Toxicity],​*Smoke/ae [Adverse Effects],​*Smoking/ae [Adverse Effects],​*TRPM Cation Channels/ag [Agonists],​TRPM Cation Channels/ge [Genetics],​TRPM Cation Channels/me [Metabolism],​*Tobacco Products/to [Toxicity],​Transfection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Activation of the cold-receptor TRPM8 by menthol or other tobacco additives can suppress natural defense reactions such as coughing that usually would become effective as involuntary resistance against the inhalation of fumes. In Europe menthol is only regulated as flavor,​ but can be used as additive as long as no characteristic mint-like aroma will become noticeable in the end-product tobacco. The question needs to be addressed of whether such comparatively minor contents would be sufficient to trigger a measurable activation of TRPM8. In this study,​ we have analyzed both the contents of menthol and other natural TRPM8 agonists in tobacco products and developed a bioassay to determine the minimum concentrations of selected agonists to activate the TRPM8 receptor in cultured cells. The data confirm menthol as strongest natural agonist investigated. Based on these experiments and previously published data,​ we have estimated both the minimum menthol concentrations in cigarette smoke and in tobacco that are expected to trigger measurable physiological effects. According to our assessments,​ TRPM8 activation is likely to occur when cigarettes contain more than 50 micrograms of menthol. Importantly,​ menthol contents in cigarettes far below the typical levels that require declaration as "mentholated" would be sufficient to activate sensory receptors. Copyright © 2017 The Author(s). Published by Elsevier B.V. All rights reserved.</w:t>
            </w:r>
          </w:p>
        </w:tc>
      </w:tr>
      <w:tr w:rsidR="007F0AE0" w:rsidRPr="005762E6" w14:paraId="4BE5DD1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7861B9" w14:textId="77777777" w:rsidR="007F0AE0" w:rsidRPr="005762E6" w:rsidRDefault="007F0AE0" w:rsidP="00453DE3">
            <w:pPr>
              <w:spacing w:after="120" w:line="240" w:lineRule="auto"/>
              <w:contextualSpacing/>
              <w:rPr>
                <w:sz w:val="20"/>
                <w:szCs w:val="20"/>
              </w:rPr>
            </w:pPr>
            <w:r w:rsidRPr="005762E6">
              <w:rPr>
                <w:sz w:val="20"/>
                <w:szCs w:val="20"/>
              </w:rPr>
              <w:t>437</w:t>
            </w:r>
          </w:p>
        </w:tc>
        <w:tc>
          <w:tcPr>
            <w:tcW w:w="0" w:type="auto"/>
            <w:tcBorders>
              <w:top w:val="single" w:sz="6" w:space="0" w:color="auto"/>
              <w:left w:val="single" w:sz="6" w:space="0" w:color="auto"/>
              <w:bottom w:val="single" w:sz="6" w:space="0" w:color="auto"/>
              <w:right w:val="single" w:sz="6" w:space="0" w:color="auto"/>
            </w:tcBorders>
          </w:tcPr>
          <w:p w14:paraId="0949BF0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D32AB63" w14:textId="77777777" w:rsidR="007F0AE0" w:rsidRPr="005762E6" w:rsidRDefault="007F0AE0" w:rsidP="00453DE3">
            <w:pPr>
              <w:spacing w:after="120" w:line="240" w:lineRule="auto"/>
              <w:contextualSpacing/>
              <w:rPr>
                <w:sz w:val="20"/>
                <w:szCs w:val="20"/>
              </w:rPr>
            </w:pPr>
            <w:r w:rsidRPr="005762E6">
              <w:rPr>
                <w:sz w:val="20"/>
                <w:szCs w:val="20"/>
              </w:rPr>
              <w:t>Cynthia Van Landingham,​ William Fuller,​ Greg Mariano,​ Kristin Marano,​ Geoffrey Curtin,​ Sandra I Sulsky Stroke risk among menthol versus non-menthol cigarette smokers in the United States: Analysis of the National Health and Nutrition Examination Survey (NHANES).. Regulatory toxicology and pharmacology : RTP; 2017;85:64.</w:t>
            </w:r>
            <w:r w:rsidRPr="005762E6">
              <w:rPr>
                <w:sz w:val="20"/>
                <w:szCs w:val="20"/>
              </w:rPr>
              <w:br/>
            </w:r>
            <w:r w:rsidRPr="005762E6">
              <w:rPr>
                <w:sz w:val="20"/>
                <w:szCs w:val="20"/>
              </w:rPr>
              <w:br/>
            </w:r>
            <w:r w:rsidRPr="005762E6">
              <w:rPr>
                <w:b/>
                <w:bCs/>
                <w:sz w:val="20"/>
                <w:szCs w:val="20"/>
              </w:rPr>
              <w:t>Keywords:</w:t>
            </w:r>
            <w:r w:rsidRPr="005762E6">
              <w:rPr>
                <w:sz w:val="20"/>
                <w:szCs w:val="20"/>
              </w:rPr>
              <w:br/>
              <w:t>Adult,​Aged,​Female,​Humans,​Male,​*Menthol,​Middle Aged,​*Nutrition Surveys,​Odds Ratio,​Risk,​*Smoking/ep [Epidemiology],​*Stroke/ep [Epidemiology],​*Tobacco Products,​United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Though available evidence is relatively consistent in showing no additional health effects among smokers due to menthol in cigarettes,​ two studies reported conflicting results for stroke risk using different </w:t>
            </w:r>
            <w:r w:rsidRPr="005762E6">
              <w:rPr>
                <w:sz w:val="20"/>
                <w:szCs w:val="20"/>
              </w:rPr>
              <w:lastRenderedPageBreak/>
              <w:t>subsets of NHANES data. We investigated reasons for the differences in these reports by analyzing NHANES cycles conducted between 1999 and 2012,​ combined and in subsets. Adjusted odds ratios (AOR) and 95% confidence intervals (CI) from three different survey logistic regression models compare risk of reported stroke diagnoses among menthol and non-menthol cigarette smokers. Depending on timeframe,​ about 1150 to 8000 U.S. adults (aged &gt;= 20 years) who smoked on &gt;= 1 of the last 30 days had complete data for cigarette type and all covariates included in each model. Results were not much affected by which covariates were included in the models,​ but depended strongly on the NHANES cycles included in the analysis. Using NHANES 1999-2012 data combined,​ AORs and 95% CIs for stroke comparing menthol with non-menthol cigarette smokers were 0.95 (95% CI: 0.65,​ 1.37),​ 0.85 (95% CI: 0.59,​ 1.23) or 0.86 (95% CI: 0.59,​ 1.25). Collectively,​ findings illustrate the need for fully reporting research and analytical methods,​ especially when analyses are meant to develop evidence intended for regulatory decision-making. Copyright © 2017 The Authors. Published by Elsevier Inc. All rights reserved.</w:t>
            </w:r>
          </w:p>
        </w:tc>
      </w:tr>
      <w:tr w:rsidR="007F0AE0" w:rsidRPr="005762E6" w14:paraId="168056C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608DF5" w14:textId="77777777" w:rsidR="007F0AE0" w:rsidRPr="005762E6" w:rsidRDefault="007F0AE0" w:rsidP="00453DE3">
            <w:pPr>
              <w:spacing w:after="120" w:line="240" w:lineRule="auto"/>
              <w:contextualSpacing/>
              <w:rPr>
                <w:sz w:val="20"/>
                <w:szCs w:val="20"/>
              </w:rPr>
            </w:pPr>
            <w:r w:rsidRPr="005762E6">
              <w:rPr>
                <w:sz w:val="20"/>
                <w:szCs w:val="20"/>
              </w:rPr>
              <w:lastRenderedPageBreak/>
              <w:t>438</w:t>
            </w:r>
          </w:p>
        </w:tc>
        <w:tc>
          <w:tcPr>
            <w:tcW w:w="0" w:type="auto"/>
            <w:tcBorders>
              <w:top w:val="single" w:sz="6" w:space="0" w:color="auto"/>
              <w:left w:val="single" w:sz="6" w:space="0" w:color="auto"/>
              <w:bottom w:val="single" w:sz="6" w:space="0" w:color="auto"/>
              <w:right w:val="single" w:sz="6" w:space="0" w:color="auto"/>
            </w:tcBorders>
          </w:tcPr>
          <w:p w14:paraId="2F32C37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81E022" w14:textId="77777777" w:rsidR="007F0AE0" w:rsidRPr="005762E6" w:rsidRDefault="007F0AE0" w:rsidP="00453DE3">
            <w:pPr>
              <w:spacing w:after="120" w:line="240" w:lineRule="auto"/>
              <w:contextualSpacing/>
              <w:rPr>
                <w:sz w:val="20"/>
                <w:szCs w:val="20"/>
              </w:rPr>
            </w:pPr>
            <w:r w:rsidRPr="005762E6">
              <w:rPr>
                <w:sz w:val="20"/>
                <w:szCs w:val="20"/>
              </w:rPr>
              <w:t>Lauren K Lempert,​ Valerie Yerger,​ Stanton A Glantz Letter by Lempert et al Regarding Article,​ "Menthol and Nonmenthol Cigarette Smoking: All-Cause Deaths,​ Cardiovascular Disease Deaths,​ and Other Causes of Death Among Blacks and Whites".. Circulation; 2016;134:e119.</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Americans,​Cardiovascular Diseases,​Cause of Death,​European Continental Ancestry Group,​Humans,​*Menthol,​*Smoking,​Smoking Cessation</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B1C713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8D4B95" w14:textId="77777777" w:rsidR="007F0AE0" w:rsidRPr="005762E6" w:rsidRDefault="007F0AE0" w:rsidP="00453DE3">
            <w:pPr>
              <w:spacing w:after="120" w:line="240" w:lineRule="auto"/>
              <w:contextualSpacing/>
              <w:rPr>
                <w:sz w:val="20"/>
                <w:szCs w:val="20"/>
              </w:rPr>
            </w:pPr>
            <w:r w:rsidRPr="005762E6">
              <w:rPr>
                <w:sz w:val="20"/>
                <w:szCs w:val="20"/>
              </w:rPr>
              <w:t>441</w:t>
            </w:r>
          </w:p>
        </w:tc>
        <w:tc>
          <w:tcPr>
            <w:tcW w:w="0" w:type="auto"/>
            <w:tcBorders>
              <w:top w:val="single" w:sz="6" w:space="0" w:color="auto"/>
              <w:left w:val="single" w:sz="6" w:space="0" w:color="auto"/>
              <w:bottom w:val="single" w:sz="6" w:space="0" w:color="auto"/>
              <w:right w:val="single" w:sz="6" w:space="0" w:color="auto"/>
            </w:tcBorders>
          </w:tcPr>
          <w:p w14:paraId="4B997DA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A773AED" w14:textId="77777777" w:rsidR="007F0AE0" w:rsidRPr="005762E6" w:rsidRDefault="007F0AE0" w:rsidP="00453DE3">
            <w:pPr>
              <w:spacing w:after="120" w:line="240" w:lineRule="auto"/>
              <w:contextualSpacing/>
              <w:rPr>
                <w:sz w:val="20"/>
                <w:szCs w:val="20"/>
              </w:rPr>
            </w:pPr>
            <w:r w:rsidRPr="005762E6">
              <w:rPr>
                <w:sz w:val="20"/>
                <w:szCs w:val="20"/>
              </w:rPr>
              <w:t>Heather M Munro,​ Robert E Tarone,​ Thomas J Wang,​ William J Blot Menthol and Nonmenthol Cigarette Smoking: All-Cause Deaths,​ Cardiovascular Disease Deaths,​ and Other Causes of Death Among Blacks and Whites.. Circulation; 2016;133:1861.</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Group/eh [Ethnology],​*African Continental Ancestry Group,​Aged,​Cardiovascular Diseases/di [Diagnosis],​Cardiovascular Diseases/eh [Ethnology],​*Cardiovascular Diseases/mo [Mortality],​Cohort Studies,​European Continental Ancestry Group/eh [Ethnology],​*European Continental Ancestry Group,​Female,​Follow-Up Studies,​Healthcare Disparities/eh [Ethnology],​Humans,​Male,​*Menthol/ad [Administration &amp; Dosage],​Menthol/ae [Adverse Effects],​Middle Aged,​Prospective Studies,​Smoking/ae [Adverse Effects],​Smoking/eh [Ethnology],​*Smoking/mo [Mortality],​Southeastern United States/ep [Epidemiology],​*Tobacco Products/ae [Adverse Effects]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In contrast to whites,​ black smokers prefer menthol cigarettes over nonmenthol cigarettes by a large margin and tend to have higher mortality from several smoking-related diseases than whites,​ raising the possibility that menthol cigarettes contribute to racial disparities in risk. Evidence for differential associations between menthol and nonmenthol cigarettes indicates lower cancer risk for menthol smokers,​ but for cardiovascular disease (CVD) mortality,​ evidence has been inconsistent.,​ METHODS AND RESULTS: Cox proportional hazards models were used to compute hazard ratios and accompanying 95% confidence intervals for all-cause and CVD mortality for menthol compared with nonmenthol cigarette smokers among 65600 participants in the Southern Community Cohort Study,​ an ongoing community-based cohort with the largest number of menthol smokers being traced. Among the 27619 current cigarette smokers,​ 4224 died during follow-up,​ with 1130 deaths attributed to CVD. Both all-cause (hazard ratio=0.93; 95% confidence interval=0.86-1.01; P=0.10) and CVD (hazard ratio=0.88; 95% confidence interval=0.76-1.03; P=0.10) mortality risks were similar in menthol compared with nonmenthol cigarette smokers.,​ CONCLUSIONS: Smoking regardless of cigarette type is hazardous to health,​ but these results do not indicate that menthol cigarettes are associated with greater CVD risks than nonmenthol cigarettes. Copyright © 2016 American Heart Association,​ Inc.</w:t>
            </w:r>
          </w:p>
        </w:tc>
      </w:tr>
      <w:tr w:rsidR="007F0AE0" w:rsidRPr="005762E6" w14:paraId="2A494E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2FF9A8" w14:textId="77777777" w:rsidR="007F0AE0" w:rsidRPr="005762E6" w:rsidRDefault="007F0AE0" w:rsidP="00453DE3">
            <w:pPr>
              <w:spacing w:after="120" w:line="240" w:lineRule="auto"/>
              <w:contextualSpacing/>
              <w:rPr>
                <w:sz w:val="20"/>
                <w:szCs w:val="20"/>
              </w:rPr>
            </w:pPr>
            <w:r w:rsidRPr="005762E6">
              <w:rPr>
                <w:sz w:val="20"/>
                <w:szCs w:val="20"/>
              </w:rPr>
              <w:t>442</w:t>
            </w:r>
          </w:p>
        </w:tc>
        <w:tc>
          <w:tcPr>
            <w:tcW w:w="0" w:type="auto"/>
            <w:tcBorders>
              <w:top w:val="single" w:sz="6" w:space="0" w:color="auto"/>
              <w:left w:val="single" w:sz="6" w:space="0" w:color="auto"/>
              <w:bottom w:val="single" w:sz="6" w:space="0" w:color="auto"/>
              <w:right w:val="single" w:sz="6" w:space="0" w:color="auto"/>
            </w:tcBorders>
          </w:tcPr>
          <w:p w14:paraId="3489A87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0103EE3" w14:textId="77777777" w:rsidR="007F0AE0" w:rsidRPr="005762E6" w:rsidRDefault="007F0AE0" w:rsidP="00453DE3">
            <w:pPr>
              <w:spacing w:after="120" w:line="240" w:lineRule="auto"/>
              <w:contextualSpacing/>
              <w:rPr>
                <w:sz w:val="20"/>
                <w:szCs w:val="20"/>
              </w:rPr>
            </w:pPr>
            <w:r w:rsidRPr="005762E6">
              <w:rPr>
                <w:sz w:val="20"/>
                <w:szCs w:val="20"/>
              </w:rPr>
              <w:t>Linda A Alexander,​ Dennis R Trinidad,​ Kari-Lyn K Sakuma,​ Pallav Pokhrel,​ Thaddeus A Herzog,​ Mark S Clanton,​ Eric T Moolchan,​ Pebbles Fagan Why We Must Continue to Investigate Menthol's Role in the African American Smoking Paradox.. Nicotine &amp; tobacco research : official journal of the Society for Research on Nicotine and Tobacco; 2016;18 Suppl 1:S91.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African Americans/px [Psychology],​*African Americans/sn [Statistics &amp; Numerical Data],​European Continental Ancestry Group/px [Psychology],​European Continental Ancestry Group/sn [Statistics &amp; Numerical Data],​Humans,​Menthol/ae [Adverse Effects],​*Menthol/pd [Pharmacology],​Prevalence,​Smoking/ae [Adverse Effects],​*Smoking/eh [Ethnology],​Smoking/mo [Mortality],​Smoking Cessation/eh [Ethnology],​Smoking Cessation/mt [Methods],​Smoking Prevention,​Taste/de [Drug Effects],​Tobacco Use Disorder/eh [Ethnology],​Tobacco Use Disorder/et [Etiology],​United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 disproportionate burden of tobacco use among African Americans is largely unexplained. The unexplained disparities,​ referred to as the African American smoking paradox,​ includes several phenomena. Despite their social disadvantage,​ African American youth have lower smoking prevalence rates,​ initiate smoking at older ages,​ and during adulthood,​ smoking rates are comparable to whites. Smoking frequency and intensity among African American youth and adults are lower compared to whites and American Indian and Alaska Natives,​ but tobacco-caused morbidity and mortality rates are disproportionately higher. Disease prediction models have not explained disease causal pathways in African Americans. It has been hypothesized that menthol cigarette smoking,​ which is disproportionately high among African Americans,​ may help to explain several components of the African American smoking paradox.,​ PURPOSE: This article provides an overview of the potential role that menthol plays in the African American smoking paradox. We also discuss the research needed to better understand this unresolved puzzle.,​ METHODS: We examined prior synthesis reports and reviewed the literature in PubMed on the menthol compound and menthol cigarette smoking in African Americans.,​ RESULTS: The pharmacological and physiological effects of menthol and their interaction with biological and genetic factors may indirectly contribute to the disproportionate burden of cigarette use and diseases among African Americans.,​ CONCLUSIONS: Future studies that examine taste sensitivity,​ the menthol compound,​ and their effects on smoking and chronic disease would provide valuable information on how to reduce the tobacco burden among African Americans.,​ IMPLICATIONS: Our study highlights four counterintuitive observations related to the smoking risk profiles and chronic disease outcomes among African Americans. The extant literature provides strong evidence of their existence and shows that long-standing paradoxes have been largely unaffected by changes in the social environment. African Americans smoke menthols disproportionately,​ and menthol's role in the African American smoking paradox has not been thoroughly explored. We propose discrete hypotheses that will help to explain the phenomena and encourage researchers to empirically test menthol's role in smoking initiation,​ transitions to regular smoking and chronic disease outcomes in African Americans. Copyright © The Author 2016. Published by Oxford University Press on behalf of the Society for Research on Nicotine and Tobacco. All rights reserved. For permissions,​ please e-mail: journals.permissions@oup.com.</w:t>
            </w:r>
          </w:p>
        </w:tc>
      </w:tr>
      <w:tr w:rsidR="007F0AE0" w:rsidRPr="005762E6" w14:paraId="32C772B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5B1B62" w14:textId="77777777" w:rsidR="007F0AE0" w:rsidRPr="005762E6" w:rsidRDefault="007F0AE0" w:rsidP="00453DE3">
            <w:pPr>
              <w:spacing w:after="120" w:line="240" w:lineRule="auto"/>
              <w:contextualSpacing/>
              <w:rPr>
                <w:sz w:val="20"/>
                <w:szCs w:val="20"/>
              </w:rPr>
            </w:pPr>
            <w:r w:rsidRPr="005762E6">
              <w:rPr>
                <w:sz w:val="20"/>
                <w:szCs w:val="20"/>
              </w:rPr>
              <w:lastRenderedPageBreak/>
              <w:t>443</w:t>
            </w:r>
          </w:p>
        </w:tc>
        <w:tc>
          <w:tcPr>
            <w:tcW w:w="0" w:type="auto"/>
            <w:tcBorders>
              <w:top w:val="single" w:sz="6" w:space="0" w:color="auto"/>
              <w:left w:val="single" w:sz="6" w:space="0" w:color="auto"/>
              <w:bottom w:val="single" w:sz="6" w:space="0" w:color="auto"/>
              <w:right w:val="single" w:sz="6" w:space="0" w:color="auto"/>
            </w:tcBorders>
          </w:tcPr>
          <w:p w14:paraId="173659B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1C9687" w14:textId="77777777" w:rsidR="007F0AE0" w:rsidRPr="005762E6" w:rsidRDefault="007F0AE0" w:rsidP="00453DE3">
            <w:pPr>
              <w:spacing w:after="120" w:line="240" w:lineRule="auto"/>
              <w:contextualSpacing/>
              <w:rPr>
                <w:sz w:val="20"/>
                <w:szCs w:val="20"/>
              </w:rPr>
            </w:pPr>
            <w:r w:rsidRPr="005762E6">
              <w:rPr>
                <w:sz w:val="20"/>
                <w:szCs w:val="20"/>
              </w:rPr>
              <w:t>Gary A Giovino,​ Phillip S Gardiner Understanding Tobacco Use Behaviors Among African Americans: Progress,​ Critical Gaps,​ and Opportunities.. Nicotine &amp; tobacco research : official journal of the Society for Research on Nicotine and Tobacco; 2016;18 Suppl 1:S1.</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[Psychology],​African Americans/sn [Statistics &amp; Numerical Data],​Biomedical Research/mt [Methods],​European Continental Ancestry Group/px [Psychology],​European Continental Ancestry Group/sn [Statistics &amp; Numerical Data],​Female,​Humans,​Male,​Menthol/ae [Adverse Effects],​Public Health/mt [Methods],​*Smoking/eh [Ethnology],​Smoking/td [Trends],​Smoking Cessation/eh [Ethnology],​Smoking Prevention,​Tobacco Use/eh [Ethnology],​Tobacco Use/td [Trends],​United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Although multiple factors likely influence the differences between African Americans (AAs) and whites in cardiovascular disease and lung cancer mortality rates,​ historical patterns of tobacco use,​ particularly cigarette smoking,​ are the major contributors. This issue of Nicotine &amp; Tobacco Research presents original research,​ a review,​ and commentaries that will serve to advance our understanding of several relevant behavioral similarities and differences between AAs and whites.,​ BEHAVIORAL ANALYSIS: Here,​ we illustrate how the diverging trends in cigarette smoking between AA and white high school seniors observed since the mid-1970s were influenced by patterns of ever use and current use among ever users. During 1977 to 2014,​ the percentage of current users among ever users was higher,​ but less variable,​ among whites than AAs. Among adults,​ trends in self-reported cigarette smoking among non-Hispanic AAs and non-Hispanic whites are available since 1978. The trends observed were likely due in part to the maturation of the high school senior cohorts from the 1970s and 1980s when AA smoking rates declined sharply relative to whites. Later age of initiation among </w:t>
            </w:r>
            <w:r w:rsidRPr="005762E6">
              <w:rPr>
                <w:sz w:val="20"/>
                <w:szCs w:val="20"/>
              </w:rPr>
              <w:lastRenderedPageBreak/>
              <w:t>AAs and less quitting among older AAs,​ relative to whites,​ also contribute.,​ CONCLUSIONS: Further research on multiple topics,​ including the continuation of use among ever users,​ use of multiple combusted and noncombusted products,​ provision of cessation support services,​ influence of discrimination,​ and validity of self-report would expand the science base. Strategies to reduce the marketing and availability of menthol and other characterizing flavorings and to enrich environments would promote the public's health. Copyright © The Author 2016. Published by Oxford University Press on behalf of the Society for Research on Nicotine and Tobacco. All rights reserved. For permissions,​ please e-mail: journals.permissions@oup.com.</w:t>
            </w:r>
          </w:p>
        </w:tc>
      </w:tr>
      <w:tr w:rsidR="007F0AE0" w:rsidRPr="005762E6" w14:paraId="43133DE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899142" w14:textId="77777777" w:rsidR="007F0AE0" w:rsidRPr="005762E6" w:rsidRDefault="007F0AE0" w:rsidP="00453DE3">
            <w:pPr>
              <w:spacing w:after="120" w:line="240" w:lineRule="auto"/>
              <w:contextualSpacing/>
              <w:rPr>
                <w:sz w:val="20"/>
                <w:szCs w:val="20"/>
              </w:rPr>
            </w:pPr>
            <w:r w:rsidRPr="005762E6">
              <w:rPr>
                <w:sz w:val="20"/>
                <w:szCs w:val="20"/>
              </w:rPr>
              <w:lastRenderedPageBreak/>
              <w:t>445</w:t>
            </w:r>
          </w:p>
        </w:tc>
        <w:tc>
          <w:tcPr>
            <w:tcW w:w="0" w:type="auto"/>
            <w:tcBorders>
              <w:top w:val="single" w:sz="6" w:space="0" w:color="auto"/>
              <w:left w:val="single" w:sz="6" w:space="0" w:color="auto"/>
              <w:bottom w:val="single" w:sz="6" w:space="0" w:color="auto"/>
              <w:right w:val="single" w:sz="6" w:space="0" w:color="auto"/>
            </w:tcBorders>
          </w:tcPr>
          <w:p w14:paraId="4096473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0374307" w14:textId="77777777" w:rsidR="007F0AE0" w:rsidRPr="005762E6" w:rsidRDefault="007F0AE0" w:rsidP="00453DE3">
            <w:pPr>
              <w:spacing w:after="120" w:line="240" w:lineRule="auto"/>
              <w:contextualSpacing/>
              <w:rPr>
                <w:sz w:val="20"/>
                <w:szCs w:val="20"/>
              </w:rPr>
            </w:pPr>
            <w:r w:rsidRPr="005762E6">
              <w:rPr>
                <w:sz w:val="20"/>
                <w:szCs w:val="20"/>
              </w:rPr>
              <w:t>Wen Qi Gan,​ Steve Estus,​ Jonathan H Smith Association Between Overall and Mentholated Cigarette Smoking With Headache in a Nationally Representative Sample.. Headache; 2016;56:511.</w:t>
            </w:r>
            <w:r w:rsidRPr="005762E6">
              <w:rPr>
                <w:sz w:val="20"/>
                <w:szCs w:val="20"/>
              </w:rPr>
              <w:br/>
            </w:r>
            <w:r w:rsidRPr="005762E6">
              <w:rPr>
                <w:sz w:val="20"/>
                <w:szCs w:val="20"/>
              </w:rPr>
              <w:br/>
            </w:r>
            <w:r w:rsidRPr="005762E6">
              <w:rPr>
                <w:b/>
                <w:bCs/>
                <w:sz w:val="20"/>
                <w:szCs w:val="20"/>
              </w:rPr>
              <w:t>Keywords:</w:t>
            </w:r>
            <w:r w:rsidRPr="005762E6">
              <w:rPr>
                <w:sz w:val="20"/>
                <w:szCs w:val="20"/>
              </w:rPr>
              <w:br/>
              <w:t>Adult,​Cross-Sectional Studies,​Female,​*Headache/ep [Epidemiology],​Humans,​Male,​*Menthol/ad [Administration &amp; Dosage],​Middle Aged,​Nutrition Surveys,​*Smoking/ae [Adverse Effects],​*Tobacco Products,​Young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The objective of this study was to determine associations between cigarette smoking and the existence of headache in a nationally representative sample,​ with attention to differences in effect estimates between mentholated and non-mentholated cigarettes smoking.,​ METHODS: We examined cross-sectional associations between cigarette smoking and headache in 8,​399 adults who participated in the National Health and Nutrition Examination Survey (NHANES) 1999-2004. The existence of headache was determined by an affirmative response to the question "During the past 3 months,​ did you have severe headaches or migraines?" Further refinement of headache diagnosis was not possible. We used logistic regression models to examine the association between cigarette smoking and headache.,​ RESULTS: The current study included 8,​399 participants aged 20 years and over,​ including 68% (n=5491) never smokers and 32% (n=2548) current smokers. Among the current smokers,​ 24% (n=739) smoked menthol cigarettes,​ and 76% (n=1719) smoked non-menthol cigarettes. Compared with never smokers,​ after adjustment for potential confounding factors,​ current smokers were more likely to have headache (OR: 1.38; 95% CI: 1.17-1.62; P&lt;.001). With the increase of both the number of cigarettes smoked daily and pack-years of smoking,​ the likelihood of having headache was significantly increased compared with never smokers (P for linear trend&lt;.001). Compared with non-mentholated smokers,​ mentholated smokers were not more likely to have headache (P=.302).,​ CONCLUSIONS: Based on a nationally representative sample,​ we found that cigarette smoking was associated with headache in an exposure-response manner. Mentholated cigarette smokers were not more likely to have headache compared to non-mentholated cigarette smokers. Copyright © 2016 American Headache Society.</w:t>
            </w:r>
          </w:p>
        </w:tc>
      </w:tr>
      <w:tr w:rsidR="007F0AE0" w:rsidRPr="005762E6" w14:paraId="5C61BD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3AC95E" w14:textId="77777777" w:rsidR="007F0AE0" w:rsidRPr="005762E6" w:rsidRDefault="007F0AE0" w:rsidP="00453DE3">
            <w:pPr>
              <w:spacing w:after="120" w:line="240" w:lineRule="auto"/>
              <w:contextualSpacing/>
              <w:rPr>
                <w:sz w:val="20"/>
                <w:szCs w:val="20"/>
              </w:rPr>
            </w:pPr>
            <w:r w:rsidRPr="005762E6">
              <w:rPr>
                <w:sz w:val="20"/>
                <w:szCs w:val="20"/>
              </w:rPr>
              <w:t>446</w:t>
            </w:r>
          </w:p>
        </w:tc>
        <w:tc>
          <w:tcPr>
            <w:tcW w:w="0" w:type="auto"/>
            <w:tcBorders>
              <w:top w:val="single" w:sz="6" w:space="0" w:color="auto"/>
              <w:left w:val="single" w:sz="6" w:space="0" w:color="auto"/>
              <w:bottom w:val="single" w:sz="6" w:space="0" w:color="auto"/>
              <w:right w:val="single" w:sz="6" w:space="0" w:color="auto"/>
            </w:tcBorders>
          </w:tcPr>
          <w:p w14:paraId="6E4BFE0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45E2FEE" w14:textId="77777777" w:rsidR="007F0AE0" w:rsidRPr="005762E6" w:rsidRDefault="007F0AE0" w:rsidP="00453DE3">
            <w:pPr>
              <w:spacing w:after="120" w:line="240" w:lineRule="auto"/>
              <w:contextualSpacing/>
              <w:rPr>
                <w:sz w:val="20"/>
                <w:szCs w:val="20"/>
              </w:rPr>
            </w:pPr>
            <w:r w:rsidRPr="005762E6">
              <w:rPr>
                <w:sz w:val="20"/>
                <w:szCs w:val="20"/>
              </w:rPr>
              <w:t>Se-Jung Park,​ Bitna Yi,​ Ho-Sun Lee,​ Woo-Yeon Oh,​ Hyun-Kyung Na,​ Minjeong Lee,​ Mihi Yang To quit or not: Vulnerability of women to smoking tobacco.. Journal of environmental science and health. Part C,​ Environmental carcinogenesis &amp; ecotoxicology reviews; 2016;34:33.</w:t>
            </w:r>
            <w:r w:rsidRPr="005762E6">
              <w:rPr>
                <w:sz w:val="20"/>
                <w:szCs w:val="20"/>
              </w:rPr>
              <w:br/>
            </w:r>
            <w:r w:rsidRPr="005762E6">
              <w:rPr>
                <w:sz w:val="20"/>
                <w:szCs w:val="20"/>
              </w:rPr>
              <w:br/>
            </w:r>
            <w:r w:rsidRPr="005762E6">
              <w:rPr>
                <w:b/>
                <w:bCs/>
                <w:sz w:val="20"/>
                <w:szCs w:val="20"/>
              </w:rPr>
              <w:t>Keywords:</w:t>
            </w:r>
            <w:r w:rsidRPr="005762E6">
              <w:rPr>
                <w:sz w:val="20"/>
                <w:szCs w:val="20"/>
              </w:rPr>
              <w:br/>
              <w:t>Behavior,​ Addictive,​Epigenesis,​ Genetic,​Female,​Genetic Predisposition to Disease,​Hormones/ge [Genetics],​Hormones/me [Metabolism],​Humans,​Male,​Menthol/pd [Pharmacology],​*Nicotine/pk [Pharmacokinetics],​*Smoking/ge [Genetics],​Smoking Cessation,​*Smoking Prevention,​Socioeconomic Factors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Tobacco smoking is currently on the rise among women,​ and can pose a greater health risk. In order to understand the nature of the increase in smoking prevalence among women,​ we focused on the vulnerability of women to smoking behaviors--smoking cessation or tobacco addiction--and performed a systematic review of the socioeconomic and intrinsic factors as well as tobacco ingredients that affect women's susceptibility to smoking tobacco. We observed that nicotine and other tobacco components including cocoa-relatives,​ licorice products,​ and menthol aggravate tobacco addiction in women rather than in men. Various genetic and epigenetic alterations in dopamine pathway and the pharmaco-kinetics and -dynamic factors of nicotine also showed potential evidences for high susceptibility to tobacco addiction in women. Therefore,​ we suggest systemic approaches to prevent tobacco smoking-related health risks,​ considering gene-environment-gender interaction.</w:t>
            </w:r>
          </w:p>
        </w:tc>
      </w:tr>
      <w:tr w:rsidR="007F0AE0" w:rsidRPr="005762E6" w14:paraId="42787F3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AA7506" w14:textId="77777777" w:rsidR="007F0AE0" w:rsidRPr="005762E6" w:rsidRDefault="007F0AE0" w:rsidP="00453DE3">
            <w:pPr>
              <w:spacing w:after="120" w:line="240" w:lineRule="auto"/>
              <w:contextualSpacing/>
              <w:rPr>
                <w:sz w:val="20"/>
                <w:szCs w:val="20"/>
              </w:rPr>
            </w:pPr>
            <w:r w:rsidRPr="005762E6">
              <w:rPr>
                <w:sz w:val="20"/>
                <w:szCs w:val="20"/>
              </w:rPr>
              <w:t>448</w:t>
            </w:r>
          </w:p>
        </w:tc>
        <w:tc>
          <w:tcPr>
            <w:tcW w:w="0" w:type="auto"/>
            <w:tcBorders>
              <w:top w:val="single" w:sz="6" w:space="0" w:color="auto"/>
              <w:left w:val="single" w:sz="6" w:space="0" w:color="auto"/>
              <w:bottom w:val="single" w:sz="6" w:space="0" w:color="auto"/>
              <w:right w:val="single" w:sz="6" w:space="0" w:color="auto"/>
            </w:tcBorders>
          </w:tcPr>
          <w:p w14:paraId="225831A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75E900" w14:textId="77777777" w:rsidR="007F0AE0" w:rsidRPr="005762E6" w:rsidRDefault="007F0AE0" w:rsidP="00453DE3">
            <w:pPr>
              <w:spacing w:after="120" w:line="240" w:lineRule="auto"/>
              <w:contextualSpacing/>
              <w:rPr>
                <w:sz w:val="20"/>
                <w:szCs w:val="20"/>
              </w:rPr>
            </w:pPr>
            <w:r w:rsidRPr="005762E6">
              <w:rPr>
                <w:sz w:val="20"/>
                <w:szCs w:val="20"/>
              </w:rPr>
              <w:t>Michael S Amato,​ Joanne D'Silva,​ Raymond G Boyle Slowing Menthol's Progress: Differential Impact of a Tobacco Tax Increase on Cigarette Sales.. Nicotine &amp; tobacco research : official journal of the Society for Research on Nicotine and Tobacco; 2016;18:1303.</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*Commerce/sn [Statistics &amp; Numerical Data],​Humans,​*Menthol,​Minnesota/ep [Epidemiology],​Regression Analysis,​Smoking/ep [Epidemiology],​*Smoking/td [Trends],​*Taxes/lj [Legislation &amp; Jurisprudence],​*Tobacco,​Tobacco Industry,​*Tobacco Products/ec [Economics]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The proportion of smokers who use menthol cigarettes has increased nationally since 2004,​ while use of non-menthol cigarettes is declining,​ suggesting that menthol may be undermining the effectiveness of population level tobacco control efforts. In 2013 Minnesota passed a .75 cigarette tax increase. We investigated whether sales of menthol and non-menthol cigarettes were differentially affected by the price increase.,​ METHODS: Cigarette sales data from convenience stores in the Minneapolis,​ Minnesota,​ metro area from January 2012,​ through May 2015,​ were obtained. Proportion of sales accounted for by menthol cigarettes was analyzed with segmented regression.,​ RESULTS: Before the price increase,​ menthol cigarettes gained 2.21% (1.17,​ 3.12) of market share annually. Following the price increase,​ the trend slowed to 0.26% (-0.78,​ 1.56) annually. The slope before the price increase was significantly positive; the slope following the price increase did not significantly differ from zero.,​ CONCLUSIONS: Sales of menthol cigarettes declined less rapidly than non-menthol cigarettes before the price increase. Sales of menthol and non-menthol cigarettes declined at more comparable rates after the price increase. Increasing the price of tobacco may help ensure declines in consumption are more evenly distributed across menthol and non-menthol cigarettes.,​ IMPLICATIONS: Using sales data,​ we found that a trend of increasing market share for menthol cigarettes was significantly reduced by a .75 cigarette price increase. These results suggest that cigarette price increases,​ a core tobacco control policy,​ may have a greater effect on menthol smokers than non-menthol smokers. Copyright © The Author 2015. Published by Oxford University Press on behalf of the Society for Research on Nicotine and Tobacco. All rights reserved. For permissions,​ please e-mail: journals.permissions@oup.com.</w:t>
            </w:r>
          </w:p>
        </w:tc>
      </w:tr>
      <w:tr w:rsidR="007F0AE0" w:rsidRPr="005762E6" w14:paraId="6F4092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B52F22" w14:textId="77777777" w:rsidR="007F0AE0" w:rsidRPr="005762E6" w:rsidRDefault="007F0AE0" w:rsidP="00453DE3">
            <w:pPr>
              <w:spacing w:after="120" w:line="240" w:lineRule="auto"/>
              <w:contextualSpacing/>
              <w:rPr>
                <w:sz w:val="20"/>
                <w:szCs w:val="20"/>
              </w:rPr>
            </w:pPr>
            <w:r w:rsidRPr="005762E6">
              <w:rPr>
                <w:sz w:val="20"/>
                <w:szCs w:val="20"/>
              </w:rPr>
              <w:lastRenderedPageBreak/>
              <w:t>452</w:t>
            </w:r>
          </w:p>
        </w:tc>
        <w:tc>
          <w:tcPr>
            <w:tcW w:w="0" w:type="auto"/>
            <w:tcBorders>
              <w:top w:val="single" w:sz="6" w:space="0" w:color="auto"/>
              <w:left w:val="single" w:sz="6" w:space="0" w:color="auto"/>
              <w:bottom w:val="single" w:sz="6" w:space="0" w:color="auto"/>
              <w:right w:val="single" w:sz="6" w:space="0" w:color="auto"/>
            </w:tcBorders>
          </w:tcPr>
          <w:p w14:paraId="78DDF02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523ECF" w14:textId="77777777" w:rsidR="007F0AE0" w:rsidRPr="005762E6" w:rsidRDefault="007F0AE0" w:rsidP="00453DE3">
            <w:pPr>
              <w:spacing w:after="120" w:line="240" w:lineRule="auto"/>
              <w:contextualSpacing/>
              <w:rPr>
                <w:sz w:val="20"/>
                <w:szCs w:val="20"/>
              </w:rPr>
            </w:pPr>
            <w:r w:rsidRPr="005762E6">
              <w:rPr>
                <w:sz w:val="20"/>
                <w:szCs w:val="20"/>
              </w:rPr>
              <w:t>Pebbles Fagan,​ Pallav Pokhrel,​ Thaddeus A Herzog,​ Ian S Pagano,​ Adrian A Franke,​ Mark S Clanton,​ Linda A Alexander,​ Dennis R Trinidad,​ Kari-Lyn K Sakuma,​ Carl A Johnson,​ Eric T Moolchan Nicotine Metabolism in Young Adult Daily Menthol and Nonmenthol Smokers.. Nicotine &amp; tobacco research : official journal of the Society for Research on Nicotine and Tobacco; 2016;18:437.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Adolescent,​Adult,​Biomarkers/an [Analysis],​Biomarkers/me [Metabolism],​Carbon Monoxide/an [Analysis],​Cotinine/aa [Analogs &amp; Derivatives],​Cotinine/me [Metabolism],​Female,​Humans,​Male,​Menthol/an [Analysis],​*Menthol/me [Metabolism],​Nicotine/an [Analysis],​*Nicotine/me [Metabolism],​Saliva/ch [Chemistry],​Smoking/eh [Ethnology],​*Smoking/me [Metabolism],​Tobacco Products/an [Analysis],​*Tobacco Products,​Young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cigarette smoking may increase the risk for tobacco smoke exposure and inhibit nicotine metabolism in the liver. Nicotine metabolism is primarily mediated by the enzyme CYP2A6 and the nicotine metabolite ratio (NMR = trans 3' hydroxycotinine/cotinine) is a phenotypic proxy for CYP2A6 activity. No studies have examined differences in this biomarker among young adult daily menthol and nonmenthol smokers. This study compares biomarkers of tobacco smoke exposure among young adult daily menthol and nonmenthol smokers.,​ METHODS: Saliva cotinine and carbon monoxide were measured in a multiethnic sample of daily smokers aged 18-35 (n = 186). Nicotine,​ cotinine,​ the cotinine/cigarette per day ratio,​ trans 3' hydroxycotinine,​ the NMR,​ and expired carbon monoxide were compared.,​ RESULTS: The geometric means for nicotine,​ cotinine,​ and the cotinine/cigarette per day ratio did not significantly differ between menthol and nonmenthol smokers. The NMR was significantly lower among menthol compared with nonmenthol smokers after adjusting for race/ethnicity,​ gender,​ body mass index,​ and cigarette smoked per day (0.19 vs. 0.24,​ P = .03). White menthol smokers had significantly higher cotinine/cigarettes per day ratio than white nonmenthol smokers in the adjusted model. White menthol smokers had a lower NMR in the unadjusted model (0.24 vs. 0.31,​ P = .05) and the differences remained marginally significant in the adjusted model (0.28 vs. 0.34,​ P = .06). We did not observe these differences in Native Hawaiians and Filipinos.,​ CONCLUSIONS: Young adult daily menthol smokers have slower rates of nicotine metabolism than nonmenthol smokers. Studies are needed to determine the utility of this biomarker for smoking cessation treatment assignments. Copyright © The Author 2015. Published by Oxford University Press on behalf of the Society for Research on Nicotine and Tobacco. All rights reserved. For permissions,​ please e-mail: journals.permissions@oup.com.</w:t>
            </w:r>
          </w:p>
        </w:tc>
      </w:tr>
      <w:tr w:rsidR="007F0AE0" w:rsidRPr="005762E6" w14:paraId="7A9B001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337487" w14:textId="77777777" w:rsidR="007F0AE0" w:rsidRPr="005762E6" w:rsidRDefault="007F0AE0" w:rsidP="00453DE3">
            <w:pPr>
              <w:spacing w:after="120" w:line="240" w:lineRule="auto"/>
              <w:contextualSpacing/>
              <w:rPr>
                <w:sz w:val="20"/>
                <w:szCs w:val="20"/>
              </w:rPr>
            </w:pPr>
            <w:r w:rsidRPr="005762E6">
              <w:rPr>
                <w:sz w:val="20"/>
                <w:szCs w:val="20"/>
              </w:rPr>
              <w:lastRenderedPageBreak/>
              <w:t>453</w:t>
            </w:r>
          </w:p>
        </w:tc>
        <w:tc>
          <w:tcPr>
            <w:tcW w:w="0" w:type="auto"/>
            <w:tcBorders>
              <w:top w:val="single" w:sz="6" w:space="0" w:color="auto"/>
              <w:left w:val="single" w:sz="6" w:space="0" w:color="auto"/>
              <w:bottom w:val="single" w:sz="6" w:space="0" w:color="auto"/>
              <w:right w:val="single" w:sz="6" w:space="0" w:color="auto"/>
            </w:tcBorders>
          </w:tcPr>
          <w:p w14:paraId="200A25D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05AE89F" w14:textId="77777777" w:rsidR="007F0AE0" w:rsidRPr="005762E6" w:rsidRDefault="007F0AE0" w:rsidP="00453DE3">
            <w:pPr>
              <w:spacing w:after="120" w:line="240" w:lineRule="auto"/>
              <w:contextualSpacing/>
              <w:rPr>
                <w:sz w:val="20"/>
                <w:szCs w:val="20"/>
              </w:rPr>
            </w:pPr>
            <w:r w:rsidRPr="005762E6">
              <w:rPr>
                <w:sz w:val="20"/>
                <w:szCs w:val="20"/>
              </w:rPr>
              <w:t>Daniel Stevens,​ Stanton Glantz Tobacco documents reveal questionable professional recertification by industry menthol expert.. Tobacco control; 2016;25:364.</w:t>
            </w:r>
            <w:r w:rsidRPr="005762E6">
              <w:rPr>
                <w:sz w:val="20"/>
                <w:szCs w:val="20"/>
              </w:rPr>
              <w:br/>
            </w:r>
            <w:r w:rsidRPr="005762E6">
              <w:rPr>
                <w:sz w:val="20"/>
                <w:szCs w:val="20"/>
              </w:rPr>
              <w:br/>
            </w:r>
            <w:r w:rsidRPr="005762E6">
              <w:rPr>
                <w:b/>
                <w:bCs/>
                <w:sz w:val="20"/>
                <w:szCs w:val="20"/>
              </w:rPr>
              <w:t>Keywords:</w:t>
            </w:r>
            <w:r w:rsidRPr="005762E6">
              <w:rPr>
                <w:sz w:val="20"/>
                <w:szCs w:val="20"/>
              </w:rPr>
              <w:br/>
              <w:t>Certification/es [Ethics],​*Certification,​Conflict of Interest,​Consumer Product Safety,​Documentation/es [Ethics],​*Documentation/st [Standards],​Expert Testimony/es [Ethics],​*Expert Testimony/st [Standards],​Humans,​*Menthol/ae [Adverse Effects],​Risk Assessment,​*Smoking/ae [Adverse Effects],​Tobacco Industry/es [Ethics],​*Tobacco Industry/st [Standards],​*Tobacco Products/ae [Adverse Effects],​Toxicology/es [Ethics],​*Toxicology/st [Standards]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E6A62D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5F5483" w14:textId="77777777" w:rsidR="007F0AE0" w:rsidRPr="005762E6" w:rsidRDefault="007F0AE0" w:rsidP="00453DE3">
            <w:pPr>
              <w:spacing w:after="120" w:line="240" w:lineRule="auto"/>
              <w:contextualSpacing/>
              <w:rPr>
                <w:sz w:val="20"/>
                <w:szCs w:val="20"/>
              </w:rPr>
            </w:pPr>
            <w:r w:rsidRPr="005762E6">
              <w:rPr>
                <w:sz w:val="20"/>
                <w:szCs w:val="20"/>
              </w:rPr>
              <w:t>457</w:t>
            </w:r>
          </w:p>
        </w:tc>
        <w:tc>
          <w:tcPr>
            <w:tcW w:w="0" w:type="auto"/>
            <w:tcBorders>
              <w:top w:val="single" w:sz="6" w:space="0" w:color="auto"/>
              <w:left w:val="single" w:sz="6" w:space="0" w:color="auto"/>
              <w:bottom w:val="single" w:sz="6" w:space="0" w:color="auto"/>
              <w:right w:val="single" w:sz="6" w:space="0" w:color="auto"/>
            </w:tcBorders>
          </w:tcPr>
          <w:p w14:paraId="0F39FDA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EC3F3BD" w14:textId="77777777" w:rsidR="007F0AE0" w:rsidRPr="005762E6" w:rsidRDefault="007F0AE0" w:rsidP="00453DE3">
            <w:pPr>
              <w:spacing w:after="120" w:line="240" w:lineRule="auto"/>
              <w:contextualSpacing/>
              <w:rPr>
                <w:sz w:val="20"/>
                <w:szCs w:val="20"/>
              </w:rPr>
            </w:pPr>
            <w:r w:rsidRPr="005762E6">
              <w:rPr>
                <w:sz w:val="20"/>
                <w:szCs w:val="20"/>
              </w:rPr>
              <w:t>Catherine G Corey,​ Bridget K Ambrose,​ Benjamin J Apelberg,​ Brian A King Flavored Tobacco Product Use Among Middle and High School Students--United States,​ 2014.. MMWR. Morbidity and mortality weekly report; 2015;64:1066.</w:t>
            </w:r>
            <w:r w:rsidRPr="005762E6">
              <w:rPr>
                <w:sz w:val="20"/>
                <w:szCs w:val="20"/>
              </w:rPr>
              <w:br/>
            </w:r>
            <w:r w:rsidRPr="005762E6">
              <w:rPr>
                <w:sz w:val="20"/>
                <w:szCs w:val="20"/>
              </w:rPr>
              <w:br/>
            </w:r>
            <w:r w:rsidRPr="005762E6">
              <w:rPr>
                <w:b/>
                <w:bCs/>
                <w:sz w:val="20"/>
                <w:szCs w:val="20"/>
              </w:rPr>
              <w:t>Keywords:</w:t>
            </w:r>
            <w:r w:rsidRPr="005762E6">
              <w:rPr>
                <w:sz w:val="20"/>
                <w:szCs w:val="20"/>
              </w:rPr>
              <w:br/>
              <w:t>Adolescent,​Child,​Cross-Sectional Studies,​Electronic Nicotine Delivery Systems/ut [Utilization],​Ethnic Groups/sn [Statistics &amp; Numerical Data],​Female,​*Flavoring Agents,​Health Surveys,​Humans,​Male,​Schools/sn [Statistics &amp; Numerical Data],​Sex Distribution,​*Smoking/ep [Epidemiology],​Smoking/eh [Ethnology],​*Students/px [Psychology],​Students/sn [Statistics &amp; Numerical Data],​*Tobacco Products/ut [Utilization],​United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2009 Family Smoking Prevention and Tobacco Control Act prohibits "characterizing flavors" (e.g.,​ candy,​ fruit,​ and chocolate) other than tobacco and menthol in cigarettes; however,​ characterizing flavors are not currently prohibited in other tobacco products. Analyses of retail sales data suggest that U.S. consumption of flavored noncigarette tobacco products,​ including flavored cigars and flavored e-cigarettes,​ has increased in recent years. There is growing concern that widely marketed varieties of new and existing flavored tobacco products might appeal to youths (2) and could be contributing to recent increases in the use of tobacco products,​ including e-cigarettes and hookah,​ among youths. CDC and the Food and Drug Administration (FDA) analyzed data from the 2014 National Youth Tobacco Survey (NYTS) to determine the prevalence of past 30 day use (current use) of flavored e-cigarette,​ hookah tobacco,​ cigar,​ pipe tobacco or smokeless tobacco products,​ and menthol cigarettes among middle and high school students,​ and the proportion of current tobacco product users who have used flavored products. An estimated 70.0% (3.26 million) of all current youth tobacco users had used at least one flavored tobacco product in the past 30 days. Among current users,​ 63.3%,​ (1.58 million) had used a flavored e-cigarette,​ 60.6%,​ (1.02 million) had used flavored hookah tobacco,​ and 63.5% (910,​000) had used a flavored cigar in the past 30 days. Given the millions of current youth tobacco users,​ it is important for comprehensive tobacco prevention and control strategies to address all forms of tobacco use,​ including flavored tobacco products,​ among U.S. youths.</w:t>
            </w:r>
          </w:p>
        </w:tc>
      </w:tr>
      <w:tr w:rsidR="007F0AE0" w:rsidRPr="005762E6" w14:paraId="1A3A56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5FA3E2" w14:textId="77777777" w:rsidR="007F0AE0" w:rsidRPr="005762E6" w:rsidRDefault="007F0AE0" w:rsidP="00453DE3">
            <w:pPr>
              <w:spacing w:after="120" w:line="240" w:lineRule="auto"/>
              <w:contextualSpacing/>
              <w:rPr>
                <w:sz w:val="20"/>
                <w:szCs w:val="20"/>
              </w:rPr>
            </w:pPr>
            <w:r w:rsidRPr="005762E6">
              <w:rPr>
                <w:sz w:val="20"/>
                <w:szCs w:val="20"/>
              </w:rPr>
              <w:t>466</w:t>
            </w:r>
          </w:p>
        </w:tc>
        <w:tc>
          <w:tcPr>
            <w:tcW w:w="0" w:type="auto"/>
            <w:tcBorders>
              <w:top w:val="single" w:sz="6" w:space="0" w:color="auto"/>
              <w:left w:val="single" w:sz="6" w:space="0" w:color="auto"/>
              <w:bottom w:val="single" w:sz="6" w:space="0" w:color="auto"/>
              <w:right w:val="single" w:sz="6" w:space="0" w:color="auto"/>
            </w:tcBorders>
          </w:tcPr>
          <w:p w14:paraId="3A1EE8A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ECFF016" w14:textId="77777777" w:rsidR="007F0AE0" w:rsidRPr="005762E6" w:rsidRDefault="007F0AE0" w:rsidP="00453DE3">
            <w:pPr>
              <w:spacing w:after="120" w:line="240" w:lineRule="auto"/>
              <w:contextualSpacing/>
              <w:rPr>
                <w:sz w:val="20"/>
                <w:szCs w:val="20"/>
              </w:rPr>
            </w:pPr>
            <w:r w:rsidRPr="005762E6">
              <w:rPr>
                <w:sz w:val="20"/>
                <w:szCs w:val="20"/>
              </w:rPr>
              <w:t>Minh-Anh H Nguyen,​ Lorraine R Reitzel,​ Darla E Kendzor,​ Michael S Businelle Perceived cessation treatment effectiveness,​ medication preferences,​ and barriers to quitting among light and moderate/heavy homeless smokers.. Drug and alcohol dependence; 2015;153:341.</w:t>
            </w:r>
            <w:r w:rsidRPr="005762E6">
              <w:rPr>
                <w:sz w:val="20"/>
                <w:szCs w:val="20"/>
              </w:rPr>
              <w:br/>
            </w:r>
            <w:r w:rsidRPr="005762E6">
              <w:rPr>
                <w:sz w:val="20"/>
                <w:szCs w:val="20"/>
              </w:rPr>
              <w:br/>
            </w:r>
            <w:r w:rsidRPr="005762E6">
              <w:rPr>
                <w:b/>
                <w:bCs/>
                <w:sz w:val="20"/>
                <w:szCs w:val="20"/>
              </w:rPr>
              <w:t>Keywords:</w:t>
            </w:r>
            <w:r w:rsidRPr="005762E6">
              <w:rPr>
                <w:sz w:val="20"/>
                <w:szCs w:val="20"/>
              </w:rPr>
              <w:br/>
              <w:t>Adult,​Female,​*Health Knowledge,​ Attitudes,​ Practice,​*Homeless Persons/px [Psychology],​Humans,​Male,​*Smoking/px [Psychology],​*Smoking Cessation/px [Psychology],​*Treatment Outcome,​Young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Homeless individuals smoke at disproportionately high rates and quit at disproportionately low rates relative to domiciled smokers. Targeted research is needed to inform future interventions. Socio-demographic characteristics of homeless adults suggest that light smoking may be prevalent,​ and the relation between smoking level and treatment-related preferences/needs is unknown. The current study addressed these gaps in a sample of homeless smokers.,​ METHODS: Participants (N=237) were homeless adult daily light (1-10 cigarettes per day) and moderate/heavy (&gt;10 cigarettes per day) smokers recruited from a single shelter that offered cessation treatment. Survey items assessed perceived treatment effectiveness,​ pharmacological intervention preferences,​ and barriers to quitting smoking. Logistic regressions were used to </w:t>
            </w:r>
            <w:r w:rsidRPr="005762E6">
              <w:rPr>
                <w:sz w:val="20"/>
                <w:szCs w:val="20"/>
              </w:rPr>
              <w:lastRenderedPageBreak/>
              <w:t>assess differences in treatment-related factors by smoking level.,​ RESULTS: The prevalence of light smoking (44.7%) was higher than in previously studied samples of domiciled smokers. Relative to moderate/heavy smokers,​ light smokers smoked for fewer years,​ had more quit attempts in the last year,​ and were more likely to smoke menthol cigarettes. They were less likely to believe that medications would give them the greatest chance of quitting and more likely to believe that group counseling would be helpful. Light smokers did not differ from moderate/heavy smokers on specific pharmacological intervention preferences or on perceived barriers to quitting smoking,​ including craving.,​ CONCLUSIONS: The promotion of pharmacotherapy to address cravings may be necessary for light smokers,​ who represent a sizeable proportion of homeless smokers and who may make apt intervention targets given their higher rates of purposeful quit attempts relative to heavier smoking counterparts. Copyright © 2015 Elsevier Ireland Ltd. All rights reserved.</w:t>
            </w:r>
          </w:p>
        </w:tc>
      </w:tr>
      <w:tr w:rsidR="007F0AE0" w:rsidRPr="005762E6" w14:paraId="476220C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0CDD46" w14:textId="77777777" w:rsidR="007F0AE0" w:rsidRPr="005762E6" w:rsidRDefault="007F0AE0" w:rsidP="00453DE3">
            <w:pPr>
              <w:spacing w:after="120" w:line="240" w:lineRule="auto"/>
              <w:contextualSpacing/>
              <w:rPr>
                <w:sz w:val="20"/>
                <w:szCs w:val="20"/>
              </w:rPr>
            </w:pPr>
            <w:r w:rsidRPr="005762E6">
              <w:rPr>
                <w:sz w:val="20"/>
                <w:szCs w:val="20"/>
              </w:rPr>
              <w:lastRenderedPageBreak/>
              <w:t>468</w:t>
            </w:r>
          </w:p>
        </w:tc>
        <w:tc>
          <w:tcPr>
            <w:tcW w:w="0" w:type="auto"/>
            <w:tcBorders>
              <w:top w:val="single" w:sz="6" w:space="0" w:color="auto"/>
              <w:left w:val="single" w:sz="6" w:space="0" w:color="auto"/>
              <w:bottom w:val="single" w:sz="6" w:space="0" w:color="auto"/>
              <w:right w:val="single" w:sz="6" w:space="0" w:color="auto"/>
            </w:tcBorders>
          </w:tcPr>
          <w:p w14:paraId="4791AD7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AB831FA" w14:textId="77777777" w:rsidR="007F0AE0" w:rsidRPr="005762E6" w:rsidRDefault="007F0AE0" w:rsidP="00453DE3">
            <w:pPr>
              <w:spacing w:after="120" w:line="240" w:lineRule="auto"/>
              <w:contextualSpacing/>
              <w:rPr>
                <w:sz w:val="20"/>
                <w:szCs w:val="20"/>
              </w:rPr>
            </w:pPr>
            <w:r w:rsidRPr="005762E6">
              <w:rPr>
                <w:sz w:val="20"/>
                <w:szCs w:val="20"/>
              </w:rPr>
              <w:t>Cheryl Oncken,​ Richard Feinn,​ Jonathan Covault,​ Valerie Duffy,​ Ellen Dornelas,​ Henry R Kranzler,​ Heather Z Sankey Genetic Vulnerability to Menthol Cigarette Preference in Women.. Nicotine &amp; tobacco research : official journal of the Society for Research on Nicotine and Tobacco; 2015;17:1416.</w:t>
            </w:r>
            <w:r w:rsidRPr="005762E6">
              <w:rPr>
                <w:sz w:val="20"/>
                <w:szCs w:val="20"/>
              </w:rPr>
              <w:br/>
            </w:r>
            <w:r w:rsidRPr="005762E6">
              <w:rPr>
                <w:sz w:val="20"/>
                <w:szCs w:val="20"/>
              </w:rPr>
              <w:br/>
            </w:r>
            <w:r w:rsidRPr="005762E6">
              <w:rPr>
                <w:b/>
                <w:bCs/>
                <w:sz w:val="20"/>
                <w:szCs w:val="20"/>
              </w:rPr>
              <w:t>Keywords:</w:t>
            </w:r>
            <w:r w:rsidRPr="005762E6">
              <w:rPr>
                <w:sz w:val="20"/>
                <w:szCs w:val="20"/>
              </w:rPr>
              <w:br/>
              <w:t>Adult,​*Consumer Behavior,​European Continental Ancestry Group/ge [Genetics],​Female,​Genetic Association Studies/mt [Methods],​*Genetic Association Studies,​Genotype,​Haplotypes,​Humans,​*Menthol,​Polymorphism,​ Single Nucleotide/ge [Genetics],​Pregnancy,​Receptors,​ G-Protein-Coupled/ge [Genetics],​*Smoking/ge [Genetics],​Smoking/px [Psychology],​Taste/ge [Genetics],​*Taste Perception/ge [Genetics],​*Tobacco Products,​Tobacco Use Disorder/ge [Genetics],​Tobacco Use Disorder/px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Smokers may prefer menthol cigarettes to mask the bitter taste of nicotine. Variation in the taste receptor gene,​ TAS2R38,​ may contribute to preference for menthol cigarettes.,​ AIMS: To determine whether two common haplotypes of TAS2R38 (proline-alanine-valine [PAV] and alanine-valine-isoleucine [AVI]),​ which have been associated,​ respectively,​ with bitter taste or a lack of bitter taste produced by propylthiouracil,​ are associated with preference for menthol cigarettes.,​ METHODS: Data on smoking and blood for DNA extraction and genotyping were obtained from 323 pregnant non-Hispanic or Hispanic Caucasian smokers. We genotyped three TAS2R38 single nucleotide polymorphisms (rs713598,​ rs1726866,​ and rs10246939) and constructed haplotypes. We examined associations between menthol preference and the frequency and distribution of the AVI and PAV haplotypes among study participants.,​ RESULTS: Participants smoked an average of 16 cigarettes per day before pregnancy. The PAV and AVI haplotype frequencies were 48% and 45%,​ respectively. Non-Hispanic women were less likely than Hispanic women to smoke menthol cigarettes. As hypothesized,​ the frequency of the PAV haplotype was greater in menthol than non-menthol smokers in both non-Hispanics (54% vs. 30%; chi(2) = 13.04,​ P &lt; .001) and Hispanics (53% vs. 25%; chi(2) = 5.77,​ P = .016). This effect persisted after controlling for potential confounders in multivariate logistic regression. Menthol smokers had a greater number of PAV haplotypes/individual than non-menthol smokers [non-Hispanics odds ratio (OR) = 3.02 (1.56-5.85); P = .001; Hispanics OR = 3.60 (1.23-10.56); P = .020].,​ CONCLUSIONS: These preliminary data support the hypothesis that a genetic propensity to experience heightened bitter taste perception increases the preference for menthol cigarettes. Copyright © The Author 2015. Published by Oxford University Press on behalf of the Society for Research on Nicotine and Tobacco. All rights reserved. For permissions,​ please e-mail: journals.permissions@oup.com.</w:t>
            </w:r>
          </w:p>
        </w:tc>
      </w:tr>
      <w:tr w:rsidR="007F0AE0" w:rsidRPr="005762E6" w14:paraId="5960DA2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9168A3" w14:textId="77777777" w:rsidR="007F0AE0" w:rsidRPr="005762E6" w:rsidRDefault="007F0AE0" w:rsidP="00453DE3">
            <w:pPr>
              <w:spacing w:after="120" w:line="240" w:lineRule="auto"/>
              <w:contextualSpacing/>
              <w:rPr>
                <w:sz w:val="20"/>
                <w:szCs w:val="20"/>
              </w:rPr>
            </w:pPr>
            <w:r w:rsidRPr="005762E6">
              <w:rPr>
                <w:sz w:val="20"/>
                <w:szCs w:val="20"/>
              </w:rPr>
              <w:t>469</w:t>
            </w:r>
          </w:p>
        </w:tc>
        <w:tc>
          <w:tcPr>
            <w:tcW w:w="0" w:type="auto"/>
            <w:tcBorders>
              <w:top w:val="single" w:sz="6" w:space="0" w:color="auto"/>
              <w:left w:val="single" w:sz="6" w:space="0" w:color="auto"/>
              <w:bottom w:val="single" w:sz="6" w:space="0" w:color="auto"/>
              <w:right w:val="single" w:sz="6" w:space="0" w:color="auto"/>
            </w:tcBorders>
          </w:tcPr>
          <w:p w14:paraId="5767FAF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B14006B" w14:textId="77777777" w:rsidR="007F0AE0" w:rsidRPr="005762E6" w:rsidRDefault="007F0AE0" w:rsidP="00453DE3">
            <w:pPr>
              <w:spacing w:after="120" w:line="240" w:lineRule="auto"/>
              <w:contextualSpacing/>
              <w:rPr>
                <w:sz w:val="20"/>
                <w:szCs w:val="20"/>
              </w:rPr>
            </w:pPr>
            <w:r w:rsidRPr="005762E6">
              <w:rPr>
                <w:sz w:val="20"/>
                <w:szCs w:val="20"/>
              </w:rPr>
              <w:t>Cheryl A Oncken,​ Mark D Litt,​ Lynn D McLaughlin,​ Nausherwan A Burki Nicotine concentrations with electronic cigarette use: effects of sex and flavor.. Nicotine &amp; tobacco research : official journal of the Society for Research on Nicotine and Tobacco; 2015;17:473.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Adolescent,​Adult,​*Electronic Nicotine Delivery Systems,​Female,​*Flavoring Agents/ad [Administration &amp; Dosage],​*Gender Identity,​Humans,​Male,​Middle Aged,​*Nicotine/ad [Administration &amp; Dosage]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This study examined overall changes in nicotine concentrations when using a popular e-cigarette and 18 mg/mL nicotine e-Juice,​ and it further explored effects of sex and flavorings on these concentrations.,​ METHODS: We recruited nontreatment-seeking smokers who were willing to try e-cigarettes for 2 weeks and abstain from cigarette smoking. Subjects were randomized to either menthol tobacco or non-menthol tobacco-flavored e-cigarette use for 7-10 days,​ and the next week they were crossed over to the other </w:t>
            </w:r>
            <w:r w:rsidRPr="005762E6">
              <w:rPr>
                <w:sz w:val="20"/>
                <w:szCs w:val="20"/>
              </w:rPr>
              <w:lastRenderedPageBreak/>
              <w:t>condition. On the last day of e-cigarette use of each flavor,​ subjects completed a laboratory session in which they used the e-cigarette for 5 min ad libitum. Nicotine concentrations were obtained 5 min before and 5,​ 10,​ 15,​ 20,​ and 30 min after the onset of e-cigarette use.,​ RESULTS: Twenty subjects completed at least 1 monitoring session. Nicotine concentrations significantly increased from baseline to 5 min by 4 ng/mL at the first laboratory session (p &lt; .01) and by 5.1 ng/mL at the second laboratory session (p &lt; .01). Combining sessions,​ there were no main effects of sex or preferred flavor (based on smoking history) on changes in nicotine concentrations. After adding preferred flavor,​ sex,​ and visit order to the model,​ there was a significant preferred flavor by sex interaction (p &lt; .01),​ such that women who received nonpreferred flavors had lower nicotine concentrations and rated their e-cigarette as less likeable (p &lt; .01).,​ CONCLUSION: We found nicotine concentrations significantly increase after e-cigarette use for 5 min,​ and flavor may impact nicotine concentrations with e-cigarette use in women. Copyright © The Author 2015. Published by Oxford University Press on behalf of the Society for Research on Nicotine and Tobacco. All rights reserved. For permissions,​ please e-mail: journals.permissions@oup.com.</w:t>
            </w:r>
          </w:p>
        </w:tc>
      </w:tr>
      <w:tr w:rsidR="007F0AE0" w:rsidRPr="005762E6" w14:paraId="61C7971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9E8088" w14:textId="77777777" w:rsidR="007F0AE0" w:rsidRPr="005762E6" w:rsidRDefault="007F0AE0" w:rsidP="00453DE3">
            <w:pPr>
              <w:spacing w:after="120" w:line="240" w:lineRule="auto"/>
              <w:contextualSpacing/>
              <w:rPr>
                <w:sz w:val="20"/>
                <w:szCs w:val="20"/>
              </w:rPr>
            </w:pPr>
            <w:r w:rsidRPr="005762E6">
              <w:rPr>
                <w:sz w:val="20"/>
                <w:szCs w:val="20"/>
              </w:rPr>
              <w:lastRenderedPageBreak/>
              <w:t>470</w:t>
            </w:r>
          </w:p>
        </w:tc>
        <w:tc>
          <w:tcPr>
            <w:tcW w:w="0" w:type="auto"/>
            <w:tcBorders>
              <w:top w:val="single" w:sz="6" w:space="0" w:color="auto"/>
              <w:left w:val="single" w:sz="6" w:space="0" w:color="auto"/>
              <w:bottom w:val="single" w:sz="6" w:space="0" w:color="auto"/>
              <w:right w:val="single" w:sz="6" w:space="0" w:color="auto"/>
            </w:tcBorders>
          </w:tcPr>
          <w:p w14:paraId="22B5C43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236221E" w14:textId="77777777" w:rsidR="007F0AE0" w:rsidRPr="005762E6" w:rsidRDefault="007F0AE0" w:rsidP="00453DE3">
            <w:pPr>
              <w:spacing w:after="120" w:line="240" w:lineRule="auto"/>
              <w:contextualSpacing/>
              <w:rPr>
                <w:sz w:val="20"/>
                <w:szCs w:val="20"/>
              </w:rPr>
            </w:pPr>
            <w:r w:rsidRPr="005762E6">
              <w:rPr>
                <w:sz w:val="20"/>
                <w:szCs w:val="20"/>
              </w:rPr>
              <w:t>Pebbles Fagan,​ Pallav Pohkrel,​ Thaddeus Herzog,​ Ian Pagano,​ Donna Vallone,​ Dennis R Trinidad,​ Kari-Lyn Sakuma,​ Kymberle Sterling,​ Craig S Fryer,​ Eric Moolchan Comparisons of three nicotine dependence scales in a multiethnic sample of young adult menthol and non-menthol smokers.. Drug and alcohol dependence; 2015;149:203.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Adolescent,​Adult,​Ethnic Groups/px [Psychology],​*European Continental Ancestry Group/px [Psychology],​Female,​Hawaii/eh [Ethnology],​Humans,​Male,​*Menthol/ad [Administration &amp; Dosage],​*Oceanic Ancestry Group/px [Psychology],​Philippines/eh [Ethnology],​*Psychiatric Status Rating Scales,​Regression Analysis,​Self-Efficacy,​*Smoking/px [Psychology],​Smoking Cessation/px [Psychology],​*Tobacco Use Disorder/di [Diagnosis],​*Tobacco Use Disorder/px [Psychology],​United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Few studies have compared nicotine dependence among menthol and non-menthol cigarette smokers in a multiethnic sample of young adult daily cigarette smokers. This study examines differences in nicotine dependence among menthol and non-menthol daily smokers and the associations of nicotine dependence with quitting behaviors among Native Hawaiian,​ Filipino,​ and White cigarette smokers aged 18-35.,​ METHODS: Craigslist.org,​ newspaper advertisements,​ and peer-to-peer referrals were used to recruit daily smokers (n = 186) into a lab-based study. Nicotine dependence was assessed using the Fagerstrom Test of Nicotine Dependence (FTND),​ the Nicotine Dependence Syndrome Scale (NDSS),​ and the brief Wisconsin Inventory for Smoking Dependence Motives (WISDM). Multiple regression analyses were used to examine differences in nicotine dependence between menthol and non-menthol smokers and the relationship between each nicotine dependence scale with self-efficacy to quit,​ quit attempt in the past 12 months,​ and number of attempts.,​ RESULTS: Menthol smokers were more likely to report difficulty refraining from smoking in places where forbidden (p = .04) and had higher scores on social/environmental goads subscale of the WISDM (p = .0005). Two-way interaction models of the FTND and menthol status showed that menthol smokers with higher levels of dependence were more likely to have tried to quit smoking in the past 12 months (p = .02),​ but were less likely to have had multiple quit attempts (p = .01).,​ CONCLUSIONS: Components of the FTND and WISDM distinguish levels of dependence between menthol and non-menthol smokers. Higher FTND scores were associated with having a quit attempt,​ but fewer quit attempts among menthol smokers. Copyright © 2015 Elsevier Ireland Ltd. All rights reserved.</w:t>
            </w:r>
          </w:p>
        </w:tc>
      </w:tr>
      <w:tr w:rsidR="007F0AE0" w:rsidRPr="005762E6" w14:paraId="288EC98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FC1E0E" w14:textId="77777777" w:rsidR="007F0AE0" w:rsidRPr="005762E6" w:rsidRDefault="007F0AE0" w:rsidP="00453DE3">
            <w:pPr>
              <w:spacing w:after="120" w:line="240" w:lineRule="auto"/>
              <w:contextualSpacing/>
              <w:rPr>
                <w:sz w:val="20"/>
                <w:szCs w:val="20"/>
              </w:rPr>
            </w:pPr>
            <w:r w:rsidRPr="005762E6">
              <w:rPr>
                <w:sz w:val="20"/>
                <w:szCs w:val="20"/>
              </w:rPr>
              <w:t>475</w:t>
            </w:r>
          </w:p>
        </w:tc>
        <w:tc>
          <w:tcPr>
            <w:tcW w:w="0" w:type="auto"/>
            <w:tcBorders>
              <w:top w:val="single" w:sz="6" w:space="0" w:color="auto"/>
              <w:left w:val="single" w:sz="6" w:space="0" w:color="auto"/>
              <w:bottom w:val="single" w:sz="6" w:space="0" w:color="auto"/>
              <w:right w:val="single" w:sz="6" w:space="0" w:color="auto"/>
            </w:tcBorders>
          </w:tcPr>
          <w:p w14:paraId="2319CA9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7EC679" w14:textId="77777777" w:rsidR="007F0AE0" w:rsidRPr="005762E6" w:rsidRDefault="007F0AE0" w:rsidP="00453DE3">
            <w:pPr>
              <w:spacing w:after="120" w:line="240" w:lineRule="auto"/>
              <w:contextualSpacing/>
              <w:rPr>
                <w:sz w:val="20"/>
                <w:szCs w:val="20"/>
              </w:rPr>
            </w:pPr>
            <w:r w:rsidRPr="005762E6">
              <w:rPr>
                <w:sz w:val="20"/>
                <w:szCs w:val="20"/>
              </w:rPr>
              <w:t>Alain Braillon Curbing the tobacco epidemic: Employing behavioral strategies or rearranging the deckchairs on the Titanic?.. Preventive medicine; 2015;73:28.</w:t>
            </w:r>
          </w:p>
          <w:p w14:paraId="2D90D6D7" w14:textId="77777777" w:rsidR="007F0AE0" w:rsidRPr="005762E6" w:rsidRDefault="007F0AE0" w:rsidP="00453DE3">
            <w:pPr>
              <w:spacing w:after="120" w:line="240" w:lineRule="auto"/>
              <w:contextualSpacing/>
              <w:rPr>
                <w:sz w:val="20"/>
                <w:szCs w:val="20"/>
              </w:rPr>
            </w:pPr>
            <w:r w:rsidRPr="005762E6">
              <w:rPr>
                <w:sz w:val="20"/>
                <w:szCs w:val="20"/>
              </w:rPr>
              <w:br/>
            </w:r>
            <w:r w:rsidRPr="005762E6">
              <w:rPr>
                <w:b/>
                <w:bCs/>
                <w:sz w:val="20"/>
                <w:szCs w:val="20"/>
              </w:rPr>
              <w:t>Keywords:</w:t>
            </w:r>
            <w:r w:rsidRPr="005762E6">
              <w:rPr>
                <w:sz w:val="20"/>
                <w:szCs w:val="20"/>
              </w:rPr>
              <w:br/>
              <w:t>Epidemics/pc [Prevention &amp; Control],​Government Regulation,​Humans,​Smoking/ep [Epidemiology],​Smoking/px [Psychology],​*Smoking Prevention,​Tobacco Industry/lj [Legislation &amp; Jurisprudence],​United States/ep [Epidemiology],​United States Food and Drug Administration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Henningfield brilliantly dissected the deadly comprehensive tactics of the tobacco industry but Food and Drug Administration and WHO strategies against the tobacco epidemic must be questioned. The Food and Drug Administration has the authority to regulate tobacco production (2009 Tobacco Control Act) but fails to ban menthol and reduce cigarettes nicotine content. As little has changed,​ the Healthy People 2010 objective of reducing the prevalence of cigarette smoking among adults to 12% by 2010 in the US will be attained by 2030. </w:t>
            </w:r>
            <w:r w:rsidRPr="005762E6">
              <w:rPr>
                <w:sz w:val="20"/>
                <w:szCs w:val="20"/>
              </w:rPr>
              <w:lastRenderedPageBreak/>
              <w:t>The monitoring of the WHO Framework Convention on Tobacco Control (WHO FCTC) is passive,​ even when governments repeatedly violate the Article 5.3 of the Convention,​ which specifically requires protecting public policy from tobacco industry interference. Since 2004,​ the year after the adoption of the Convention,​ the prevalence of daily smoking has leveled off and the 2012 annualized rate of change in prevalence of daily smoking was almost null. This contrasts with a 2% annual decrease in the prevalence of daily smoking from 1980 to 2004. The tobacco endgame needs acts,​ not bureaucracies. Two counties have been moving forward,​ Brazil has banned menthol and Australia has implemented plain packaging. Copyright © 2015 Elsevier Inc. All rights reserved.</w:t>
            </w:r>
          </w:p>
        </w:tc>
      </w:tr>
      <w:tr w:rsidR="007F0AE0" w:rsidRPr="005762E6" w14:paraId="1FCE17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D513B6" w14:textId="77777777" w:rsidR="007F0AE0" w:rsidRPr="005762E6" w:rsidRDefault="007F0AE0" w:rsidP="00453DE3">
            <w:pPr>
              <w:spacing w:after="120" w:line="240" w:lineRule="auto"/>
              <w:contextualSpacing/>
              <w:rPr>
                <w:sz w:val="20"/>
                <w:szCs w:val="20"/>
              </w:rPr>
            </w:pPr>
            <w:r w:rsidRPr="005762E6">
              <w:rPr>
                <w:sz w:val="20"/>
                <w:szCs w:val="20"/>
              </w:rPr>
              <w:lastRenderedPageBreak/>
              <w:t>479</w:t>
            </w:r>
          </w:p>
        </w:tc>
        <w:tc>
          <w:tcPr>
            <w:tcW w:w="0" w:type="auto"/>
            <w:tcBorders>
              <w:top w:val="single" w:sz="6" w:space="0" w:color="auto"/>
              <w:left w:val="single" w:sz="6" w:space="0" w:color="auto"/>
              <w:bottom w:val="single" w:sz="6" w:space="0" w:color="auto"/>
              <w:right w:val="single" w:sz="6" w:space="0" w:color="auto"/>
            </w:tcBorders>
          </w:tcPr>
          <w:p w14:paraId="7161E94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43F69E3" w14:textId="77777777" w:rsidR="007F0AE0" w:rsidRPr="005762E6" w:rsidRDefault="007F0AE0" w:rsidP="00453DE3">
            <w:pPr>
              <w:spacing w:after="120" w:line="240" w:lineRule="auto"/>
              <w:contextualSpacing/>
              <w:rPr>
                <w:sz w:val="20"/>
                <w:szCs w:val="20"/>
              </w:rPr>
            </w:pPr>
            <w:r w:rsidRPr="005762E6">
              <w:rPr>
                <w:sz w:val="20"/>
                <w:szCs w:val="20"/>
              </w:rPr>
              <w:t>Bi-Yu Liu,​ Yu-Jung Lin,​ Hung-Fu Lee,​ Ching-Yin Ho,​ Ting Ruan,​ Yu Ru Kou Menthol suppresses laryngeal C-fiber hypersensitivity to cigarette smoke in a rat model of gastroesophageal reflux disease: the role of TRPM8.. Journal of applied physiology (Bethesda,​ Md. : 1985); 2015;118:635.</w:t>
            </w:r>
            <w:r w:rsidRPr="005762E6">
              <w:rPr>
                <w:sz w:val="20"/>
                <w:szCs w:val="20"/>
              </w:rPr>
              <w:br/>
            </w:r>
            <w:r w:rsidRPr="005762E6">
              <w:rPr>
                <w:sz w:val="20"/>
                <w:szCs w:val="20"/>
              </w:rPr>
              <w:br/>
            </w:r>
            <w:r w:rsidRPr="005762E6">
              <w:rPr>
                <w:b/>
                <w:bCs/>
                <w:sz w:val="20"/>
                <w:szCs w:val="20"/>
              </w:rPr>
              <w:t>Keywords:</w:t>
            </w:r>
            <w:r w:rsidRPr="005762E6">
              <w:rPr>
                <w:sz w:val="20"/>
                <w:szCs w:val="20"/>
              </w:rPr>
              <w:br/>
              <w:t>Animals,​Apnea/dt [Drug Therapy],​Apnea/me [Metabolism],​*Gastroesophageal Reflux/dt [Drug Therapy],​Gastroesophageal Reflux/me [Metabolism],​Gastroesophageal Reflux/pp [Physiopathology],​Hypersensitivity/me [Metabolism],​*Hypersensitivity/pp [Physiopathology],​Laryngeal Nerves/de [Drug Effects],​Laryngeal Nerves/me [Metabolism],​Laryngeal Nerves/pp [Physiopathology],​*Larynx/de [Drug Effects],​Larynx/me [Metabolism],​Larynx/ph [Physiology],​Male,​*Menthol/pd [Pharmacology],​*Nerve Fibers,​ Unmyelinated/me [Metabolism],​Rats,​Rats,​ Sprague-Dawley,​Reflex/de [Drug Effects],​Reflex/ph [Physiology],​Sensory Receptor Cells/de [Drug Effects],​Sensory Receptor Cells/me [Metabolism],​Smoking/ae [Adverse Effects],​*TRPM Cation Channels/me [Metabolism],​TRPV Cation Channels/me [Metabolism],​*Tobacco Products/ae [Adverse Effects],​Transient Receptor Potential Channels/me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Patients with gastroesophageal reflux disease (GERD) display enhanced laryngeal reflex reactivity to stimuli that may be due to sensitization of the laryngeal C-fibers by acid and pepsin. Menthol,​ a ligand of transient receptor potential melastatin-8 (TRPM8),​ relieves throat irritation. However,​ the possibility that GERD induces laryngeal C-fiber hypersensitivity to cigarette smoke (CS) and that menthol suppresses this event has not been investigated. We delivered CS into functionally isolated larynxes of 160 anesthetized rats. Laryngeal pH 5-pepsin treatment,​ but not pH 5-denatured pepsin,​ augmented the apneic response to CS,​ which was blocked by denervation or perineural capsaicin treatment (a procedure that blocks the conduction of C fibers) of the superior laryngeal nerves. This augmented apnea was partially attenuated by capsazepine [an transient receptor potential vanilloid 1 (TRPV1) antagonist],​ SB-366791 (a TRPV1 antagonist),​ and HC030031 [a transient receptor potential ankyrin 1 (TRPA1) antagonist] and was completely prevented by a combination of TRPV1 and TRPA1 antagonists. Local application of menthol significantly suppressed the augmented apnea and this effect was reversed by pretreatment with AMTB (a TRPM8 antagonist). Our electrophysiological studies consistently revealed that laryngeal pH 5-pepsin treatment increased the sensitivity of laryngeal C-fibers to CS. Likewise,​ menthol suppressed this laryngeal C-fiber hypersensitivity and its effect could be reversed by pretreatment with AMTB. Our results suggest that laryngeal pH 5-pepsin treatment increases sensitivity to CS of both TRPV1 and TRPA1,​ which are presumably located at the terminals of laryngeal C-fibers. This sensory sensitization leads to enhanced laryngeal reflex reactivity and augmentation of the laryngeal C-fiber responses to CS,​ which can be suppressed by menthol acting via TRPM8. Copyright © 2015 the American Physiological Society.</w:t>
            </w:r>
          </w:p>
        </w:tc>
      </w:tr>
      <w:tr w:rsidR="007F0AE0" w:rsidRPr="005762E6" w14:paraId="667E37B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6F75D5" w14:textId="77777777" w:rsidR="007F0AE0" w:rsidRPr="005762E6" w:rsidRDefault="007F0AE0" w:rsidP="00453DE3">
            <w:pPr>
              <w:spacing w:after="120" w:line="240" w:lineRule="auto"/>
              <w:contextualSpacing/>
              <w:rPr>
                <w:sz w:val="20"/>
                <w:szCs w:val="20"/>
              </w:rPr>
            </w:pPr>
            <w:r w:rsidRPr="005762E6">
              <w:rPr>
                <w:sz w:val="20"/>
                <w:szCs w:val="20"/>
              </w:rPr>
              <w:t>480</w:t>
            </w:r>
          </w:p>
        </w:tc>
        <w:tc>
          <w:tcPr>
            <w:tcW w:w="0" w:type="auto"/>
            <w:tcBorders>
              <w:top w:val="single" w:sz="6" w:space="0" w:color="auto"/>
              <w:left w:val="single" w:sz="6" w:space="0" w:color="auto"/>
              <w:bottom w:val="single" w:sz="6" w:space="0" w:color="auto"/>
              <w:right w:val="single" w:sz="6" w:space="0" w:color="auto"/>
            </w:tcBorders>
          </w:tcPr>
          <w:p w14:paraId="0F083D6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A277347" w14:textId="77777777" w:rsidR="007F0AE0" w:rsidRPr="005762E6" w:rsidRDefault="007F0AE0" w:rsidP="00453DE3">
            <w:pPr>
              <w:spacing w:after="120" w:line="240" w:lineRule="auto"/>
              <w:contextualSpacing/>
              <w:rPr>
                <w:sz w:val="20"/>
                <w:szCs w:val="20"/>
              </w:rPr>
            </w:pPr>
            <w:r w:rsidRPr="005762E6">
              <w:rPr>
                <w:sz w:val="20"/>
                <w:szCs w:val="20"/>
              </w:rPr>
              <w:t>Jessica M Rath,​ Andrea C Villanti,​ Valerie F Williams,​ Amanda Richardson,​ Jennifer L Pearson,​ Donna M Vallone Patterns of Longitudinal Transitions in Menthol Use Among US Young Adult Smokers.. Nicotine &amp; tobacco research : official journal of the Society for Research on Nicotine and Tobacco; 2015;17:839.</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Adolescent,​Adult,​Female,​Humans,​Intention,​Longitudinal Studies,​Male,​*Menthol/ad [Administration &amp; Dosage],​Retrospective Studies,​*Smoking/eh [Ethnology],​Smoking/px [Psychology],​*Smoking/td [Trends],​*Smoking Cessation/eh [Ethnology],​Smoking Cessation/px [Psychology],​*Tobacco Products,​United States/eh [Ethnology],​Young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Menthol is the only characterizing flavor in cigarettes that was not banned as part of the 2009 Family Smoking Prevention and Tobacco Control Act. This longitudinal study explores the role of menthol in smoking initiation and progression. Purpose (a) to examine young adult patterns of menthol cigarette </w:t>
            </w:r>
            <w:r w:rsidRPr="005762E6">
              <w:rPr>
                <w:sz w:val="20"/>
                <w:szCs w:val="20"/>
              </w:rPr>
              <w:lastRenderedPageBreak/>
              <w:t>use including switching between menthol and non-menthol and (b) to describe associations between these patterns of menthol use and cessation related intentions and behaviors. Additional data on the role of menthol in cigarettes on smoking uptake and maintenance is needed to inform proposed policy making at the local,​ state,​ and national levels.,​ METHODS: Using 3 time points from a longitudinal national sample of young adults aged 18-34 years (N = 267 smokers),​ patterns of menthol use over 1 year were defined among smokers as: (a) remained menthol smoker; (b) remained non-menthol smoker; (c) switched from menthol to non-menthol; and (d) switched from non-menthol to menthol. Associations were assessed between current menthol cigarette use and cessation intentions and behaviors.,​ RESULTS: Significant predictors of current menthol cigarette use at 1 year included initiation with menthol (OR = 8.26),​ Black race (OR = 23.60),​ and higher scores on the Allen menthol taste subscale (OR = 1.53). Menthol smokers were more likely to report intention to quit but no differences existed between menthol and non-menthol users in ever making a quit attempt.,​ CONCLUSIONS: Most young adults stay with the product that they start smoking with. Menthol smokers were interested in quitting,​ but less interested in next 30-day action than non-menthol smokers. Copyright © The Author 2014. Published by Oxford University Press on behalf of the Society for Research on Nicotine and Tobacco. All rights reserved. For permissions,​ please e-mail: journals.permissions@oup.com.</w:t>
            </w:r>
          </w:p>
        </w:tc>
      </w:tr>
      <w:tr w:rsidR="007F0AE0" w:rsidRPr="005762E6" w14:paraId="3C36D17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2D62C5" w14:textId="77777777" w:rsidR="007F0AE0" w:rsidRPr="005762E6" w:rsidRDefault="007F0AE0" w:rsidP="00453DE3">
            <w:pPr>
              <w:spacing w:after="120" w:line="240" w:lineRule="auto"/>
              <w:contextualSpacing/>
              <w:rPr>
                <w:sz w:val="20"/>
                <w:szCs w:val="20"/>
              </w:rPr>
            </w:pPr>
            <w:r w:rsidRPr="005762E6">
              <w:rPr>
                <w:sz w:val="20"/>
                <w:szCs w:val="20"/>
              </w:rPr>
              <w:lastRenderedPageBreak/>
              <w:t>484</w:t>
            </w:r>
          </w:p>
        </w:tc>
        <w:tc>
          <w:tcPr>
            <w:tcW w:w="0" w:type="auto"/>
            <w:tcBorders>
              <w:top w:val="single" w:sz="6" w:space="0" w:color="auto"/>
              <w:left w:val="single" w:sz="6" w:space="0" w:color="auto"/>
              <w:bottom w:val="single" w:sz="6" w:space="0" w:color="auto"/>
              <w:right w:val="single" w:sz="6" w:space="0" w:color="auto"/>
            </w:tcBorders>
          </w:tcPr>
          <w:p w14:paraId="4F32E4E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E833FE3" w14:textId="77777777" w:rsidR="007F0AE0" w:rsidRPr="005762E6" w:rsidRDefault="007F0AE0" w:rsidP="00453DE3">
            <w:pPr>
              <w:spacing w:after="120" w:line="240" w:lineRule="auto"/>
              <w:contextualSpacing/>
              <w:rPr>
                <w:sz w:val="20"/>
                <w:szCs w:val="20"/>
              </w:rPr>
            </w:pPr>
            <w:r w:rsidRPr="005762E6">
              <w:rPr>
                <w:sz w:val="20"/>
                <w:szCs w:val="20"/>
              </w:rPr>
              <w:t>Yantao Zuo,​ Alexey G Mukhin,​ Sudha Garg,​ Rachid Nazih,​ Frederique M Behm,​ Pradeep K Garg,​ Jed E Rose Sex-specific effects of cigarette mentholation on brain nicotine accumulation and smoking behavior.. Neuropsychopharmacology : official publication of the American College of Neuropsychopharmacology; 2015;40:884.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Adolescent,​Adult,​Aged,​Analysis of Variance,​Brain/dg [Diagnostic Imaging],​*Brain/de [Drug Effects],​Cross-Over Studies,​Female,​Humans,​Male,​*Menthol/ad [Administration &amp; Dosage],​Middle Aged,​Motivation,​*Nicotine/me [Metabolism],​Positron-Emission Tomography,​*Sex Characteristics,​*Smoking/pa [Pathology],​Statistics as Topic,​Tomography,​ X-Ray Computed,​Young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cigarettes are likely associated with greater risks of smoking dependence than non-menthol cigarettes. We sought to test the hypothesis that menthol increases the rate of brain nicotine accumulation (BNA) during smoking and thereby enhances its addictive effects. In a counter-balanced cross-over design,​ 10 menthol and 9 non-menthol smokers (10 females and 9 males; mean age 44.3) underwent two study phases. In each phase,​ the participant smoked exclusively either menthol or non-menthol research cigarettes for approximately 1 week prior to a positron emission tomography (PET) scan session,​ during which the subject's head was scanned following inhalation of a single puff of smoke from a cigarette containing (11)C-nicotine. No differences in initial slope,​ Cmax,​ area under curve (AUC),​ and T1/2 of BNA were found between menthol and non-menthol cigarettes across all subjects; however,​ menthol relative to non-menthol cigarettes were associated with steeper initial slopes in men (p=0.008). Unexpectedly,​ women had faster BNA as indicated by greater values of the initial slope,​ Cmax,​ AUC,​ and shorter T1/2 than men (all ps&lt;0.04). The rates of BNA were significantly correlated with ratings of smoking motivations of getting a 'rush',​ getting relaxing effects and marginally with alleviation of craving. These results do not provide strong support for the putative role of menthol in enhancing BNA,​ although further studies should explore the apparent effect of menthol on BNA in men. Fast BNA during smoking and preference of sensory properties of menthol cigarettes may independently or jointly contribute to smoking dependence among women.</w:t>
            </w:r>
          </w:p>
        </w:tc>
      </w:tr>
      <w:tr w:rsidR="007F0AE0" w:rsidRPr="005762E6" w14:paraId="0C9089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0F8327" w14:textId="77777777" w:rsidR="007F0AE0" w:rsidRPr="005762E6" w:rsidRDefault="007F0AE0" w:rsidP="00453DE3">
            <w:pPr>
              <w:spacing w:after="120" w:line="240" w:lineRule="auto"/>
              <w:contextualSpacing/>
              <w:rPr>
                <w:sz w:val="20"/>
                <w:szCs w:val="20"/>
              </w:rPr>
            </w:pPr>
            <w:r w:rsidRPr="005762E6">
              <w:rPr>
                <w:sz w:val="20"/>
                <w:szCs w:val="20"/>
              </w:rPr>
              <w:t>485</w:t>
            </w:r>
          </w:p>
        </w:tc>
        <w:tc>
          <w:tcPr>
            <w:tcW w:w="0" w:type="auto"/>
            <w:tcBorders>
              <w:top w:val="single" w:sz="6" w:space="0" w:color="auto"/>
              <w:left w:val="single" w:sz="6" w:space="0" w:color="auto"/>
              <w:bottom w:val="single" w:sz="6" w:space="0" w:color="auto"/>
              <w:right w:val="single" w:sz="6" w:space="0" w:color="auto"/>
            </w:tcBorders>
          </w:tcPr>
          <w:p w14:paraId="5427215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C3807CF" w14:textId="77777777" w:rsidR="007F0AE0" w:rsidRPr="005762E6" w:rsidRDefault="007F0AE0" w:rsidP="00453DE3">
            <w:pPr>
              <w:spacing w:after="120" w:line="240" w:lineRule="auto"/>
              <w:contextualSpacing/>
              <w:rPr>
                <w:sz w:val="20"/>
                <w:szCs w:val="20"/>
              </w:rPr>
            </w:pPr>
            <w:r w:rsidRPr="005762E6">
              <w:rPr>
                <w:sz w:val="20"/>
                <w:szCs w:val="20"/>
              </w:rPr>
              <w:t>Kelly C Young-Wolff,​ Norval J 3rd Hickman,​ Romina Kim,​ Kathleen Gali,​ Judith J Prochaska Correlates and prevalence of menthol cigarette use among adults with serious mental illness.. Nicotine &amp; tobacco research : official journal of the Society for Research on Nicotine and Tobacco; 2015;17:285.</w:t>
            </w:r>
            <w:r w:rsidRPr="005762E6">
              <w:rPr>
                <w:sz w:val="20"/>
                <w:szCs w:val="20"/>
              </w:rPr>
              <w:br/>
            </w:r>
            <w:r w:rsidRPr="005762E6">
              <w:rPr>
                <w:sz w:val="20"/>
                <w:szCs w:val="20"/>
              </w:rPr>
              <w:br/>
            </w:r>
            <w:r w:rsidRPr="005762E6">
              <w:rPr>
                <w:b/>
                <w:bCs/>
                <w:sz w:val="20"/>
                <w:szCs w:val="20"/>
              </w:rPr>
              <w:t>Keywords:</w:t>
            </w:r>
            <w:r w:rsidRPr="005762E6">
              <w:rPr>
                <w:sz w:val="20"/>
                <w:szCs w:val="20"/>
              </w:rPr>
              <w:br/>
              <w:t>Adult,​California/eh [Ethnology],​Female,​Humans,​Male,​*Menthol,​Middle Aged,​Minority Groups/px [Psychology],​Prevalence,​San Francisco/eh [Ethnology],​*Smoking/eh [Ethnology],​*Smoking/px [Psychology],​*Smoking Cessation/eh [Ethnology],​*Smoking Cessation/px [Psychology],​*Tobacco Products,​Young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With a focus on protecting vulnerable groups from initiating and continuing tobacco use,​ the FDA has been considering the regulation of menthol in cigarettes. Using a large sample of adult smokers with serious mental illness (SMI) in the San Francisco Bay Area,​ we examined demographic and clinical correlates </w:t>
            </w:r>
            <w:r w:rsidRPr="005762E6">
              <w:rPr>
                <w:sz w:val="20"/>
                <w:szCs w:val="20"/>
              </w:rPr>
              <w:lastRenderedPageBreak/>
              <w:t>of menthol use,​ and we compared the prevalence of menthol use among our study participants to that of adult smokers in the general population in California.,​ METHODS: Adult smokers with SMI (N = 1,​042) were recruited from 7 acute inpatient psychiatric units in the San Francisco Bay Area. Demographic,​ tobacco,​ and clinical correlates of menthol use were examined with bivariate and multivariate logistic regression analyses,​ and prevalence of menthol use was compared within racial/ethnic groups to California population estimates from the 2008-2011 National Survey on Drug Use and Health.,​ RESULTS: A sample majority (57%) reported smoking menthol cigarettes. Multivariate logistic regression analyses indicated that adult smokers with SMI who were younger,​ who had racial/ethnic minority status,​ who had fewer perceived interpersonal problems,​ and who had greater psychotic symptoms also had a significantly greater likelihood of menthol use. Smokers with SMI had a higher prevalence of menthol use relative to the general population in California overall (24%).,​ CONCLUSIONS: Individuals with SMI-particularly those who are younger,​ have racial/ethnic minority status,​ and have been diagnosed with a psychotic disorder-are vulnerable to menthol cigarette use. FDA regulation of menthol may prevent initiation and may encourage cessation among smokers with SMI.</w:t>
            </w:r>
            <w:r>
              <w:rPr>
                <w:sz w:val="20"/>
                <w:szCs w:val="20"/>
              </w:rPr>
              <w:t xml:space="preserve"> </w:t>
            </w:r>
            <w:r w:rsidRPr="005762E6">
              <w:rPr>
                <w:sz w:val="20"/>
                <w:szCs w:val="20"/>
              </w:rPr>
              <w:t>Copyright © The Author 2014. Published by Oxford University Press on behalf of the Society for Research on Nicotine and Tobacco. All rights reserved. For permissions,​ please e-mail: journals.permissions@oup.com.</w:t>
            </w:r>
          </w:p>
        </w:tc>
      </w:tr>
      <w:tr w:rsidR="007F0AE0" w:rsidRPr="005762E6" w14:paraId="7F23B7B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EF7D61" w14:textId="77777777" w:rsidR="007F0AE0" w:rsidRPr="005762E6" w:rsidRDefault="007F0AE0" w:rsidP="00453DE3">
            <w:pPr>
              <w:spacing w:after="120" w:line="240" w:lineRule="auto"/>
              <w:contextualSpacing/>
              <w:rPr>
                <w:sz w:val="20"/>
                <w:szCs w:val="20"/>
              </w:rPr>
            </w:pPr>
            <w:r w:rsidRPr="005762E6">
              <w:rPr>
                <w:sz w:val="20"/>
                <w:szCs w:val="20"/>
              </w:rPr>
              <w:lastRenderedPageBreak/>
              <w:t>488</w:t>
            </w:r>
          </w:p>
        </w:tc>
        <w:tc>
          <w:tcPr>
            <w:tcW w:w="0" w:type="auto"/>
            <w:tcBorders>
              <w:top w:val="single" w:sz="6" w:space="0" w:color="auto"/>
              <w:left w:val="single" w:sz="6" w:space="0" w:color="auto"/>
              <w:bottom w:val="single" w:sz="6" w:space="0" w:color="auto"/>
              <w:right w:val="single" w:sz="6" w:space="0" w:color="auto"/>
            </w:tcBorders>
          </w:tcPr>
          <w:p w14:paraId="41A9AD2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563C25A" w14:textId="77777777" w:rsidR="007F0AE0" w:rsidRPr="005762E6" w:rsidRDefault="007F0AE0" w:rsidP="00453DE3">
            <w:pPr>
              <w:spacing w:after="120" w:line="240" w:lineRule="auto"/>
              <w:contextualSpacing/>
              <w:rPr>
                <w:sz w:val="20"/>
                <w:szCs w:val="20"/>
              </w:rPr>
            </w:pPr>
            <w:r w:rsidRPr="005762E6">
              <w:rPr>
                <w:sz w:val="20"/>
                <w:szCs w:val="20"/>
              </w:rPr>
              <w:t>Emily Brennan,​ Laura Gibson,​ Ani Momjian,​ Robert C Hornik Are young people's beliefs about menthol cigarettes associated with smoking-related intentions and behaviors?.. Nicotine &amp; tobacco research : official journal of the Society for Research on Nicotine and Tobacco; 2015;17:81.</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Behavior,​Cross-Sectional Studies,​Female,​*Health Knowledge,​ Attitudes,​ Practice,​Humans,​Male,​*Menthol/ad [Administration &amp; Dosage],​*Smoking/ep [Epidemiology],​Smoking/px [Psychology],​Smoking Prevention,​Surveys and Questionnaires,​United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Little is known about the beliefs that youth and young adults hold about menthol cigarettes or the influence of these beliefs on tobacco use initiation.,​ METHODS: Online cross-sectional surveys with 13- to 17-year-old current nonsmokers (n = 553) and 18- to 25-year-old never (n = 586) and current tobacco users (n = 307) in the United States assessed the association between endorsing each of 9 pro-menthol beliefs and (a) intentions to smoke menthol cigarettes over the next year,​ (b) current use of menthol cigarettes,​ (c) intentions to use tobacco in general over the next year,​ and (d) current use of tobacco products in general.,​ RESULTS: Menthols were perceived to be less harmful and addictive than nonmenthol cigarettes by between 13% and 23% of respondents. Between 20% and 58% believed that menthols had favorable sensory properties,​ and 7%-25% believed that menthol smokers were more popular and attractive than nonmenthol smokers. Logistic regression analyses (adjusting for confounders) indicated that,​ on the whole,​ those who endorsed pro-menthol beliefs were more likely to intend to use,​ and to currently use,​ both menthols and tobacco products in general. For example,​ respondents who believed that menthol cigarettes were more refreshing in sensation (one of the most frequently endorsed beliefs) were significantly more likely to (a) intend to smoke menthol cigarettes (13- to 17-year-olds,​ odds ratio [OR] = 2.12,​ 95% confidence interval [CI] = 1.03,​ 4.34; 18- to 25-year olds,​ OR = 2.62,​ 95% CI = 1.04,​ 6.60),​ (b) currently use menthol cigarettes (18- to 25-year olds,​ OR = 3.40,​ 95% CI = 2.20,​ 5.26),​ (c) intend to use tobacco (13- to 17-year-olds OR = 1.74,​ 95% CI = 1.14,​ 2.65),​ and (d) currently use tobacco (18- to 25-year olds,​ OR = 2.06,​ 95% CI = 1.44,​ 2.93).,​ CONCLUSIONS: Youth and young adults who do not currently smoke and who hold favorable beliefs about menthol cigarettes are at greater risk for beginning to use tobacco products,​ indicating that the availability of menthol cigarettes may contribute to tobacco use initiation. These findings support recent claims that the elimination of menthol cigarettes would improve public health in the United States. Copyright © The Author 2014. Published by Oxford University Press on behalf of the Society for Research on Nicotine and Tobacco. All rights reserved. For permissions,​ please e-mail: journals.permissions@oup.com.</w:t>
            </w:r>
          </w:p>
        </w:tc>
      </w:tr>
      <w:tr w:rsidR="007F0AE0" w:rsidRPr="005762E6" w14:paraId="5F68A0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4C7440" w14:textId="77777777" w:rsidR="007F0AE0" w:rsidRPr="005762E6" w:rsidRDefault="007F0AE0" w:rsidP="00453DE3">
            <w:pPr>
              <w:spacing w:after="120" w:line="240" w:lineRule="auto"/>
              <w:contextualSpacing/>
              <w:rPr>
                <w:sz w:val="20"/>
                <w:szCs w:val="20"/>
              </w:rPr>
            </w:pPr>
            <w:r w:rsidRPr="005762E6">
              <w:rPr>
                <w:sz w:val="20"/>
                <w:szCs w:val="20"/>
              </w:rPr>
              <w:t>490</w:t>
            </w:r>
          </w:p>
        </w:tc>
        <w:tc>
          <w:tcPr>
            <w:tcW w:w="0" w:type="auto"/>
            <w:tcBorders>
              <w:top w:val="single" w:sz="6" w:space="0" w:color="auto"/>
              <w:left w:val="single" w:sz="6" w:space="0" w:color="auto"/>
              <w:bottom w:val="single" w:sz="6" w:space="0" w:color="auto"/>
              <w:right w:val="single" w:sz="6" w:space="0" w:color="auto"/>
            </w:tcBorders>
          </w:tcPr>
          <w:p w14:paraId="481483B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60D8308" w14:textId="77777777" w:rsidR="007F0AE0" w:rsidRPr="005762E6" w:rsidRDefault="007F0AE0" w:rsidP="00453DE3">
            <w:pPr>
              <w:spacing w:after="120" w:line="240" w:lineRule="auto"/>
              <w:contextualSpacing/>
              <w:rPr>
                <w:sz w:val="20"/>
                <w:szCs w:val="20"/>
              </w:rPr>
            </w:pPr>
            <w:r w:rsidRPr="005762E6">
              <w:rPr>
                <w:sz w:val="20"/>
                <w:szCs w:val="20"/>
              </w:rPr>
              <w:t>Gary A Giovino,​ Andrea C Villanti,​ Paul D Mowery,​ Varadan Sevilimedu,​ Raymond S Niaura,​ Donna M Vallone,​ David B Abrams Differential trends in cigarette smoking in the USA: is menthol slowing progress?.. Tobacco control; 2015;24:28.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 Factors,​Child,​*Consumer Behavior,​Female,​Humans,​Male,​*Menthol,​Middle Aged,​*Smoking/td [Trends],​United States,​Young Adult</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INTRODUCTION: Mentholated cigarettes are at least as dangerous to an individual's health as non-mentholated varieties. The addition of menthol to cigarettes reduces perceived harshness of smoke,​ which can facilitate initiation. Here,​ we examine correlates of menthol use,​ national trends in smoking menthol and non-menthol cigarettes,​ and brand preferences over time.,​ METHODS: We estimated menthol cigarette use during 2004-2010 using annual data on persons &gt;=12 years old from the National Surveys on Drug Use and Health. We adjusted self-reported menthol status for selected brands that were either exclusively menthol or non-menthol,​ based on sales data. Data were weighted to provide national estimates.,​ RESULTS: Among cigarette smokers,​ menthol cigarette use was more common among 12-17 year olds (56.7%) and 18-25 year olds (45.0%) than among older persons (range 30.5% to 34.7%). In a multivariable analysis,​ menthol use was associated with being younger,​ female and of non-Caucasian race/ethnicity. Among all adolescents,​ the percentage who smoked non-menthol cigarettes decreased from 2004-2010,​ while menthol smoking rates remained constant; among all young adults,​ the percentage who smoked non-menthol cigarettes also declined,​ while menthol smoking rates increased. The use of Camel menthol and Marlboro menthol increased among adolescent and young adult smokers,​ particularly non-Hispanic Caucasians,​ during the study period.,​ CONCLUSIONS: Young people are heavy consumers of mentholated cigarettes. Progress in reducing youth smoking has likely been attenuated by the sale and marketing of mentholated cigarettes,​ including emerging varieties of established youth brands. This study should inform the Food and Drug Administration regarding the potential public health impact of a menthol ban. Copyright Published by the BMJ Publishing Group Limited. For permission to use (where not already granted under a licence) please go to http://group.bmj.com/group/rights-licensing/permissions.</w:t>
            </w:r>
          </w:p>
        </w:tc>
      </w:tr>
      <w:tr w:rsidR="007F0AE0" w:rsidRPr="005762E6" w14:paraId="2D1D23A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DA6E02" w14:textId="77777777" w:rsidR="007F0AE0" w:rsidRPr="005762E6" w:rsidRDefault="007F0AE0" w:rsidP="00453DE3">
            <w:pPr>
              <w:spacing w:after="120" w:line="240" w:lineRule="auto"/>
              <w:contextualSpacing/>
              <w:rPr>
                <w:sz w:val="20"/>
                <w:szCs w:val="20"/>
              </w:rPr>
            </w:pPr>
            <w:r w:rsidRPr="005762E6">
              <w:rPr>
                <w:sz w:val="20"/>
                <w:szCs w:val="20"/>
              </w:rPr>
              <w:lastRenderedPageBreak/>
              <w:t>491</w:t>
            </w:r>
          </w:p>
        </w:tc>
        <w:tc>
          <w:tcPr>
            <w:tcW w:w="0" w:type="auto"/>
            <w:tcBorders>
              <w:top w:val="single" w:sz="6" w:space="0" w:color="auto"/>
              <w:left w:val="single" w:sz="6" w:space="0" w:color="auto"/>
              <w:bottom w:val="single" w:sz="6" w:space="0" w:color="auto"/>
              <w:right w:val="single" w:sz="6" w:space="0" w:color="auto"/>
            </w:tcBorders>
          </w:tcPr>
          <w:p w14:paraId="15BB19D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5DC3D01" w14:textId="77777777" w:rsidR="007F0AE0" w:rsidRPr="005762E6" w:rsidRDefault="007F0AE0" w:rsidP="00453DE3">
            <w:pPr>
              <w:spacing w:after="120" w:line="240" w:lineRule="auto"/>
              <w:contextualSpacing/>
              <w:rPr>
                <w:sz w:val="20"/>
                <w:szCs w:val="20"/>
              </w:rPr>
            </w:pPr>
            <w:r w:rsidRPr="005762E6">
              <w:rPr>
                <w:sz w:val="20"/>
                <w:szCs w:val="20"/>
              </w:rPr>
              <w:t>Jack E Henningfield The tobacco endgame: it's all about behavior.. Preventive medicine; 2014;68:11.</w:t>
            </w:r>
            <w:r w:rsidRPr="005762E6">
              <w:rPr>
                <w:sz w:val="20"/>
                <w:szCs w:val="20"/>
              </w:rPr>
              <w:br/>
            </w:r>
            <w:r w:rsidRPr="005762E6">
              <w:rPr>
                <w:sz w:val="20"/>
                <w:szCs w:val="20"/>
              </w:rPr>
              <w:br/>
            </w:r>
            <w:r w:rsidRPr="005762E6">
              <w:rPr>
                <w:b/>
                <w:bCs/>
                <w:sz w:val="20"/>
                <w:szCs w:val="20"/>
              </w:rPr>
              <w:t>Keywords:</w:t>
            </w:r>
            <w:r w:rsidRPr="005762E6">
              <w:rPr>
                <w:sz w:val="20"/>
                <w:szCs w:val="20"/>
              </w:rPr>
              <w:br/>
              <w:t>Behavior,​ Addictive,​Electronic Nicotine Delivery Systems/ae [Adverse Effects],​Electronic Nicotine Delivery Systems/px [Psychology],​*Health Behavior,​Health Policy,​Health Promotion,​Humans,​Marketing,​Menthol/ad [Administration &amp; Dosage],​Smoking/ae [Adverse Effects],​Smoking/ep [Epidemiology],​Smoking/px [Psychology],​*Smoking,​Smoking Cessation/lj [Legislation &amp; Jurisprudence],​Smoking Cessation/mt [Methods],​*Smoking Cessation,​Smoking Prevention,​Tobacco,​Tobacco Industry/lj [Legislation &amp; Jurisprudence],​*Tobacco Industry,​Tobacco Products,​United States/ep [Epidemiology],​United States Food and Drug Administration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One of the ten great public health achievements in the 20th century was turning the tide on one of the greatest public health disasters of that century: the tobacco use and related disease epidemic. The premature death and disease caused by tobacco can be considered largely as a side-effect of tobacco use behavior and the disease of addiction. The spread of that disease was fostered by an industry that researched the behavioral and biological basis of tobacco use and addiction and applied its findings and knowledge to develop products and marketing approaches to increase the likelihood that people,​ especially young people,​ would try tobacco products and develop persistent use and addiction. Researchers outside of the tobacco industry also investigated the behavioral biology of tobacco use and their research has been critical in turning the tide of the tobacco and disease epidemic. The behavioral factors are considered vital to understand and address by United States Food and Drug Administration and Surgeon General,​ as well as the World Health Organization in their tobacco control efforts. This commentary discusses key behavioral factors in the rise and fall of the epidemic,​ as well as some of those increasingly discussed as potential contributors to the endgame. Copyright © 2014 Elsevier Inc. All rights reserved.</w:t>
            </w:r>
          </w:p>
        </w:tc>
      </w:tr>
      <w:tr w:rsidR="007F0AE0" w:rsidRPr="005762E6" w14:paraId="66B89CD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EDCB22" w14:textId="77777777" w:rsidR="007F0AE0" w:rsidRPr="005762E6" w:rsidRDefault="007F0AE0" w:rsidP="00453DE3">
            <w:pPr>
              <w:spacing w:after="120" w:line="240" w:lineRule="auto"/>
              <w:contextualSpacing/>
              <w:rPr>
                <w:sz w:val="20"/>
                <w:szCs w:val="20"/>
              </w:rPr>
            </w:pPr>
            <w:r w:rsidRPr="005762E6">
              <w:rPr>
                <w:sz w:val="20"/>
                <w:szCs w:val="20"/>
              </w:rPr>
              <w:t>494</w:t>
            </w:r>
          </w:p>
        </w:tc>
        <w:tc>
          <w:tcPr>
            <w:tcW w:w="0" w:type="auto"/>
            <w:tcBorders>
              <w:top w:val="single" w:sz="6" w:space="0" w:color="auto"/>
              <w:left w:val="single" w:sz="6" w:space="0" w:color="auto"/>
              <w:bottom w:val="single" w:sz="6" w:space="0" w:color="auto"/>
              <w:right w:val="single" w:sz="6" w:space="0" w:color="auto"/>
            </w:tcBorders>
          </w:tcPr>
          <w:p w14:paraId="2A96AEC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BC7A9C" w14:textId="77777777" w:rsidR="007F0AE0" w:rsidRPr="005762E6" w:rsidRDefault="007F0AE0" w:rsidP="00453DE3">
            <w:pPr>
              <w:spacing w:after="120" w:line="240" w:lineRule="auto"/>
              <w:contextualSpacing/>
              <w:rPr>
                <w:sz w:val="20"/>
                <w:szCs w:val="20"/>
              </w:rPr>
            </w:pPr>
            <w:r w:rsidRPr="005762E6">
              <w:rPr>
                <w:sz w:val="20"/>
                <w:szCs w:val="20"/>
              </w:rPr>
              <w:t>Alain Braillon Reducing nicotine content of cigarettes: in search of a regulator.. Preventive medicine; 2014;69:306.</w:t>
            </w:r>
            <w:r w:rsidRPr="005762E6">
              <w:rPr>
                <w:sz w:val="20"/>
                <w:szCs w:val="20"/>
              </w:rPr>
              <w:br/>
            </w:r>
            <w:r w:rsidRPr="005762E6">
              <w:rPr>
                <w:sz w:val="20"/>
                <w:szCs w:val="20"/>
              </w:rPr>
              <w:br/>
            </w:r>
            <w:r w:rsidRPr="005762E6">
              <w:rPr>
                <w:b/>
                <w:bCs/>
                <w:sz w:val="20"/>
                <w:szCs w:val="20"/>
              </w:rPr>
              <w:t>Keywords:</w:t>
            </w:r>
            <w:r w:rsidRPr="005762E6">
              <w:rPr>
                <w:sz w:val="20"/>
                <w:szCs w:val="20"/>
              </w:rPr>
              <w:br/>
              <w:t>Humans,​*Nicotine/ch [Chemistry],​*Smoking,​*Tobacco/ch [Chemistry],​*Tobacco Industry,​*Tobacco Products/st [Standards]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FAB714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65F325" w14:textId="77777777" w:rsidR="007F0AE0" w:rsidRPr="005762E6" w:rsidRDefault="007F0AE0" w:rsidP="00453DE3">
            <w:pPr>
              <w:spacing w:after="120" w:line="240" w:lineRule="auto"/>
              <w:contextualSpacing/>
              <w:rPr>
                <w:sz w:val="20"/>
                <w:szCs w:val="20"/>
              </w:rPr>
            </w:pPr>
            <w:r w:rsidRPr="005762E6">
              <w:rPr>
                <w:sz w:val="20"/>
                <w:szCs w:val="20"/>
              </w:rPr>
              <w:t>495</w:t>
            </w:r>
          </w:p>
        </w:tc>
        <w:tc>
          <w:tcPr>
            <w:tcW w:w="0" w:type="auto"/>
            <w:tcBorders>
              <w:top w:val="single" w:sz="6" w:space="0" w:color="auto"/>
              <w:left w:val="single" w:sz="6" w:space="0" w:color="auto"/>
              <w:bottom w:val="single" w:sz="6" w:space="0" w:color="auto"/>
              <w:right w:val="single" w:sz="6" w:space="0" w:color="auto"/>
            </w:tcBorders>
          </w:tcPr>
          <w:p w14:paraId="092DA2C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6CA0841" w14:textId="77777777" w:rsidR="007F0AE0" w:rsidRPr="005762E6" w:rsidRDefault="007F0AE0" w:rsidP="00453DE3">
            <w:pPr>
              <w:spacing w:after="120" w:line="240" w:lineRule="auto"/>
              <w:contextualSpacing/>
              <w:rPr>
                <w:sz w:val="20"/>
                <w:szCs w:val="20"/>
              </w:rPr>
            </w:pPr>
            <w:r w:rsidRPr="005762E6">
              <w:rPr>
                <w:sz w:val="20"/>
                <w:szCs w:val="20"/>
              </w:rPr>
              <w:t>M H Zimmermann,​ D L Richardson,​ M T B Manderski,​ C D Delnevo,​ M B Steinberg Relighting behaviour among cigarette smokers seeking treatment: implications for tobacco treatment and policy.. International journal of clinical practice; 2014;68:1358.</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Adult,​Aged,​Cross-Sectional Studies,​Female,​Humans,​Logistic Models,​Male,​Menthol,​Middle Aged,​*Smoking/px [Psychology],​*Smoking Cessation/px [Psychology],​Smoking Prevention,​*Tobacco Use Disorder/px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During the recent economic downturn,​ trends towards fewer cigarettes smoked per day have emerged along with the practice of extinguishing and relighting cigarettes. Few studies have characterised factors related to relighting cigarettes and none have explored this behaviour in those seeking tobacco treatment. This study describes treatment-seeking patients who relight cigarettes and examines implications on tobacco policy and treatment.,​ METHODS: Data were collected from a cross-sectional sample of 496 patients at a specialty tobacco treatment programme in New Jersey from 2010 to 2012.,​ RESULTS: Forty-six per cent of the sample reported relighting,​ and those subjects smoked significantly fewer cigarettes per day (CPD),​ despite similar levels of dependence and exhaled carbon monoxide (CO) values. In unadjusted analyses,​ significantly higher rates of relighting were found among females,​ African-Americans,​ smokers who had a high school diploma or less,​ and were unemployed,​ sick or disabled. Relighting was more prevalent among smokers with higher markers of dependence,​ menthol smoking and night smoking. In multivariate analyses,​ markers of dependence and economic factors (employment and education) remained significant.,​ CONCLUSIONS: Characteristics linked to economic factors were related to increased relighting. Implications for tobacco treatment include the impact on pharmacotherapy dosing and counselling interventions. The tobacco control community needs to be aware of this phenomenon. Collecting data on 'smoking sessions per day' might be a more accurate depiction of smoking exposure than CPD.</w:t>
            </w:r>
            <w:r>
              <w:rPr>
                <w:sz w:val="20"/>
                <w:szCs w:val="20"/>
              </w:rPr>
              <w:t xml:space="preserve"> </w:t>
            </w:r>
            <w:r w:rsidRPr="005762E6">
              <w:rPr>
                <w:sz w:val="20"/>
                <w:szCs w:val="20"/>
              </w:rPr>
              <w:t>Copyright © 2014 John Wiley &amp; Sons Ltd.</w:t>
            </w:r>
          </w:p>
        </w:tc>
      </w:tr>
      <w:tr w:rsidR="007F0AE0" w:rsidRPr="005762E6" w14:paraId="6DA9516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260F41" w14:textId="77777777" w:rsidR="007F0AE0" w:rsidRPr="005762E6" w:rsidRDefault="007F0AE0" w:rsidP="00453DE3">
            <w:pPr>
              <w:spacing w:after="120" w:line="240" w:lineRule="auto"/>
              <w:contextualSpacing/>
              <w:rPr>
                <w:sz w:val="20"/>
                <w:szCs w:val="20"/>
              </w:rPr>
            </w:pPr>
            <w:r w:rsidRPr="005762E6">
              <w:rPr>
                <w:sz w:val="20"/>
                <w:szCs w:val="20"/>
              </w:rPr>
              <w:lastRenderedPageBreak/>
              <w:t>496</w:t>
            </w:r>
          </w:p>
        </w:tc>
        <w:tc>
          <w:tcPr>
            <w:tcW w:w="0" w:type="auto"/>
            <w:tcBorders>
              <w:top w:val="single" w:sz="6" w:space="0" w:color="auto"/>
              <w:left w:val="single" w:sz="6" w:space="0" w:color="auto"/>
              <w:bottom w:val="single" w:sz="6" w:space="0" w:color="auto"/>
              <w:right w:val="single" w:sz="6" w:space="0" w:color="auto"/>
            </w:tcBorders>
          </w:tcPr>
          <w:p w14:paraId="222415B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D61027D" w14:textId="77777777" w:rsidR="007F0AE0" w:rsidRPr="005762E6" w:rsidRDefault="007F0AE0" w:rsidP="00453DE3">
            <w:pPr>
              <w:spacing w:after="120" w:line="240" w:lineRule="auto"/>
              <w:contextualSpacing/>
              <w:rPr>
                <w:sz w:val="20"/>
                <w:szCs w:val="20"/>
              </w:rPr>
            </w:pPr>
            <w:r w:rsidRPr="005762E6">
              <w:rPr>
                <w:sz w:val="20"/>
                <w:szCs w:val="20"/>
              </w:rPr>
              <w:t>Geoffrey M Curtin,​ Sandra I Sulsky,​ Cynthia Van Landingham,​ Kristin M Marano,​ Monica J Graves,​ Michael W Ogden,​ James E Swauger Measures of initiation and progression to increased smoking among current menthol compared to non-menthol cigarette smokers based on data from four U.S. government surveys.. Regulatory toxicology and pharmacology : RTP; 2014;70:446.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Adolescent,​Adult,​Child,​Cross-Sectional Studies,​Data Collection,​Disease Progression,​Female,​Government,​Humans,​Male,​*Menthol/ae [Adverse Effects],​Prevalence,​*Smoking/ae [Adverse Effects],​*Smoking/ep [Epidemiology],​*Tobacco Products/ae [Adverse Effects],​*Tobacco Use Disorder/ep [Epidemiology],​United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There are no large-scale,​ carefully designed cohort studies that provide evidence on whether menthol cigarette use is associated with a differential risk of initiating and/or progressing to increased smoking. However,​ questions of whether current menthol cigarette smokers initiated smoking at a younger age or are more likely to have transitioned from non-daily to daily cigarette use compared to non-menthol smokers can be addressed using cross-sectional data from U.S. government surveys. Analyses of nationally representative samples of adult and youth smokers indicate that current menthol cigarette use is not associated with an earlier age of having initiated smoking or greater likelihood of being a daily versus non-daily smoker. Some surveys likewise provide information on cigarette type preference (menthol versus non-menthol) among youth at different stages or trajectories of smoking,​ based on number of days smoked during the past month and/or cigarettes smoked per day. Prevalence of menthol cigarette use does not appear to differ among new,​ less experienced youth smokers compared to established youth smokers. While there are limitations with regard to inferences that can be drawn from cross-sectional analyses,​ these data do not suggest any adverse effects for menthol cigarettes on measures of initiation and progression to increased smoking. Copyright © 2014 The Authors. Published by Elsevier Inc. All rights reserved.</w:t>
            </w:r>
          </w:p>
        </w:tc>
      </w:tr>
      <w:tr w:rsidR="007F0AE0" w:rsidRPr="005762E6" w14:paraId="7CEF918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A5782D" w14:textId="77777777" w:rsidR="007F0AE0" w:rsidRPr="005762E6" w:rsidRDefault="007F0AE0" w:rsidP="00453DE3">
            <w:pPr>
              <w:spacing w:after="120" w:line="240" w:lineRule="auto"/>
              <w:contextualSpacing/>
              <w:rPr>
                <w:sz w:val="20"/>
                <w:szCs w:val="20"/>
              </w:rPr>
            </w:pPr>
            <w:r w:rsidRPr="005762E6">
              <w:rPr>
                <w:sz w:val="20"/>
                <w:szCs w:val="20"/>
              </w:rPr>
              <w:t>497</w:t>
            </w:r>
          </w:p>
        </w:tc>
        <w:tc>
          <w:tcPr>
            <w:tcW w:w="0" w:type="auto"/>
            <w:tcBorders>
              <w:top w:val="single" w:sz="6" w:space="0" w:color="auto"/>
              <w:left w:val="single" w:sz="6" w:space="0" w:color="auto"/>
              <w:bottom w:val="single" w:sz="6" w:space="0" w:color="auto"/>
              <w:right w:val="single" w:sz="6" w:space="0" w:color="auto"/>
            </w:tcBorders>
          </w:tcPr>
          <w:p w14:paraId="4E00050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CDBD99" w14:textId="77777777" w:rsidR="007F0AE0" w:rsidRPr="005762E6" w:rsidRDefault="007F0AE0" w:rsidP="00453DE3">
            <w:pPr>
              <w:spacing w:after="120" w:line="240" w:lineRule="auto"/>
              <w:contextualSpacing/>
              <w:rPr>
                <w:sz w:val="20"/>
                <w:szCs w:val="20"/>
              </w:rPr>
            </w:pPr>
            <w:r w:rsidRPr="005762E6">
              <w:rPr>
                <w:sz w:val="20"/>
                <w:szCs w:val="20"/>
              </w:rPr>
              <w:t>Shannon M Farley,​ Hannah Seoh,​ Rachel Sacks,​ Michael Johns Teen use of flavored tobacco products in new york city.. Nicotine &amp; tobacco research : official journal of the Society for Research on Nicotine and Tobacco; 2014;16:1518.</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Behavior/px [Psychology],​Cross-Sectional Studies/mt [Methods],​Female,​*Flavoring Agents/ad [Administration &amp; Dosage],​Humans,​Male,​Menthol/ad [Administration &amp; Dosage],​New York City/ep [Epidemiology],​*Smoking/ep [Epidemiology],​*Smoking/px [Psychology],​Taste/de [Drug Effects],​*Tobacco Products/ut [Utilization]</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INTRODUCTION: Teen use of flavored tobacco products is a concern. Menthol cigarettes have been found to influence teen smoking; however,​ less is known about the association between teen use of other flavored tobacco products,​ such as cigars and dip,​ and cigarette smoking.,​ METHODS: The New York City 2010 Special Communities Putting Prevention to Work Youth Risk Behavior Survey data (N = 1,​800 aged 13-17 years) were analyzed to examine the association between ever trying flavored tobacco products and current smoking,​ after we adjusted for demographics and ever-use of menthol cigarettes.,​ RESULTS: Twenty percent of teens reported ever trying flavored tobacco products; youth who were current smokers (58%) were more likely to have tried flavored tobacco products than youth who were not current smokers (16%). Controlling for menthol cigarette use,​ teens who had ever tried flavored tobacco products were nearly 3 times more likely to be current smokers than those who had never tried flavored tobacco products (odds ratio = 2.70,​ 95% confidence interval = 1.47-4.98).,​ CONCLUSIONS: Ever trying flavored tobacco products was strongly associated with current smoking among teens. The findings from this study suggest that regulations prohibiting sales of flavored tobacco products could decrease youth smoking. Copyright Published by Oxford University Press on behalf of the Society for Research on Nicotine and Tobacco 2014. This work is written by (a) US Government employee(s) and is in the public domain in the US.</w:t>
            </w:r>
          </w:p>
        </w:tc>
      </w:tr>
      <w:tr w:rsidR="007F0AE0" w:rsidRPr="005762E6" w14:paraId="3CD11E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AF37D3" w14:textId="77777777" w:rsidR="007F0AE0" w:rsidRPr="005762E6" w:rsidRDefault="007F0AE0" w:rsidP="00453DE3">
            <w:pPr>
              <w:spacing w:after="120" w:line="240" w:lineRule="auto"/>
              <w:contextualSpacing/>
              <w:rPr>
                <w:sz w:val="20"/>
                <w:szCs w:val="20"/>
              </w:rPr>
            </w:pPr>
            <w:r w:rsidRPr="005762E6">
              <w:rPr>
                <w:sz w:val="20"/>
                <w:szCs w:val="20"/>
              </w:rPr>
              <w:lastRenderedPageBreak/>
              <w:t>498</w:t>
            </w:r>
          </w:p>
        </w:tc>
        <w:tc>
          <w:tcPr>
            <w:tcW w:w="0" w:type="auto"/>
            <w:tcBorders>
              <w:top w:val="single" w:sz="6" w:space="0" w:color="auto"/>
              <w:left w:val="single" w:sz="6" w:space="0" w:color="auto"/>
              <w:bottom w:val="single" w:sz="6" w:space="0" w:color="auto"/>
              <w:right w:val="single" w:sz="6" w:space="0" w:color="auto"/>
            </w:tcBorders>
          </w:tcPr>
          <w:p w14:paraId="15FD414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BE9118" w14:textId="77777777" w:rsidR="007F0AE0" w:rsidRPr="005762E6" w:rsidRDefault="007F0AE0" w:rsidP="00453DE3">
            <w:pPr>
              <w:spacing w:after="120" w:line="240" w:lineRule="auto"/>
              <w:contextualSpacing/>
              <w:rPr>
                <w:sz w:val="20"/>
                <w:szCs w:val="20"/>
              </w:rPr>
            </w:pPr>
            <w:r w:rsidRPr="005762E6">
              <w:rPr>
                <w:sz w:val="20"/>
                <w:szCs w:val="20"/>
              </w:rPr>
              <w:t>Sandra I Sulsky,​ William G Fuller,​ Cynthia Van Landingham,​ Michael W Ogden,​ James E Swauger,​ Geoffrey M Curtin Evaluating the association between menthol cigarette use and the likelihood of being a former versus current smoker.. Regulatory toxicology and pharmacology : RTP; 2014;70:231.</w:t>
            </w:r>
            <w:r w:rsidRPr="005762E6">
              <w:rPr>
                <w:sz w:val="20"/>
                <w:szCs w:val="20"/>
              </w:rPr>
              <w:br/>
            </w:r>
            <w:r w:rsidRPr="005762E6">
              <w:rPr>
                <w:sz w:val="20"/>
                <w:szCs w:val="20"/>
              </w:rPr>
              <w:br/>
            </w:r>
            <w:r w:rsidRPr="005762E6">
              <w:rPr>
                <w:b/>
                <w:bCs/>
                <w:sz w:val="20"/>
                <w:szCs w:val="20"/>
              </w:rPr>
              <w:t>Keywords:</w:t>
            </w:r>
            <w:r w:rsidRPr="005762E6">
              <w:rPr>
                <w:sz w:val="20"/>
                <w:szCs w:val="20"/>
              </w:rPr>
              <w:br/>
              <w:t>Ethnic Groups/sn [Statistics &amp; Numerical Data],​Humans,​Likelihood Functions,​*Menthol,​Research Design,​*Smoking/ep [Epidemiology],​Smoking Cessation/sn [Statistics &amp; Numerical Data],​*Tobacco Products/sn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in cigarettes has been examined for its potential to affect smoking dependence,​ measured primarily as number of cigarettes smoked per day and time to first cigarette after waking; the ability to quit smoking constitutes an additional measure of dependence. Successful quitting among menthol compared to non-menthol cigarette smokers is difficult to determine from the literature,​ due in part to the various definitions of quitting used by researchers. Nevertheless,​ intervention and follow-up studies of smoking cessation treatments generally indicate no differences in quitting success among menthol compared to non-menthol smokers,​ while cross-sectional studies suggest some differences within race/ethnicity groups. The association between menthol cigarette use and likelihood of being a former versus current smoker was examined based on data from the National Health Interview Survey and Tobacco Use Supplement to the Current Population Survey. Analyses stratified by race/ethnicity and limited to smokers who had quit at least one year prior to survey participation provided inconsistent results with regard to menthol cigarette use and quitting,​ both within surveys (i.e.,​ comparing race/ethnicity groups) and between surveys (i.e.,​ same race/ethnicity group across surveys). Evidence suggesting the existence or direction of an association between menthol in cigarettes and quitting depended on the data source. Copyright © 2014 The Authors. Published by Elsevier Inc. All rights reserved.</w:t>
            </w:r>
          </w:p>
        </w:tc>
      </w:tr>
      <w:tr w:rsidR="007F0AE0" w:rsidRPr="005762E6" w14:paraId="0790C81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7B0535" w14:textId="77777777" w:rsidR="007F0AE0" w:rsidRPr="005762E6" w:rsidRDefault="007F0AE0" w:rsidP="00453DE3">
            <w:pPr>
              <w:spacing w:after="120" w:line="240" w:lineRule="auto"/>
              <w:contextualSpacing/>
              <w:rPr>
                <w:sz w:val="20"/>
                <w:szCs w:val="20"/>
              </w:rPr>
            </w:pPr>
            <w:r w:rsidRPr="005762E6">
              <w:rPr>
                <w:sz w:val="20"/>
                <w:szCs w:val="20"/>
              </w:rPr>
              <w:t>500</w:t>
            </w:r>
          </w:p>
        </w:tc>
        <w:tc>
          <w:tcPr>
            <w:tcW w:w="0" w:type="auto"/>
            <w:tcBorders>
              <w:top w:val="single" w:sz="6" w:space="0" w:color="auto"/>
              <w:left w:val="single" w:sz="6" w:space="0" w:color="auto"/>
              <w:bottom w:val="single" w:sz="6" w:space="0" w:color="auto"/>
              <w:right w:val="single" w:sz="6" w:space="0" w:color="auto"/>
            </w:tcBorders>
          </w:tcPr>
          <w:p w14:paraId="3383A15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D14D56" w14:textId="77777777" w:rsidR="007F0AE0" w:rsidRPr="005762E6" w:rsidRDefault="007F0AE0" w:rsidP="00453DE3">
            <w:pPr>
              <w:spacing w:after="120" w:line="240" w:lineRule="auto"/>
              <w:contextualSpacing/>
              <w:rPr>
                <w:sz w:val="20"/>
                <w:szCs w:val="20"/>
              </w:rPr>
            </w:pPr>
            <w:r w:rsidRPr="005762E6">
              <w:rPr>
                <w:sz w:val="20"/>
                <w:szCs w:val="20"/>
              </w:rPr>
              <w:t>Geoffrey M Curtin,​ Sandra I Sulsky,​ Cynthia Van Landingham,​ Kristin M Marano,​ Monica J Graves,​ Michael W Ogden,​ James E Swauger Patterns of menthol cigarette use among current smokers,​ overall and within demographic strata,​ based on data from four U.S. government surveys.. Regulatory toxicology and pharmacology : RTP; 2014;70:189.</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 Factors,​Continental Population Groups/sn [Statistics &amp; Numerical Data],​Data Collection,​Ethnic Groups/sn [Statistics &amp; Numerical Data],​Female,​Humans,​Male,​*Menthol,​Nutrition Surveys,​Sex Factors,​*Smoking/ep [Epidemiology],​*Tobacco Products/sn [Statistics &amp; Numerical Data],​United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National Health and Nutrition Examination Survey,​ National Survey on Drug Use and Health,​ National Health Interview Survey and Tobacco Use Supplement to the Current Population Survey provide estimates of the proportions of U.S. smokers who currently use menthol cigarettes,​ overall and within demographic strata. Among adult past-month,​ regular and daily smokers,​ menthol cigarette use ranges from 26% </w:t>
            </w:r>
            <w:r w:rsidRPr="005762E6">
              <w:rPr>
                <w:sz w:val="20"/>
                <w:szCs w:val="20"/>
              </w:rPr>
              <w:lastRenderedPageBreak/>
              <w:t>to 30%,​ with statistically higher proportions of female versus male smokers (8-11 percentage points higher) currently using menthol cigarettes. Compared to adult smokers overall,​ statistically higher proportions of non-Hispanic Black smokers (72-79%) and statistically lower proportions of non-Hispanic White smokers (19-22%) currently use menthol cigarettes,​ with no differences among smokers of other race/ethnicity groups (18-20% to 28-30%,​ depending on the survey). Higher proportions of younger adult past-month,​ regular and daily smokers (aged 18-25years) currently use menthol cigarettes compared to older adult smokers (aged 26-29years and/or 30years); however,​ differences are small in magnitude,​ with the vast majority of adult smokers (70-75%) who currently use menthol cigarettes being aged 30years. Comparisons between youth and adult smokers are provided,​ although data for youth smokers are less available and provide less consistent patterns of menthol cigarette use. Copyright © 2014 The Authors. Published by Elsevier Inc. All rights reserved.</w:t>
            </w:r>
          </w:p>
        </w:tc>
      </w:tr>
      <w:tr w:rsidR="007F0AE0" w:rsidRPr="005762E6" w14:paraId="02A551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57F643" w14:textId="77777777" w:rsidR="007F0AE0" w:rsidRPr="005762E6" w:rsidRDefault="007F0AE0" w:rsidP="00453DE3">
            <w:pPr>
              <w:spacing w:after="120" w:line="240" w:lineRule="auto"/>
              <w:contextualSpacing/>
              <w:rPr>
                <w:sz w:val="20"/>
                <w:szCs w:val="20"/>
              </w:rPr>
            </w:pPr>
            <w:r w:rsidRPr="005762E6">
              <w:rPr>
                <w:sz w:val="20"/>
                <w:szCs w:val="20"/>
              </w:rPr>
              <w:lastRenderedPageBreak/>
              <w:t>501</w:t>
            </w:r>
          </w:p>
        </w:tc>
        <w:tc>
          <w:tcPr>
            <w:tcW w:w="0" w:type="auto"/>
            <w:tcBorders>
              <w:top w:val="single" w:sz="6" w:space="0" w:color="auto"/>
              <w:left w:val="single" w:sz="6" w:space="0" w:color="auto"/>
              <w:bottom w:val="single" w:sz="6" w:space="0" w:color="auto"/>
              <w:right w:val="single" w:sz="6" w:space="0" w:color="auto"/>
            </w:tcBorders>
          </w:tcPr>
          <w:p w14:paraId="418F4A1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11B62AD" w14:textId="77777777" w:rsidR="007F0AE0" w:rsidRPr="005762E6" w:rsidRDefault="007F0AE0" w:rsidP="00453DE3">
            <w:pPr>
              <w:spacing w:after="120" w:line="240" w:lineRule="auto"/>
              <w:contextualSpacing/>
              <w:rPr>
                <w:sz w:val="20"/>
                <w:szCs w:val="20"/>
              </w:rPr>
            </w:pPr>
            <w:r w:rsidRPr="005762E6">
              <w:rPr>
                <w:sz w:val="20"/>
                <w:szCs w:val="20"/>
              </w:rPr>
              <w:t>Karin A Kasza,​ Andrew J Hyland,​ Maansi Bansal-Travers,​ Lisa M Vogl,​ Jiping Chen,​ Sarah E Evans,​ Geoffrey T Fong,​ Kenneth Michael Cummings,​ Richard J O'Connor Switching between menthol and nonmenthol cigarettes: findings from the U.S. Cohort of the International Tobacco Control Four Country Survey.. Nicotine &amp; tobacco research : official journal of the Society for Research on Nicotine and Tobacco; 2014;16:1255.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Data],​Female,​Humans,​Male,​*Menthol,​Middle Aged,​Smoking/ep [Epidemiology],​*Smoking/td [Trends],​Smoking Cessation/sn [Statistics &amp; Numerical Data],​*Tobacco Products/cl [Classification],​Tobacco Use Disorder/ep [Epidemiology],​United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This article examines trends in switching between menthol and nonmenthol cigarettes,​ smoker characteristics associated with switching,​ and associations among switching,​ indicators of nicotine dependence,​ and quitting activity.,​ METHODS: Participants were 5,​932 U.S. adult smokers who were interviewed annually as part of the International Tobacco Control Four Country Survey between 2002 and 2011. Generalized estimating equations (GEEs) were used to examine the prevalence of menthol cigarette use and switching between menthol and nonmenthol cigarettes (among 3,​118 smokers who participated in at least 2 consecutive surveys). We also evaluated characteristics associated with menthol cigarette use and associations among switching,​ indicators of nicotine dependence,​ and quitting activity using GEEs.,​ RESULTS: Across the entire study period,​ 27% of smokers smoked menthol cigarettes; prevalence was highest among Blacks (79%),​ young adults (36%),​ and females (30%). Prevalence of switching between menthol and nonmenthol cigarettes was low (3% switched to menthol and 8% switched to nonmenthol),​ and switchers tended to revert back to their previous type. Switching types was not associated with indicators of nicotine dependence or quit attempts. However,​ those who switched cigarette brands within cigarette types were more likely to attempt to quit smoking.,​ CONCLUSIONS: While overall switching rates were low,​ the percentage who switched from menthol to nonmenthol was significantly higher than the percentage who switched from nonmenthol to menthol. An asymmetry was seen in patterns of switching such that reverting back to menthol was more common than reverting back to nonmenthol,​ particularly among Black smokers. Copyright Published by Oxford University Press on behalf of the Society for Research on Nicotine and Tobacco 2014. This work is written by (a) US Government employee(s) and is in the public domain in the US.</w:t>
            </w:r>
          </w:p>
        </w:tc>
      </w:tr>
      <w:tr w:rsidR="007F0AE0" w:rsidRPr="005762E6" w14:paraId="7C85E76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30ABFF" w14:textId="77777777" w:rsidR="007F0AE0" w:rsidRPr="005762E6" w:rsidRDefault="007F0AE0" w:rsidP="00453DE3">
            <w:pPr>
              <w:spacing w:after="120" w:line="240" w:lineRule="auto"/>
              <w:contextualSpacing/>
              <w:rPr>
                <w:sz w:val="20"/>
                <w:szCs w:val="20"/>
              </w:rPr>
            </w:pPr>
            <w:r w:rsidRPr="005762E6">
              <w:rPr>
                <w:sz w:val="20"/>
                <w:szCs w:val="20"/>
              </w:rPr>
              <w:t>504</w:t>
            </w:r>
          </w:p>
        </w:tc>
        <w:tc>
          <w:tcPr>
            <w:tcW w:w="0" w:type="auto"/>
            <w:tcBorders>
              <w:top w:val="single" w:sz="6" w:space="0" w:color="auto"/>
              <w:left w:val="single" w:sz="6" w:space="0" w:color="auto"/>
              <w:bottom w:val="single" w:sz="6" w:space="0" w:color="auto"/>
              <w:right w:val="single" w:sz="6" w:space="0" w:color="auto"/>
            </w:tcBorders>
          </w:tcPr>
          <w:p w14:paraId="3543055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731CCAD" w14:textId="77777777" w:rsidR="007F0AE0" w:rsidRPr="005762E6" w:rsidRDefault="007F0AE0" w:rsidP="00453DE3">
            <w:pPr>
              <w:spacing w:after="120" w:line="240" w:lineRule="auto"/>
              <w:contextualSpacing/>
              <w:rPr>
                <w:sz w:val="20"/>
                <w:szCs w:val="20"/>
              </w:rPr>
            </w:pPr>
            <w:r w:rsidRPr="005762E6">
              <w:rPr>
                <w:sz w:val="20"/>
                <w:szCs w:val="20"/>
              </w:rPr>
              <w:t>Geoffrey M Curtin,​ Sandra I Sulsky,​ Cynthia Van Landingham,​ Kristin M Marano,​ Monica J Graves,​ Michael W Ogden,​ James E Swauger Primary measures of dependence among menthol compared to non-menthol cigarette smokers in the United States.. Regulatory toxicology and pharmacology : RTP; 2014;69:451.</w:t>
            </w:r>
            <w:r w:rsidRPr="005762E6">
              <w:rPr>
                <w:sz w:val="20"/>
                <w:szCs w:val="20"/>
              </w:rPr>
              <w:br/>
            </w:r>
            <w:r w:rsidRPr="005762E6">
              <w:rPr>
                <w:sz w:val="20"/>
                <w:szCs w:val="20"/>
              </w:rPr>
              <w:br/>
            </w:r>
            <w:r w:rsidRPr="005762E6">
              <w:rPr>
                <w:b/>
                <w:bCs/>
                <w:sz w:val="20"/>
                <w:szCs w:val="20"/>
              </w:rPr>
              <w:t>Keywords:</w:t>
            </w:r>
            <w:r w:rsidRPr="005762E6">
              <w:rPr>
                <w:sz w:val="20"/>
                <w:szCs w:val="20"/>
              </w:rPr>
              <w:br/>
              <w:t>Adult,​Female,​Humans,​Male,​*Menthol/ae [Adverse Effects],​Nutrition Surveys,​Smoking/ae [Adverse Effects],​*Smoking/ep [Epidemiology],​Tobacco/ae [Adverse Effects],​*Tobacco Products/ae [Adverse Effects],​*Tobacco Use Disorder/ep [Epidemiology],​United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Previously published studies provide somewhat inconsistent evidence on whether menthol in cigarettes is associated with increased dependence. The National Health and Nutrition Examination Survey,​ National Survey on Drug Use and Health,​ National Health Interview Survey,​ and Tobacco Use Supplement to the Current Population Survey collect data on current cigarette type preference and primary measures of dependence,​ and thus allow examination of whether menthol smokers are more dependent than non-menthol </w:t>
            </w:r>
            <w:r w:rsidRPr="005762E6">
              <w:rPr>
                <w:sz w:val="20"/>
                <w:szCs w:val="20"/>
              </w:rPr>
              <w:lastRenderedPageBreak/>
              <w:t>smokers. Analyses based on combined data from multiple administrations of each of these four nationally representative surveys,​ using three definitions for current smokers (i.e.,​ smoked 1day,​ 10days and daily during the past month),​ consistently demonstrate that menthol smokers do not report smoking more cigarettes per day than non-menthol smokers. Moreover,​ two of the three surveys that provide data on time to first cigarette after waking indicate no difference in urgency to smoke among menthol compared to non-menthol smokers,​ while the third suggests menthol smokers may experience a greater urgency to smoke; estimates from all three surveys indicate that menthol versus non-menthol smokers do not report a higher Heaviness of Smoking Index. Collectively,​ these findings indicate no difference in dependence among U.S. smokers who use menthol compared to non-menthol cigarettes. Copyright © 2014 The Authors. Published by Elsevier Inc. All rights reserved.</w:t>
            </w:r>
          </w:p>
        </w:tc>
      </w:tr>
      <w:tr w:rsidR="007F0AE0" w:rsidRPr="005762E6" w14:paraId="65B29A8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0B6376" w14:textId="77777777" w:rsidR="007F0AE0" w:rsidRPr="005762E6" w:rsidRDefault="007F0AE0" w:rsidP="00453DE3">
            <w:pPr>
              <w:spacing w:after="120" w:line="240" w:lineRule="auto"/>
              <w:contextualSpacing/>
              <w:rPr>
                <w:sz w:val="20"/>
                <w:szCs w:val="20"/>
              </w:rPr>
            </w:pPr>
            <w:r w:rsidRPr="005762E6">
              <w:rPr>
                <w:sz w:val="20"/>
                <w:szCs w:val="20"/>
              </w:rPr>
              <w:lastRenderedPageBreak/>
              <w:t>505</w:t>
            </w:r>
          </w:p>
        </w:tc>
        <w:tc>
          <w:tcPr>
            <w:tcW w:w="0" w:type="auto"/>
            <w:tcBorders>
              <w:top w:val="single" w:sz="6" w:space="0" w:color="auto"/>
              <w:left w:val="single" w:sz="6" w:space="0" w:color="auto"/>
              <w:bottom w:val="single" w:sz="6" w:space="0" w:color="auto"/>
              <w:right w:val="single" w:sz="6" w:space="0" w:color="auto"/>
            </w:tcBorders>
          </w:tcPr>
          <w:p w14:paraId="27F3884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4BEC5AF" w14:textId="77777777" w:rsidR="007F0AE0" w:rsidRPr="005762E6" w:rsidRDefault="007F0AE0" w:rsidP="00453DE3">
            <w:pPr>
              <w:spacing w:after="120" w:line="240" w:lineRule="auto"/>
              <w:contextualSpacing/>
              <w:rPr>
                <w:sz w:val="20"/>
                <w:szCs w:val="20"/>
              </w:rPr>
            </w:pPr>
            <w:r w:rsidRPr="005762E6">
              <w:rPr>
                <w:sz w:val="20"/>
                <w:szCs w:val="20"/>
              </w:rPr>
              <w:t>Andrew Cheyne,​ Lori Dorfman,​ Richard A Daynard,​ Pamela Mejia,​ Mark Gottlieb The debate on regulating menthol cigarettes: closing a dangerous loophole vs freedom of choice.. American journal of public health; 2014;104:e54.</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Americans,​*Choice Behavior,​Humans,​*Menthol,​Newspapers as Topic,​Policy,​Public Health,​Racism,​*Smoking/eh [Ethnology],​*Tobacco Industry/lj [Legislation &amp; Jurisprudence]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Family Smoking Prevention and Tobacco Control Act exempted menthol from a flavoring additive ban,​ tasking the Tobacco Products Safety Advisory Committee to advise on the scientific evidence on menthol. To inform future tobacco control efforts,​ we examined the public debate from 2008 to 2011 over the exemption. Health advocates regularly warned of menthol's public health damages,​ but inconsistently invoked the health disparities borne by African American smokers. Tobacco industry spokespeople insisted that making menthol available put them on the side of African Americans' struggle for justice and enlisted civil rights groups to help them make that case. In future debates,​ public health must prioritize and invest in the leadership of communities most affected by health harms to ensure a strong,​ unrelenting voice in support of health equity.</w:t>
            </w:r>
          </w:p>
        </w:tc>
      </w:tr>
      <w:tr w:rsidR="007F0AE0" w:rsidRPr="005762E6" w14:paraId="4EA422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FDED941" w14:textId="77777777" w:rsidR="007F0AE0" w:rsidRPr="005762E6" w:rsidRDefault="007F0AE0" w:rsidP="00453DE3">
            <w:pPr>
              <w:spacing w:after="120" w:line="240" w:lineRule="auto"/>
              <w:contextualSpacing/>
              <w:rPr>
                <w:sz w:val="20"/>
                <w:szCs w:val="20"/>
              </w:rPr>
            </w:pPr>
            <w:r w:rsidRPr="005762E6">
              <w:rPr>
                <w:sz w:val="20"/>
                <w:szCs w:val="20"/>
              </w:rPr>
              <w:t>506</w:t>
            </w:r>
          </w:p>
        </w:tc>
        <w:tc>
          <w:tcPr>
            <w:tcW w:w="0" w:type="auto"/>
            <w:tcBorders>
              <w:top w:val="single" w:sz="6" w:space="0" w:color="auto"/>
              <w:left w:val="single" w:sz="6" w:space="0" w:color="auto"/>
              <w:bottom w:val="single" w:sz="6" w:space="0" w:color="auto"/>
              <w:right w:val="single" w:sz="6" w:space="0" w:color="auto"/>
            </w:tcBorders>
          </w:tcPr>
          <w:p w14:paraId="73414C8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B21E6E8" w14:textId="77777777" w:rsidR="007F0AE0" w:rsidRPr="005762E6" w:rsidRDefault="007F0AE0" w:rsidP="00453DE3">
            <w:pPr>
              <w:spacing w:after="120" w:line="240" w:lineRule="auto"/>
              <w:contextualSpacing/>
              <w:rPr>
                <w:sz w:val="20"/>
                <w:szCs w:val="20"/>
              </w:rPr>
            </w:pPr>
            <w:r w:rsidRPr="005762E6">
              <w:rPr>
                <w:sz w:val="20"/>
                <w:szCs w:val="20"/>
              </w:rPr>
              <w:t>Michael Lewis,​ Yanwen Wang,​ Carla J Berg Tobacco control environment in the United States and individual consumer characteristics in relation to continued smoking: differential responses among menthol smokers?.. Preventive medicine; 2014;65:47.</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Americans/sn [Statistics &amp; Numerical Data],​Consumer Behavior/sn [Statistics &amp; Numerical Data],​Female,​Humans,​Male,​*Menthol/ae [Adverse Effects],​Middle Aged,​Sex Distribution,​Smoking/eh [Ethnology],​*Smoking/lj [Legislation &amp; Jurisprudence],​Smoking Cessation/eh [Ethnology],​*Smoking Cessation/lj [Legislation &amp; Jurisprudence],​Smoking Cessation/sn [Statistics &amp; Numerical Data],​Smoking Prevention,​Tobacco Products/ae [Adverse Effects],​Tobacco Products/an [Analysis],​*Tobacco Products/cl [Classification],​Tobacco Smoke Pollution/lj [Legislation &amp; Jurisprudence],​*Tobacco Smoke Pollution/pc [Prevention &amp; Control],​United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We used a consumer panel augmented with state-specific measures of tobacco control activities to examine the main effects and interactions among consumer behaviors,​ particularly menthol cigarette smoking,​ and tobacco control environment on cessation over a six-year period.,​ METHODS: We used the Nielson Homescan Panel,​ which tracks consumer purchasing behaviors,​ and tobacco control information matched to panelist zip code. We focused on 1582 households purchasing &gt;=20 packs from 2004 to 2009. Our analysis included demographics; purchasing behavior including menthol versus nonmenthol use (&gt;=80% of cigarettes purchased being menthol),​ quality preferences (average price/pack),​ purchase recency,​ and nicotine intake (nicotine levels of cigarettes purchased); and tobacco control metrics (taxation,​ anti-tobacco advertising,​ smoke-free policies).,​ RESULTS: Menthol smoking (Hazard Ratio [HR]=0.79,​ 95% Confidence Interval [CI] 0.64,​ 0.99),​ being African American (HR=0.67,​ CI 0.46,​ 0.98),​ being male (HR=0.46,​ CI 0.28,​ 0.74),​ higher quality premium preferences (HR=0.80,​ CI 0.77,​ 0.91),​ lower recency (HR=1.04,​ CI 1.02,​ 1.05),​ and higher nicotine intake rates (HR=0.99,​ CI 0.99,​ 0.99) were related to continued smoking. No significant interactions were found.,​ CONCLUSION: While there were no interactions between menthol use and effects of tobacco control activities,​ we did find additional support for the decreased cessation rates among menthol cigarette smokers,​ particularly in the African American population. Copyright © 2013 Elsevier Inc. All rights reserved.</w:t>
            </w:r>
          </w:p>
        </w:tc>
      </w:tr>
      <w:tr w:rsidR="007F0AE0" w:rsidRPr="005762E6" w14:paraId="0D111DC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9CD837E" w14:textId="77777777" w:rsidR="007F0AE0" w:rsidRPr="005762E6" w:rsidRDefault="007F0AE0" w:rsidP="00453DE3">
            <w:pPr>
              <w:spacing w:after="120" w:line="240" w:lineRule="auto"/>
              <w:contextualSpacing/>
              <w:rPr>
                <w:sz w:val="20"/>
                <w:szCs w:val="20"/>
              </w:rPr>
            </w:pPr>
            <w:r w:rsidRPr="005762E6">
              <w:rPr>
                <w:sz w:val="20"/>
                <w:szCs w:val="20"/>
              </w:rPr>
              <w:lastRenderedPageBreak/>
              <w:t>507</w:t>
            </w:r>
          </w:p>
        </w:tc>
        <w:tc>
          <w:tcPr>
            <w:tcW w:w="0" w:type="auto"/>
            <w:tcBorders>
              <w:top w:val="single" w:sz="6" w:space="0" w:color="auto"/>
              <w:left w:val="single" w:sz="6" w:space="0" w:color="auto"/>
              <w:bottom w:val="single" w:sz="6" w:space="0" w:color="auto"/>
              <w:right w:val="single" w:sz="6" w:space="0" w:color="auto"/>
            </w:tcBorders>
          </w:tcPr>
          <w:p w14:paraId="2C3A223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D3F3640" w14:textId="77777777" w:rsidR="007F0AE0" w:rsidRPr="005762E6" w:rsidRDefault="007F0AE0" w:rsidP="00453DE3">
            <w:pPr>
              <w:spacing w:after="120" w:line="240" w:lineRule="auto"/>
              <w:contextualSpacing/>
              <w:rPr>
                <w:sz w:val="20"/>
                <w:szCs w:val="20"/>
              </w:rPr>
            </w:pPr>
            <w:r w:rsidRPr="005762E6">
              <w:rPr>
                <w:sz w:val="20"/>
                <w:szCs w:val="20"/>
              </w:rPr>
              <w:t>Kimberly Frost-Pineda,​ Raheema Muhammad-Kah,​ Lonnie Rimmer,​ Qiwei Liang Predictors,​ indicators,​ and validated measures of dependence in menthol smokers.. Journal of addictive diseases; 2014;33:94.</w:t>
            </w:r>
            <w:r w:rsidRPr="005762E6">
              <w:rPr>
                <w:sz w:val="20"/>
                <w:szCs w:val="20"/>
              </w:rPr>
              <w:br/>
            </w:r>
            <w:r w:rsidRPr="005762E6">
              <w:rPr>
                <w:sz w:val="20"/>
                <w:szCs w:val="20"/>
              </w:rPr>
              <w:br/>
            </w:r>
            <w:r w:rsidRPr="005762E6">
              <w:rPr>
                <w:b/>
                <w:bCs/>
                <w:sz w:val="20"/>
                <w:szCs w:val="20"/>
              </w:rPr>
              <w:t>Keywords:</w:t>
            </w:r>
            <w:r w:rsidRPr="005762E6">
              <w:rPr>
                <w:sz w:val="20"/>
                <w:szCs w:val="20"/>
              </w:rPr>
              <w:br/>
              <w:t>Adult,​Aged,​Aged,​ 80 and over,​Behavior,​ Addictive/ep [Epidemiology],​Behavior,​ Addictive/px [Psychology],​*Behavior,​ Addictive,​Cross-Sectional Studies,​Female,​Humans,​Male,​*Menthol/ae [Adverse Effects],​Middle Aged,​Risk Factors,​Smoking/ep [Epidemiology],​Smoking/px [Psychology],​*Smoking,​Surveys and Questionnaires,​Tobacco Use Disorder/ep [Epidemiology],​Tobacco Use Disorder/px [Psychology],​*Tobacco Use Disorder,​Young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article presents a comprehensive review of the menthol cigarette dependence-related literature and results from an original analysis of the Total Exposure Study (TES),​ which included 1,​100 menthol and 2,​400 nonmenthol adult smokers. The substantial scientific evidence available related to age of first cigarette,​ age of regular use,​ single-item dependence indicators (smoking frequency,​ cigarettes per day,​ time to first cigarette,​ night waking to smoke),​ smoking duration,​ numerous validated and widely accepted measures of nicotine/cigarette dependence,​ and our analysis of the TES do not support that menthol smokers are more dependent than nonmenthol smokers or that menthol increases dependence.</w:t>
            </w:r>
          </w:p>
        </w:tc>
      </w:tr>
      <w:tr w:rsidR="007F0AE0" w:rsidRPr="005762E6" w14:paraId="51D8C5C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4B01DAD" w14:textId="77777777" w:rsidR="007F0AE0" w:rsidRPr="005762E6" w:rsidRDefault="007F0AE0" w:rsidP="00453DE3">
            <w:pPr>
              <w:spacing w:after="120" w:line="240" w:lineRule="auto"/>
              <w:contextualSpacing/>
              <w:rPr>
                <w:sz w:val="20"/>
                <w:szCs w:val="20"/>
              </w:rPr>
            </w:pPr>
            <w:r w:rsidRPr="005762E6">
              <w:rPr>
                <w:sz w:val="20"/>
                <w:szCs w:val="20"/>
              </w:rPr>
              <w:t>509</w:t>
            </w:r>
          </w:p>
        </w:tc>
        <w:tc>
          <w:tcPr>
            <w:tcW w:w="0" w:type="auto"/>
            <w:tcBorders>
              <w:top w:val="single" w:sz="6" w:space="0" w:color="auto"/>
              <w:left w:val="single" w:sz="6" w:space="0" w:color="auto"/>
              <w:bottom w:val="single" w:sz="6" w:space="0" w:color="auto"/>
              <w:right w:val="single" w:sz="6" w:space="0" w:color="auto"/>
            </w:tcBorders>
          </w:tcPr>
          <w:p w14:paraId="536F738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AEE6CA" w14:textId="77777777" w:rsidR="007F0AE0" w:rsidRPr="005762E6" w:rsidRDefault="007F0AE0" w:rsidP="00453DE3">
            <w:pPr>
              <w:spacing w:after="120" w:line="240" w:lineRule="auto"/>
              <w:contextualSpacing/>
              <w:rPr>
                <w:sz w:val="20"/>
                <w:szCs w:val="20"/>
              </w:rPr>
            </w:pPr>
            <w:r w:rsidRPr="005762E6">
              <w:rPr>
                <w:sz w:val="20"/>
                <w:szCs w:val="20"/>
              </w:rPr>
              <w:t>Brian Rostron Menthol cigarette use and stroke risk among US smokers: a critical reappraisal.. JAMA internal medicine; 2014;174:808.</w:t>
            </w:r>
            <w:r w:rsidRPr="005762E6">
              <w:rPr>
                <w:sz w:val="20"/>
                <w:szCs w:val="20"/>
              </w:rPr>
              <w:br/>
            </w:r>
            <w:r w:rsidRPr="005762E6">
              <w:rPr>
                <w:sz w:val="20"/>
                <w:szCs w:val="20"/>
              </w:rPr>
              <w:br/>
            </w:r>
            <w:r w:rsidRPr="005762E6">
              <w:rPr>
                <w:b/>
                <w:bCs/>
                <w:sz w:val="20"/>
                <w:szCs w:val="20"/>
              </w:rPr>
              <w:t>Keywords:</w:t>
            </w:r>
            <w:r w:rsidRPr="005762E6">
              <w:rPr>
                <w:sz w:val="20"/>
                <w:szCs w:val="20"/>
              </w:rPr>
              <w:br/>
              <w:t>Humans,​Incidence,​Logistic Models,​*Menthol/ae [Adverse Effects],​Nutrition Surveys,​Odds Ratio,​Risk,​*Smoking/ae [Adverse Effects],​Smoking/ep [Epidemiology],​*Stroke/ci [Chemically Induced],​Stroke/ep [Epidemiology],​*Tobacco Products/ae [Adverse Effects],​United States/ep [Epidemiology]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CEBEA7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290B0A" w14:textId="77777777" w:rsidR="007F0AE0" w:rsidRPr="005762E6" w:rsidRDefault="007F0AE0" w:rsidP="00453DE3">
            <w:pPr>
              <w:spacing w:after="120" w:line="240" w:lineRule="auto"/>
              <w:contextualSpacing/>
              <w:rPr>
                <w:sz w:val="20"/>
                <w:szCs w:val="20"/>
              </w:rPr>
            </w:pPr>
            <w:r w:rsidRPr="005762E6">
              <w:rPr>
                <w:sz w:val="20"/>
                <w:szCs w:val="20"/>
              </w:rPr>
              <w:t>510</w:t>
            </w:r>
          </w:p>
        </w:tc>
        <w:tc>
          <w:tcPr>
            <w:tcW w:w="0" w:type="auto"/>
            <w:tcBorders>
              <w:top w:val="single" w:sz="6" w:space="0" w:color="auto"/>
              <w:left w:val="single" w:sz="6" w:space="0" w:color="auto"/>
              <w:bottom w:val="single" w:sz="6" w:space="0" w:color="auto"/>
              <w:right w:val="single" w:sz="6" w:space="0" w:color="auto"/>
            </w:tcBorders>
          </w:tcPr>
          <w:p w14:paraId="35992FA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0C5521C" w14:textId="77777777" w:rsidR="007F0AE0" w:rsidRPr="005762E6" w:rsidRDefault="007F0AE0" w:rsidP="00453DE3">
            <w:pPr>
              <w:spacing w:after="120" w:line="240" w:lineRule="auto"/>
              <w:contextualSpacing/>
              <w:rPr>
                <w:sz w:val="20"/>
                <w:szCs w:val="20"/>
              </w:rPr>
            </w:pPr>
            <w:r w:rsidRPr="005762E6">
              <w:rPr>
                <w:sz w:val="20"/>
                <w:szCs w:val="20"/>
              </w:rPr>
              <w:t>Maria Jose Miguez-Burbano,​ Mayra Vargas,​ Clery Quiros,​ John E Lewis,​ Luis Espinoza,​ Asthana Deshratan Menthol cigarettes and the cardiovascular risks of people living with HIV.. The Journal of the Association of Nurses in AIDS Care : JANAC; 2014;25:427.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Adolescent,​Adult,​Anti-HIV Agents/tu [Therapeutic Use],​Antiretroviral Therapy,​ Highly Active,​*Cardiovascular Diseases/ep [Epidemiology],​Cardiovascular Diseases/et [Etiology],​Case-Control Studies,​Female,​Florida/ep [Epidemiology],​*HIV Infections/co [Complications],​HIV Infections/dt [Drug Therapy],​HIV Infections/ep [Epidemiology],​Humans,​Longitudinal Studies,​Male,​*Menthol,​Multivariate Analysis,​Prevalence,​Risk Factors,​*Smoking/ae [Adverse Effects],​Smoking/ep [Epidemiology],​Socioeconomic Factors,​Surveys and Questionnaires,​*Tobacco Use Disorder/co [Complications],​Tobacco Use Disorder/ep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possibility that menthol cigarettes add to the deleterious cardiovascular effects of smoking has been barely discussed. Although cardiovascular diseases (CVD) are at the forefront of medical concerns of people living with HIV (PLWH),​ an important,​ yet unknown,​ issue for clinicians and public health authorities is whether use of menthol-flavored cigarettes heightens CVD risk factors. Our study aims to assess traditional (10-year risk using the Framingham Risk Model) and nontraditional CVD risk factors and to contrast the effects of menthol-flavored versus non-menthol-flavored cigarettes on these risk factors. Compared to controls,​ menthol smokers were twice as likely to have hypertension. Users of menthol-flavored cigarettes had higher body mass index values,​ and increased risk of abdominal obesity. Multivariate analyses indicated that menthol smokers doubled the odds of having moderate to high CVD risk. This finding is highly significant given the widespread use of menthol-flavored cigarettes,​ particularly among women,​ minorities,​ and PLWH. Copyright © 2014 Association of Nurses in AIDS Care. All rights reserved.</w:t>
            </w:r>
          </w:p>
        </w:tc>
      </w:tr>
      <w:tr w:rsidR="007F0AE0" w:rsidRPr="005762E6" w14:paraId="5B5EE7E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8EBF75" w14:textId="77777777" w:rsidR="007F0AE0" w:rsidRPr="005762E6" w:rsidRDefault="007F0AE0" w:rsidP="00453DE3">
            <w:pPr>
              <w:spacing w:after="120" w:line="240" w:lineRule="auto"/>
              <w:contextualSpacing/>
              <w:rPr>
                <w:sz w:val="20"/>
                <w:szCs w:val="20"/>
              </w:rPr>
            </w:pPr>
            <w:r w:rsidRPr="005762E6">
              <w:rPr>
                <w:sz w:val="20"/>
                <w:szCs w:val="20"/>
              </w:rPr>
              <w:t>511</w:t>
            </w:r>
          </w:p>
        </w:tc>
        <w:tc>
          <w:tcPr>
            <w:tcW w:w="0" w:type="auto"/>
            <w:tcBorders>
              <w:top w:val="single" w:sz="6" w:space="0" w:color="auto"/>
              <w:left w:val="single" w:sz="6" w:space="0" w:color="auto"/>
              <w:bottom w:val="single" w:sz="6" w:space="0" w:color="auto"/>
              <w:right w:val="single" w:sz="6" w:space="0" w:color="auto"/>
            </w:tcBorders>
          </w:tcPr>
          <w:p w14:paraId="1C53B86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2D54903" w14:textId="77777777" w:rsidR="007F0AE0" w:rsidRPr="005762E6" w:rsidRDefault="007F0AE0" w:rsidP="00453DE3">
            <w:pPr>
              <w:spacing w:after="120" w:line="240" w:lineRule="auto"/>
              <w:contextualSpacing/>
              <w:rPr>
                <w:sz w:val="20"/>
                <w:szCs w:val="20"/>
              </w:rPr>
            </w:pPr>
            <w:r w:rsidRPr="005762E6">
              <w:rPr>
                <w:sz w:val="20"/>
                <w:szCs w:val="20"/>
              </w:rPr>
              <w:t>Olivia A Wackowski,​ Michelle T Bover Manderski,​ Cristine D Delnevo Young adults' behavioral intentions surrounding a potential menthol cigarette ban.. Nicotine &amp; tobacco research : official journal of the Society for Research on Nicotine and Tobacco; 2014;16:876.</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Adolescent,​Adult,​African Americans/sn [Statistics &amp; Numerical Data],​Ethnic Groups/sn [Statistics &amp; Numerical </w:t>
            </w:r>
            <w:r w:rsidRPr="005762E6">
              <w:rPr>
                <w:sz w:val="20"/>
                <w:szCs w:val="20"/>
              </w:rPr>
              <w:lastRenderedPageBreak/>
              <w:t>Data],​Female,​Humans,​*Intention,​Male,​*Menthol,​Smoking/eh [Ethnology],​*Smoking/px [Psychology],​*Smoking Cessation/px [Psychology],​Tobacco Products,​Young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cigarette smoking is more prevalent among young adults,​ who are a known target of tobacco industry marketing. This study explores young adults' menthol use and behavioral intentions in the event of a ban on menthol cigarettes.,​ METHODS: Data from 2,​871 respondents of the 2011 National Young Adult Health Survey were examined to estimate young adults' current smoking,​ current menthol smoking,​ and behavioral intentions in the event of a menthol cigarette ban.,​ RESULTS: Of all respondents,​ 23.8% were current smokers,​ and 40.3% of the current smokers were menthol smokers. Menthol use was significantly higher among 18- to 24-year-olds versus 25- to 34-year-olds (51% vs. 34.3%,​ p = .02) and was significantly associated with race/ethnicity (p &lt; .0001),​ with prevalence highest among Black smokers (82.0%). Among menthol smokers,​ 65.7% indicated they would quit tobacco use altogether if menthol cigarettes were no longer sold,​ while 18.4% said they would switch to nonmenthol cigarettes,​ and 16.0% said they would switch to some other tobacco product (OTP). Behavioral intention was significantly associated with race/ethnicity (p = .02),​ where intention to quit tobacco was most prevalent among Black menthol smokers (79.3%),​ and concurrent use of OTPs (p = .03),​ where intention to switch to an OTP was more prevalent among menthol smokers who indicated concurrent OTP use (35.3% vs. 5.5%).,​ CONCLUSIONS: A majority of young adult menthol smokers stated they would quit smoking if menthol cigarettes were no longer sold,​ which builds on research finding public support for such a policy and on work modeling the public health impact such a ban could have.</w:t>
            </w:r>
          </w:p>
        </w:tc>
      </w:tr>
      <w:tr w:rsidR="007F0AE0" w:rsidRPr="005762E6" w14:paraId="7A0AF31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F2A33D" w14:textId="77777777" w:rsidR="007F0AE0" w:rsidRPr="005762E6" w:rsidRDefault="007F0AE0" w:rsidP="00453DE3">
            <w:pPr>
              <w:spacing w:after="120" w:line="240" w:lineRule="auto"/>
              <w:contextualSpacing/>
              <w:rPr>
                <w:sz w:val="20"/>
                <w:szCs w:val="20"/>
              </w:rPr>
            </w:pPr>
            <w:r w:rsidRPr="005762E6">
              <w:rPr>
                <w:sz w:val="20"/>
                <w:szCs w:val="20"/>
              </w:rPr>
              <w:lastRenderedPageBreak/>
              <w:t>512</w:t>
            </w:r>
          </w:p>
        </w:tc>
        <w:tc>
          <w:tcPr>
            <w:tcW w:w="0" w:type="auto"/>
            <w:tcBorders>
              <w:top w:val="single" w:sz="6" w:space="0" w:color="auto"/>
              <w:left w:val="single" w:sz="6" w:space="0" w:color="auto"/>
              <w:bottom w:val="single" w:sz="6" w:space="0" w:color="auto"/>
              <w:right w:val="single" w:sz="6" w:space="0" w:color="auto"/>
            </w:tcBorders>
          </w:tcPr>
          <w:p w14:paraId="116D48B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88B10A9" w14:textId="77777777" w:rsidR="007F0AE0" w:rsidRPr="005762E6" w:rsidRDefault="007F0AE0" w:rsidP="00453DE3">
            <w:pPr>
              <w:spacing w:after="120" w:line="240" w:lineRule="auto"/>
              <w:contextualSpacing/>
              <w:rPr>
                <w:sz w:val="20"/>
                <w:szCs w:val="20"/>
              </w:rPr>
            </w:pPr>
            <w:r w:rsidRPr="005762E6">
              <w:rPr>
                <w:sz w:val="20"/>
                <w:szCs w:val="20"/>
              </w:rPr>
              <w:t>Ken Resnicow,​ Yan Zhou,​ Taneisha S Scheuermann,​ Nicole L Nollen,​ Jasjit S Ahluwalia Unplanned quitting in a triethnic sample of U.S. smokers.. Nicotine &amp; tobacco research : official journal of the Society for Research on Nicotine and Tobacco; 2014;16:759.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Data],​Cross-Sectional Studies,​European Continental Ancestry Group/sn [Statistics &amp; Numerical Data],​Female,​Hispanic Americans/sn [Statistics &amp; Numerical Data],​Humans,​Intention,​Male,​Middle Aged,​*Smoking/eh [Ethnology],​*Smoking Cessation/eh [Ethnology],​*Smoking Cessation/sn [Statistics &amp; Numerical Data],​United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Smokers who report quitting without prior planning have been shown to report longer abstinence compared with those who planned. Little is known about unplanned quitting (UQ) among U.S. smokers,​ minorities,​ or nondaily and light smokers.,​ METHODS: Using an online panel,​ we recruited equal numbers of Black,​ White,​ and Latino nondaily,​ light daily,​ and moderate/heavy daily smokers. Of the 1,​127 who reported a past-year quit attempt,​ we queried whether it was planned and the maximum number of days abstinent.,​ RESULTS: Overall,​ 38% reported that their last quit attempt was unplanned. The impact of planned versus unplanned quitting interacted with smoking level and race. Among White moderate/heavy smokers,​ mean days abstinent was 99 for those who reported an unplanned quit attempt compared with 60 days for those who reported a planned attempt (p = .02). Among Black moderate/heavy smokers,​ the mean days abstinent was higher among those whose last attempt was planned,​ 92 days,​ compared with 56 days among those whose last attempt was unplanned (p = .09). The pattern among Latinos resembled Whites but was not significant. Results remained after adjusting for confounds such as age,​ gender,​ education,​ income,​ time to first cigarette,​ and menthol use. There were no significant differences in abstinence by quit type for light or nondaily smokers.,​ CONCLUSIONS: Future studies are needed to elucidate why UQ appears to have differential effectiveness across racial/ethnic groups and different levels of cigarette use. Research examining the impact of UQ on long-term quitting,​ which is not addressed here,​ is needed.</w:t>
            </w:r>
          </w:p>
        </w:tc>
      </w:tr>
      <w:tr w:rsidR="007F0AE0" w:rsidRPr="005762E6" w14:paraId="042507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1DA9EE" w14:textId="77777777" w:rsidR="007F0AE0" w:rsidRPr="005762E6" w:rsidRDefault="007F0AE0" w:rsidP="00453DE3">
            <w:pPr>
              <w:spacing w:after="120" w:line="240" w:lineRule="auto"/>
              <w:contextualSpacing/>
              <w:rPr>
                <w:sz w:val="20"/>
                <w:szCs w:val="20"/>
              </w:rPr>
            </w:pPr>
            <w:r w:rsidRPr="005762E6">
              <w:rPr>
                <w:sz w:val="20"/>
                <w:szCs w:val="20"/>
              </w:rPr>
              <w:t>514</w:t>
            </w:r>
          </w:p>
        </w:tc>
        <w:tc>
          <w:tcPr>
            <w:tcW w:w="0" w:type="auto"/>
            <w:tcBorders>
              <w:top w:val="single" w:sz="6" w:space="0" w:color="auto"/>
              <w:left w:val="single" w:sz="6" w:space="0" w:color="auto"/>
              <w:bottom w:val="single" w:sz="6" w:space="0" w:color="auto"/>
              <w:right w:val="single" w:sz="6" w:space="0" w:color="auto"/>
            </w:tcBorders>
          </w:tcPr>
          <w:p w14:paraId="3A0CD5D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973A246" w14:textId="77777777" w:rsidR="007F0AE0" w:rsidRPr="005762E6" w:rsidRDefault="007F0AE0" w:rsidP="00453DE3">
            <w:pPr>
              <w:spacing w:after="120" w:line="240" w:lineRule="auto"/>
              <w:contextualSpacing/>
              <w:rPr>
                <w:sz w:val="20"/>
                <w:szCs w:val="20"/>
              </w:rPr>
            </w:pPr>
            <w:r w:rsidRPr="005762E6">
              <w:rPr>
                <w:sz w:val="20"/>
                <w:szCs w:val="20"/>
              </w:rPr>
              <w:t>Monica Webb Hooper,​ Elizabeth A Baker,​ Marcia D McNutt Racial/Ethnic differences among smokers: revisited and expanded to help seekers.. Nicotine &amp; tobacco research : official journal of the Society for Research on Nicotine and Tobacco; 2014;16:621.</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Americans,​Demography,​European Continental Ancestry Group,​Female,​Hispanic Americans,​Humans,​Male,​Middle Aged,​Randomized Controlled Trials as Topic,​Risk Factors,​*Smoking/eh [Ethnology],​*Smoking Cessation/eh [Ethnology]</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INTRODUCTION: Most research on racial/ethnic differences among smokers is outdated and does not focus on help seekers. The purpose of this study was to revisit racial/ethnic differences in variables related to cessation in a sample of smokers enrolled in a randomized trial.,​ METHODS: Adult smokers (N = 417; n = 126 White; n = 123 Hispanic; n = 168 Black) completed measures of demographics,​ smoking history,​ alcohol use,​ depressive symptoms,​ and readiness to quit.,​ RESULTS: We found significant differences in these factors across groups. Blacks were more likely to be older,​ less educated,​ single,​ low income,​ smoke menthol cigarettes,​ and report greater nicotine dependence. Hispanics were younger,​ reported fewer years smoking and cigarettes per day,​ lower nicotine dependence,​ preferred mentholated cigarettes,​ and reported greater alcohol use intensity. After controlling for demographics and smoking history,​ Blacks reported greater depressive symptoms and lower readiness to quit compared with Whites and Hispanics.,​ CONCLUSIONS: Help-seeking Blacks may exhibit more risk factors for difficulty quitting compared with other groups. Hispanics may have some protective factors,​ such as lower dependence,​ but require attention to alcohol use and menthol smoking. Identifying preintervention racial/ethnic differences in characteristics related to cessation is important for developing evidence-based and culturally specific interventions and for reducing tobacco-related health disparities.</w:t>
            </w:r>
          </w:p>
        </w:tc>
      </w:tr>
      <w:tr w:rsidR="007F0AE0" w:rsidRPr="005762E6" w14:paraId="6492389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A77D63" w14:textId="77777777" w:rsidR="007F0AE0" w:rsidRPr="005762E6" w:rsidRDefault="007F0AE0" w:rsidP="00453DE3">
            <w:pPr>
              <w:spacing w:after="120" w:line="240" w:lineRule="auto"/>
              <w:contextualSpacing/>
              <w:rPr>
                <w:sz w:val="20"/>
                <w:szCs w:val="20"/>
              </w:rPr>
            </w:pPr>
            <w:r w:rsidRPr="005762E6">
              <w:rPr>
                <w:sz w:val="20"/>
                <w:szCs w:val="20"/>
              </w:rPr>
              <w:lastRenderedPageBreak/>
              <w:t>515</w:t>
            </w:r>
          </w:p>
        </w:tc>
        <w:tc>
          <w:tcPr>
            <w:tcW w:w="0" w:type="auto"/>
            <w:tcBorders>
              <w:top w:val="single" w:sz="6" w:space="0" w:color="auto"/>
              <w:left w:val="single" w:sz="6" w:space="0" w:color="auto"/>
              <w:bottom w:val="single" w:sz="6" w:space="0" w:color="auto"/>
              <w:right w:val="single" w:sz="6" w:space="0" w:color="auto"/>
            </w:tcBorders>
          </w:tcPr>
          <w:p w14:paraId="038205A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1E899E" w14:textId="77777777" w:rsidR="007F0AE0" w:rsidRPr="005762E6" w:rsidRDefault="007F0AE0" w:rsidP="00453DE3">
            <w:pPr>
              <w:spacing w:after="120" w:line="240" w:lineRule="auto"/>
              <w:contextualSpacing/>
              <w:rPr>
                <w:sz w:val="20"/>
                <w:szCs w:val="20"/>
              </w:rPr>
            </w:pPr>
            <w:r w:rsidRPr="005762E6">
              <w:rPr>
                <w:sz w:val="20"/>
                <w:szCs w:val="20"/>
              </w:rPr>
              <w:t>Ram B Jain Trends in serum cotinine concentrations among daily cigarette smokers: data from NHANES 1999-2010.. The Science of the total environment; 2014;472:72.</w:t>
            </w:r>
            <w:r w:rsidRPr="005762E6">
              <w:rPr>
                <w:sz w:val="20"/>
                <w:szCs w:val="20"/>
              </w:rPr>
              <w:br/>
            </w:r>
            <w:r w:rsidRPr="005762E6">
              <w:rPr>
                <w:sz w:val="20"/>
                <w:szCs w:val="20"/>
              </w:rPr>
              <w:br/>
            </w:r>
            <w:r w:rsidRPr="005762E6">
              <w:rPr>
                <w:b/>
                <w:bCs/>
                <w:sz w:val="20"/>
                <w:szCs w:val="20"/>
              </w:rPr>
              <w:t>Keywords:</w:t>
            </w:r>
            <w:r w:rsidRPr="005762E6">
              <w:rPr>
                <w:sz w:val="20"/>
                <w:szCs w:val="20"/>
              </w:rPr>
              <w:br/>
              <w:t>Adult,​*Cotinine/bl [Blood],​Female,​Humans,​Male,​*Nutrition Surveys,​*Smoking/bl [Blood],​Smoking/ep [Epidemiology],​Tobacco Smoke Pollution/sn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To the best of our knowledge,​ there have been no apparent studies of the trends in serum cotinine levels among smokers. Data from National Health and Nutrition Examination Survey for the period 1999-2010 were used to evaluate trends for serum cotinine levels; average number of cigarettes smoked per day; and Cambridge filter method (CFM) tar and CFM nicotine levels by gender,​ race/ethnicity,​ and cigarette mentholation status. Regression models were fitted to evaluate the factors associated with serum cotinine levels. Serum cotinine levels increased over time for both males and females,​ non-Hispanic whites and others. CFM nicotine levels also rose over time for cigarettes smoked by both males and females and by both non-Hispanic whites and non-Hispanic blacks. Average number of cigarettes smoked per day decreased over time for females,​ non-Hispanic whites and non-Hispanic blacks. CFM tar levels fell only for Mexican Americans. Exposure to second hand smoke at home was found to be associated with more than 1 ng/ml increase in serum cotinine levels. This large study on a nationally representative sample of daily smokers suggested that increasing concentrations of CFM nicotine in cigarettes over time led to elevated serum cotinine levels even though the number of cigarettes smoked daily remained relatively constant. Copyright © 2013 Elsevier B.V. All rights reserved.</w:t>
            </w:r>
          </w:p>
        </w:tc>
      </w:tr>
      <w:tr w:rsidR="007F0AE0" w:rsidRPr="005762E6" w14:paraId="2DF4ACD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9273B7" w14:textId="77777777" w:rsidR="007F0AE0" w:rsidRPr="005762E6" w:rsidRDefault="007F0AE0" w:rsidP="00453DE3">
            <w:pPr>
              <w:spacing w:after="120" w:line="240" w:lineRule="auto"/>
              <w:contextualSpacing/>
              <w:rPr>
                <w:sz w:val="20"/>
                <w:szCs w:val="20"/>
              </w:rPr>
            </w:pPr>
            <w:r w:rsidRPr="005762E6">
              <w:rPr>
                <w:sz w:val="20"/>
                <w:szCs w:val="20"/>
              </w:rPr>
              <w:t>516</w:t>
            </w:r>
          </w:p>
        </w:tc>
        <w:tc>
          <w:tcPr>
            <w:tcW w:w="0" w:type="auto"/>
            <w:tcBorders>
              <w:top w:val="single" w:sz="6" w:space="0" w:color="auto"/>
              <w:left w:val="single" w:sz="6" w:space="0" w:color="auto"/>
              <w:bottom w:val="single" w:sz="6" w:space="0" w:color="auto"/>
              <w:right w:val="single" w:sz="6" w:space="0" w:color="auto"/>
            </w:tcBorders>
          </w:tcPr>
          <w:p w14:paraId="056E126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AC54BAA" w14:textId="77777777" w:rsidR="007F0AE0" w:rsidRPr="005762E6" w:rsidRDefault="007F0AE0" w:rsidP="00453DE3">
            <w:pPr>
              <w:spacing w:after="120" w:line="240" w:lineRule="auto"/>
              <w:contextualSpacing/>
              <w:rPr>
                <w:sz w:val="20"/>
                <w:szCs w:val="20"/>
              </w:rPr>
            </w:pPr>
            <w:r w:rsidRPr="005762E6">
              <w:rPr>
                <w:sz w:val="20"/>
                <w:szCs w:val="20"/>
              </w:rPr>
              <w:t>Alana M Rojewski,​ Benjamin A Toll,​ Stephanie S O'Malley Menthol cigarette use predicts treatment outcomes of weight-concerned smokers.. Nicotine &amp; tobacco research : official journal of the Society for Research on Nicotine and Tobacco; 2014;16:115.</w:t>
            </w:r>
            <w:r w:rsidRPr="005762E6">
              <w:rPr>
                <w:sz w:val="20"/>
                <w:szCs w:val="20"/>
              </w:rPr>
              <w:br/>
            </w:r>
            <w:r w:rsidRPr="005762E6">
              <w:rPr>
                <w:sz w:val="20"/>
                <w:szCs w:val="20"/>
              </w:rPr>
              <w:br/>
            </w:r>
            <w:r w:rsidRPr="005762E6">
              <w:rPr>
                <w:b/>
                <w:bCs/>
                <w:sz w:val="20"/>
                <w:szCs w:val="20"/>
              </w:rPr>
              <w:t>Keywords:</w:t>
            </w:r>
            <w:r w:rsidRPr="005762E6">
              <w:rPr>
                <w:sz w:val="20"/>
                <w:szCs w:val="20"/>
              </w:rPr>
              <w:br/>
              <w:t>Adult,​Body Weight,​Female,​Humans,​Male,​*Menthol/tu [Therapeutic Use],​Middle Aged,​*Smoking Cessation/mt [Methods],​Smoking Cessation/px [Psychology],​Treatment Outcome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Studies have shown that individuals who smoke menthol cigarettes are less likely to quit smoking and more likely to relapse during a quit attempt. The current study investigated menthol cigarette use as a potential predictor of smoking cessation outcomes in a sample of treatment-seeking smokers.,​ METHODS: This is a secondary analysis of data from a randomized controlled trial of low-dose naltrexone augmentation of nicotine replacement designed to examine smoking cessation and postcessation weight gain in weight-concerned smokers.,​ RESULTS: Analyses revealed that menthol use predicted lower quit rates. Among menthol smokers (N = 61),​ 13% were abstinent at week 26,​ and among nonmenthol smokers (N = 105),​ 30% were abstinent (Wald = 4.15,​ p = .04; odds ratio [OR] = 2.47; 95% CI = 1.04-5.90). Further,​ menthol smokers who quit smoking gained significantly more weight at week 26 (M = 14.87 lbs,​ SD = 9.08; t(37) = -2.22,​ p = .03) than nonmenthol smokers who quit (M = 7.95 lbs,​ SD = 7.53).,​ CONCLUSIONS: Menthol cigarette use has not typically been evaluated as a predictor of smoking cessation outcomes,​ but emerging evidence suggests that consumption of menthol may make cessation more difficult. This study adds to the literature supporting the claim that </w:t>
            </w:r>
            <w:r w:rsidRPr="005762E6">
              <w:rPr>
                <w:sz w:val="20"/>
                <w:szCs w:val="20"/>
              </w:rPr>
              <w:lastRenderedPageBreak/>
              <w:t>smoking menthol cigarettes can have adverse effects on smoking cessation efforts and on other cessation-related outcomes,​ such as postcessation weight gain.</w:t>
            </w:r>
          </w:p>
        </w:tc>
      </w:tr>
      <w:tr w:rsidR="007F0AE0" w:rsidRPr="005762E6" w14:paraId="16CE4FF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96DC11" w14:textId="77777777" w:rsidR="007F0AE0" w:rsidRPr="005762E6" w:rsidRDefault="007F0AE0" w:rsidP="00453DE3">
            <w:pPr>
              <w:spacing w:after="120" w:line="240" w:lineRule="auto"/>
              <w:contextualSpacing/>
              <w:rPr>
                <w:sz w:val="20"/>
                <w:szCs w:val="20"/>
              </w:rPr>
            </w:pPr>
            <w:r w:rsidRPr="005762E6">
              <w:rPr>
                <w:sz w:val="20"/>
                <w:szCs w:val="20"/>
              </w:rPr>
              <w:lastRenderedPageBreak/>
              <w:t>517</w:t>
            </w:r>
          </w:p>
        </w:tc>
        <w:tc>
          <w:tcPr>
            <w:tcW w:w="0" w:type="auto"/>
            <w:tcBorders>
              <w:top w:val="single" w:sz="6" w:space="0" w:color="auto"/>
              <w:left w:val="single" w:sz="6" w:space="0" w:color="auto"/>
              <w:bottom w:val="single" w:sz="6" w:space="0" w:color="auto"/>
              <w:right w:val="single" w:sz="6" w:space="0" w:color="auto"/>
            </w:tcBorders>
          </w:tcPr>
          <w:p w14:paraId="1C85419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F32B173" w14:textId="77777777" w:rsidR="007F0AE0" w:rsidRPr="005762E6" w:rsidRDefault="007F0AE0" w:rsidP="00453DE3">
            <w:pPr>
              <w:spacing w:after="120" w:line="240" w:lineRule="auto"/>
              <w:contextualSpacing/>
              <w:rPr>
                <w:sz w:val="20"/>
                <w:szCs w:val="20"/>
              </w:rPr>
            </w:pPr>
            <w:r w:rsidRPr="005762E6">
              <w:rPr>
                <w:sz w:val="20"/>
                <w:szCs w:val="20"/>
              </w:rPr>
              <w:t>Cendrine D Robinson,​ Wallace B Pickworth,​ Stephen J Heishman,​ Andrew J Waters The acute tobacco withdrawal syndrome among black smokers.. Psychology of addictive behaviors : journal of the Society of Psychologists in Addictive Behaviors; 2014;28:173.</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Americans/eh [Ethnology],​African Americans/px [Psychology],​*European Continental Ancestry Group/eh [Ethnology],​European Continental Ancestry Group/px [Psychology],​Female,​Humans,​Male,​Middle Aged,​*Smoking/eh [Ethnology],​Smoking/pp [Physiopathology],​*Substance Withdrawal Syndrome/eh [Ethnology],​Substance Withdrawal Syndrome/pp [Physiopathology]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Black smokers have greater difficulty quitting tobacco than White smokers,​ but the mechanisms underlying between-race differences in smoking cessation are not clear. One possibility is that Black smokers experience greater acute withdrawal than Whites. We investigated whether Black (n = 104) and White smokers (n = 99) differed in abstinence-induced changes in self-report,​ physiological,​ and cognitive performance measures. Smokers not wishing to quit completed two counterbalanced experimental sessions. Before one session,​ they abstained from smoking for at least 12 hr. They smoked normally before the other session. Black smokers reported smaller abstinence-induced changes on a number of subjective measures including the total score of the 10-item Questionnaire for Smoking Urges (QSU) and the total score of the Wisconsin Smoking Withdrawal Scale (WSWS). However,​ on most subjective measures,​ and on all objective measures,​ there were no between-race differences in abstinence-induced change scores. Moreover,​ Black participants did not report lower QSU and WSWS ratings at the abstinent session,​ but they did experience significantly higher QSU and WSWS ratings at the nonabstinent session. Abstinence-induced changes in subjective,​ physiological,​ and cognitive measures in White smokers were similar for smokers of nonflavored and menthol-flavored cigarettes. There was no evidence that Black smokers experienced greater acute tobacco withdrawal than Whites. To the contrary,​ Black participants experienced smaller abstinence-induced changes in self-reported craving and withdrawal on some measures. Racial differences in smoking cessation are unlikely to be explained by acute withdrawal.</w:t>
            </w:r>
          </w:p>
        </w:tc>
      </w:tr>
      <w:tr w:rsidR="007F0AE0" w:rsidRPr="005762E6" w14:paraId="48CEE8C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DE5947" w14:textId="77777777" w:rsidR="007F0AE0" w:rsidRPr="005762E6" w:rsidRDefault="007F0AE0" w:rsidP="00453DE3">
            <w:pPr>
              <w:spacing w:after="120" w:line="240" w:lineRule="auto"/>
              <w:contextualSpacing/>
              <w:rPr>
                <w:sz w:val="20"/>
                <w:szCs w:val="20"/>
              </w:rPr>
            </w:pPr>
            <w:r w:rsidRPr="005762E6">
              <w:rPr>
                <w:sz w:val="20"/>
                <w:szCs w:val="20"/>
              </w:rPr>
              <w:t>518</w:t>
            </w:r>
          </w:p>
        </w:tc>
        <w:tc>
          <w:tcPr>
            <w:tcW w:w="0" w:type="auto"/>
            <w:tcBorders>
              <w:top w:val="single" w:sz="6" w:space="0" w:color="auto"/>
              <w:left w:val="single" w:sz="6" w:space="0" w:color="auto"/>
              <w:bottom w:val="single" w:sz="6" w:space="0" w:color="auto"/>
              <w:right w:val="single" w:sz="6" w:space="0" w:color="auto"/>
            </w:tcBorders>
          </w:tcPr>
          <w:p w14:paraId="0413A22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0409634" w14:textId="77777777" w:rsidR="007F0AE0" w:rsidRPr="005762E6" w:rsidRDefault="007F0AE0" w:rsidP="00453DE3">
            <w:pPr>
              <w:spacing w:after="120" w:line="240" w:lineRule="auto"/>
              <w:contextualSpacing/>
              <w:rPr>
                <w:sz w:val="20"/>
                <w:szCs w:val="20"/>
              </w:rPr>
            </w:pPr>
            <w:r w:rsidRPr="005762E6">
              <w:rPr>
                <w:sz w:val="20"/>
                <w:szCs w:val="20"/>
              </w:rPr>
              <w:t>Norval J 3rd Hickman,​ Kevin L Delucchi,​ Judith J Prochaska Menthol use among smokers with psychological distress: findings from the 2008 and 2009 National Survey on Drug Use and Health.. Tobacco control; 2014;23:7.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Adolescent,​Adult,​Data Collection,​Ethnic Groups,​Female,​Humans,​Insurance,​ Health,​Male,​*Menthol,​Odds Ratio,​*Severity of Illness Index,​Sex Factors,​*Smoking/px [Psychology],​Smoking Cessation,​Socioeconomic Factors,​*Stress,​ Psychological,​Tobacco Use Disorder,​United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The Food and Drug Administration is considering regulation of menthol cigarettes. While persons with mental distress are known to smoke cigarettes at high rates,​ little is known about their use of menthol. The authors examined the association of psychological distress and menthol use in a national sample of adult smokers.,​ METHODS: Data were from the 2008 and 2009 National Survey on Drug Use and Health. Past month smokers (N=24,​157) were categorised for menthol or non-menthol use. Psychological distress was categorised as none/mild,​ moderate or severe on the Kessler six-item scale.,​ RESULTS: The prevalence of menthol use was higher among individuals with severe psychological distress,​ women,​ young adults,​ African-Americans,​ Native Hawaiians/Pacific Islanders,​ persons with fewer years of education and lower income,​ and the unmarried and uninsured. In a multivariate model controlling for socio-demographic factors,​ smoking intensity and time to first cigarette,​ smokers with severe (adjusted OR (AOR) 1.23,​ 95% CI 1.04 to 1.46,​ p=0.02) but not moderate (AOR 1.03,​ 95% CI 0.92 to 1.15,​ p=0.58) psychological distress were significantly more likely to smoke menthols compared with smokers with none/mild distress.,​ CONCLUSION: An elevated prevalence of menthol use was found among persons with severe psychological distress,​ suggesting another group that could potentially benefit from the regulation of menthol cigarettes.</w:t>
            </w:r>
          </w:p>
        </w:tc>
      </w:tr>
      <w:tr w:rsidR="007F0AE0" w:rsidRPr="005762E6" w14:paraId="566E01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C63593" w14:textId="77777777" w:rsidR="007F0AE0" w:rsidRPr="005762E6" w:rsidRDefault="007F0AE0" w:rsidP="00453DE3">
            <w:pPr>
              <w:spacing w:after="120" w:line="240" w:lineRule="auto"/>
              <w:contextualSpacing/>
              <w:rPr>
                <w:sz w:val="20"/>
                <w:szCs w:val="20"/>
              </w:rPr>
            </w:pPr>
            <w:r w:rsidRPr="005762E6">
              <w:rPr>
                <w:sz w:val="20"/>
                <w:szCs w:val="20"/>
              </w:rPr>
              <w:t>520</w:t>
            </w:r>
          </w:p>
        </w:tc>
        <w:tc>
          <w:tcPr>
            <w:tcW w:w="0" w:type="auto"/>
            <w:tcBorders>
              <w:top w:val="single" w:sz="6" w:space="0" w:color="auto"/>
              <w:left w:val="single" w:sz="6" w:space="0" w:color="auto"/>
              <w:bottom w:val="single" w:sz="6" w:space="0" w:color="auto"/>
              <w:right w:val="single" w:sz="6" w:space="0" w:color="auto"/>
            </w:tcBorders>
          </w:tcPr>
          <w:p w14:paraId="0302319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635BBB0" w14:textId="77777777" w:rsidR="007F0AE0" w:rsidRPr="005762E6" w:rsidRDefault="007F0AE0" w:rsidP="00453DE3">
            <w:pPr>
              <w:spacing w:after="120" w:line="240" w:lineRule="auto"/>
              <w:contextualSpacing/>
              <w:rPr>
                <w:sz w:val="20"/>
                <w:szCs w:val="20"/>
              </w:rPr>
            </w:pPr>
            <w:r w:rsidRPr="005762E6">
              <w:rPr>
                <w:sz w:val="20"/>
                <w:szCs w:val="20"/>
              </w:rPr>
              <w:t>Theresa M Winhusen,​ Bryon Adinoff,​ Daniel F Lewis,​ Gregory S Brigham,​ John G 2nd Gardin,​ Susan C Sonne,​ Jeff Theobald,​ Udi Ghitza A tale of two stimulants: mentholated cigarettes may play a role in cocaine,​ but not methamphetamine,​ dependence.. Drug and alcohol dependence; 2013;133:845.</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Adult,​*Amphetamine-Related Disorders/co [Complications],​*Amphetamine-Related Disorders/ep [Epidemiology],​Amphetamine-Related Disorders/px [Psychology],​Amphetamine-Related Disorders/th [Therapy],​Behavior,​ Addictive/ep [Epidemiology],​Behavior,​ Addictive/px [Psychology],​Behavior,​ Addictive/th [Therapy],​*Cocaine-Related Disorders/co [Complications],​*Cocaine-Related Disorders/ep [Epidemiology],​Cocaine-Related Disorders/px [Psychology],​Cocaine-Related Disorders/th [Therapy],​European Continental Ancestry Group/px [Psychology],​Female,​Humans,​Male,​*Menthol/ad [Administration &amp; Dosage],​*Menthol/ae [Adverse Effects],​Prevalence,​Self-Administration,​Self-Report,​*Smoking/ep [Epidemiology],​Smoking/px [Psychology],​Smoking Cessation/px [Psychology],​Smoking Cessation/sn [Statistics &amp; Numerical Data],​Tobacco Products/ae [Adverse Effects],​*Tobacco Products,​Treatment Outcome,​Young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Research suggests that mentholated cigarettes may play a role in cocaine dependence. The purpose of the present study was to expand upon the research on mentholated cigarettes and cocaine dependence and to evaluate the role of mentholated cigarettes in methamphetamine dependence.,​ METHODS: Secondary analysis of a multisite,​ randomized trial evaluating the impact of smoking-cessation treatment in stimulant-dependent outpatients (N=538). Participants' reasons for concurrent use of cigarettes and illicit stimulants were assessed via self-report. Stimulant-abstinence was measured by self-report and urine drug screens. Smoking cessation was assessed via self-report and carbon monoxide levels.,​ RESULTS: Of the 301 cocaine-dependent participants,​ 201 (67%) were menthol and 100 (33%) were non-menthol cigarette smokers. Cocaine-dependent participants who smoked menthol,​ compared to non-menthol,​ cigarettes were significantly more likely to report that cigarettes prolong their cocaine high (X(2)(1)=16.3,​ p&lt;.0001,​ OR=3.58 [95% CI: 1.88-6.79]) and were less likely to be stimulant abstinent during active treatment (W=3.6,​ p&lt;0.001,​ d=.39 [95% CI: 0.16-0.62]),​ at 3-month follow-up (X(2)(1)=14.4,​ p&lt;0.001,​ OR=.32 [95% CI: 0.17-0.58]),​ and at 6-month follow-up (X(2)(1)=4.6,​ p=0.03,​ OR=.53 [95% CI: 0.29-0.95]). No parallel differences were found between menthol and non-menthol methamphetamine-dependent smokers. The prevalence of Caucasian menthol smokers was significantly greater in the cocaine-dependent participants (37.2%) than in the methamphetamine-dependent participants (17.61%),​ (X(2)(1)=14.4,​ p&lt;.001,​ OR=2.77 [95% CI:1.62-4.73]). Smoking cessation was not significantly associated with cigarette type for either cocaine- or methamphetamine-dependent participants.,​ CONCLUSIONS: The present results suggest that mentholated cigarettes play a role in cocaine,​ but not methamphetamine,​ dependence. Copyright © 2013 Elsevier Ireland Ltd. All rights reserved.</w:t>
            </w:r>
          </w:p>
        </w:tc>
      </w:tr>
      <w:tr w:rsidR="007F0AE0" w:rsidRPr="005762E6" w14:paraId="6F6EDCA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2EA75F" w14:textId="77777777" w:rsidR="007F0AE0" w:rsidRPr="005762E6" w:rsidRDefault="007F0AE0" w:rsidP="00453DE3">
            <w:pPr>
              <w:spacing w:after="120" w:line="240" w:lineRule="auto"/>
              <w:contextualSpacing/>
              <w:rPr>
                <w:sz w:val="20"/>
                <w:szCs w:val="20"/>
              </w:rPr>
            </w:pPr>
            <w:r w:rsidRPr="005762E6">
              <w:rPr>
                <w:sz w:val="20"/>
                <w:szCs w:val="20"/>
              </w:rPr>
              <w:lastRenderedPageBreak/>
              <w:t>524</w:t>
            </w:r>
          </w:p>
        </w:tc>
        <w:tc>
          <w:tcPr>
            <w:tcW w:w="0" w:type="auto"/>
            <w:tcBorders>
              <w:top w:val="single" w:sz="6" w:space="0" w:color="auto"/>
              <w:left w:val="single" w:sz="6" w:space="0" w:color="auto"/>
              <w:bottom w:val="single" w:sz="6" w:space="0" w:color="auto"/>
              <w:right w:val="single" w:sz="6" w:space="0" w:color="auto"/>
            </w:tcBorders>
          </w:tcPr>
          <w:p w14:paraId="79D7C83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29DF78" w14:textId="77777777" w:rsidR="007F0AE0" w:rsidRPr="005762E6" w:rsidRDefault="007F0AE0" w:rsidP="00453DE3">
            <w:pPr>
              <w:spacing w:after="120" w:line="240" w:lineRule="auto"/>
              <w:contextualSpacing/>
              <w:rPr>
                <w:sz w:val="20"/>
                <w:szCs w:val="20"/>
              </w:rPr>
            </w:pPr>
            <w:r w:rsidRPr="005762E6">
              <w:rPr>
                <w:sz w:val="20"/>
                <w:szCs w:val="20"/>
              </w:rPr>
              <w:t>Lorraine R Reitzel,​ Carol J Etzel,​ Yumei Cao,​ Kolawole S Okuyemi,​ Jasjit S Ahluwalia Associations of menthol use with motivation and confidence to quit smoking.. American journal of health behavior; 2013;37:629.</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Americans/px [Psychology],​European Continental Ancestry Group/px [Psychology],​Female,​Humans,​Male,​*Menthol/ad [Administration &amp; Dosage],​Middle Aged,​*Motivation,​Self-Administration,​*Self Efficacy,​*Smoking Cessation/px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To examine associations of menthol cigarette use with motivation and confidence to quit smoking,​ and potential moderation by race,​ among adult current smokers (N = 1067; 85% White,​ 15% Black).,​ METHODS: Regression analyses,​ adjusted for sociodemographics and tobacco dependence,​ examined associations of menthol use with motivation and confidence to quit smoking with and without an interaction term for race.,​ RESULTS: Main effects were not significant; however,​ there was a significant interaction for confidence to quit smoking (p = .02). Stratified analyses indicated that Black menthol users were more confident about quitting than Black non-menthol users (p = .01).,​ CONCLUSIONS: Given their relatively lower quit rates as cited in previous literature,​ Black menthol users appear overly confident about their ability to quit smoking.</w:t>
            </w:r>
          </w:p>
        </w:tc>
      </w:tr>
      <w:tr w:rsidR="007F0AE0" w:rsidRPr="005762E6" w14:paraId="30039AE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12E4C2" w14:textId="77777777" w:rsidR="007F0AE0" w:rsidRPr="005762E6" w:rsidRDefault="007F0AE0" w:rsidP="00453DE3">
            <w:pPr>
              <w:spacing w:after="120" w:line="240" w:lineRule="auto"/>
              <w:contextualSpacing/>
              <w:rPr>
                <w:sz w:val="20"/>
                <w:szCs w:val="20"/>
              </w:rPr>
            </w:pPr>
            <w:r w:rsidRPr="005762E6">
              <w:rPr>
                <w:sz w:val="20"/>
                <w:szCs w:val="20"/>
              </w:rPr>
              <w:t>525</w:t>
            </w:r>
          </w:p>
        </w:tc>
        <w:tc>
          <w:tcPr>
            <w:tcW w:w="0" w:type="auto"/>
            <w:tcBorders>
              <w:top w:val="single" w:sz="6" w:space="0" w:color="auto"/>
              <w:left w:val="single" w:sz="6" w:space="0" w:color="auto"/>
              <w:bottom w:val="single" w:sz="6" w:space="0" w:color="auto"/>
              <w:right w:val="single" w:sz="6" w:space="0" w:color="auto"/>
            </w:tcBorders>
          </w:tcPr>
          <w:p w14:paraId="6EDE990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CA278DD" w14:textId="77777777" w:rsidR="007F0AE0" w:rsidRPr="005762E6" w:rsidRDefault="007F0AE0" w:rsidP="00453DE3">
            <w:pPr>
              <w:spacing w:after="120" w:line="240" w:lineRule="auto"/>
              <w:contextualSpacing/>
              <w:rPr>
                <w:sz w:val="20"/>
                <w:szCs w:val="20"/>
              </w:rPr>
            </w:pPr>
            <w:r w:rsidRPr="005762E6">
              <w:rPr>
                <w:sz w:val="20"/>
                <w:szCs w:val="20"/>
              </w:rPr>
              <w:t>Kymberle Sterling,​ Carla J Berg,​ Akilah N Thomas,​ Stanton A Glantz,​ Jasjit S Ahluwalia Factors associated with small cigar use among college students.. American journal of health behavior; 2013;37:325.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Adolescent,​Adult,​Demography,​Female,​*Health Knowledge,​ Attitudes,​ Practice,​Health Surveys,​Humans,​Male,​*Smoking/px [Psychology],​*Students/px [Psychology],​*Universities</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OBJECTIVE: To assess small cigar use among college students in the southeastern United States.,​ METHODS: Data from a 2010 online survey were analyzed to examine small cigar smoking and its sociodemographic and psychosocial correlates among 4388 college students,​ aged 18-30.,​ RESULTS: Small cigar users were more likely to be younger,​ male,​ black,​ and current cigarette,​ cigar,​ hookah,​ or marijuana smokers (p's &lt; .05). They reported lower perceived harm of smoking and greater sensation seeking and perceived stress. Menthol cigarette smokers were more likely to smoke small cigars.,​ CONCLUSIONS: Small cigar use and the co-occurrence of other tobacco and substance use should be addressed among college students.</w:t>
            </w:r>
          </w:p>
        </w:tc>
      </w:tr>
      <w:tr w:rsidR="007F0AE0" w:rsidRPr="005762E6" w14:paraId="13FF4E2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5ADAC0" w14:textId="77777777" w:rsidR="007F0AE0" w:rsidRPr="005762E6" w:rsidRDefault="007F0AE0" w:rsidP="00453DE3">
            <w:pPr>
              <w:spacing w:after="120" w:line="240" w:lineRule="auto"/>
              <w:contextualSpacing/>
              <w:rPr>
                <w:sz w:val="20"/>
                <w:szCs w:val="20"/>
              </w:rPr>
            </w:pPr>
            <w:r w:rsidRPr="005762E6">
              <w:rPr>
                <w:sz w:val="20"/>
                <w:szCs w:val="20"/>
              </w:rPr>
              <w:lastRenderedPageBreak/>
              <w:t>526</w:t>
            </w:r>
          </w:p>
        </w:tc>
        <w:tc>
          <w:tcPr>
            <w:tcW w:w="0" w:type="auto"/>
            <w:tcBorders>
              <w:top w:val="single" w:sz="6" w:space="0" w:color="auto"/>
              <w:left w:val="single" w:sz="6" w:space="0" w:color="auto"/>
              <w:bottom w:val="single" w:sz="6" w:space="0" w:color="auto"/>
              <w:right w:val="single" w:sz="6" w:space="0" w:color="auto"/>
            </w:tcBorders>
          </w:tcPr>
          <w:p w14:paraId="5986C62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26B9351" w14:textId="77777777" w:rsidR="007F0AE0" w:rsidRPr="005762E6" w:rsidRDefault="007F0AE0" w:rsidP="00453DE3">
            <w:pPr>
              <w:spacing w:after="120" w:line="240" w:lineRule="auto"/>
              <w:contextualSpacing/>
              <w:rPr>
                <w:sz w:val="20"/>
                <w:szCs w:val="20"/>
              </w:rPr>
            </w:pPr>
            <w:r w:rsidRPr="005762E6">
              <w:rPr>
                <w:sz w:val="20"/>
                <w:szCs w:val="20"/>
              </w:rPr>
              <w:t>Mike Mitka FDA might consider restrictions on menthol cigarettes.. JAMA; 2013;310:784.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Adolescent,​Adult,​Biomedical Research/td [Trends],​Humans,​Legislation as Topic,​*Menthol/ae [Adverse Effects],​Public Health,​Smoking/ae [Adverse Effects],​*Tobacco Products/ae [Adverse Effects],​Tobacco Use Disorder/pc [Prevention &amp; Control],​United States,​*United States Food and Drug Administration,​Young Adult</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C5458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665C87" w14:textId="77777777" w:rsidR="007F0AE0" w:rsidRPr="005762E6" w:rsidRDefault="007F0AE0" w:rsidP="00453DE3">
            <w:pPr>
              <w:spacing w:after="120" w:line="240" w:lineRule="auto"/>
              <w:contextualSpacing/>
              <w:rPr>
                <w:sz w:val="20"/>
                <w:szCs w:val="20"/>
              </w:rPr>
            </w:pPr>
            <w:r w:rsidRPr="005762E6">
              <w:rPr>
                <w:sz w:val="20"/>
                <w:szCs w:val="20"/>
              </w:rPr>
              <w:t>529</w:t>
            </w:r>
          </w:p>
        </w:tc>
        <w:tc>
          <w:tcPr>
            <w:tcW w:w="0" w:type="auto"/>
            <w:tcBorders>
              <w:top w:val="single" w:sz="6" w:space="0" w:color="auto"/>
              <w:left w:val="single" w:sz="6" w:space="0" w:color="auto"/>
              <w:bottom w:val="single" w:sz="6" w:space="0" w:color="auto"/>
              <w:right w:val="single" w:sz="6" w:space="0" w:color="auto"/>
            </w:tcBorders>
          </w:tcPr>
          <w:p w14:paraId="25F8748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79AE51D" w14:textId="77777777" w:rsidR="007F0AE0" w:rsidRPr="005762E6" w:rsidRDefault="007F0AE0" w:rsidP="00453DE3">
            <w:pPr>
              <w:spacing w:after="120" w:line="240" w:lineRule="auto"/>
              <w:contextualSpacing/>
              <w:rPr>
                <w:sz w:val="20"/>
                <w:szCs w:val="20"/>
              </w:rPr>
            </w:pPr>
            <w:r w:rsidRPr="005762E6">
              <w:rPr>
                <w:sz w:val="20"/>
                <w:szCs w:val="20"/>
              </w:rPr>
              <w:t>Grace Kong,​ Nisha Singh,​ Deepa Camenga,​ Dana Cavallo,​ Suchitra Krishnan-Sarin Menthol cigarette and marijuana use among adolescents.. Nicotine &amp; tobacco research : official journal of the Society for Research on Nicotine and Tobacco; 2013;15:2094.</w:t>
            </w:r>
            <w:r w:rsidRPr="005762E6">
              <w:rPr>
                <w:sz w:val="20"/>
                <w:szCs w:val="20"/>
              </w:rPr>
              <w:br/>
            </w:r>
            <w:r w:rsidRPr="005762E6">
              <w:rPr>
                <w:sz w:val="20"/>
                <w:szCs w:val="20"/>
              </w:rPr>
              <w:br/>
            </w:r>
            <w:r w:rsidRPr="005762E6">
              <w:rPr>
                <w:b/>
                <w:bCs/>
                <w:sz w:val="20"/>
                <w:szCs w:val="20"/>
              </w:rPr>
              <w:t>Keywords:</w:t>
            </w:r>
            <w:r w:rsidRPr="005762E6">
              <w:rPr>
                <w:sz w:val="20"/>
                <w:szCs w:val="20"/>
              </w:rPr>
              <w:br/>
              <w:t>Adolescent,​Cannabis,​Connecticut/ep [Epidemiology],​Demography,​Female,​Humans,​Logistic Models,​Male,​*Marijuana Smoking/ep [Epidemiology],​Menthol,​Multivariate Analysis,​Odds Ratio,​*Smoking/ep [Epidemiology],​*Smoking Cessation/sn [Statistics &amp; Numerical Data],​Students/sn [Statistics &amp; Numerical Data],​Surveys and Questionnaires,​*Tobacco Products/sn [Statistics &amp; Numerical Data],​*Tobacco Use Disorder/ep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cigarette and marijuana use among adolescents is high; however,​ little is known about dual use in this age. Thus,​ we examined these rates among 2 samples of adolescents in Connecticut.,​ METHODS: Study 1 examined a school-wide survey assessing variables related to cigarettes and marijuana among high school students (N = 837 [13% smokers]),​ and Study 2 examined these factors using baseline data of high school-aged,​ treatment-seeking,​ daily cigarette smokers prior to quitting (N = 132).,​ RESULTS: In Study 1,​ lifetime marijuana use among all adolescents was 33% and past 30-day marijuana use was 21%. Among cigarette smokers,​ 55% reported smoking menthol cigarettes,​ 84% reported lifetime marijuana use,​ and 66% reported past 30-day marijuana use. Multivariate-adjusted logistic regression models indicated that cigarette smokers,​ when compared with nonsmokers,​ had greater rates of lifetime (odds ratio [OR] = 10.91) and past 30-day marijuana use (OR = 10.44). Among smokers,​ use of menthol cigarettes,​ when compared with use of nonmenthol cigarettes,​ was associated with greater lifetime (OR = 5.05) but not past 30-day marijuana use. In Study 2 with daily smokers,​ 59% of adolescents reported use of menthol cigarettes and 66% reported past 30-day marijuana use. Compared with nonmenthol cigarette smokers,​ menthol cigarette smokers were more likely to report past 30-day marijuana use (OR = 2.44).,​ CONCLUSIONS: Cigarette smoking is associated with marijuana use,​ and among smokers,​ menthol cigarette smoking further increased the odds of marijuana use. More research on the dual use of marijuana and tobacco is needed to inform prevention and treatment of substance use.</w:t>
            </w:r>
          </w:p>
        </w:tc>
      </w:tr>
      <w:tr w:rsidR="007F0AE0" w:rsidRPr="005762E6" w14:paraId="02DF249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CE9E8E" w14:textId="77777777" w:rsidR="007F0AE0" w:rsidRPr="005762E6" w:rsidRDefault="007F0AE0" w:rsidP="00453DE3">
            <w:pPr>
              <w:spacing w:after="120" w:line="240" w:lineRule="auto"/>
              <w:contextualSpacing/>
              <w:rPr>
                <w:sz w:val="20"/>
                <w:szCs w:val="20"/>
              </w:rPr>
            </w:pPr>
            <w:r w:rsidRPr="005762E6">
              <w:rPr>
                <w:sz w:val="20"/>
                <w:szCs w:val="20"/>
              </w:rPr>
              <w:t>531</w:t>
            </w:r>
          </w:p>
        </w:tc>
        <w:tc>
          <w:tcPr>
            <w:tcW w:w="0" w:type="auto"/>
            <w:tcBorders>
              <w:top w:val="single" w:sz="6" w:space="0" w:color="auto"/>
              <w:left w:val="single" w:sz="6" w:space="0" w:color="auto"/>
              <w:bottom w:val="single" w:sz="6" w:space="0" w:color="auto"/>
              <w:right w:val="single" w:sz="6" w:space="0" w:color="auto"/>
            </w:tcBorders>
          </w:tcPr>
          <w:p w14:paraId="13A5A55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4C41ED1" w14:textId="77777777" w:rsidR="007F0AE0" w:rsidRPr="005762E6" w:rsidRDefault="007F0AE0" w:rsidP="00453DE3">
            <w:pPr>
              <w:spacing w:after="120" w:line="240" w:lineRule="auto"/>
              <w:contextualSpacing/>
              <w:rPr>
                <w:sz w:val="20"/>
                <w:szCs w:val="20"/>
              </w:rPr>
            </w:pPr>
            <w:r w:rsidRPr="005762E6">
              <w:rPr>
                <w:sz w:val="20"/>
                <w:szCs w:val="20"/>
              </w:rPr>
              <w:t>Andrea C Villanti,​ Amanda Richardson,​ Donna M Vallone,​ Jessica M Rath Flavored tobacco product use among U.S. young adults.. American journal of preventive medicine; 2013;44:388.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 Factors,​Cross-Sectional Studies,​Data Collection,​Educational Status,​Female,​*Flavoring Agents/ch [Chemistry],​Humans,​Male,​Menthol/ad [Administration &amp; Dosage],​Multivariate Analysis,​*Tobacco Products/ut [Utilization],​*Tobacco,​ Smokeless/ut [Utilization],​United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Passage of the U.S. Family Smoking Prevention and Tobacco Control Act in 2009 led to a ban on the sale of flavored cigarettes,​ largely because of studies showing targeting of these products to youth and young adults. There are no current restrictions on the marketing or sale of noncigarette or new nontraditional smokeless tobacco products (such as snus and dissolvable products),​ which are available in more than 45 flavors.,​ PURPOSE: To determine the prevalence of flavored tobacco use,​ dual use of flavored and </w:t>
            </w:r>
            <w:r w:rsidRPr="005762E6">
              <w:rPr>
                <w:sz w:val="20"/>
                <w:szCs w:val="20"/>
              </w:rPr>
              <w:lastRenderedPageBreak/>
              <w:t>menthol tobacco products,​ and sociodemographic predictors of flavored tobacco product use in young adults aged 18-34 years (N=4196).,​ METHODS: The current study utilizes data from Legacy's Young Adult Cohort Study,​ a nationally representative sample collected in January 2012. Data were analyzed using Stata IC 11.0 in June 2012.,​ RESULTS: Overall,​ 18.5% of tobacco users report using flavored products,​ and dual use of menthol and flavored product use ranged from 1% (nicotine products) to 72% (chewing tobacco). In a multivariable model controlling for menthol use,​ younger adults were more likely to use flavored tobacco products (OR=1.89,​ 95% CI=1.14,​ 3.11),​ and those with a high school education had decreased use of flavored products (OR=0.56; 95% CI=0.32,​ 0.97).,​ CONCLUSIONS: Differences in use may be due to the continued targeted advertising of flavored products to young adults and minorities. Those most likely to use flavored products are also those most at risk of developing established tobacco-use patterns that persist through their lifetime. Copyright © 2013 American Journal of Preventive Medicine. Published by Elsevier Inc. All rights reserved.</w:t>
            </w:r>
          </w:p>
        </w:tc>
      </w:tr>
      <w:tr w:rsidR="007F0AE0" w:rsidRPr="005762E6" w14:paraId="363D4DC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8ADD6A" w14:textId="77777777" w:rsidR="007F0AE0" w:rsidRPr="005762E6" w:rsidRDefault="007F0AE0" w:rsidP="00453DE3">
            <w:pPr>
              <w:spacing w:after="120" w:line="240" w:lineRule="auto"/>
              <w:contextualSpacing/>
              <w:rPr>
                <w:sz w:val="20"/>
                <w:szCs w:val="20"/>
              </w:rPr>
            </w:pPr>
            <w:r w:rsidRPr="005762E6">
              <w:rPr>
                <w:sz w:val="20"/>
                <w:szCs w:val="20"/>
              </w:rPr>
              <w:lastRenderedPageBreak/>
              <w:t>532</w:t>
            </w:r>
          </w:p>
        </w:tc>
        <w:tc>
          <w:tcPr>
            <w:tcW w:w="0" w:type="auto"/>
            <w:tcBorders>
              <w:top w:val="single" w:sz="6" w:space="0" w:color="auto"/>
              <w:left w:val="single" w:sz="6" w:space="0" w:color="auto"/>
              <w:bottom w:val="single" w:sz="6" w:space="0" w:color="auto"/>
              <w:right w:val="single" w:sz="6" w:space="0" w:color="auto"/>
            </w:tcBorders>
          </w:tcPr>
          <w:p w14:paraId="7B5D065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AC86E54" w14:textId="77777777" w:rsidR="007F0AE0" w:rsidRPr="005762E6" w:rsidRDefault="007F0AE0" w:rsidP="00453DE3">
            <w:pPr>
              <w:spacing w:after="120" w:line="240" w:lineRule="auto"/>
              <w:contextualSpacing/>
              <w:rPr>
                <w:sz w:val="20"/>
                <w:szCs w:val="20"/>
              </w:rPr>
            </w:pPr>
            <w:r w:rsidRPr="005762E6">
              <w:rPr>
                <w:sz w:val="20"/>
                <w:szCs w:val="20"/>
              </w:rPr>
              <w:t>Juliet P Lee,​ Sharon Lipperman-Kreda,​ Sang Saephan,​ Sean Kirkpatrick Tobacco environment for Southeast Asian American youth: results from a participatory research project.. Journal of ethnicity in substance abuse; 2013;12:30.</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Adolescent,​Adult,​Asia,​ Southeastern/eh [Ethnology],​*Asian Americans/sn [Statistics &amp; Numerical Data],​California/ep [Epidemiology],​Community-Based Participatory Research,​Female,​Humans,​Male,​Refugees,​*Smoking/ep [Epidemiology],​Smoking/eh [Ethnology],​*Social Environment,​*Tobacco Products,​Young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Despite reports of high rates of smoking among Southeast Asian refugees in the United States,​ few studies have described the environmental aspects of tobacco use among this population,​ particularly for the second-generation youths. This absence is notable because the social environment within which second-generation youths are exposed to tobacco products differs radically from the natal environment of their parents. We describe results of a youth-led community participatory research project for Southeast Asians in Northern California. Using multiple data sources,​ second-generation youths documented the salience of tobacco products in their social environment,​ notably products such as blunts and mentholated cigarettes.</w:t>
            </w:r>
          </w:p>
        </w:tc>
      </w:tr>
      <w:tr w:rsidR="007F0AE0" w:rsidRPr="005762E6" w14:paraId="1F6F8AF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DDAD26" w14:textId="77777777" w:rsidR="007F0AE0" w:rsidRPr="005762E6" w:rsidRDefault="007F0AE0" w:rsidP="00453DE3">
            <w:pPr>
              <w:spacing w:after="120" w:line="240" w:lineRule="auto"/>
              <w:contextualSpacing/>
              <w:rPr>
                <w:sz w:val="20"/>
                <w:szCs w:val="20"/>
              </w:rPr>
            </w:pPr>
            <w:r w:rsidRPr="005762E6">
              <w:rPr>
                <w:sz w:val="20"/>
                <w:szCs w:val="20"/>
              </w:rPr>
              <w:t>533</w:t>
            </w:r>
          </w:p>
        </w:tc>
        <w:tc>
          <w:tcPr>
            <w:tcW w:w="0" w:type="auto"/>
            <w:tcBorders>
              <w:top w:val="single" w:sz="6" w:space="0" w:color="auto"/>
              <w:left w:val="single" w:sz="6" w:space="0" w:color="auto"/>
              <w:bottom w:val="single" w:sz="6" w:space="0" w:color="auto"/>
              <w:right w:val="single" w:sz="6" w:space="0" w:color="auto"/>
            </w:tcBorders>
          </w:tcPr>
          <w:p w14:paraId="1B486D3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49190DF" w14:textId="77777777" w:rsidR="007F0AE0" w:rsidRPr="005762E6" w:rsidRDefault="007F0AE0" w:rsidP="00453DE3">
            <w:pPr>
              <w:spacing w:after="120" w:line="240" w:lineRule="auto"/>
              <w:contextualSpacing/>
              <w:rPr>
                <w:sz w:val="20"/>
                <w:szCs w:val="20"/>
              </w:rPr>
            </w:pPr>
            <w:r w:rsidRPr="005762E6">
              <w:rPr>
                <w:sz w:val="20"/>
                <w:szCs w:val="20"/>
              </w:rPr>
              <w:t>Amanda L Dauphinee,​ Juliana R Doxey,​ Nina C Schleicher,​ Stephen P Fortmann,​ Lisa Henriksen Racial differences in cigarette brand recognition and impact on youth smoking.. BMC public health; 2013;13:170.</w:t>
            </w:r>
            <w:r w:rsidRPr="005762E6">
              <w:rPr>
                <w:sz w:val="20"/>
                <w:szCs w:val="20"/>
              </w:rPr>
              <w:br/>
            </w:r>
            <w:r w:rsidRPr="005762E6">
              <w:rPr>
                <w:sz w:val="20"/>
                <w:szCs w:val="20"/>
              </w:rPr>
              <w:br/>
            </w:r>
            <w:r w:rsidRPr="005762E6">
              <w:rPr>
                <w:b/>
                <w:bCs/>
                <w:sz w:val="20"/>
                <w:szCs w:val="20"/>
              </w:rPr>
              <w:t>Keywords:</w:t>
            </w:r>
            <w:r w:rsidRPr="005762E6">
              <w:rPr>
                <w:sz w:val="20"/>
                <w:szCs w:val="20"/>
              </w:rPr>
              <w:br/>
              <w:t>Adolescent,​*Advertising as Topic,​*African Americans/px [Psychology],​African Americans/sn [Statistics &amp; Numerical Data],​Asian Americans/px [Psychology],​Asian Americans/sn [Statistics &amp; Numerical Data],​California,​Child,​Cross-Sectional Studies,​European Continental Ancestry Group/px [Psychology],​European Continental Ancestry Group/sn [Statistics &amp; Numerical Data],​Female,​Follow-Up Studies,​Hispanic Americans/px [Psychology],​Hispanic Americans/sn [Statistics &amp; Numerical Data],​Humans,​Male,​Oceanic Ancestry Group/px [Psychology],​Oceanic Ancestry Group/sn [Statistics &amp; Numerical Data],​*Smoking/eh [Ethnology],​*Tobacco Products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African Americans are disproportionately exposed to cigarette advertisements,​ particularly for menthol brands. Tobacco industry documents outline strategic efforts to promote menthol cigarettes to African Americans at the point of sale,​ and studies have observed more outdoor and retail menthol advertisements in neighborhoods with more African-American residents. Little research has been conducted to examine the effect of this target marketing on adolescents' recognition of cigarette brand advertising and on smoking uptake. To our knowledge,​ this is the first study to examine racial differences in brand recognition and to assess the prospective relationship between brand recognition and smoking uptake.,​ METHODS: School-based surveys assessing tobacco use and environmental and social influences to smoke were administered to 6th through 9th graders (ages 11 to 15) in an urban and racially diverse California school district. The primary outcome for the cross-sectional analysis (n=2,​589) was brand recognition,​ measured by students' identification of masked tobacco advertisements from the point of sale. The primary outcome for the longitudinal analysis (n=1,​179) was progression from never to ever smoking within 12months.,​ RESULTS: At baseline,​ 52% of students recognized the Camel brand,​ 36% Marlboro,​ and 32% Newport. African-American students were three times more likely than others to recognize Newport (OR=3.03,​ CI=2.45,​ 3.74,​ p&lt;0.01) and less likely than others to recognize Marlboro (OR=0.60,​ CI=0.48,​ 0.73,​ p&lt;0.01). At follow-up,​ 17% of never smokers reported trying smoking. In this racially diverse sample,​ brand recognition of Camel and Marlboro did not predict smoking </w:t>
            </w:r>
            <w:r w:rsidRPr="005762E6">
              <w:rPr>
                <w:sz w:val="20"/>
                <w:szCs w:val="20"/>
              </w:rPr>
              <w:lastRenderedPageBreak/>
              <w:t>initiation. Regardless of race,​ students who recognized the Newport brand at baseline were more likely to initiate smoking at follow-up (OR=1.49,​ CI=1.04,​ 2.15,​ p&lt;0.05) after adjusting for shopping frequency and other risk factors.,​ CONCLUSIONS: The study findings illustrate that African-American youth are better able to recognize Newport cigarette advertisements,​ even after adjustment for exposure to smoking by parents and peers. In addition,​ recognition of Newport cigarette advertising predicted smoking initiation,​ regardless of race. This longitudinal study contributes to a growing body of evidence that supports a ban on menthol flavored cigarettes in the US as well as stronger regulation of tobacco advertising at the point of sale.</w:t>
            </w:r>
          </w:p>
        </w:tc>
      </w:tr>
      <w:tr w:rsidR="007F0AE0" w:rsidRPr="005762E6" w14:paraId="3CA17DF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32D1F1" w14:textId="77777777" w:rsidR="007F0AE0" w:rsidRPr="005762E6" w:rsidRDefault="007F0AE0" w:rsidP="00453DE3">
            <w:pPr>
              <w:spacing w:after="120" w:line="240" w:lineRule="auto"/>
              <w:contextualSpacing/>
              <w:rPr>
                <w:sz w:val="20"/>
                <w:szCs w:val="20"/>
              </w:rPr>
            </w:pPr>
            <w:r w:rsidRPr="005762E6">
              <w:rPr>
                <w:sz w:val="20"/>
                <w:szCs w:val="20"/>
              </w:rPr>
              <w:lastRenderedPageBreak/>
              <w:t>534</w:t>
            </w:r>
          </w:p>
        </w:tc>
        <w:tc>
          <w:tcPr>
            <w:tcW w:w="0" w:type="auto"/>
            <w:tcBorders>
              <w:top w:val="single" w:sz="6" w:space="0" w:color="auto"/>
              <w:left w:val="single" w:sz="6" w:space="0" w:color="auto"/>
              <w:bottom w:val="single" w:sz="6" w:space="0" w:color="auto"/>
              <w:right w:val="single" w:sz="6" w:space="0" w:color="auto"/>
            </w:tcBorders>
          </w:tcPr>
          <w:p w14:paraId="59ACC47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FA1918" w14:textId="77777777" w:rsidR="007F0AE0" w:rsidRPr="005762E6" w:rsidRDefault="007F0AE0" w:rsidP="00453DE3">
            <w:pPr>
              <w:spacing w:after="120" w:line="240" w:lineRule="auto"/>
              <w:contextualSpacing/>
              <w:rPr>
                <w:sz w:val="20"/>
                <w:szCs w:val="20"/>
              </w:rPr>
            </w:pPr>
            <w:r w:rsidRPr="005762E6">
              <w:rPr>
                <w:sz w:val="20"/>
                <w:szCs w:val="20"/>
              </w:rPr>
              <w:t>Andrew A Strasser,​ Rebecca L Ashare,​ Madeline Kaufman,​ Kathy Z Tang,​ A Clementina Mesaros,​ Ian A Blair The effect of menthol on cigarette smoking behaviors,​ biomarkers and subjective responses.. Cancer epidemiology,​ biomarkers &amp; prevention : a publication of the American Association for Cancer Research,​ cosponsored by the American Society of Preventive Oncology; 2013;22:382.</w:t>
            </w:r>
            <w:r w:rsidRPr="005762E6">
              <w:rPr>
                <w:sz w:val="20"/>
                <w:szCs w:val="20"/>
              </w:rPr>
              <w:br/>
            </w:r>
            <w:r w:rsidRPr="005762E6">
              <w:rPr>
                <w:sz w:val="20"/>
                <w:szCs w:val="20"/>
              </w:rPr>
              <w:br/>
            </w:r>
            <w:r w:rsidRPr="005762E6">
              <w:rPr>
                <w:b/>
                <w:bCs/>
                <w:sz w:val="20"/>
                <w:szCs w:val="20"/>
              </w:rPr>
              <w:t>Keywords:</w:t>
            </w:r>
            <w:r w:rsidRPr="005762E6">
              <w:rPr>
                <w:sz w:val="20"/>
                <w:szCs w:val="20"/>
              </w:rPr>
              <w:br/>
              <w:t>Adult,​Aged,​*Biomarkers/an [Analysis],​Chromatography,​ Liquid,​*Deoxyguanosine/aa [Analogs &amp; Derivatives],​Deoxyguanosine/an [Analysis],​*Environmental Exposure/an [Analysis],​Female,​Follow-Up Studies,​*Health Behavior,​Humans,​Male,​*Menthol/pd [Pharmacology],​Middle Aged,​Prognosis,​Smell/de [Drug Effects],​*Smoking/td [Trends],​Spectrometry,​ Mass,​ Matrix-Assisted Laser Desorption-Ionization,​Taste/de [Drug Effects],​Young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As part of the Family Smoking Prevention and Tobacco Control Act,​ the U.S. Food and Drug Administration charged the Tobacco Products Scientific Advisory Committee with developing a report and recommendations about the effect of menthol in cigarettes on the public health. The purpose of this study was to examine smoking behaviors,​ biomarkers of exposure,​ and subjective responses when switching from a novel menthol cigarette to a non-menthol cigarette to isolate the effect of menthol and to approximate the effect a menthol ban might have on smokers.,​ METHODS: Thirty-two adult smokers completed this 35-day randomized,​ open-label,​ laboratory study. After a 5-day baseline period,​ participants were randomized to the experimental group (n = 22) where they would smoke menthol Camel crush for 15 days followed by 15 days of non-menthol Camel crush,​ or the control group (n = 10) where they smoked their own brand cigarette across all periods. Participants attended study visits every 5 days and completed measures of smoking rate,​ smoking topography,​ biomarkers of exposure,​ and subjective responses.,​ RESULTS: Although total puff volume tended to increase when the experimental group switched from menthol to non-menthol (P = 0.06),​ there were no corresponding increases in cigarette consumption or biomarkers of exposure (P &gt; 0.1). Subjective ratings related to taste and smell decreased during the non-menthol period (P &lt; 0.01),​ compared with the menthol.,​ CONCLUSIONS: Results suggest menthol has minimal impact on smoking behaviors,​ biomarkers of exposure,​ and subjective ratings.,​ IMPACT: When controlling for all other cigarette design features,​ menthol in cigarettes had minimal effect on outcome measures.</w:t>
            </w:r>
          </w:p>
        </w:tc>
      </w:tr>
      <w:tr w:rsidR="007F0AE0" w:rsidRPr="005762E6" w14:paraId="6EB2D43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6A5B2D" w14:textId="77777777" w:rsidR="007F0AE0" w:rsidRPr="005762E6" w:rsidRDefault="007F0AE0" w:rsidP="00453DE3">
            <w:pPr>
              <w:spacing w:after="120" w:line="240" w:lineRule="auto"/>
              <w:contextualSpacing/>
              <w:rPr>
                <w:sz w:val="20"/>
                <w:szCs w:val="20"/>
              </w:rPr>
            </w:pPr>
            <w:r w:rsidRPr="005762E6">
              <w:rPr>
                <w:sz w:val="20"/>
                <w:szCs w:val="20"/>
              </w:rPr>
              <w:t>535</w:t>
            </w:r>
          </w:p>
        </w:tc>
        <w:tc>
          <w:tcPr>
            <w:tcW w:w="0" w:type="auto"/>
            <w:tcBorders>
              <w:top w:val="single" w:sz="6" w:space="0" w:color="auto"/>
              <w:left w:val="single" w:sz="6" w:space="0" w:color="auto"/>
              <w:bottom w:val="single" w:sz="6" w:space="0" w:color="auto"/>
              <w:right w:val="single" w:sz="6" w:space="0" w:color="auto"/>
            </w:tcBorders>
          </w:tcPr>
          <w:p w14:paraId="7D389D2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FF17F6F" w14:textId="77777777" w:rsidR="007F0AE0" w:rsidRPr="005762E6" w:rsidRDefault="007F0AE0" w:rsidP="00453DE3">
            <w:pPr>
              <w:spacing w:after="120" w:line="240" w:lineRule="auto"/>
              <w:contextualSpacing/>
              <w:rPr>
                <w:sz w:val="20"/>
                <w:szCs w:val="20"/>
              </w:rPr>
            </w:pPr>
            <w:r w:rsidRPr="005762E6">
              <w:rPr>
                <w:sz w:val="20"/>
                <w:szCs w:val="20"/>
              </w:rPr>
              <w:t>Alicia K Matthews,​ Megan Conrad,​ Lisa Kuhns,​ Maria Vargas,​ Andrea C King Project Exhale: preliminary evaluation of a tailored smoking cessation treatment for HIV-positive African American smokers.. AIDS patient care and STDs; 2013;27:22.</w:t>
            </w:r>
            <w:r w:rsidRPr="005762E6">
              <w:rPr>
                <w:sz w:val="20"/>
                <w:szCs w:val="20"/>
              </w:rPr>
              <w:br/>
            </w:r>
            <w:r w:rsidRPr="005762E6">
              <w:rPr>
                <w:sz w:val="20"/>
                <w:szCs w:val="20"/>
              </w:rPr>
              <w:br/>
            </w:r>
            <w:r w:rsidRPr="005762E6">
              <w:rPr>
                <w:b/>
                <w:bCs/>
                <w:sz w:val="20"/>
                <w:szCs w:val="20"/>
              </w:rPr>
              <w:t>Keywords:</w:t>
            </w:r>
            <w:r w:rsidRPr="005762E6">
              <w:rPr>
                <w:sz w:val="20"/>
                <w:szCs w:val="20"/>
              </w:rPr>
              <w:br/>
              <w:t>Administration,​ Cutaneous,​Adult,​*African Americans/px [Psychology],​Aged,​Community Health Centers,​Follow-Up Studies,​HIV Seropositivity/eh [Ethnology],​*HIV Seropositivity/px [Psychology],​Health Promotion/mt [Methods],​Humans,​Interviews as Topic,​Male,​Middle Aged,​Motivation,​Nicotine/ad [Administration &amp; Dosage],​Patient Acceptance of Health Care,​Patient-Centered Care,​Program Evaluation/mt [Methods],​*Psychotherapy,​ Group,​*Smoking/eh [Ethnology],​Smoking/th [Therapy],​*Smoking Cessation/eh [Ethnology],​*Smoking Cessation/mt [Methods],​Smoking Cessation/px [Psychology],​Surveys and Questionnaires,​Treatment Outcome,​United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This study examined the feasibility,​ acceptability,​ and outcomes of a culturally tailored smoking cessation intervention for HIV-positive African American male smokers. Eligible smokers were enrolled in a seven-session group-based treatment combined with nicotine patch. The mean age of participants was M=46 years. The majority were daily smokers (71%),​ smoked a mentholated brand (80%),​ and averaged 8.6 (standard deviation [SD]=8.1) cigarettes per day. Baseline nicotine dependency scores (M=5.8) indicated a moderate to </w:t>
            </w:r>
            <w:r w:rsidRPr="005762E6">
              <w:rPr>
                <w:sz w:val="20"/>
                <w:szCs w:val="20"/>
              </w:rPr>
              <w:lastRenderedPageBreak/>
              <w:t>high degree of physical dependence. Of the 31 participants enrolled,​ the majority completed treatment (&gt;=3 sessions; 68%),​ 1-month follow-up (74%),​ and 3-month follow-up (87%) interviews. Program acceptability scores were strong. However,​ adherence to the patch was low,​ with 39% reporting daily patch use. The majority of participants (80%,​ n=24) made a quit attempt. Furthermore,​ over the course of the intervention,​ smoking urge,​ cigarettes smoked,​ nicotine dependence,​ withdrawal symptoms,​ and depression scores all significantly decreased. Follow-up quit rates at 1 and 3 months ranged from 6% to 24%,​ with treatment completers having better outcomes. This first of its kind intervention for HIV-positive African American male smokers was feasible,​ acceptable,​ and showed benefit for reducing smoking behaviors and depression scores. Smoking cessation outcomes were on par with other similar programs. A larger trial is needed to address limitations and to confirm benefits.</w:t>
            </w:r>
          </w:p>
        </w:tc>
      </w:tr>
      <w:tr w:rsidR="007F0AE0" w:rsidRPr="005762E6" w14:paraId="0ED8815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840471" w14:textId="77777777" w:rsidR="007F0AE0" w:rsidRPr="005762E6" w:rsidRDefault="007F0AE0" w:rsidP="00453DE3">
            <w:pPr>
              <w:spacing w:after="120" w:line="240" w:lineRule="auto"/>
              <w:contextualSpacing/>
              <w:rPr>
                <w:sz w:val="20"/>
                <w:szCs w:val="20"/>
              </w:rPr>
            </w:pPr>
            <w:r w:rsidRPr="005762E6">
              <w:rPr>
                <w:sz w:val="20"/>
                <w:szCs w:val="20"/>
              </w:rPr>
              <w:lastRenderedPageBreak/>
              <w:t>536</w:t>
            </w:r>
          </w:p>
        </w:tc>
        <w:tc>
          <w:tcPr>
            <w:tcW w:w="0" w:type="auto"/>
            <w:tcBorders>
              <w:top w:val="single" w:sz="6" w:space="0" w:color="auto"/>
              <w:left w:val="single" w:sz="6" w:space="0" w:color="auto"/>
              <w:bottom w:val="single" w:sz="6" w:space="0" w:color="auto"/>
              <w:right w:val="single" w:sz="6" w:space="0" w:color="auto"/>
            </w:tcBorders>
          </w:tcPr>
          <w:p w14:paraId="2CAB416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0F840BE" w14:textId="77777777" w:rsidR="007F0AE0" w:rsidRPr="005762E6" w:rsidRDefault="007F0AE0" w:rsidP="00453DE3">
            <w:pPr>
              <w:spacing w:after="120" w:line="240" w:lineRule="auto"/>
              <w:contextualSpacing/>
              <w:rPr>
                <w:sz w:val="20"/>
                <w:szCs w:val="20"/>
              </w:rPr>
            </w:pPr>
            <w:r w:rsidRPr="005762E6">
              <w:rPr>
                <w:sz w:val="20"/>
                <w:szCs w:val="20"/>
              </w:rPr>
              <w:t>Lorraine R Reitzel,​ Yisheng Li,​ Diana W Stewart,​ Yumei Cao,​ David W Wetter,​ Andrew J Waters,​ Jennifer I Vidrine Race moderates the effect of menthol cigarette use on short-term smoking abstinence.. Nicotine &amp; tobacco research : official journal of the Society for Research on Nicotine and Tobacco; 2013;15:883.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Data],​Aged,​Cohort Studies,​Demography,​*European Continental Ancestry Group/sn [Statistics &amp; Numerical Data],​Female,​Follow-Up Studies,​Humans,​Longitudinal Studies,​Male,​*Menthol/ae [Adverse Effects],​Middle Aged,​*Smoking/eh [Ethnology],​*Smoking Cessation/eh [Ethnology],​Smoking Cessation/sn [Statistics &amp; Numerical Data],​Socioeconomic Factors,​Tobacco Products,​Tobacco Use Disorder/ep [Epidemiology],​*Tobacco Use Disorder/eh [Ethnology],​United States/ep [Epidemiology],​United States Food and Drug Administration,​Young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Food and Drug Administration is in the process of reviewing evidence of the impact of mentholated cigarettes on smoking behaviors and smoking cessation in order to determine if these products should be removed from the market. More empirical research is needed to inform those decisions. The goal of this study was to examine associations of menthol cigarette use with biochemically verified continuous short-term smoking abstinence,​ and potential moderation by race,​ among adult current smokers enrolled in a cohort study (N = 183; 57.4% female; 48.1% non-Hispanic Black,​ 51.9% non-Hispanic White).,​ METHODS: Continuation ratio logit models,​ adjusted for age,​ race,​ gender,​ total annual household income,​ educational level,​ employment status,​ and partner status,​ were used to examine associations of menthol use with smoking abstinence with and without an interaction term for race.,​ RESULTS: Menthol cigarette use was not significantly associated with smoking abstinence in the sample as a whole; however,​ there was a significant interaction of menthol use with race (p = .03). Follow-up analyses stratified by race indicated that among White participants,​ menthol users had significantly lower odds of maintaining continuous abstinence than nonmenthol users (p = .05). Exploratory analyses suggested that tobacco dependence may lie along the causal pathway and partially explain this effect.,​ CONCLUSIONS: White menthol smokers in this sample were at increased risk of smoking relapse relative to White nonmenthol smokers,​ at least partially due to greater tobacco dependence. Results should be replicated among other treatment-seeking samples with a greater representation of White menthol and Black nonmenthol smokers.</w:t>
            </w:r>
          </w:p>
        </w:tc>
      </w:tr>
      <w:tr w:rsidR="007F0AE0" w:rsidRPr="005762E6" w14:paraId="555643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E65839" w14:textId="77777777" w:rsidR="007F0AE0" w:rsidRPr="005762E6" w:rsidRDefault="007F0AE0" w:rsidP="00453DE3">
            <w:pPr>
              <w:spacing w:after="120" w:line="240" w:lineRule="auto"/>
              <w:contextualSpacing/>
              <w:rPr>
                <w:sz w:val="20"/>
                <w:szCs w:val="20"/>
              </w:rPr>
            </w:pPr>
            <w:r w:rsidRPr="005762E6">
              <w:rPr>
                <w:sz w:val="20"/>
                <w:szCs w:val="20"/>
              </w:rPr>
              <w:t>538</w:t>
            </w:r>
          </w:p>
        </w:tc>
        <w:tc>
          <w:tcPr>
            <w:tcW w:w="0" w:type="auto"/>
            <w:tcBorders>
              <w:top w:val="single" w:sz="6" w:space="0" w:color="auto"/>
              <w:left w:val="single" w:sz="6" w:space="0" w:color="auto"/>
              <w:bottom w:val="single" w:sz="6" w:space="0" w:color="auto"/>
              <w:right w:val="single" w:sz="6" w:space="0" w:color="auto"/>
            </w:tcBorders>
          </w:tcPr>
          <w:p w14:paraId="79D33AF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78A7278" w14:textId="77777777" w:rsidR="007F0AE0" w:rsidRPr="005762E6" w:rsidRDefault="007F0AE0" w:rsidP="00453DE3">
            <w:pPr>
              <w:spacing w:after="120" w:line="240" w:lineRule="auto"/>
              <w:contextualSpacing/>
              <w:rPr>
                <w:sz w:val="20"/>
                <w:szCs w:val="20"/>
              </w:rPr>
            </w:pPr>
            <w:r w:rsidRPr="005762E6">
              <w:rPr>
                <w:sz w:val="20"/>
                <w:szCs w:val="20"/>
              </w:rPr>
              <w:t>Babalola Faseru,​ Nicole L Nollen,​ Matthew S Mayo,​ Ron Krebill,​ Won S Choi,​ Neal L Benowitz,​ Rachel F Tyndale,​ Kolawole S Okuyemi,​ Jasjit S Ahluwalia,​ Lisa Sanderson Cox Predictors of cessation in African American light smokers enrolled in a bupropion clinical trial.. Addictive behaviors; 2013;38:1796.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Americans,​Aged,​*Bupropion/tu [Therapeutic Use],​Combined Modality Therapy,​Counseling,​*Dopamine Uptake Inhibitors/tu [Therapeutic Use],​Double-Blind Method,​Female,​Health Education/mt [Methods],​Humans,​Male,​Middle Aged,​*Smoking Cessation/mt [Methods],​*Smoking Prevention,​Young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This is the first study to examine predictors of successful cessation in African American (AA) light smokers treated within a placebo-controlled trial of bupropion.,​ METHODS: We analyzed data from a randomized,​ double-blind,​ placebo-controlled trial of bupropion and health education for 540 African American light smokers. African American light smokers (&lt;=10 cigarettes per day,​ cpd) were randomly assigned to receive 150mg bid bupropion SR (n=270) or placebo (n=270) for 7weeks. All participants received health education </w:t>
            </w:r>
            <w:r w:rsidRPr="005762E6">
              <w:rPr>
                <w:sz w:val="20"/>
                <w:szCs w:val="20"/>
              </w:rPr>
              <w:lastRenderedPageBreak/>
              <w:t>counseling at weeks 0,​ 1,​ 3,​ 5 and 7. Using chi-square tests,​ two sample t-tests,​ and multiple logistic regression analyses,​ we examined baseline psychosocial and smoking characteristics as predictors of cotinine-verified 7-day point prevalence smoking abstinence among study participants at the end treatment (Week 7) and at the end of follow-up (Week 26).,​ RESULTS: Participants who received bupropion were significantly more likely to quit smoking compared to those who received placebo (OR=2.72,​ 95% CI=1.60-4.62,​ P=0.0002). Greater study session attendance (OR=2.47,​ 95% CI=1.76-3.46,​ P=0.0001),​ and smoking non-menthol cigarettes increased the likelihood of quitting (OR=1.84,​ 95% CI=1.01-3.36,​ P=0.05); while longer years of smoking (OR=0.98,​ 95% CI=0.96-1.00,​ P=0.05) and higher baseline cotinine (OR=0.97,​ 95% CI=0.95-0.99,​ P=0.002) significantly reduced the odds of quitting at Week 7. Conversely,​ at the end of follow-up (Week 26),​ treatment with bupropion vs. placebo (OR=1.14,​ 95% CI=0.65-2.02,​ P=0.64) was not significantly associated with quitting and type of cigarette smoked (menthol vs. non-menthol) did not appear in the final logistic regression model. Greater study session attendance (OR=1.96,​ 95% CI=1.44-2.66,​ P=0.0001); BMI (OR=1.03,​ 95% CI=1.00-1.07,​ P=0.04); and weight efficacy (OR=1.03,​ 95% CI=1.01-1.05,​ P=0.01) increased the likelihood of quitting at Week 26. Similar to our findings at Week 7,​ longer years of smoking (OR=0.96,​ 95% CI=0.94-0.99,​ P=0.01) and higher baseline cotinine (OR=0.97,​ 95% CI=0.95-0.99,​ P=0.02) significantly reduced the odds of quitting at Week 26.,​ CONCLUSIONS: Baseline cotinine levels,​ number of years smoked and study session attendance are associated with both short- and long-term smoking cessation,​ while bupropion and the type of cigarette smoked were associated with quitting on short term only. Copyright © 2012 Elsevier Ltd. All rights reserved.</w:t>
            </w:r>
          </w:p>
        </w:tc>
      </w:tr>
      <w:tr w:rsidR="007F0AE0" w:rsidRPr="005762E6" w14:paraId="1A563B7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78CF3C" w14:textId="77777777" w:rsidR="007F0AE0" w:rsidRPr="005762E6" w:rsidRDefault="007F0AE0" w:rsidP="00453DE3">
            <w:pPr>
              <w:spacing w:after="120" w:line="240" w:lineRule="auto"/>
              <w:contextualSpacing/>
              <w:rPr>
                <w:sz w:val="20"/>
                <w:szCs w:val="20"/>
              </w:rPr>
            </w:pPr>
            <w:r w:rsidRPr="005762E6">
              <w:rPr>
                <w:sz w:val="20"/>
                <w:szCs w:val="20"/>
              </w:rPr>
              <w:lastRenderedPageBreak/>
              <w:t>539</w:t>
            </w:r>
          </w:p>
        </w:tc>
        <w:tc>
          <w:tcPr>
            <w:tcW w:w="0" w:type="auto"/>
            <w:tcBorders>
              <w:top w:val="single" w:sz="6" w:space="0" w:color="auto"/>
              <w:left w:val="single" w:sz="6" w:space="0" w:color="auto"/>
              <w:bottom w:val="single" w:sz="6" w:space="0" w:color="auto"/>
              <w:right w:val="single" w:sz="6" w:space="0" w:color="auto"/>
            </w:tcBorders>
          </w:tcPr>
          <w:p w14:paraId="5AB31F7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4CAFCF0" w14:textId="77777777" w:rsidR="007F0AE0" w:rsidRPr="005762E6" w:rsidRDefault="007F0AE0" w:rsidP="00453DE3">
            <w:pPr>
              <w:spacing w:after="120" w:line="240" w:lineRule="auto"/>
              <w:contextualSpacing/>
              <w:rPr>
                <w:sz w:val="20"/>
                <w:szCs w:val="20"/>
              </w:rPr>
            </w:pPr>
            <w:r w:rsidRPr="005762E6">
              <w:rPr>
                <w:sz w:val="20"/>
                <w:szCs w:val="20"/>
              </w:rPr>
              <w:t>Miranda R Jones,​ Benjamin J Apelberg,​ Maria Tellez-Plaza,​ Jonathan M Samet,​ Ana Navas-Acien Menthol cigarettes,​ race/ethnicity,​ and biomarkers of tobacco use in U.S. adults: the 1999-2010 National Health and Nutrition Examination Survey (NHANES).. Cancer epidemiology,​ biomarkers &amp; prevention : a publication of the American Association for Cancer Research,​ cosponsored by the American Society of Preventive Oncology; 2013;22:224.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Data],​*Biomarkers/an [Analysis],​Cadmium/bl [Blood],​Case-Control Studies,​Cotinine/bl [Blood],​*Ethnic Groups/sn [Statistics &amp; Numerical Data],​European Continental Ancestry Group/sn [Statistics &amp; Numerical Data],​Female,​Follow-Up Studies,​Humans,​Lead/bl [Blood],​Male,​*Menthol/ae [Adverse Effects],​Mexican Americans/sn [Statistics &amp; Numerical Data],​Nitrosamines/ur [Urine],​Nutrition Surveys,​Prognosis,​Pyridines/ur [Urine],​Smoking/bl [Blood],​*Smoking/ep [Epidemiology],​Smoking/ur [Urine],​Time Factors,​*Tobacco Products/ut [Utilization],​United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In the United States,​ cigarette flavorings are banned,​ with the exception of menthol. The cooling effects of menthol could facilitate the absorption of tobacco toxicants. We examined levels of biomarkers of tobacco exposure among U.S. smokers of menthol and nonmenthol cigarettes.,​ METHODS: We studied 4,​603 White,​ African-American,​ and Mexican-American current smokers 20 years of age or older who participated in the National Health and Nutrition Examination Survey (NHANES) from 1999 through 2010 and had data on cigarette type and serum cotinine,​ blood cadmium,​ and blood lead concentrations. Urinary total 4-(methylnitrosamino)-1-(3-pyridyl)-1-butanol) (NNAL) was studied in 1,​607 participants with available measures.,​ RESULTS: A total of 3,​210 (74.3%) participants smoked nonmenthol cigarettes compared with 1,​393 (25.7%) participants who smoked menthol cigarettes. The geometric mean concentrations comparing smokers of nonmenthol with menthol cigarettes were 163.1 versus 175.9 ng/mL for serum cotinine; 0.95 versus 1.02 mug/L for blood cadmium; 1.87 versus 1.75 mug/dL for blood lead; and 0.27 versus 0.23 ng/mL for urine NNAL. After multivariable adjustment,​ the ratios [95% confidence interval (CI)] comparing smokers of menthol with nonmenthol cigarettes were 1.03 (0.95-1.11) for cotinine,​ 1.10 (1.04-1.16) for cadmium,​ 0.95 (0.90-1.01) for lead,​ and 0.81 (0.65-1.01) for NNAL.,​ CONCLUSIONS: In a representative sample of U.S. adult smokers,​ current menthol cigarette use was associated with increased concentration of blood cadmium,​ an established carcinogen and highly toxic metal,​ but not with other biomarkers.,​ IMPACT: These findings provide information regarding possible differences in exposure to toxic constituents among menthol cigarette smokers compared with nonmenthol cigarette smokers.</w:t>
            </w:r>
          </w:p>
        </w:tc>
      </w:tr>
      <w:tr w:rsidR="007F0AE0" w:rsidRPr="005762E6" w14:paraId="132E0CF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933E126" w14:textId="77777777" w:rsidR="007F0AE0" w:rsidRPr="005762E6" w:rsidRDefault="007F0AE0" w:rsidP="00453DE3">
            <w:pPr>
              <w:spacing w:after="120" w:line="240" w:lineRule="auto"/>
              <w:contextualSpacing/>
              <w:rPr>
                <w:sz w:val="20"/>
                <w:szCs w:val="20"/>
              </w:rPr>
            </w:pPr>
            <w:r w:rsidRPr="005762E6">
              <w:rPr>
                <w:sz w:val="20"/>
                <w:szCs w:val="20"/>
              </w:rPr>
              <w:t>540</w:t>
            </w:r>
          </w:p>
        </w:tc>
        <w:tc>
          <w:tcPr>
            <w:tcW w:w="0" w:type="auto"/>
            <w:tcBorders>
              <w:top w:val="single" w:sz="6" w:space="0" w:color="auto"/>
              <w:left w:val="single" w:sz="6" w:space="0" w:color="auto"/>
              <w:bottom w:val="single" w:sz="6" w:space="0" w:color="auto"/>
              <w:right w:val="single" w:sz="6" w:space="0" w:color="auto"/>
            </w:tcBorders>
          </w:tcPr>
          <w:p w14:paraId="5651735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DC329FA" w14:textId="77777777" w:rsidR="007F0AE0" w:rsidRPr="005762E6" w:rsidRDefault="007F0AE0" w:rsidP="00453DE3">
            <w:pPr>
              <w:spacing w:after="120" w:line="240" w:lineRule="auto"/>
              <w:contextualSpacing/>
              <w:rPr>
                <w:sz w:val="20"/>
                <w:szCs w:val="20"/>
              </w:rPr>
            </w:pPr>
            <w:r w:rsidRPr="005762E6">
              <w:rPr>
                <w:sz w:val="20"/>
                <w:szCs w:val="20"/>
              </w:rPr>
              <w:t>Miranda R Jones,​ Benjamin J Apelberg,​ Jonathan M Samet,​ Ana Navas-Acien Smoking,​ menthol cigarettes,​ and peripheral artery disease in U.S. adults.. Nicotine &amp; tobacco research : official journal of the Society for Research on Nicotine and Tobacco; 2013;15:1183.</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Female,​Humans,​Menthol,​Middle Aged,​Odds Ratio,​*Peripheral Arterial Disease/ep [Epidemiology],​Peripheral Arterial Disease/eh [Ethnology],​*Peripheral Arterial Disease/et [Etiology],​Self-Report,​Smoking/ae [Adverse Effects],​*Smoking/ep [Epidemiology],​Smoking/eh [Ethnology],​Surveys and Questionnaires,​Tobacco Products,​United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Cigarette flavorings,​ with the exception of menthol,​ have been banned in the United States under the Family Smoking Prevention and Tobacco Control Act. Given the large number of menthol cigarette smokers in the United States,​ we investigated whether cigarette type (nonmenthol or menthol) is associated with peripheral artery disease (PAD).,​ METHODS: The authors studied 5,​973 adults,​ 40 years of age and older,​ who participated in the National Health and Nutrition Examination Survey (NHANES) from 1999 to 2004. Smoking status and cigarette type were derived from self-reported questionnaires. PAD was defined as an ankle-brachial blood pressure index &lt;0.9 in at least 1 leg.,​ RESULTS: Fifty percent of participants were never-smokers compared to 31%,​ 14%,​ and 5% of former,​ current nonmenthol,​ and current menthol cigarette smokers,​ respectively. The weighted prevalence of PAD in the study population was 5%. After multivariable adjustment,​ the odds ratios for PAD were 1.44 (95% CI: 0.97,​ 2.15),​ 3.65 (95% CI: 1.57,​ 8.50),​ and 2.51 (95% CI: 1.09,​ 5.80) comparing former,​ current nonmenthol cigarette smokers,​ and current menthol cigarette smokers to never-smokers. The associations between smoking and PAD were similar for smokers of nonmenthol and menthol cigarettes (p value for heterogeneity = .59).,​ CONCLUSIONS: In a representative sample of the U.S. population,​ current use of both menthol and nonmenthol cigarettes was associated with increased prevalence of PAD,​ with no difference in risk between cigarette types.</w:t>
            </w:r>
          </w:p>
        </w:tc>
      </w:tr>
      <w:tr w:rsidR="007F0AE0" w:rsidRPr="005762E6" w14:paraId="331C4B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B48C4A" w14:textId="77777777" w:rsidR="007F0AE0" w:rsidRPr="005762E6" w:rsidRDefault="007F0AE0" w:rsidP="00453DE3">
            <w:pPr>
              <w:spacing w:after="120" w:line="240" w:lineRule="auto"/>
              <w:contextualSpacing/>
              <w:rPr>
                <w:sz w:val="20"/>
                <w:szCs w:val="20"/>
              </w:rPr>
            </w:pPr>
            <w:r w:rsidRPr="005762E6">
              <w:rPr>
                <w:sz w:val="20"/>
                <w:szCs w:val="20"/>
              </w:rPr>
              <w:lastRenderedPageBreak/>
              <w:t>541</w:t>
            </w:r>
          </w:p>
        </w:tc>
        <w:tc>
          <w:tcPr>
            <w:tcW w:w="0" w:type="auto"/>
            <w:tcBorders>
              <w:top w:val="single" w:sz="6" w:space="0" w:color="auto"/>
              <w:left w:val="single" w:sz="6" w:space="0" w:color="auto"/>
              <w:bottom w:val="single" w:sz="6" w:space="0" w:color="auto"/>
              <w:right w:val="single" w:sz="6" w:space="0" w:color="auto"/>
            </w:tcBorders>
          </w:tcPr>
          <w:p w14:paraId="7176D8E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76D31CC" w14:textId="77777777" w:rsidR="007F0AE0" w:rsidRPr="005762E6" w:rsidRDefault="007F0AE0" w:rsidP="00453DE3">
            <w:pPr>
              <w:spacing w:after="120" w:line="240" w:lineRule="auto"/>
              <w:contextualSpacing/>
              <w:rPr>
                <w:sz w:val="20"/>
                <w:szCs w:val="20"/>
              </w:rPr>
            </w:pPr>
            <w:r w:rsidRPr="005762E6">
              <w:rPr>
                <w:sz w:val="20"/>
                <w:szCs w:val="20"/>
              </w:rPr>
              <w:t>Arthur L Brody,​ Alexey G Mukhin,​ Jaime La Charite,​ Karen Ta,​ Judah Farahi,​ Catherine A Sugar,​ Michael S Mamoun,​ Evan Vellios,​ Meena Archie,​ Maggie Kozman,​ Jonathan Phuong,​ Franca Arlorio,​ Mark A Mandelkern Up-regulation of nicotinic acetylcholine receptors in menthol cigarette smokers.. The international journal of neuropsychopharmacology; 2013;16:957.</w:t>
            </w:r>
            <w:r w:rsidRPr="005762E6">
              <w:rPr>
                <w:sz w:val="20"/>
                <w:szCs w:val="20"/>
              </w:rPr>
              <w:br/>
            </w:r>
            <w:r w:rsidRPr="005762E6">
              <w:rPr>
                <w:sz w:val="20"/>
                <w:szCs w:val="20"/>
              </w:rPr>
              <w:br/>
            </w:r>
            <w:r w:rsidRPr="005762E6">
              <w:rPr>
                <w:b/>
                <w:bCs/>
                <w:sz w:val="20"/>
                <w:szCs w:val="20"/>
              </w:rPr>
              <w:t>Keywords:</w:t>
            </w:r>
            <w:r w:rsidRPr="005762E6">
              <w:rPr>
                <w:sz w:val="20"/>
                <w:szCs w:val="20"/>
              </w:rPr>
              <w:br/>
              <w:t>Adult,​Analysis of Variance,​Azetidines/pd [Pharmacology],​*Brain/dg [Diagnostic Imaging],​Brain/de [Drug Effects],​Brain Mapping,​Female,​Fluorine Radioisotopes,​Humans,​Male,​*Menthol/ad [Administration &amp; Dosage],​Middle Aged,​Positron-Emission Tomography,​*Receptors,​ Nicotinic/me [Metabolism],​*Smoking/bl [Blood],​*Smoking/pa [Pathology],​*Up-Regulation/de [Drug Effects]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One-third of smokers primarily use menthol cigarettes and usage of these cigarettes leads to elevated serum nicotine levels and more difficulty quitting in standard treatment programmes. Previous brain imaging studies demonstrate that smoking (without regard to cigarette type) leads to up-regulation of beta(2)*-containing nicotinic acetylcholine receptors (nAChRs). We sought to determine if menthol cigarette usage results in greater nAChR up-regulation than non-menthol cigarette usage. Altogether,​ 114 participants (22 menthol cigarette smokers,​ 41 non-menthol cigarette smokers and 51 non-smokers) underwent positron emission tomography scanning using the alpha(4)beta(2)* nAChR radioligand 2-[(18)F]fluoro-A-85380 (2-FA). In comparing menthol to non-menthol cigarette smokers,​ an overall test of 2-FA total volume of distribution values revealed a significant between-group difference,​ resulting from menthol smokers having 9-28% higher alpha(4)beta(2)* nAChR densities than non-menthol smokers across regions. In comparing the entire group of smokers to non-smokers,​ an overall test revealed a significant between-group difference,​ resulting from smokers having higher alpha(4)beta(2)* nAChR levels in all regions studied (36-42%) other than thalamus (3%). Study results demonstrate that menthol smokers have greater up-regulation of nAChRs than non-menthol smokers. This difference is presumably related to higher nicotine exposure in menthol smokers,​ although other mechanisms for menthol influencing receptor density are possible. These results provide additional information about the severity of menthol cigarette use and may help explain why these smokers have more trouble quitting in standard treatment programmes.</w:t>
            </w:r>
          </w:p>
        </w:tc>
      </w:tr>
      <w:tr w:rsidR="007F0AE0" w:rsidRPr="005762E6" w14:paraId="7703D7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84B435" w14:textId="77777777" w:rsidR="007F0AE0" w:rsidRPr="005762E6" w:rsidRDefault="007F0AE0" w:rsidP="00453DE3">
            <w:pPr>
              <w:spacing w:after="120" w:line="240" w:lineRule="auto"/>
              <w:contextualSpacing/>
              <w:rPr>
                <w:sz w:val="20"/>
                <w:szCs w:val="20"/>
              </w:rPr>
            </w:pPr>
            <w:r w:rsidRPr="005762E6">
              <w:rPr>
                <w:sz w:val="20"/>
                <w:szCs w:val="20"/>
              </w:rPr>
              <w:t>543</w:t>
            </w:r>
          </w:p>
        </w:tc>
        <w:tc>
          <w:tcPr>
            <w:tcW w:w="0" w:type="auto"/>
            <w:tcBorders>
              <w:top w:val="single" w:sz="6" w:space="0" w:color="auto"/>
              <w:left w:val="single" w:sz="6" w:space="0" w:color="auto"/>
              <w:bottom w:val="single" w:sz="6" w:space="0" w:color="auto"/>
              <w:right w:val="single" w:sz="6" w:space="0" w:color="auto"/>
            </w:tcBorders>
          </w:tcPr>
          <w:p w14:paraId="01024BA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01CAC1E" w14:textId="77777777" w:rsidR="007F0AE0" w:rsidRPr="005762E6" w:rsidRDefault="007F0AE0" w:rsidP="00453DE3">
            <w:pPr>
              <w:spacing w:after="120" w:line="240" w:lineRule="auto"/>
              <w:contextualSpacing/>
              <w:rPr>
                <w:sz w:val="20"/>
                <w:szCs w:val="20"/>
              </w:rPr>
            </w:pPr>
            <w:r w:rsidRPr="005762E6">
              <w:rPr>
                <w:sz w:val="20"/>
                <w:szCs w:val="20"/>
              </w:rPr>
              <w:t>V Blair Journigan,​ Nurulain T Zaveri TRPM8 ion channel ligands for new therapeutic applications and as probes to study menthol pharmacology.. Life sciences; 2013;92:425.</w:t>
            </w:r>
            <w:r w:rsidRPr="005762E6">
              <w:rPr>
                <w:sz w:val="20"/>
                <w:szCs w:val="20"/>
              </w:rPr>
              <w:br/>
            </w:r>
            <w:r w:rsidRPr="005762E6">
              <w:rPr>
                <w:sz w:val="20"/>
                <w:szCs w:val="20"/>
              </w:rPr>
              <w:br/>
            </w:r>
            <w:r w:rsidRPr="005762E6">
              <w:rPr>
                <w:b/>
                <w:bCs/>
                <w:sz w:val="20"/>
                <w:szCs w:val="20"/>
              </w:rPr>
              <w:t>Keywords:</w:t>
            </w:r>
            <w:r w:rsidRPr="005762E6">
              <w:rPr>
                <w:sz w:val="20"/>
                <w:szCs w:val="20"/>
              </w:rPr>
              <w:br/>
              <w:t>Animals,​Antineoplastic Agents/ch [Chemistry],​Antineoplastic Agents/pd [Pharmacology],​Cold Temperature,​</w:t>
            </w:r>
            <w:r w:rsidRPr="005762E6">
              <w:rPr>
                <w:sz w:val="20"/>
                <w:szCs w:val="20"/>
              </w:rPr>
              <w:lastRenderedPageBreak/>
              <w:t>Female,​Humans,​Inflammation/dt [Drug Therapy],​Ligands,​Male,​Menthol/aa [Analogs &amp; Derivatives],​Menthol/ch [Chemistry],​*Menthol/pd [Pharmacology],​Neuralgia/dt [Drug Therapy],​Prostatic Hyperplasia/dt [Drug Therapy],​Prostatic Hyperplasia/pa [Pathology],​Prostatic Neoplasms/dt [Drug Therapy],​Sensory Receptor Cells/ph [Physiology],​Smoking/ae [Adverse Effects],​TRPM Cation Channels/ag [Agonists],​TRPM Cation Channels/ai [Antagonists &amp; Inhibitors],​*TRPM Cation Channels/de [Drug Effects],​Thermosensing/ph [Physiology],​Urologic Diseases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Since the discovery of the TRPM8 gene in 2001,​ the TRPM8 ion channel,​ better known as the 'cold receptor' has been the target of a significant effort from the pharmaceutical industry to produce small-molecule agonists and antagonists of this receptor for various therapeutic applications ranging from cancer and urological disorders to the treatment of cold hypersensitivity and pain. Recently,​ a number of clinical studies have implicated menthol,​ the natural ligand of TRPM8,​ in facilitating and maintaining cigarette smoking behavior,​ possibly through its counter-irritant effects. However,​ a pharmacological link between menthol's action via TRPM8 and nicotine addiction has not been yet been investigated. This review gives an overview of reported small-molecule TRPM8 agonists and antagonists and discusses their efficacy in models of various disease states. These compounds may be useful pharmacological tools to investigate the effect of menthol on nicotine addiction. Copyright © 2012 Elsevier Inc. All rights reserved.</w:t>
            </w:r>
          </w:p>
        </w:tc>
      </w:tr>
      <w:tr w:rsidR="007F0AE0" w:rsidRPr="005762E6" w14:paraId="25CFDF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5E4FC9" w14:textId="77777777" w:rsidR="007F0AE0" w:rsidRPr="005762E6" w:rsidRDefault="007F0AE0" w:rsidP="00453DE3">
            <w:pPr>
              <w:spacing w:after="120" w:line="240" w:lineRule="auto"/>
              <w:contextualSpacing/>
              <w:rPr>
                <w:sz w:val="20"/>
                <w:szCs w:val="20"/>
              </w:rPr>
            </w:pPr>
            <w:r w:rsidRPr="005762E6">
              <w:rPr>
                <w:sz w:val="20"/>
                <w:szCs w:val="20"/>
              </w:rPr>
              <w:lastRenderedPageBreak/>
              <w:t>544</w:t>
            </w:r>
          </w:p>
        </w:tc>
        <w:tc>
          <w:tcPr>
            <w:tcW w:w="0" w:type="auto"/>
            <w:tcBorders>
              <w:top w:val="single" w:sz="6" w:space="0" w:color="auto"/>
              <w:left w:val="single" w:sz="6" w:space="0" w:color="auto"/>
              <w:bottom w:val="single" w:sz="6" w:space="0" w:color="auto"/>
              <w:right w:val="single" w:sz="6" w:space="0" w:color="auto"/>
            </w:tcBorders>
          </w:tcPr>
          <w:p w14:paraId="6227BD3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993CA98" w14:textId="77777777" w:rsidR="007F0AE0" w:rsidRPr="005762E6" w:rsidRDefault="007F0AE0" w:rsidP="00453DE3">
            <w:pPr>
              <w:spacing w:after="120" w:line="240" w:lineRule="auto"/>
              <w:contextualSpacing/>
              <w:rPr>
                <w:sz w:val="20"/>
                <w:szCs w:val="20"/>
              </w:rPr>
            </w:pPr>
            <w:r w:rsidRPr="005762E6">
              <w:rPr>
                <w:sz w:val="20"/>
                <w:szCs w:val="20"/>
              </w:rPr>
              <w:t>Brian Rostron NNAL exposure by race and menthol cigarette use among U.S. smokers.. Nicotine &amp; tobacco research : official journal of the Society for Research on Nicotine and Tobacco; 2013;15:950.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Group/sn [Statistics &amp; Numerical Data],​Biomarkers/an [Analysis],​*Carcinogens/me [Metabolism],​*Cotinine/bl [Blood],​Demography,​European Continental Ancestry Group/sn [Statistics &amp; Numerical Data],​Female,​Hispanic Americans/sn [Statistics &amp; Numerical Data],​Humans,​Male,​Menthol,​Middle Aged,​*Nicotine/me [Metabolism],​*Nitrosamines/me [Metabolism],​Nitrosamines/ur [Urine],​Nutrition Surveys,​*Pyridines/me [Metabolism],​Pyridines/ur [Urine],​*Smoking/ep [Epidemiology],​Smoking/eh [Ethnology],​Tobacco Products,​United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Researchers have recently suggested that nicotine and carcinogen exposure as measured by biomarkers such as cotinine and NNAL (4-(methylnitrosamino)-1-(3-pyridyl)-1-butanol) does not vary with cigarettes smoked per day (CPD) among Black smokers. Researchers have also suggested that nicotine exposure does not differ between menthol and nonmenthol smokers. In this study,​ we examine NNAL exposure for U.S. smokers by race,​ CPD,​ and menthol cigarette use.,​ METHODS: We analyzed urinary NNAL concentrations for more than 1500 everyday smokers participating in the National Health and Nutrition Examination Survey from 2007-2010. For purposes of comparison,​ we also analyzed serum cotinine concentrations for these smokers. We used linear regression analysis to estimate mean biomarker concentrations by CPD and race/ethnicity group and to examine the association between biomarker concentrations and menthol cigarette use by race/ethnicity group,​ controlling for other demographic and smoking characteristics.,​ RESULTS: Biomarker concentrations increased with CPD for White,​ Black,​ and Hispanic smokers although NNAL concentrations leveled off for Black smokers at lower CPD levels compared with other smokers. Mean NNAL concentrations were lower among menthol smokers compared with nonmenthol smokers among smokers overall (beta = -0.165,​ p = .032) and White smokers (beta = -0.207,​ p = .048).,​ CONCLUSIONS: We find evidence in national health survey data that nicotine and carcinogen exposure generally increases with CPD across race/ethnicity groups although the pattern of NNAL exposure differs by race/ethnicity group at high CPD levels. We also find evidence of differences in NNAL exposure for menthol smokers compared with nonmenthol smokers among smokers overall and White smokers.</w:t>
            </w:r>
          </w:p>
        </w:tc>
      </w:tr>
      <w:tr w:rsidR="007F0AE0" w:rsidRPr="005762E6" w14:paraId="216FB49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B425F1" w14:textId="77777777" w:rsidR="007F0AE0" w:rsidRPr="005762E6" w:rsidRDefault="007F0AE0" w:rsidP="00453DE3">
            <w:pPr>
              <w:spacing w:after="120" w:line="240" w:lineRule="auto"/>
              <w:contextualSpacing/>
              <w:rPr>
                <w:sz w:val="20"/>
                <w:szCs w:val="20"/>
              </w:rPr>
            </w:pPr>
            <w:r w:rsidRPr="005762E6">
              <w:rPr>
                <w:sz w:val="20"/>
                <w:szCs w:val="20"/>
              </w:rPr>
              <w:t>546</w:t>
            </w:r>
          </w:p>
        </w:tc>
        <w:tc>
          <w:tcPr>
            <w:tcW w:w="0" w:type="auto"/>
            <w:tcBorders>
              <w:top w:val="single" w:sz="6" w:space="0" w:color="auto"/>
              <w:left w:val="single" w:sz="6" w:space="0" w:color="auto"/>
              <w:bottom w:val="single" w:sz="6" w:space="0" w:color="auto"/>
              <w:right w:val="single" w:sz="6" w:space="0" w:color="auto"/>
            </w:tcBorders>
          </w:tcPr>
          <w:p w14:paraId="44204EE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68041F9" w14:textId="77777777" w:rsidR="007F0AE0" w:rsidRPr="005762E6" w:rsidRDefault="007F0AE0" w:rsidP="00453DE3">
            <w:pPr>
              <w:spacing w:after="120" w:line="240" w:lineRule="auto"/>
              <w:contextualSpacing/>
              <w:rPr>
                <w:sz w:val="20"/>
                <w:szCs w:val="20"/>
              </w:rPr>
            </w:pPr>
            <w:r w:rsidRPr="005762E6">
              <w:rPr>
                <w:sz w:val="20"/>
                <w:szCs w:val="20"/>
              </w:rPr>
              <w:t>James Nonnemaker,​ James Hersey,​ Ghada Homsi,​ Andrew Busey,​ Jane Allen,​ Donna Vallone Initiation with menthol cigarettes and youth smoking uptake.. Addiction (Abingdon,​ England); 2013;108:171.</w:t>
            </w:r>
            <w:r w:rsidRPr="005762E6">
              <w:rPr>
                <w:sz w:val="20"/>
                <w:szCs w:val="20"/>
              </w:rPr>
              <w:br/>
            </w:r>
            <w:r w:rsidRPr="005762E6">
              <w:rPr>
                <w:sz w:val="20"/>
                <w:szCs w:val="20"/>
              </w:rPr>
              <w:br/>
            </w:r>
            <w:r w:rsidRPr="005762E6">
              <w:rPr>
                <w:b/>
                <w:bCs/>
                <w:sz w:val="20"/>
                <w:szCs w:val="20"/>
              </w:rPr>
              <w:t>Keywords:</w:t>
            </w:r>
            <w:r w:rsidRPr="005762E6">
              <w:rPr>
                <w:sz w:val="20"/>
                <w:szCs w:val="20"/>
              </w:rPr>
              <w:br/>
              <w:t>Adolescent,​Age Distribution,​Child,​Female,​*Flavoring Agents/ae [Adverse Effects],​Humans,​Longitudinal Studies,​Male,​*Menthol/ae [Adverse Effects],​Risk Factors,​Sex Distribution,​*Smoking/ae [Adverse Effects],​Smoking Cessation/px [Psychology],​Smoking Cessation/sn [Statistics &amp; Numerical Data],​*Tobacco Products/ae [Adverse Effects],​*Tobacco Use Disorder/et [Etiology],​United States</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AIMS: We aimed to assess whether young people who first tried menthol cigarettes were at greater risk of becoming established smokers and dependent on nicotine than young people who started smoking non-menthol cigarettes.,​ DESIGN: Cohort study using data from the American Legacy Longitudinal Tobacco Use Reduction Study (ALLTURS),​ a three-wave longitudinal school-based survey of middle school and high school students. Regression methods were used to assess the association between initiation with menthol cigarettes on risk of transitioning to established smoking or quitting from a non-smoking state at baseline and on nicotine dependence score at wave 3.,​ SETTING: The study was conducted in 83 schools in seven communities and five states in the United States.,​ PARTICIPANTS: Analyses were restricted to youth who participated in all three waves of ALLTURS,​ were younger than age 17 at baseline,​ and had initiated smoking during waves 1 or 2 of the study.,​ MEASUREMENTS: Outcomes were indicators of a transition to established smoking or non-smoking from non-established smoking and a nicotine dependence score. The key explanatory variables were an indicator of initiation with menthol cigarettes and indicators for pattern of menthol use over time.,​ FINDINGS: Initiating smoking with menthol cigarettes was associated with progression to established smoking [odds ratio (OR) = 1.80,​ confidence interval (CI): 1.02-3.16] and higher levels of nicotine dependence (beta = 1.25,​ CI: 0.1-2.4).,​ CONCLUSION: Young people in the United States who start smoking menthol cigarettes are at greater risk of progression to regular smoking and nicotine dependence than are young people who start smoking non-menthol cigarettes. Copyright © 2012 The Authors,​ Addiction © 2012 Society for the Study of Addiction.</w:t>
            </w:r>
          </w:p>
        </w:tc>
      </w:tr>
      <w:tr w:rsidR="007F0AE0" w:rsidRPr="005762E6" w14:paraId="1C33458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6EE09D" w14:textId="77777777" w:rsidR="007F0AE0" w:rsidRPr="005762E6" w:rsidRDefault="007F0AE0" w:rsidP="00453DE3">
            <w:pPr>
              <w:spacing w:after="120" w:line="240" w:lineRule="auto"/>
              <w:contextualSpacing/>
              <w:rPr>
                <w:sz w:val="20"/>
                <w:szCs w:val="20"/>
              </w:rPr>
            </w:pPr>
            <w:r w:rsidRPr="005762E6">
              <w:rPr>
                <w:sz w:val="20"/>
                <w:szCs w:val="20"/>
              </w:rPr>
              <w:lastRenderedPageBreak/>
              <w:t>550</w:t>
            </w:r>
          </w:p>
        </w:tc>
        <w:tc>
          <w:tcPr>
            <w:tcW w:w="0" w:type="auto"/>
            <w:tcBorders>
              <w:top w:val="single" w:sz="6" w:space="0" w:color="auto"/>
              <w:left w:val="single" w:sz="6" w:space="0" w:color="auto"/>
              <w:bottom w:val="single" w:sz="6" w:space="0" w:color="auto"/>
              <w:right w:val="single" w:sz="6" w:space="0" w:color="auto"/>
            </w:tcBorders>
          </w:tcPr>
          <w:p w14:paraId="19ABBAE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C2D2D64" w14:textId="77777777" w:rsidR="007F0AE0" w:rsidRPr="005762E6" w:rsidRDefault="007F0AE0" w:rsidP="00453DE3">
            <w:pPr>
              <w:spacing w:after="120" w:line="240" w:lineRule="auto"/>
              <w:contextualSpacing/>
              <w:rPr>
                <w:sz w:val="20"/>
                <w:szCs w:val="20"/>
              </w:rPr>
            </w:pPr>
            <w:r w:rsidRPr="005762E6">
              <w:rPr>
                <w:sz w:val="20"/>
                <w:szCs w:val="20"/>
              </w:rPr>
              <w:t>Joanne D'Silva,​ Raymond G Boyle,​ Rebecca Lien,​ Peter Rode,​ Kolawole S Okuyemi Cessation outcomes among treatment-seeking menthol and nonmenthol smokers.. American journal of preventive medicine; 2012;43:S242.</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Data],​Age Factors,​Aged,​Educational Status,​Female,​Follow-Up Studies,​Hotlines,​Humans,​Male,​*Menthol,​Middle Aged,​Motivation,​Sex Factors,​Smoking/ep [Epidemiology],​*Smoking Cessation/sn [Statistics &amp; Numerical Data],​*Smoking Prevention,​*Tobacco Products/sn [Statistics &amp; Numerical Data],​Tobacco Use Disorder/rh [Rehabilitation],​United States,​United States Food and Drug Administration,​Young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Menthol cigarettes account for 25% of the market in the U.S. The Food and Drug Administration currently is considering regulatory action on tobacco products,​ including a ban on menthol cigarettes. With 39% of menthol smokers reporting that they would quit smoking if menthol cigarettes were banned,​ there is a need to better understand whether existing cessation programs,​ such as quitlines,​ are serving menthol smokers.,​ PURPOSE: This study compared baseline characteristics and cessation outcomes of menthol and nonmenthol smokers who were seeking treatment through a quitline.,​ METHODS: Data were collected between September 2009 and July 2011 on 6257 participants. A random sample of eligible participants who registered for services between March 2010 and February 2011 was contacted for a follow-up survey 7 months post-registration (n=1147). Data were analyzed in 2011.,​ RESULTS: Among participants,​ 18.7% of smokers reported using menthol cigarettes. Menthol smokers were more likely to be female,​ younger,​ African-American,​ and have less than a high school education. Menthol smokers who called the quitline were slightly less likely to enroll in services than nonmenthol smokers (92.2% vs 94.8%,​ p&lt;0.001). However,​ for those that did enroll,​ there were no significant differences in self-reported intent-to-treat 30-day point prevalence abstinence rates between menthol and nonmenthol smokers (17.3% vs 13.8%,​ p=0.191).,​ CONCLUSIONS: Quitlines appear to be adequately serving menthol smokers who call for help. Cessation outcomes for menthol smokers are comparable to nonmenthol smokers. However,​ if a menthol ban motivates many menthol smokers to quit,​ quitlines may have to increase their capacity to meet the increase in demand. Copyright © 2012 American Journal of Preventive Medicine. Published by Elsevier Inc. All rights reserved.</w:t>
            </w:r>
          </w:p>
        </w:tc>
      </w:tr>
      <w:tr w:rsidR="007F0AE0" w:rsidRPr="005762E6" w14:paraId="7B7F21F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FDEFD3" w14:textId="77777777" w:rsidR="007F0AE0" w:rsidRPr="005762E6" w:rsidRDefault="007F0AE0" w:rsidP="00453DE3">
            <w:pPr>
              <w:spacing w:after="120" w:line="240" w:lineRule="auto"/>
              <w:contextualSpacing/>
              <w:rPr>
                <w:sz w:val="20"/>
                <w:szCs w:val="20"/>
              </w:rPr>
            </w:pPr>
            <w:r w:rsidRPr="005762E6">
              <w:rPr>
                <w:sz w:val="20"/>
                <w:szCs w:val="20"/>
              </w:rPr>
              <w:t>551</w:t>
            </w:r>
          </w:p>
        </w:tc>
        <w:tc>
          <w:tcPr>
            <w:tcW w:w="0" w:type="auto"/>
            <w:tcBorders>
              <w:top w:val="single" w:sz="6" w:space="0" w:color="auto"/>
              <w:left w:val="single" w:sz="6" w:space="0" w:color="auto"/>
              <w:bottom w:val="single" w:sz="6" w:space="0" w:color="auto"/>
              <w:right w:val="single" w:sz="6" w:space="0" w:color="auto"/>
            </w:tcBorders>
          </w:tcPr>
          <w:p w14:paraId="29E677E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99385C2" w14:textId="77777777" w:rsidR="007F0AE0" w:rsidRPr="005762E6" w:rsidRDefault="007F0AE0" w:rsidP="00453DE3">
            <w:pPr>
              <w:spacing w:after="120" w:line="240" w:lineRule="auto"/>
              <w:contextualSpacing/>
              <w:rPr>
                <w:sz w:val="20"/>
                <w:szCs w:val="20"/>
              </w:rPr>
            </w:pPr>
            <w:r w:rsidRPr="005762E6">
              <w:rPr>
                <w:sz w:val="20"/>
                <w:szCs w:val="20"/>
              </w:rPr>
              <w:t>Louise Marsh,​ Rob McGee,​ Andrew Gray A refreshing poison: one-quarter of young New Zealand smokers choose menthol.. Australian and New Zealand journal of public health; 2012;36:495.</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Behavior,​*Choice Behavior,​Female,​Health Surveys,​Humans,​Linear Models,​Logistic Models,​Male,​*Menthol/ad [Administration &amp; Dosage],​New Zealand/ep [Epidemiology],​Prevalence,​Risk-Taking,​Sex Distribution,​*Smoking/ep [Epidemiology],​Smoking/px [Psychology],​Smoking Cessation/sn [Statistics &amp; Numerical Data],​Tobacco Use Disorder/ep [Epidemiology]</w:t>
            </w:r>
            <w:r w:rsidRPr="005762E6">
              <w:rPr>
                <w:sz w:val="20"/>
                <w:szCs w:val="20"/>
              </w:rPr>
              <w:br/>
            </w:r>
            <w:r w:rsidRPr="005762E6">
              <w:rPr>
                <w:sz w:val="20"/>
                <w:szCs w:val="20"/>
              </w:rPr>
              <w:lastRenderedPageBreak/>
              <w:br/>
            </w:r>
            <w:r w:rsidRPr="005762E6">
              <w:rPr>
                <w:b/>
                <w:bCs/>
                <w:sz w:val="20"/>
                <w:szCs w:val="20"/>
              </w:rPr>
              <w:t xml:space="preserve">Abstract: </w:t>
            </w:r>
          </w:p>
        </w:tc>
      </w:tr>
      <w:tr w:rsidR="007F0AE0" w:rsidRPr="005762E6" w14:paraId="0A744D0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46ED4D" w14:textId="77777777" w:rsidR="007F0AE0" w:rsidRPr="005762E6" w:rsidRDefault="007F0AE0" w:rsidP="00453DE3">
            <w:pPr>
              <w:spacing w:after="120" w:line="240" w:lineRule="auto"/>
              <w:contextualSpacing/>
              <w:rPr>
                <w:sz w:val="20"/>
                <w:szCs w:val="20"/>
              </w:rPr>
            </w:pPr>
            <w:r w:rsidRPr="005762E6">
              <w:rPr>
                <w:sz w:val="20"/>
                <w:szCs w:val="20"/>
              </w:rPr>
              <w:lastRenderedPageBreak/>
              <w:t>552</w:t>
            </w:r>
          </w:p>
        </w:tc>
        <w:tc>
          <w:tcPr>
            <w:tcW w:w="0" w:type="auto"/>
            <w:tcBorders>
              <w:top w:val="single" w:sz="6" w:space="0" w:color="auto"/>
              <w:left w:val="single" w:sz="6" w:space="0" w:color="auto"/>
              <w:bottom w:val="single" w:sz="6" w:space="0" w:color="auto"/>
              <w:right w:val="single" w:sz="6" w:space="0" w:color="auto"/>
            </w:tcBorders>
          </w:tcPr>
          <w:p w14:paraId="570A847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883C0B" w14:textId="77777777" w:rsidR="007F0AE0" w:rsidRPr="005762E6" w:rsidRDefault="007F0AE0" w:rsidP="00453DE3">
            <w:pPr>
              <w:spacing w:after="120" w:line="240" w:lineRule="auto"/>
              <w:contextualSpacing/>
              <w:rPr>
                <w:sz w:val="20"/>
                <w:szCs w:val="20"/>
              </w:rPr>
            </w:pPr>
            <w:r w:rsidRPr="005762E6">
              <w:rPr>
                <w:sz w:val="20"/>
                <w:szCs w:val="20"/>
              </w:rPr>
              <w:t>Jennifer L Pearson,​ David B Abrams,​ Raymond S Niaura,​ Amanda Richardson,​ Donna M Vallone A ban on menthol cigarettes: impact on public opinion and smokers' intention to quit.. American journal of public health; 2012;102:e107.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Adolescent,​Adult,​Data Collection,​Educational Status,​Female,​Humans,​Male,​Menthol,​Middle Aged,​*Public Opinion,​Smoking/px [Psychology],​*Smoking Cessation/px [Psychology],​*Tobacco Products,​United States,​United States Food and Drug Administration,​Young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We assessed support for a ban by the Food and Drug Administration on menthol in cigarettes and behavioral intentions among menthol smokers in the event of such a ban.,​ METHODS: We surveyed 2649 never,​ former,​ and current smokers and used ordinal logistic regression to calculate weighted point estimates and predictors of support for a menthol ban among the adult population and menthol smokers only. For menthol smokers,​ we also calculated weighted point estimates and predictors of behavioral intentions.,​ RESULTS: Overall,​ 28.2% of adults opposed,​ 20.0% supported,​ and 51.9% lacked a strong opinion about a menthol ban. Support was highest among Hispanics (36.4%),​ African Americans (29.0%),​ never smokers (26.8%),​ and respondents with less than a high school education (28.8%). Nearly 40% of menthol smokers said they would quit if menthol cigarettes were no longer available,​ 12.5% would switch to a nonmenthol brand,​ and 25.2% would both switch and try to quit.,​ CONCLUSIONS: Support for a menthol ban is strongest among populations with the highest prevalence of menthol cigarette use. A menthol ban might motivate many menthol smokers to quit.</w:t>
            </w:r>
          </w:p>
        </w:tc>
      </w:tr>
      <w:tr w:rsidR="007F0AE0" w:rsidRPr="005762E6" w14:paraId="5396C85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ABC2059" w14:textId="77777777" w:rsidR="007F0AE0" w:rsidRPr="005762E6" w:rsidRDefault="007F0AE0" w:rsidP="00453DE3">
            <w:pPr>
              <w:spacing w:after="120" w:line="240" w:lineRule="auto"/>
              <w:contextualSpacing/>
              <w:rPr>
                <w:sz w:val="20"/>
                <w:szCs w:val="20"/>
              </w:rPr>
            </w:pPr>
            <w:r w:rsidRPr="005762E6">
              <w:rPr>
                <w:sz w:val="20"/>
                <w:szCs w:val="20"/>
              </w:rPr>
              <w:t>554</w:t>
            </w:r>
          </w:p>
        </w:tc>
        <w:tc>
          <w:tcPr>
            <w:tcW w:w="0" w:type="auto"/>
            <w:tcBorders>
              <w:top w:val="single" w:sz="6" w:space="0" w:color="auto"/>
              <w:left w:val="single" w:sz="6" w:space="0" w:color="auto"/>
              <w:bottom w:val="single" w:sz="6" w:space="0" w:color="auto"/>
              <w:right w:val="single" w:sz="6" w:space="0" w:color="auto"/>
            </w:tcBorders>
          </w:tcPr>
          <w:p w14:paraId="0E31B42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3D8EA07" w14:textId="77777777" w:rsidR="007F0AE0" w:rsidRPr="005762E6" w:rsidRDefault="007F0AE0" w:rsidP="00453DE3">
            <w:pPr>
              <w:spacing w:after="120" w:line="240" w:lineRule="auto"/>
              <w:contextualSpacing/>
              <w:rPr>
                <w:sz w:val="20"/>
                <w:szCs w:val="20"/>
              </w:rPr>
            </w:pPr>
            <w:r w:rsidRPr="005762E6">
              <w:rPr>
                <w:sz w:val="20"/>
                <w:szCs w:val="20"/>
              </w:rPr>
              <w:t>Peter N Lee,​ Barbara A Forey,​ Katharine J Coombs Systematic review with meta-analysis of the epidemiological evidence in the 1900s relating smoking to lung cancer.. BMC cancer; 2012;12:385.</w:t>
            </w:r>
            <w:r w:rsidRPr="005762E6">
              <w:rPr>
                <w:sz w:val="20"/>
                <w:szCs w:val="20"/>
              </w:rPr>
              <w:br/>
            </w:r>
            <w:r w:rsidRPr="005762E6">
              <w:rPr>
                <w:sz w:val="20"/>
                <w:szCs w:val="20"/>
              </w:rPr>
              <w:br/>
            </w:r>
            <w:r w:rsidRPr="005762E6">
              <w:rPr>
                <w:b/>
                <w:bCs/>
                <w:sz w:val="20"/>
                <w:szCs w:val="20"/>
              </w:rPr>
              <w:t>Keywords:</w:t>
            </w:r>
            <w:r w:rsidRPr="005762E6">
              <w:rPr>
                <w:sz w:val="20"/>
                <w:szCs w:val="20"/>
              </w:rPr>
              <w:br/>
              <w:t>Asia/ep [Epidemiology],​Epidemiologic Studies,​Europe/ep [Epidemiology],​Female,​History,​ 20th Century,​Humans,​*Lung Neoplasms/ep [Epidemiology],​*Lung Neoplasms/hi [History],​Male,​North America/ep [Epidemiology],​Risk,​*Smoking/ep [Epidemiology],​*Smoking/hi [History]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Smoking is a known lung cancer cause,​ but no detailed quantitative systematic review exists. We summarize evidence for various indices.,​ METHODS: Papers published before 2000 describing epidemiological studies involving 100+ lung cancer cases were obtained from Medline and other sources. Studies were classified as principal,​ or subsidiary where cases overlapped with principal studies. Data were extracted on design,​ exposures,​ histological types and confounder adjustment. RRs/ORs and 95% CIs were extracted for ever,​ current and ex smoking of cigarettes,​ pipes and cigars and indices of cigarette type and dose-response. Meta-analyses and meta-regressions investigated how relationships varied by study and RR characteristics,​ mainly for outcomes exactly or closely equivalent to all lung cancer,​ squamous cell carcinoma ("squamous") and adenocarcinoma ("adeno").,​ RESULTS: 287 studies (20 subsidiary) were identified. Although RR estimates were markedly heterogeneous,​ the meta-analyses demonstrated a relationship of smoking with lung cancer risk,​ clearly seen for ever smoking (random-effects RR 5.50,​ CI 5.07-5.96) current smoking (8.43,​ 7.63-9.31),​ ex smoking (4.30,​ 3.93-4.71) and pipe/cigar only smoking (2.92,​ 2.38-3.57). It was stronger for squamous (current smoking RR 16.91,​ 13.14-21.76) than adeno (4.21,​ 3.32-5.34),​ and evident in both sexes (RRs somewhat higher in males),​ all continents (RRs highest for North America and lowest for Asia,​ particularly China),​ and both study types (RRs higher for prospective studies). Relationships were somewhat stronger in later starting and larger studies. RR estimates were similar in cigarette only and mixed smokers,​ and similar in smokers of pipes/cigars only,​ pipes only and cigars only. Exceptionally no increase in adeno risk was seen for pipe/cigar only smokers (0.93,​ 0.62-1.40). RRs were unrelated to mentholation,​ and higher for non-filter and handrolled cigarettes. RRs increased with amount smoked,​ duration,​ earlier starting age,​ tar level and fraction smoked and decreased with time quit. Relationships were strongest for small and squamous cell,​ intermediate for large cell and weakest for adenocarcinoma. Covariate-adjustment little affected RR estimates.,​ CONCLUSIONS: The association of lung cancer with smoking is strong,​ evident for all lung cancer types,​ dose-related and insensitive to covariate-adjustment. This emphasises the causal nature of the relationship. Our results quantify the relationships more precisely than previously.</w:t>
            </w:r>
          </w:p>
        </w:tc>
      </w:tr>
      <w:tr w:rsidR="007F0AE0" w:rsidRPr="005762E6" w14:paraId="6E5F62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8F80A0" w14:textId="77777777" w:rsidR="007F0AE0" w:rsidRPr="005762E6" w:rsidRDefault="007F0AE0" w:rsidP="00453DE3">
            <w:pPr>
              <w:spacing w:after="120" w:line="240" w:lineRule="auto"/>
              <w:contextualSpacing/>
              <w:rPr>
                <w:sz w:val="20"/>
                <w:szCs w:val="20"/>
              </w:rPr>
            </w:pPr>
            <w:r w:rsidRPr="005762E6">
              <w:rPr>
                <w:sz w:val="20"/>
                <w:szCs w:val="20"/>
              </w:rPr>
              <w:lastRenderedPageBreak/>
              <w:t>557</w:t>
            </w:r>
          </w:p>
        </w:tc>
        <w:tc>
          <w:tcPr>
            <w:tcW w:w="0" w:type="auto"/>
            <w:tcBorders>
              <w:top w:val="single" w:sz="6" w:space="0" w:color="auto"/>
              <w:left w:val="single" w:sz="6" w:space="0" w:color="auto"/>
              <w:bottom w:val="single" w:sz="6" w:space="0" w:color="auto"/>
              <w:right w:val="single" w:sz="6" w:space="0" w:color="auto"/>
            </w:tcBorders>
          </w:tcPr>
          <w:p w14:paraId="4E46529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ADC3EBA" w14:textId="77777777" w:rsidR="007F0AE0" w:rsidRPr="005762E6" w:rsidRDefault="007F0AE0" w:rsidP="00453DE3">
            <w:pPr>
              <w:spacing w:after="120" w:line="240" w:lineRule="auto"/>
              <w:contextualSpacing/>
              <w:rPr>
                <w:sz w:val="20"/>
                <w:szCs w:val="20"/>
              </w:rPr>
            </w:pPr>
            <w:r w:rsidRPr="005762E6">
              <w:rPr>
                <w:sz w:val="20"/>
                <w:szCs w:val="20"/>
              </w:rPr>
              <w:t>Alex Cabrera-Serrano,​ Miriam V Ramos-Colon,​ Abraham Rivera-Alvarado,​ Antonio Cases-Rosario,​ Jessica Irizarry Ramos Descriptive profile of people with diabetes who use the Puerto Rico Quitline.. Ethnicity &amp; disease; 2012;22:45.</w:t>
            </w:r>
            <w:r w:rsidRPr="005762E6">
              <w:rPr>
                <w:sz w:val="20"/>
                <w:szCs w:val="20"/>
              </w:rPr>
              <w:br/>
            </w:r>
            <w:r w:rsidRPr="005762E6">
              <w:rPr>
                <w:sz w:val="20"/>
                <w:szCs w:val="20"/>
              </w:rPr>
              <w:br/>
            </w:r>
            <w:r w:rsidRPr="005762E6">
              <w:rPr>
                <w:b/>
                <w:bCs/>
                <w:sz w:val="20"/>
                <w:szCs w:val="20"/>
              </w:rPr>
              <w:t>Keywords:</w:t>
            </w:r>
            <w:r w:rsidRPr="005762E6">
              <w:rPr>
                <w:sz w:val="20"/>
                <w:szCs w:val="20"/>
              </w:rPr>
              <w:br/>
              <w:t>Adult,​Aged,​Attitude to Health,​Chi-Square Distribution,​Counseling,​Cross-Sectional Studies,​*Diabetes Mellitus/ep [Epidemiology],​Female,​*Hotlines/ut [Utilization],​Humans,​Interviews as Topic,​Male,​Middle Aged,​Puerto Rico/ep [Epidemiology],​*Smoking Cessation/sn [Statistics &amp; Numerical Data],​Telephone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provide a descriptive profile of the people with diabetes (PWD) who received the services of the Puerto Rico Quitline (PRQ) during 2008,​ compared to non-diabetic people (NDP) to establish a significant statistical difference.,​ METHODS: Using a cross-sectional study methodology,​ the Quitline database was analyzed. Ninety-four percent of the 1,​137 people who received the services of the PRQ during 2008 and completed all the interviews were included in the analysis. Frequency distributions and means calculation were performed to describe the PWD. Chi-square tests,​ odds ratio,​ t test and 95% confidence intervals were calculated to identify statistically significant differences between the PWD and NDP.,​ RESULTS: Nearly 11 percent (10.9%) of the people who received the services of the PRQ during 2008 and completed all the interviews reported a diabetes diagnosis. Health conditions were reported by 95.7% of PWD vs. 62.3% of NDP (P &lt; .01). People with diabetes were more likely to have hypertension (P &lt; .01),​ circulatory problems (P &lt; .01),​ and respiratory infections (P = .02) than NDP. They also reported a higher mean number of smoking years than the NDP (P &lt; .01),​ but the PWD were less likely to use menthol cigarettes Sthan NDP (P =.01). A physician's recommendation is the only reason for trying to quit smoking with a statically significant difference between the PWD and the NDP (P = .02). The mean number of alcoholic beverages consumed per day for the PWD was 8 and for the NDP it was 5 (P &lt; .01).,​ CONCLUSION: This study provides important evidence that can help increase the chances of success in the smoking cessation process in the PWD who access the services of the Quitline program.</w:t>
            </w:r>
          </w:p>
        </w:tc>
      </w:tr>
      <w:tr w:rsidR="007F0AE0" w:rsidRPr="005762E6" w14:paraId="325A22D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5D33D9" w14:textId="77777777" w:rsidR="007F0AE0" w:rsidRPr="005762E6" w:rsidRDefault="007F0AE0" w:rsidP="00453DE3">
            <w:pPr>
              <w:spacing w:after="120" w:line="240" w:lineRule="auto"/>
              <w:contextualSpacing/>
              <w:rPr>
                <w:sz w:val="20"/>
                <w:szCs w:val="20"/>
              </w:rPr>
            </w:pPr>
            <w:r w:rsidRPr="005762E6">
              <w:rPr>
                <w:sz w:val="20"/>
                <w:szCs w:val="20"/>
              </w:rPr>
              <w:t>560</w:t>
            </w:r>
          </w:p>
        </w:tc>
        <w:tc>
          <w:tcPr>
            <w:tcW w:w="0" w:type="auto"/>
            <w:tcBorders>
              <w:top w:val="single" w:sz="6" w:space="0" w:color="auto"/>
              <w:left w:val="single" w:sz="6" w:space="0" w:color="auto"/>
              <w:bottom w:val="single" w:sz="6" w:space="0" w:color="auto"/>
              <w:right w:val="single" w:sz="6" w:space="0" w:color="auto"/>
            </w:tcBorders>
          </w:tcPr>
          <w:p w14:paraId="7E9AF7A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A1BAA1F" w14:textId="77777777" w:rsidR="007F0AE0" w:rsidRPr="005762E6" w:rsidRDefault="007F0AE0" w:rsidP="00453DE3">
            <w:pPr>
              <w:spacing w:after="120" w:line="240" w:lineRule="auto"/>
              <w:contextualSpacing/>
              <w:rPr>
                <w:sz w:val="20"/>
                <w:szCs w:val="20"/>
              </w:rPr>
            </w:pPr>
            <w:r w:rsidRPr="005762E6">
              <w:rPr>
                <w:sz w:val="20"/>
                <w:szCs w:val="20"/>
              </w:rPr>
              <w:t>Andrea C Villanti,​ Gary A Giovino,​ Dianne C Barker,​ Paul D Mowery,​ Varadan Sevilimedu,​ David B Abrams Menthol brand switching among adolescents and young adults in the National Youth Smoking Cessation Survey.. American journal of public health; 2012;102:1310.</w:t>
            </w:r>
            <w:r w:rsidRPr="005762E6">
              <w:rPr>
                <w:sz w:val="20"/>
                <w:szCs w:val="20"/>
              </w:rPr>
              <w:br/>
            </w:r>
            <w:r w:rsidRPr="005762E6">
              <w:rPr>
                <w:sz w:val="20"/>
                <w:szCs w:val="20"/>
              </w:rPr>
              <w:br/>
            </w:r>
            <w:r w:rsidRPr="005762E6">
              <w:rPr>
                <w:b/>
                <w:bCs/>
                <w:sz w:val="20"/>
                <w:szCs w:val="20"/>
              </w:rPr>
              <w:t>Keywords:</w:t>
            </w:r>
            <w:r w:rsidRPr="005762E6">
              <w:rPr>
                <w:sz w:val="20"/>
                <w:szCs w:val="20"/>
              </w:rPr>
              <w:br/>
              <w:t>Adolescent,​Age Factors,​Female,​Health Surveys,​Humans,​Male,​Menthol,​*Smoking/ep [Epidemiology],​*Smoking Cessation/sn [Statistics &amp; Numerical Data],​Young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examines patterns of menthol and nonmenthol cigarette use from 2003 to 2005 in a cohort of smokers,​ aged 16 to 24 years in the National Youth Smoking Cessation Survey. At follow-up,​ 15.0% of baseline menthol smokers had switched to nonmentholated cigarettes; by contrast,​ 6.9% of baseline nonmenthol smokers had switched to mentholated cigarettes. Differences in switching patterns were evident by gender,​ race/ethnicity,​ parental education,​ and smoking frequency. These data support previous evidence that young smokers start with mentholated cigarettes and progress to nonmentholated cigarettes.</w:t>
            </w:r>
          </w:p>
        </w:tc>
      </w:tr>
      <w:tr w:rsidR="007F0AE0" w:rsidRPr="005762E6" w14:paraId="36A109D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6F7085D" w14:textId="77777777" w:rsidR="007F0AE0" w:rsidRPr="005762E6" w:rsidRDefault="007F0AE0" w:rsidP="00453DE3">
            <w:pPr>
              <w:spacing w:after="120" w:line="240" w:lineRule="auto"/>
              <w:contextualSpacing/>
              <w:rPr>
                <w:sz w:val="20"/>
                <w:szCs w:val="20"/>
              </w:rPr>
            </w:pPr>
            <w:r w:rsidRPr="005762E6">
              <w:rPr>
                <w:sz w:val="20"/>
                <w:szCs w:val="20"/>
              </w:rPr>
              <w:t>561</w:t>
            </w:r>
          </w:p>
        </w:tc>
        <w:tc>
          <w:tcPr>
            <w:tcW w:w="0" w:type="auto"/>
            <w:tcBorders>
              <w:top w:val="single" w:sz="6" w:space="0" w:color="auto"/>
              <w:left w:val="single" w:sz="6" w:space="0" w:color="auto"/>
              <w:bottom w:val="single" w:sz="6" w:space="0" w:color="auto"/>
              <w:right w:val="single" w:sz="6" w:space="0" w:color="auto"/>
            </w:tcBorders>
          </w:tcPr>
          <w:p w14:paraId="0E08C07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0CC3F32" w14:textId="77777777" w:rsidR="007F0AE0" w:rsidRPr="005762E6" w:rsidRDefault="007F0AE0" w:rsidP="00453DE3">
            <w:pPr>
              <w:spacing w:after="120" w:line="240" w:lineRule="auto"/>
              <w:contextualSpacing/>
              <w:rPr>
                <w:sz w:val="20"/>
                <w:szCs w:val="20"/>
              </w:rPr>
            </w:pPr>
            <w:r w:rsidRPr="005762E6">
              <w:rPr>
                <w:sz w:val="20"/>
                <w:szCs w:val="20"/>
              </w:rPr>
              <w:t>Nicholas T Vozoris Mentholated cigarettes and cardiovascular and pulmonary diseases: a population-based study.. Archives of internal medicine; 2012;172:590.</w:t>
            </w:r>
            <w:r w:rsidRPr="005762E6">
              <w:rPr>
                <w:sz w:val="20"/>
                <w:szCs w:val="20"/>
              </w:rPr>
              <w:br/>
            </w:r>
            <w:r w:rsidRPr="005762E6">
              <w:rPr>
                <w:sz w:val="20"/>
                <w:szCs w:val="20"/>
              </w:rPr>
              <w:br/>
            </w:r>
            <w:r w:rsidRPr="005762E6">
              <w:rPr>
                <w:b/>
                <w:bCs/>
                <w:sz w:val="20"/>
                <w:szCs w:val="20"/>
              </w:rPr>
              <w:t>Keywords:</w:t>
            </w:r>
            <w:r w:rsidRPr="005762E6">
              <w:rPr>
                <w:sz w:val="20"/>
                <w:szCs w:val="20"/>
              </w:rPr>
              <w:br/>
              <w:t>Adult,​Aged,​Cardiovascular Diseases/ep [Epidemiology],​Cross-Sectional Studies,​Female,​Humans,​*Lung Diseases/ep [Epidemiology],​Lung Diseases/et [Etiology],​Male,​*Menthol,​Middle Aged,​Nutrition Surveys,​Odds Ratio,​Sex Distribution,​Sex Factors,​*Smoking/ae [Adverse Effects],​*Smoking/ep [Epidemiology],​*Stroke/ep [Epidemiology],​Stroke/et [Etiology],​United States/ep [Epidemiology]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D4048B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03BBDF" w14:textId="77777777" w:rsidR="007F0AE0" w:rsidRPr="005762E6" w:rsidRDefault="007F0AE0" w:rsidP="00453DE3">
            <w:pPr>
              <w:spacing w:after="120" w:line="240" w:lineRule="auto"/>
              <w:contextualSpacing/>
              <w:rPr>
                <w:sz w:val="20"/>
                <w:szCs w:val="20"/>
              </w:rPr>
            </w:pPr>
            <w:r w:rsidRPr="005762E6">
              <w:rPr>
                <w:sz w:val="20"/>
                <w:szCs w:val="20"/>
              </w:rPr>
              <w:t>562</w:t>
            </w:r>
          </w:p>
        </w:tc>
        <w:tc>
          <w:tcPr>
            <w:tcW w:w="0" w:type="auto"/>
            <w:tcBorders>
              <w:top w:val="single" w:sz="6" w:space="0" w:color="auto"/>
              <w:left w:val="single" w:sz="6" w:space="0" w:color="auto"/>
              <w:bottom w:val="single" w:sz="6" w:space="0" w:color="auto"/>
              <w:right w:val="single" w:sz="6" w:space="0" w:color="auto"/>
            </w:tcBorders>
          </w:tcPr>
          <w:p w14:paraId="394B50D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96971D2" w14:textId="77777777" w:rsidR="007F0AE0" w:rsidRPr="005762E6" w:rsidRDefault="007F0AE0" w:rsidP="00453DE3">
            <w:pPr>
              <w:spacing w:after="120" w:line="240" w:lineRule="auto"/>
              <w:contextualSpacing/>
              <w:rPr>
                <w:sz w:val="20"/>
                <w:szCs w:val="20"/>
              </w:rPr>
            </w:pPr>
            <w:r w:rsidRPr="005762E6">
              <w:rPr>
                <w:sz w:val="20"/>
                <w:szCs w:val="20"/>
              </w:rPr>
              <w:t>Joshua E Muscat,​ Hsiao-Pin Liu,​ Steven D Stellman,​ John P Jr Richie Menthol smoking in relation to time to first cigarette and cotinine: results from a community-based study.. Regulatory toxicology and pharmacology : RTP; 2012;63:166.</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Adult,​African Continental Ancestry Group,​*Behavior,​ Addictive/bl [Blood],​*Cotinine/bl [Blood],​Cross-Sectional Studies,​European Continental Ancestry Group,​Female,​Humans,​Male,​*Menthol,​*Smoking/bl [Blood],​Smoking/px [Psychology],​Time Factors,​*Tobacco Use Disorder/bl [Blood],​Tobacco Use Disorder/px [Psychology],​Young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Smokers who have their first cigarette shortly after waking,​ an indicator of nicotine dependence,​ have substantially higher cotinine levels. There is controversy regarding the role of menthol in nicotine dependence. We hypothesized that menthol smokers have a shorter time to first cigarette (TTFC),​ and tested whether any statistical association actually reflects increased dependence by measuring nicotine uptake (e.g. cotinine) in the same group of smokers. A cross-sectional community-based study was conducted that included 495 black and white daily cigarette smokers. Results showed a trend between menthol smoking and a shorter TTFC (P &lt; 0.04 in blacks). Menthol was not an independent predictor of cotinine or an effect modifier with TTFC on cotinine levels in blacks and whites. These results show that while menthol in tobacco is associated with an indicator of nicotine dependence in blacks,​ menthol was not associated with biological uptake of nicotine in black and white smokers. Copyright © 2012 Elsevier Inc. All rights reserved.</w:t>
            </w:r>
          </w:p>
        </w:tc>
      </w:tr>
      <w:tr w:rsidR="007F0AE0" w:rsidRPr="005762E6" w14:paraId="05331E3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632CD55" w14:textId="77777777" w:rsidR="007F0AE0" w:rsidRPr="005762E6" w:rsidRDefault="007F0AE0" w:rsidP="00453DE3">
            <w:pPr>
              <w:spacing w:after="120" w:line="240" w:lineRule="auto"/>
              <w:contextualSpacing/>
              <w:rPr>
                <w:sz w:val="20"/>
                <w:szCs w:val="20"/>
              </w:rPr>
            </w:pPr>
            <w:r w:rsidRPr="005762E6">
              <w:rPr>
                <w:sz w:val="20"/>
                <w:szCs w:val="20"/>
              </w:rPr>
              <w:lastRenderedPageBreak/>
              <w:t>563</w:t>
            </w:r>
          </w:p>
        </w:tc>
        <w:tc>
          <w:tcPr>
            <w:tcW w:w="0" w:type="auto"/>
            <w:tcBorders>
              <w:top w:val="single" w:sz="6" w:space="0" w:color="auto"/>
              <w:left w:val="single" w:sz="6" w:space="0" w:color="auto"/>
              <w:bottom w:val="single" w:sz="6" w:space="0" w:color="auto"/>
              <w:right w:val="single" w:sz="6" w:space="0" w:color="auto"/>
            </w:tcBorders>
          </w:tcPr>
          <w:p w14:paraId="05FBED8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D5127D" w14:textId="77777777" w:rsidR="007F0AE0" w:rsidRPr="005762E6" w:rsidRDefault="007F0AE0" w:rsidP="00453DE3">
            <w:pPr>
              <w:spacing w:after="120" w:line="240" w:lineRule="auto"/>
              <w:contextualSpacing/>
              <w:rPr>
                <w:sz w:val="20"/>
                <w:szCs w:val="20"/>
              </w:rPr>
            </w:pPr>
            <w:r w:rsidRPr="005762E6">
              <w:rPr>
                <w:sz w:val="20"/>
                <w:szCs w:val="20"/>
              </w:rPr>
              <w:t>Valerie M Kramlinger,​ Linda B von Weymarn,​ Sharon E Murphy Inhibition and inactivation of cytochrome P450 2A6 and cytochrome P450 2A13 by menthofuran,​ beta-nicotyrine and menthol.. Chemico-biological interactions; 2012;197:87.</w:t>
            </w:r>
            <w:r w:rsidRPr="005762E6">
              <w:rPr>
                <w:sz w:val="20"/>
                <w:szCs w:val="20"/>
              </w:rPr>
              <w:br/>
            </w:r>
            <w:r w:rsidRPr="005762E6">
              <w:rPr>
                <w:sz w:val="20"/>
                <w:szCs w:val="20"/>
              </w:rPr>
              <w:br/>
            </w:r>
            <w:r w:rsidRPr="005762E6">
              <w:rPr>
                <w:b/>
                <w:bCs/>
                <w:sz w:val="20"/>
                <w:szCs w:val="20"/>
              </w:rPr>
              <w:t>Keywords:</w:t>
            </w:r>
            <w:r w:rsidRPr="005762E6">
              <w:rPr>
                <w:sz w:val="20"/>
                <w:szCs w:val="20"/>
              </w:rPr>
              <w:br/>
              <w:t>*Aryl Hydrocarbon Hydroxylases/ai [Antagonists &amp; Inhibitors],​Aryl Hydrocarbon Hydroxylases/me [Metabolism],​Cytochrome P-450 CYP2A6,​Enzyme Activation/de [Drug Effects],​*Enzyme Inhibitors/pd [Pharmacology],​Heme/ch [Chemistry],​Heme/me [Metabolism],​*Menthol/pd [Pharmacology],​*Monoterpenes/pd [Pharmacology],​*Pyridines/pd [Pharmacology],​Tobacco/ch [Chemistry]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Nicotine is the primary addictive agent in tobacco products and is metabolized in humans by CYP2A6. Decreased CYP2A6 activity has been associated with decreased smoking. The extrahepatic enzyme,​ CYP2A13 (94% identical to CYP2A6) also catalyzes the metabolism of nicotine,​ but is most noted for its role in the metabolic activation of the tobacco specific lung carcinogen,​ 4-(methylnitrosamino)-1-(3-pyridyl)-1-butanone (NNK). In this study,​ the inhibition and potential inactivation of CYP2A6 and CYP2A13 by two tobacco constituents,​ 1-methyl-4-(3-pyridinyl) pyrrole (beta-nicotyrine) and (-)-menthol were characterized and compared to the potent mechanism based inactivator of CYP2A6,​ menthofuran. The effect of these compounds on CYP2A6 and CYP2A13 activity was significantly different. (-)-Menthol was a more efficient inhibitor of CYP2A13 than of CYP2A6 (KI,​ 8.2 muM and 110 muM,​ respectively). beta-Nicotyrine was a potent inhibitor of CYP2A13 (KI,​ 0.17 muM). Neither menthol nor beta-nicotyrine was an inactivator of CYP2A13. Whereas,​ beta-nicotyrine was a mechanism based inactivator of CYP2A6 (KI(inact),​ 106 muM,​ kinact was 0.61 min(-1)). Similarly,​ menthofuran,​ a potent mechanism based inactivator of CYP2A6 did not inactivate CYP2A13. Menthofuran was an inhibitor of CYPA13 (KI,​ 1.24 muM). The inactivation of CYP2A6 by either beta-nicotyrine or menthofuran was not due to modification of the heme and was likely due to modification of the apo-protein. These studies suggest that beta-nicotyrine,​ but not menthol may influence nicotine and NNK metabolism in smokers. Copyright © 2012 Elsevier Ireland Ltd. All rights reserved.</w:t>
            </w:r>
          </w:p>
        </w:tc>
      </w:tr>
      <w:tr w:rsidR="007F0AE0" w:rsidRPr="005762E6" w14:paraId="1BD7CAC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1A6DBC" w14:textId="77777777" w:rsidR="007F0AE0" w:rsidRPr="005762E6" w:rsidRDefault="007F0AE0" w:rsidP="00453DE3">
            <w:pPr>
              <w:spacing w:after="120" w:line="240" w:lineRule="auto"/>
              <w:contextualSpacing/>
              <w:rPr>
                <w:sz w:val="20"/>
                <w:szCs w:val="20"/>
              </w:rPr>
            </w:pPr>
            <w:r w:rsidRPr="005762E6">
              <w:rPr>
                <w:sz w:val="20"/>
                <w:szCs w:val="20"/>
              </w:rPr>
              <w:t>564</w:t>
            </w:r>
          </w:p>
        </w:tc>
        <w:tc>
          <w:tcPr>
            <w:tcW w:w="0" w:type="auto"/>
            <w:tcBorders>
              <w:top w:val="single" w:sz="6" w:space="0" w:color="auto"/>
              <w:left w:val="single" w:sz="6" w:space="0" w:color="auto"/>
              <w:bottom w:val="single" w:sz="6" w:space="0" w:color="auto"/>
              <w:right w:val="single" w:sz="6" w:space="0" w:color="auto"/>
            </w:tcBorders>
          </w:tcPr>
          <w:p w14:paraId="31F08BA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42A7502" w14:textId="77777777" w:rsidR="007F0AE0" w:rsidRPr="005762E6" w:rsidRDefault="007F0AE0" w:rsidP="00453DE3">
            <w:pPr>
              <w:spacing w:after="120" w:line="240" w:lineRule="auto"/>
              <w:contextualSpacing/>
              <w:rPr>
                <w:sz w:val="20"/>
                <w:szCs w:val="20"/>
              </w:rPr>
            </w:pPr>
            <w:r w:rsidRPr="005762E6">
              <w:rPr>
                <w:sz w:val="20"/>
                <w:szCs w:val="20"/>
              </w:rPr>
              <w:t>Marielle C Brinkman,​ Jane C Chuang,​ Sydney M Gordon,​ Hyoshin Kim,​ Robyn R Kroeger,​ Gregory M Polzin,​ Patricia A Richter Exposure to and deposition of fine and ultrafine particles in smokers of menthol and nonmenthol cigarettes.. Inhalation toxicology; 2012;24:255.</w:t>
            </w:r>
            <w:r w:rsidRPr="005762E6">
              <w:rPr>
                <w:sz w:val="20"/>
                <w:szCs w:val="20"/>
              </w:rPr>
              <w:br/>
            </w:r>
            <w:r w:rsidRPr="005762E6">
              <w:rPr>
                <w:sz w:val="20"/>
                <w:szCs w:val="20"/>
              </w:rPr>
              <w:br/>
            </w:r>
            <w:r w:rsidRPr="005762E6">
              <w:rPr>
                <w:b/>
                <w:bCs/>
                <w:sz w:val="20"/>
                <w:szCs w:val="20"/>
              </w:rPr>
              <w:t>Keywords:</w:t>
            </w:r>
            <w:r w:rsidRPr="005762E6">
              <w:rPr>
                <w:sz w:val="20"/>
                <w:szCs w:val="20"/>
              </w:rPr>
              <w:br/>
              <w:t>Adult,​Biomarkers/ur [Urine],​Cross-Over Studies,​Female,​Humans,​*Inhalation Exposure/an [Analysis],​Male,​*Menthol,​Nicotine/an [Analysis],​Nitrosamines/an [Analysis],​Nitrosamines/ur [Urine],​Particle Size,​*Particulate Matter/an [Analysis],​Polycyclic Aromatic Hydrocarbons/ur [Urine],​*Smoke/an [Analysis],​*Smoking,​Tobacco,​Young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Research on the deposition of mainstream smoke particulate in the respiratory tract of smokers is needed to understand how exposure may vary based on cigarette menthol content.,​ METHODS: We conducted a nine-participant crossover study in which smokers were randomly assigned to cigarettes differing primarily in menthol content. Participants smoked the test cigarettes ad libitum for one week,​ provided spot </w:t>
            </w:r>
            <w:r w:rsidRPr="005762E6">
              <w:rPr>
                <w:sz w:val="20"/>
                <w:szCs w:val="20"/>
              </w:rPr>
              <w:lastRenderedPageBreak/>
              <w:t>urine samples,​ and then smoked four test cigarettes in a laboratory session; this was repeated for the other test cigarette in week two. Fine and ultrafine particulate matter in exhaled breath were characterized,​ and smoking behavior was monitored. Participant-specific mainstream smoke,​ generated using each participant's topography data,​ was characterized. During home smoking,​ participants collected their spent test cigarette butts for estimates of mouth-level exposures (MLE) to mainstream nicotine and 4-(methylnitrosamino)-1-(3-pyridyl)-1-butanone (NNK).,​ RESULTS: Participant-specific mainstream smoke NNK was higher (39%) and daily MLE to NNK was also higher (52%) when participants smoked the menthol cigarette. Nicotine was not significantly different. Participants retained more ultrafine particulate (43%) and fine particulate benzo(a)pyrene (43%) when smoking the menthol cigarette. There were no significant differences in the levels of urinary biomarkers for nicotine,​ NNK,​ or pyrene.,​ CONCLUSION: This study demonstrates the use of noninvasive real-time techniques to measure exposure differences between cigarettes differing primarily in menthol content. Differences between NNK exposure,​ ultrafine particle and benzo(a)pyrene deposition,​ and smoking behavior were observed. Additional research using these techniques with cigarettes that differ only in menthol content is required to unequivocally attribute the exposure differences to presence or absence of menthol.</w:t>
            </w:r>
          </w:p>
        </w:tc>
      </w:tr>
      <w:tr w:rsidR="007F0AE0" w:rsidRPr="005762E6" w14:paraId="21072AB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8B3AA4" w14:textId="77777777" w:rsidR="007F0AE0" w:rsidRPr="005762E6" w:rsidRDefault="007F0AE0" w:rsidP="00453DE3">
            <w:pPr>
              <w:spacing w:after="120" w:line="240" w:lineRule="auto"/>
              <w:contextualSpacing/>
              <w:rPr>
                <w:sz w:val="20"/>
                <w:szCs w:val="20"/>
              </w:rPr>
            </w:pPr>
            <w:r w:rsidRPr="005762E6">
              <w:rPr>
                <w:sz w:val="20"/>
                <w:szCs w:val="20"/>
              </w:rPr>
              <w:lastRenderedPageBreak/>
              <w:t>565</w:t>
            </w:r>
          </w:p>
        </w:tc>
        <w:tc>
          <w:tcPr>
            <w:tcW w:w="0" w:type="auto"/>
            <w:tcBorders>
              <w:top w:val="single" w:sz="6" w:space="0" w:color="auto"/>
              <w:left w:val="single" w:sz="6" w:space="0" w:color="auto"/>
              <w:bottom w:val="single" w:sz="6" w:space="0" w:color="auto"/>
              <w:right w:val="single" w:sz="6" w:space="0" w:color="auto"/>
            </w:tcBorders>
          </w:tcPr>
          <w:p w14:paraId="3855733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13172A0" w14:textId="77777777" w:rsidR="007F0AE0" w:rsidRPr="005762E6" w:rsidRDefault="007F0AE0" w:rsidP="00453DE3">
            <w:pPr>
              <w:spacing w:after="120" w:line="240" w:lineRule="auto"/>
              <w:contextualSpacing/>
              <w:rPr>
                <w:sz w:val="20"/>
                <w:szCs w:val="20"/>
              </w:rPr>
            </w:pPr>
            <w:r w:rsidRPr="005762E6">
              <w:rPr>
                <w:sz w:val="20"/>
                <w:szCs w:val="20"/>
              </w:rPr>
              <w:t>Richard J O'Connor,​ Maansi Bansal-Travers,​ Lawrence P Carter,​ K Michael Cummings What would menthol smokers do if menthol in cigarettes were banned? Behavioral intentions and simulated demand.. Addiction (Abingdon,​ England); 2012;107:1330.</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Adolescent,​Adult,​Aged,​Commerce,​Economics,​ Behavioral,​Female,​Humans,​*Intention,​Male,​*Menthol,​Middle Aged,​Multivariate Analysis,​Smoking/ec [Economics],​*Smoking/lj [Legislation &amp; Jurisprudence],​Smoking/px [Psychology],​Smoking Cessation/px [Psychology],​United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The US Food and Drug Administration must consider whether to ban the use of menthol in cigarettes. This study examines how current smokers might respond to such a ban on menthol cigarettes.,​ DESIGN: Convenience sample of adolescent and adult smokers recruited from an online survey panel.,​ SETTING: United States,​ 2010.,​ PARTICIPANTS: A total of 471 adolescent and adult current cigarette smokers.,​ MEASUREMENTS: Respondents were asked a series of questions about how they might react if menthol cigarettes were banned. In addition,​ participants completed a simulation purchase task to estimate the demand for menthol and non-menthol cigarettes across a range of prices.,​ FINDINGS: Overall,​ 36.1% of respondents said they always (18.9%) or usually (17.2%) smoked menthol cigarettes. When asked how they might respond to a ban on menthol cigarettes,​ 35% of current menthol smokers said they would stop smoking,​ and 25% said they would 'find a way to buy a menthol brand'. Those who reported they might quit tended to have greater current intentions to quit [odds ratio (OR) = 4.47],​ while those who reported that they might seek illicit menthol cigarettes were far less likely to report current intentions to quit (OR = 0.06). Estimates for demand elasticity for preferred cigarette type were similar for menthol (alpha = 0.0051) and non-menthol (alpha = 0.0049) smokers. Demand elasticity and peak consumption were related to usual cigarette type and cigarettes smoked per day,​ but did not appear to differ by race,​ gender or age.,​ CONCLUSIONS: Preliminary evidence suggests that a significant minority of smokers of menthol cigarettes in the United States would try to stop smoking altogether if such cigarettes were banned. Copyright © 2012 The Authors,​ Addiction © 2012 Society for the Study of Addiction.</w:t>
            </w:r>
          </w:p>
        </w:tc>
      </w:tr>
      <w:tr w:rsidR="007F0AE0" w:rsidRPr="005762E6" w14:paraId="3C14109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AFE3FA4" w14:textId="77777777" w:rsidR="007F0AE0" w:rsidRPr="005762E6" w:rsidRDefault="007F0AE0" w:rsidP="00453DE3">
            <w:pPr>
              <w:spacing w:after="120" w:line="240" w:lineRule="auto"/>
              <w:contextualSpacing/>
              <w:rPr>
                <w:sz w:val="20"/>
                <w:szCs w:val="20"/>
              </w:rPr>
            </w:pPr>
            <w:r w:rsidRPr="005762E6">
              <w:rPr>
                <w:sz w:val="20"/>
                <w:szCs w:val="20"/>
              </w:rPr>
              <w:t>569</w:t>
            </w:r>
          </w:p>
        </w:tc>
        <w:tc>
          <w:tcPr>
            <w:tcW w:w="0" w:type="auto"/>
            <w:tcBorders>
              <w:top w:val="single" w:sz="6" w:space="0" w:color="auto"/>
              <w:left w:val="single" w:sz="6" w:space="0" w:color="auto"/>
              <w:bottom w:val="single" w:sz="6" w:space="0" w:color="auto"/>
              <w:right w:val="single" w:sz="6" w:space="0" w:color="auto"/>
            </w:tcBorders>
          </w:tcPr>
          <w:p w14:paraId="76DC40E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AB2E54F" w14:textId="77777777" w:rsidR="007F0AE0" w:rsidRPr="005762E6" w:rsidRDefault="007F0AE0" w:rsidP="00453DE3">
            <w:pPr>
              <w:spacing w:after="120" w:line="240" w:lineRule="auto"/>
              <w:contextualSpacing/>
              <w:rPr>
                <w:sz w:val="20"/>
                <w:szCs w:val="20"/>
              </w:rPr>
            </w:pPr>
            <w:r w:rsidRPr="005762E6">
              <w:rPr>
                <w:sz w:val="20"/>
                <w:szCs w:val="20"/>
              </w:rPr>
              <w:t>Brian Rostron Lung cancer mortality risk for U.S. menthol cigarette smokers.. Nicotine &amp; tobacco research : official journal of the Society for Research on Nicotine and Tobacco; 2012;14:1140.</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Continental Ancestry Group/sn [Statistics &amp; Numerical Data],​Age Factors,​Aged,​Aged,​ 80 and over,​Cohort Studies,​Data Collection,​Demography,​European Continental Ancestry Group/sn [Statistics &amp; Numerical Data],​Female,​Follow-Up Studies,​Hispanic Americans/sn [Statistics &amp; Numerical Data],​Humans,​Lung Neoplasms/et [Etiology],​*Lung Neoplasms/mo [Mortality],​Male,​*Menthol,​Middle Aged,​Proportional Hazards Models,​Risk,​*Smoking/ae [Adverse Effects],​Socioeconomic Factors,​Survival Analysis,​*Tobacco Products/ae [Adverse Effects],​United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The U.S. Food and Drug Administration is currently assessing the public health impact of menthol cigarettes. Results from a recent U.S. cohort study,​ composed largely of Blacks and limited to 12 Southern states,​ found that menthol cigarette smokers had lower risks of lung cancer incidence and mortality </w:t>
            </w:r>
            <w:r w:rsidRPr="005762E6">
              <w:rPr>
                <w:sz w:val="20"/>
                <w:szCs w:val="20"/>
              </w:rPr>
              <w:lastRenderedPageBreak/>
              <w:t>than nonmenthol smokers.,​ METHODS: We conducted a survival analysis of current smokers from the 1987 National Health Interview Survey Cancer Control Supplement (n = 4,​832),​ followed for mortality through linkage with the National Death Index. We estimated mortality hazard ratios (HRs) for menthol smokers compared with nonmenthol smokers,​ adjusting for a full set of demographic and smoking characteristics.,​ RESULTS: The overall HR for lung cancer mortality for menthol smokers was 0.69 (95% CI = 0.45-1.06). The HR for lung cancer mortality for menthol smokers at ages 50 and over was 0.59 (95% CI = 0.37-0.95). All-cause mortality net of lung cancer mortality did not differ for menthol and nonmenthol smokers.,​ CONCLUSION: We found evidence of lower lung cancer mortality risk among menthol smokers compared with nonmenthol smokers at ages 50 and over in the U.S. population. It is not known,​ however,​ if these differences are due to the impact of menthol on cigarette smoking or long-term differences in cigarette design between menthol and nonmenthol cigarettes.</w:t>
            </w:r>
          </w:p>
        </w:tc>
      </w:tr>
      <w:tr w:rsidR="007F0AE0" w:rsidRPr="005762E6" w14:paraId="586A9A4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CD6BA9" w14:textId="77777777" w:rsidR="007F0AE0" w:rsidRPr="005762E6" w:rsidRDefault="007F0AE0" w:rsidP="00453DE3">
            <w:pPr>
              <w:spacing w:after="120" w:line="240" w:lineRule="auto"/>
              <w:contextualSpacing/>
              <w:rPr>
                <w:sz w:val="20"/>
                <w:szCs w:val="20"/>
              </w:rPr>
            </w:pPr>
            <w:r w:rsidRPr="005762E6">
              <w:rPr>
                <w:sz w:val="20"/>
                <w:szCs w:val="20"/>
              </w:rPr>
              <w:lastRenderedPageBreak/>
              <w:t>570</w:t>
            </w:r>
          </w:p>
        </w:tc>
        <w:tc>
          <w:tcPr>
            <w:tcW w:w="0" w:type="auto"/>
            <w:tcBorders>
              <w:top w:val="single" w:sz="6" w:space="0" w:color="auto"/>
              <w:left w:val="single" w:sz="6" w:space="0" w:color="auto"/>
              <w:bottom w:val="single" w:sz="6" w:space="0" w:color="auto"/>
              <w:right w:val="single" w:sz="6" w:space="0" w:color="auto"/>
            </w:tcBorders>
          </w:tcPr>
          <w:p w14:paraId="2BA8276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CFD9C85" w14:textId="77777777" w:rsidR="007F0AE0" w:rsidRPr="005762E6" w:rsidRDefault="007F0AE0" w:rsidP="00453DE3">
            <w:pPr>
              <w:spacing w:after="120" w:line="240" w:lineRule="auto"/>
              <w:contextualSpacing/>
              <w:rPr>
                <w:sz w:val="20"/>
                <w:szCs w:val="20"/>
              </w:rPr>
            </w:pPr>
            <w:r w:rsidRPr="005762E6">
              <w:rPr>
                <w:sz w:val="20"/>
                <w:szCs w:val="20"/>
              </w:rPr>
              <w:t>Kolawole S Okuyemi,​ Babalola Faseru,​ Gregory A Reed,​ Lisa Sanderson Cox,​ Carrie A Bronars,​ Isaac Opole,​ Guy-Lucien Whembolua,​ Matthew S Mayo,​ Jasjit S Ahluwalia,​ Neal L Benowitz Effects of menthol on the pharmacokinetics of bupropion among Black smokers.. Nicotine &amp; tobacco research : official journal of the Society for Research on Nicotine and Tobacco; 2012;14:688.</w:t>
            </w:r>
            <w:r w:rsidRPr="005762E6">
              <w:rPr>
                <w:sz w:val="20"/>
                <w:szCs w:val="20"/>
              </w:rPr>
              <w:br/>
            </w:r>
            <w:r w:rsidRPr="005762E6">
              <w:rPr>
                <w:sz w:val="20"/>
                <w:szCs w:val="20"/>
              </w:rPr>
              <w:br/>
            </w:r>
            <w:r w:rsidRPr="005762E6">
              <w:rPr>
                <w:b/>
                <w:bCs/>
                <w:sz w:val="20"/>
                <w:szCs w:val="20"/>
              </w:rPr>
              <w:t>Keywords:</w:t>
            </w:r>
            <w:r w:rsidRPr="005762E6">
              <w:rPr>
                <w:sz w:val="20"/>
                <w:szCs w:val="20"/>
              </w:rPr>
              <w:br/>
              <w:t>Adolescent,​*African Continental Ancestry Group,​Area Under Curve,​Body Mass Index,​Bupropion/aa [Analogs &amp; Derivatives],​Bupropion/bl [Blood],​*Bupropion/pk [Pharmacokinetics],​Cotinine/an [Analysis],​Female,​Humans,​Male,​Menthol/ad [Administration &amp; Dosage],​*Menthol/pd [Pharmacology],​*Smoking/eh [Ethnology],​*Smoking Cessation/eh [Ethnology],​Smoking Cessation/mt [Methods],​Smoking Prevention,​Time Factors,​Tobacco Use Cessation Products/ut [Utilization],​Young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Despite the widespread use of mentholated cigarettes,​ lower cessation rates,​ and disproportionately high smoking-related morbidity among Blacks,​ the possible role of menthol in smokers' response to pharmacotherapy has not been well-studied. This study examined the effects of menthol on the pharmacokinetic (PK) profiles of bupropion and its principal metabolites,​ hydroxybupropion,​ threohydrobupropion,​ and erythrohydrobupropion among Black smokers.,​ METHODS: After a 7-day placebo run-in period,​ participants received 150 mg bid sustained-release bupropion for 20-25 days. Blood samples were drawn for PK analysis on 2 occasions,​ 10-15 days after the commencement of bupropion while participants were still smoking (smoking phase) and at days 20-25 when they were asked not to smoke (nonsmoking phase).,​ RESULTS: 18 smokers of nonmenthol cigarettes and 23 smokers of menthol cigarettes were enrolled in this study. No differences were found by menthol smoking status in the Cmax and area under the plasma concentration versus time curve (AUC) of bupropion and its metabolites in the smoking or nonsmoking phases. However,​ among menthol smokers,​ the AUC ratios of metabolite/bupropion were lower in the nonsmoking phase compared with the smoking phase (hydro/bup = 31.49 +/- 18.84 vs. 22.95 +/- 13.27,​ p = .04; erythro/bup = 1.99 +/- 1.02 vs. 1.76 +/- 0.75,​ p = .016; threo/bup = 11.77 +/- 8.90 vs. 10.44 +/- 5.63,​ p = .034). No significant differences were found in the metabolite/bup ratios between smoking and nonsmoking conditions among nonmenthol smokers.,​ CONCLUSIONS: We did not find a significant effect of menthol compared with nonmenthol cigarette smoking on the PKs of bupropion and metabolites at steady state. More research is needed to advance the understanding of mechanisms underlying disparities in smoking cessation outcomes related to smoking of menthol cigarettes.</w:t>
            </w:r>
          </w:p>
        </w:tc>
      </w:tr>
      <w:tr w:rsidR="007F0AE0" w:rsidRPr="005762E6" w14:paraId="2AC5722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AE1261" w14:textId="77777777" w:rsidR="007F0AE0" w:rsidRPr="005762E6" w:rsidRDefault="007F0AE0" w:rsidP="00453DE3">
            <w:pPr>
              <w:spacing w:after="120" w:line="240" w:lineRule="auto"/>
              <w:contextualSpacing/>
              <w:rPr>
                <w:sz w:val="20"/>
                <w:szCs w:val="20"/>
              </w:rPr>
            </w:pPr>
            <w:r w:rsidRPr="005762E6">
              <w:rPr>
                <w:sz w:val="20"/>
                <w:szCs w:val="20"/>
              </w:rPr>
              <w:t>572</w:t>
            </w:r>
          </w:p>
        </w:tc>
        <w:tc>
          <w:tcPr>
            <w:tcW w:w="0" w:type="auto"/>
            <w:tcBorders>
              <w:top w:val="single" w:sz="6" w:space="0" w:color="auto"/>
              <w:left w:val="single" w:sz="6" w:space="0" w:color="auto"/>
              <w:bottom w:val="single" w:sz="6" w:space="0" w:color="auto"/>
              <w:right w:val="single" w:sz="6" w:space="0" w:color="auto"/>
            </w:tcBorders>
          </w:tcPr>
          <w:p w14:paraId="0D03D2A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B43796" w14:textId="77777777" w:rsidR="007F0AE0" w:rsidRPr="005762E6" w:rsidRDefault="007F0AE0" w:rsidP="00453DE3">
            <w:pPr>
              <w:spacing w:after="120" w:line="240" w:lineRule="auto"/>
              <w:contextualSpacing/>
              <w:rPr>
                <w:sz w:val="20"/>
                <w:szCs w:val="20"/>
              </w:rPr>
            </w:pPr>
            <w:r w:rsidRPr="005762E6">
              <w:rPr>
                <w:sz w:val="20"/>
                <w:szCs w:val="20"/>
              </w:rPr>
              <w:t>Lisa Sanderson Cox,​ Nicole L Nollen,​ Matthew S Mayo,​ Won S Choi,​ Babalola Faseru,​ Neal L Benowitz,​ Rachel F Tyndale,​ Kolawole S Okuyemi,​ Jasjit S Ahluwalia Bupropion for smoking cessation in African American light smokers: a randomized controlled trial.. Journal of the National Cancer Institute; 2012;104:290.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Data],​Aged,​Biomarkers/bl [Blood],​Bupropion/ad [Administration &amp; Dosage],​*Bupropion/tu [Therapeutic Use],​Cotinine/me [Metabolism],​Depression/ci [Chemically Induced],​Dopamine Uptake Inhibitors/ad [Administration &amp; Dosage],​*Dopamine Uptake Inhibitors/tu [Therapeutic Use],​Double-Blind Method,​Drug Administration Schedule,​Female,​Humans,​Logistic Models,​Male,​Middle Aged,​Odds Ratio,​Saliva/me [Metabolism],​*Smoking/dt [Drug Therapy],​Smoking/ep [Epidemiology],​*Smoking Cessation/mt [Methods],​Treatment Outcome,​United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Previous research demonstrated the efficacy of sustained release bupropion </w:t>
            </w:r>
            <w:r w:rsidRPr="005762E6">
              <w:rPr>
                <w:sz w:val="20"/>
                <w:szCs w:val="20"/>
              </w:rPr>
              <w:lastRenderedPageBreak/>
              <w:t>(bupropion SR) for smoking cessation in whites as well as moderate to heavy (&gt;=10 cigarettes per day [CPD]) African American smokers. We evaluated whether bupropion SR was effective for smoking cessation among African American light smokers (&lt;=10 CPD).,​ METHODS: A randomized,​ double-blind placebo-controlled trial was conducted from December 27,​ 2007,​ to May 13,​ 2010. All participants were African American light smokers (&lt;=10 CPD),​ aged 18 years or older. Participants were randomly assigned to receive 300 mg bupropion SR (150 mg once daily for 3 days and then 150 mg twice daily) (n = 270 participants) or placebo (n = 270 participants) for 7 weeks,​ and up to six sessions of health education counseling. Serum cotinine was measured at baseline (week 0). The primary outcome was salivary cotinine-verified 7-day point prevalence smoking abstinence at week 26; a cut point of 15 ng/mL differentiated smokers from nonsmokers. Salivary cotinine-verified smoking abstinence at end of medication treatment at week 7 was also examined. Odds ratios (OR) for smoking abstinence and 95% confidence intervals (CIs) were calculated using logistic regression models. All statistical tests were two-sided.,​ RESULTS: Participants at baseline visit (week 0) smoked an average of 8.0 CPD and had a mean serum cotinine level of 275.8 ng/mL (SD = 155.8 ng/mL); most used menthol cigarettes (83.7%) and smoked within 30 minutes of waking (72.2%). After imputing those lost to follow-up as smokers,​ no statistically significant difference in long-term smoking abstinence rates at week 26 was observed between bupropion SR and placebo groups (13.3% vs 10.0%,​ OR = 1.39,​ 95% CI = 0.82 to 2.35,​ P = .23). Cotinine-verified smoking abstinence rate at end of medication week 7 was higher in the bupropion SR vs placebo group (23.7% vs 9.6%,​ OR = 2.92,​ 95% CI = 1.78 to 4.77,​ P &lt; .001).,​ CONCLUSIONS: Bupropion SR was effective in promoting smoking cessation during the medication phase of treatment but showed no effect on long-term smoking cessation among African American light smokers. More research is needed to identify strategies for sustaining abstinence among African American light smokers.</w:t>
            </w:r>
          </w:p>
        </w:tc>
      </w:tr>
      <w:tr w:rsidR="007F0AE0" w:rsidRPr="005762E6" w14:paraId="05A2386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B9E569" w14:textId="77777777" w:rsidR="007F0AE0" w:rsidRPr="005762E6" w:rsidRDefault="007F0AE0" w:rsidP="00453DE3">
            <w:pPr>
              <w:spacing w:after="120" w:line="240" w:lineRule="auto"/>
              <w:contextualSpacing/>
              <w:rPr>
                <w:sz w:val="20"/>
                <w:szCs w:val="20"/>
              </w:rPr>
            </w:pPr>
            <w:r w:rsidRPr="005762E6">
              <w:rPr>
                <w:sz w:val="20"/>
                <w:szCs w:val="20"/>
              </w:rPr>
              <w:lastRenderedPageBreak/>
              <w:t>574</w:t>
            </w:r>
          </w:p>
        </w:tc>
        <w:tc>
          <w:tcPr>
            <w:tcW w:w="0" w:type="auto"/>
            <w:tcBorders>
              <w:top w:val="single" w:sz="6" w:space="0" w:color="auto"/>
              <w:left w:val="single" w:sz="6" w:space="0" w:color="auto"/>
              <w:bottom w:val="single" w:sz="6" w:space="0" w:color="auto"/>
              <w:right w:val="single" w:sz="6" w:space="0" w:color="auto"/>
            </w:tcBorders>
          </w:tcPr>
          <w:p w14:paraId="3DA2EEC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AEDEB3" w14:textId="77777777" w:rsidR="007F0AE0" w:rsidRPr="005762E6" w:rsidRDefault="007F0AE0" w:rsidP="00453DE3">
            <w:pPr>
              <w:spacing w:after="120" w:line="240" w:lineRule="auto"/>
              <w:contextualSpacing/>
              <w:rPr>
                <w:sz w:val="20"/>
                <w:szCs w:val="20"/>
              </w:rPr>
            </w:pPr>
            <w:r w:rsidRPr="005762E6">
              <w:rPr>
                <w:sz w:val="20"/>
                <w:szCs w:val="20"/>
              </w:rPr>
              <w:t>Joseph R DiFranza Research opportunities concerning youth and the Family Smoking Prevention and Tobacco Control Act.. Nicotine &amp; tobacco research : official journal of the Society for Research on Nicotine and Tobacco; 2012;14:54.</w:t>
            </w:r>
            <w:r w:rsidRPr="005762E6">
              <w:rPr>
                <w:sz w:val="20"/>
                <w:szCs w:val="20"/>
              </w:rPr>
              <w:br/>
            </w:r>
            <w:r w:rsidRPr="005762E6">
              <w:rPr>
                <w:sz w:val="20"/>
                <w:szCs w:val="20"/>
              </w:rPr>
              <w:br/>
            </w:r>
            <w:r w:rsidRPr="005762E6">
              <w:rPr>
                <w:b/>
                <w:bCs/>
                <w:sz w:val="20"/>
                <w:szCs w:val="20"/>
              </w:rPr>
              <w:t>Keywords:</w:t>
            </w:r>
            <w:r w:rsidRPr="005762E6">
              <w:rPr>
                <w:sz w:val="20"/>
                <w:szCs w:val="20"/>
              </w:rPr>
              <w:br/>
              <w:t>Adolescent,​Child,​Commerce/lj [Legislation &amp; Jurisprudence],​Drug and Narcotic Control/lj [Legislation &amp; Jurisprudence],​Government Regulation/hi [History],​*Government Regulation,​History,​ 20th Century,​History,​ 21st Century,​Humans,​Indians,​ North American/lj [Legislation &amp; Jurisprudence],​Menthol/ec [Economics],​Minors,​Research,​Smoking/ec [Economics],​*Smoking/lj [Legislation &amp; Jurisprudence],​Smoking Prevention,​*Tobacco,​Tobacco Industry/ed [Education],​Tobacco Industry/lj [Legislation &amp; Jurisprudence],​Tobacco,​ Smokeless/ec [Economics],​United States,​United States Food and Drug Administration</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0284E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5B2DF9" w14:textId="77777777" w:rsidR="007F0AE0" w:rsidRPr="005762E6" w:rsidRDefault="007F0AE0" w:rsidP="00453DE3">
            <w:pPr>
              <w:spacing w:after="120" w:line="240" w:lineRule="auto"/>
              <w:contextualSpacing/>
              <w:rPr>
                <w:sz w:val="20"/>
                <w:szCs w:val="20"/>
              </w:rPr>
            </w:pPr>
            <w:r w:rsidRPr="005762E6">
              <w:rPr>
                <w:sz w:val="20"/>
                <w:szCs w:val="20"/>
              </w:rPr>
              <w:t>578</w:t>
            </w:r>
          </w:p>
        </w:tc>
        <w:tc>
          <w:tcPr>
            <w:tcW w:w="0" w:type="auto"/>
            <w:tcBorders>
              <w:top w:val="single" w:sz="6" w:space="0" w:color="auto"/>
              <w:left w:val="single" w:sz="6" w:space="0" w:color="auto"/>
              <w:bottom w:val="single" w:sz="6" w:space="0" w:color="auto"/>
              <w:right w:val="single" w:sz="6" w:space="0" w:color="auto"/>
            </w:tcBorders>
          </w:tcPr>
          <w:p w14:paraId="33FF7FC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BD5B25B" w14:textId="77777777" w:rsidR="007F0AE0" w:rsidRPr="005762E6" w:rsidRDefault="007F0AE0" w:rsidP="00453DE3">
            <w:pPr>
              <w:spacing w:after="120" w:line="240" w:lineRule="auto"/>
              <w:contextualSpacing/>
              <w:rPr>
                <w:sz w:val="20"/>
                <w:szCs w:val="20"/>
              </w:rPr>
            </w:pPr>
            <w:r w:rsidRPr="005762E6">
              <w:rPr>
                <w:sz w:val="20"/>
                <w:szCs w:val="20"/>
              </w:rPr>
              <w:t>Jennifer W Kahende,​ Ann M Malarcher,​ Anna Teplinskaya,​ Kat J Asman Quit attempt correlates among smokers by race/ethnicity.. International journal of environmental research and public health; 2011;8:3871.</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Adolescent,​Adult,​Aged,​Female,​Health Behavior/eh [Ethnology],​Humans,​Logistic Models,​Male,​Middle Aged,​Retrospective Studies,​Smoking/ep [Epidemiology],​*Smoking/eh [Ethnology],​*Smoking Cessation/eh [Ethnology],​Surveys and Questionnaires,​United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Cigarette smoking is the leading preventable cause of premature deaths in the U.S.,​ accounting for approximately 443,​000 deaths annually. Although smoking prevalence in recent decades has declined substantially among all racial/ethnic groups,​ disparities in smoking-related behaviors among racial/ethnic groups continue to exist. Two of the goals of Healthy People 2020 are to reduce smoking prevalence among adults to 12% or less and to increase smoking cessation attempts by adult smokers from 41% to 80%. Our study assesses whether correlates of quit attempts vary by race/ethnicity among adult (&gt;= 18 years) smokers in the U.S. Understanding racial/ethnic differences in how both internal and external factors affect quit attempts is important for targeting smoking-cessation interventions to decrease tobacco-use disparities.,​ METHODS: We used 2003 Tobacco Use Supplement to the Current Population Survey (CPS) data from 16,​213 adults to examine whether the relationship between demographic characteristics,​ smoking behaviors,​ smoking policies and having made a quit attempt in the past year varied by race/ethnicity.,​ RESULTS: Hispanics and persons of multiple races were more likely to have made a quit attempt than whites. Overall,​ younger individuals and those with &gt;high school education,​ who smoked fewer cigarettes per day and had smoked for fewer years were more likely to </w:t>
            </w:r>
            <w:r w:rsidRPr="005762E6">
              <w:rPr>
                <w:sz w:val="20"/>
                <w:szCs w:val="20"/>
              </w:rPr>
              <w:lastRenderedPageBreak/>
              <w:t>have made a quit attempt. Having a smoke-free home,​ receiving a doctor's advice to quit,​ smoking menthol cigarettes and having a greater time to when you smoked your first cigarette of the day were also associated with having made a quit attempt. The relationship between these four variables and quit attempts varied by race/ethnicity; most notably receiving a doctor's advice was not related to quit attempts among Asian American/Pacific Islanders and menthol use among whites was associated with a lower prevalence of quit attempts while black menthol users were more likely to have made a quit attempt than white non-menthol users.,​ CONCLUSIONS: Most correlates of quit attempts were similar across all racial/ethnic groups. Therefore population-based comprehensive tobacco control programs that increase quit attempts and successful cessation among all racial/ethnic groups should be continued and expanded. Additional strategies may be needed to encourage quit attempts among less educated,​ older,​ and more addicted smokers.</w:t>
            </w:r>
          </w:p>
        </w:tc>
      </w:tr>
      <w:tr w:rsidR="007F0AE0" w:rsidRPr="005762E6" w14:paraId="10E1DAF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5F72B5" w14:textId="77777777" w:rsidR="007F0AE0" w:rsidRPr="005762E6" w:rsidRDefault="007F0AE0" w:rsidP="00453DE3">
            <w:pPr>
              <w:spacing w:after="120" w:line="240" w:lineRule="auto"/>
              <w:contextualSpacing/>
              <w:rPr>
                <w:sz w:val="20"/>
                <w:szCs w:val="20"/>
              </w:rPr>
            </w:pPr>
            <w:r w:rsidRPr="005762E6">
              <w:rPr>
                <w:sz w:val="20"/>
                <w:szCs w:val="20"/>
              </w:rPr>
              <w:lastRenderedPageBreak/>
              <w:t>579</w:t>
            </w:r>
          </w:p>
        </w:tc>
        <w:tc>
          <w:tcPr>
            <w:tcW w:w="0" w:type="auto"/>
            <w:tcBorders>
              <w:top w:val="single" w:sz="6" w:space="0" w:color="auto"/>
              <w:left w:val="single" w:sz="6" w:space="0" w:color="auto"/>
              <w:bottom w:val="single" w:sz="6" w:space="0" w:color="auto"/>
              <w:right w:val="single" w:sz="6" w:space="0" w:color="auto"/>
            </w:tcBorders>
          </w:tcPr>
          <w:p w14:paraId="59C0492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0C2EBEE" w14:textId="77777777" w:rsidR="007F0AE0" w:rsidRPr="005762E6" w:rsidRDefault="007F0AE0" w:rsidP="00453DE3">
            <w:pPr>
              <w:spacing w:after="120" w:line="240" w:lineRule="auto"/>
              <w:contextualSpacing/>
              <w:rPr>
                <w:sz w:val="20"/>
                <w:szCs w:val="20"/>
              </w:rPr>
            </w:pPr>
            <w:r w:rsidRPr="005762E6">
              <w:rPr>
                <w:sz w:val="20"/>
                <w:szCs w:val="20"/>
              </w:rPr>
              <w:t>Cristine D Delnevo,​ Daniel A Gundersen,​ Mary Hrywna,​ Sandra E Echeverria,​ Michael B Steinberg Smoking-cessation prevalence among U.S. smokers of menthol versus non-menthol cigarettes.. American journal of preventive medicine; 2011;41:357.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 Distribution,​Aged,​Cross-Sectional Studies,​*Ethnic Groups/sn [Statistics &amp; Numerical Data],​*Flavoring Agents/ad [Administration &amp; Dosage],​Humans,​Logistic Models,​Male,​*Menthol/ad [Administration &amp; Dosage],​Middle Aged,​Retrospective Studies,​Self-Report,​Sex Distribution,​*Smoking/ep [Epidemiology],​Smoking/px [Psychology],​Smoking Cessation/eh [Ethnology],​*Smoking Cessation/sn [Statistics &amp; Numerical Data],​Socioeconomic Factors,​Tobacco/ae [Adverse Effects],​*Tobacco/cl [Classification],​Young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 Food and Drug Administration currently is assessing the public health impact of menthol cigarettes. Whether menthol cigarettes pose increased barriers to quitting is a critical issue because previous declines in smoking prevalence have stalled.,​ PURPOSE: To explore whether menthol cigarette smokers are less likely to quit than non-menthol smokers at the population level and whether this relationship differs by race/ethnicity.,​ METHODS: Cross-sectional analyses of the 2003 and 2006/2007 Tobacco Use Supplement to the Current Population Survey were conducted in 2010. Multiple logistic regressions were used to calculate the adjusted odds of cessation for menthol smoking relative to non-menthol smoking. Five different sample restrictions were used to assess the robustness of the findings.,​ RESULTS: In the broadest sample restriction,​ menthol smokers were less likely to have quit smoking (AOR=0.91,​ 95% CI=0.87,​ 0.96). This relationship holds among whites (AOR=0.93,​ 95% CI=0.88,​ 0.98) and blacks (AOR=0.81,​ 95% CI=0.67,​ 0.98). The magnitude of the relationship among Hispanics was similar to that among whites,​ but differed by Hispanic origin. Among those of Mexican origin,​ the AOR for menthol smokers was protective but not significant (AOR=1.29,​ 95% CI=0.99,​ 1.61),​ whereas among those of Puerto Rican origin,​ menthol smokers were less likely to have quit (AOR=0.57,​ 95% CI=0.37,​ 0.87). These findings were robust and significant in four of five sample restrictions.,​ CONCLUSIONS: Smoking menthol cigarettes is associated with decreased cessation at the population level,​ and this association is more pronounced among black and Puerto Rican smokers. These findings support the recent calls to ban menthol flavoring in cigarettes. Copyright © 2011 American Journal of Preventive Medicine. Published by Elsevier Inc. All rights reserved.</w:t>
            </w:r>
          </w:p>
        </w:tc>
      </w:tr>
      <w:tr w:rsidR="007F0AE0" w:rsidRPr="005762E6" w14:paraId="3395799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39AC100" w14:textId="77777777" w:rsidR="007F0AE0" w:rsidRPr="005762E6" w:rsidRDefault="007F0AE0" w:rsidP="00453DE3">
            <w:pPr>
              <w:spacing w:after="120" w:line="240" w:lineRule="auto"/>
              <w:contextualSpacing/>
              <w:rPr>
                <w:sz w:val="20"/>
                <w:szCs w:val="20"/>
              </w:rPr>
            </w:pPr>
            <w:r w:rsidRPr="005762E6">
              <w:rPr>
                <w:sz w:val="20"/>
                <w:szCs w:val="20"/>
              </w:rPr>
              <w:t>582</w:t>
            </w:r>
          </w:p>
        </w:tc>
        <w:tc>
          <w:tcPr>
            <w:tcW w:w="0" w:type="auto"/>
            <w:tcBorders>
              <w:top w:val="single" w:sz="6" w:space="0" w:color="auto"/>
              <w:left w:val="single" w:sz="6" w:space="0" w:color="auto"/>
              <w:bottom w:val="single" w:sz="6" w:space="0" w:color="auto"/>
              <w:right w:val="single" w:sz="6" w:space="0" w:color="auto"/>
            </w:tcBorders>
          </w:tcPr>
          <w:p w14:paraId="22EAF37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A8B0D99" w14:textId="77777777" w:rsidR="007F0AE0" w:rsidRPr="005762E6" w:rsidRDefault="007F0AE0" w:rsidP="00453DE3">
            <w:pPr>
              <w:spacing w:after="120" w:line="240" w:lineRule="auto"/>
              <w:contextualSpacing/>
              <w:rPr>
                <w:sz w:val="20"/>
                <w:szCs w:val="20"/>
              </w:rPr>
            </w:pPr>
            <w:r w:rsidRPr="005762E6">
              <w:rPr>
                <w:sz w:val="20"/>
                <w:szCs w:val="20"/>
              </w:rPr>
              <w:t>Babalola Faseru,​ Won S Choi,​ Ron Krebill,​ Matthew S Mayo,​ Nicole L Nollen,​ Kolawole S Okuyemi,​ Jasjit S Ahluwalia,​ Lisa Sanderson Cox Factors associated with smoking menthol cigarettes among treatment-seeking African American light smokers.. Addictive behaviors; 2011;36:1321.</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Americans/px [Psychology],​Age Factors,​Carbon Monoxide/an [Analysis],​Depressive Disorder/eh [Ethnology],​Female,​Humans,​Kansas/ep [Epidemiology],​Male,​*Menthol,​Middle Aged,​Risk Factors,​Sex Factors,​*Smoking/eh [Ethnology],​Socioeconomic Factors,​Substance Withdrawal Syndrome/eh [Ethnology],​*Tobacco</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Smoking menthol cigarettes is more prevalent among African Americans (AA) compared to Whites. Menthol has been found to be inversely related to smoking cessation among AA,​ yet little is known about the factors associated with menthol smoking among AA light smokers. This study examines baseline demographic,​ psychological,​ and smoking factors associated with smoking menthol cigarettes among AA light smokers (&lt;=10 cigarettes per day).,​ METHODS: Participants (n=540) were enrolled in a double blind,​ placebo-controlled randomized trial of bupropion in combination with health education counseling for smoking cessation. </w:t>
            </w:r>
            <w:r w:rsidRPr="005762E6">
              <w:rPr>
                <w:sz w:val="20"/>
                <w:szCs w:val="20"/>
              </w:rPr>
              <w:lastRenderedPageBreak/>
              <w:t>Bivariate differences between menthol and non-menthol smokers were explored and baseline factors associated with smoking menthol cigarettes were identified.,​ RESULTS: Participants averaged 46.5 years in age,​ predominantly female (66.1%),​ and smoked an average of 8.0 cpd (SD=2.5). The majority (83.7%) smoked menthol cigarettes. In bivariate analysis,​ menthol cigarette smokers were younger (mean age: 45 vs. 52 years p&lt;0.0001),​ were more likely to be female (68% vs. 52% p=0.003) and had smoked for shorter duration (28 vs. 34 years p&lt;0.0001) compared to non-menthol smokers. While depression and withdrawal scores were slightly higher and exhaled carbon monoxide values were lower among menthol smokers,​ the differences were not statistically significant.,​ CONCLUSIONS: Among AA light smokers,​ younger individuals and females were more likely to smoke menthol cigarettes and may be more susceptible to the health effects of smoking. Appropriately targeted health education campaigns are needed to prevent smoking uptake in this high-risk population. Copyright © 2011 Elsevier Ltd. All rights reserved.</w:t>
            </w:r>
          </w:p>
        </w:tc>
      </w:tr>
      <w:tr w:rsidR="007F0AE0" w:rsidRPr="005762E6" w14:paraId="6C610C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66ECAE" w14:textId="77777777" w:rsidR="007F0AE0" w:rsidRPr="005762E6" w:rsidRDefault="007F0AE0" w:rsidP="00453DE3">
            <w:pPr>
              <w:spacing w:after="120" w:line="240" w:lineRule="auto"/>
              <w:contextualSpacing/>
              <w:rPr>
                <w:sz w:val="20"/>
                <w:szCs w:val="20"/>
              </w:rPr>
            </w:pPr>
            <w:r w:rsidRPr="005762E6">
              <w:rPr>
                <w:sz w:val="20"/>
                <w:szCs w:val="20"/>
              </w:rPr>
              <w:lastRenderedPageBreak/>
              <w:t>584</w:t>
            </w:r>
          </w:p>
        </w:tc>
        <w:tc>
          <w:tcPr>
            <w:tcW w:w="0" w:type="auto"/>
            <w:tcBorders>
              <w:top w:val="single" w:sz="6" w:space="0" w:color="auto"/>
              <w:left w:val="single" w:sz="6" w:space="0" w:color="auto"/>
              <w:bottom w:val="single" w:sz="6" w:space="0" w:color="auto"/>
              <w:right w:val="single" w:sz="6" w:space="0" w:color="auto"/>
            </w:tcBorders>
          </w:tcPr>
          <w:p w14:paraId="6F92799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509B42" w14:textId="77777777" w:rsidR="007F0AE0" w:rsidRPr="005762E6" w:rsidRDefault="007F0AE0" w:rsidP="00453DE3">
            <w:pPr>
              <w:spacing w:after="120" w:line="240" w:lineRule="auto"/>
              <w:contextualSpacing/>
              <w:rPr>
                <w:sz w:val="20"/>
                <w:szCs w:val="20"/>
              </w:rPr>
            </w:pPr>
            <w:r w:rsidRPr="005762E6">
              <w:rPr>
                <w:sz w:val="20"/>
                <w:szCs w:val="20"/>
              </w:rPr>
              <w:t>Pamela I Clark,​ Phillip Gardiner Menthol should not be given a free pass based on studies of biomarkers of toxicity.. Cancer epidemiology,​ biomarkers &amp; prevention : a publication of the American Association for Cancer Research,​ cosponsored by the American Society of Preventive Oncology; 2011;20:1269.</w:t>
            </w:r>
            <w:r w:rsidRPr="005762E6">
              <w:rPr>
                <w:sz w:val="20"/>
                <w:szCs w:val="20"/>
              </w:rPr>
              <w:br/>
            </w:r>
            <w:r w:rsidRPr="005762E6">
              <w:rPr>
                <w:sz w:val="20"/>
                <w:szCs w:val="20"/>
              </w:rPr>
              <w:br/>
            </w:r>
            <w:r w:rsidRPr="005762E6">
              <w:rPr>
                <w:b/>
                <w:bCs/>
                <w:sz w:val="20"/>
                <w:szCs w:val="20"/>
              </w:rPr>
              <w:t>Keywords:</w:t>
            </w:r>
            <w:r w:rsidRPr="005762E6">
              <w:rPr>
                <w:sz w:val="20"/>
                <w:szCs w:val="20"/>
              </w:rPr>
              <w:br/>
              <w:t>*Cotinine/bl [Blood],​Female,​Humans,​Male,​*Menthol,​*Smoking/bl [Blood]</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Exposure and toxicity studies comparing menthol and nonmenthol cigarettes have resulted in mixed results. On the basis of those results,​ cigarette manufacturers have concluded that there is no increased harm from the addition of menthol to cigarettes. We propose that such a narrow definition of harm is not appropriate in dealing with the issue of menthol,​ and its broader negative public health impact. Copyright ©2011 AACR</w:t>
            </w:r>
          </w:p>
        </w:tc>
      </w:tr>
      <w:tr w:rsidR="007F0AE0" w:rsidRPr="005762E6" w14:paraId="1A92D01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24405F" w14:textId="77777777" w:rsidR="007F0AE0" w:rsidRPr="005762E6" w:rsidRDefault="007F0AE0" w:rsidP="00453DE3">
            <w:pPr>
              <w:spacing w:after="120" w:line="240" w:lineRule="auto"/>
              <w:contextualSpacing/>
              <w:rPr>
                <w:sz w:val="20"/>
                <w:szCs w:val="20"/>
              </w:rPr>
            </w:pPr>
            <w:r w:rsidRPr="005762E6">
              <w:rPr>
                <w:sz w:val="20"/>
                <w:szCs w:val="20"/>
              </w:rPr>
              <w:t>586</w:t>
            </w:r>
          </w:p>
        </w:tc>
        <w:tc>
          <w:tcPr>
            <w:tcW w:w="0" w:type="auto"/>
            <w:tcBorders>
              <w:top w:val="single" w:sz="6" w:space="0" w:color="auto"/>
              <w:left w:val="single" w:sz="6" w:space="0" w:color="auto"/>
              <w:bottom w:val="single" w:sz="6" w:space="0" w:color="auto"/>
              <w:right w:val="single" w:sz="6" w:space="0" w:color="auto"/>
            </w:tcBorders>
          </w:tcPr>
          <w:p w14:paraId="23C66EA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E8EE278" w14:textId="77777777" w:rsidR="007F0AE0" w:rsidRPr="005762E6" w:rsidRDefault="007F0AE0" w:rsidP="00453DE3">
            <w:pPr>
              <w:spacing w:after="120" w:line="240" w:lineRule="auto"/>
              <w:contextualSpacing/>
              <w:rPr>
                <w:sz w:val="20"/>
                <w:szCs w:val="20"/>
              </w:rPr>
            </w:pPr>
            <w:r w:rsidRPr="005762E6">
              <w:rPr>
                <w:sz w:val="20"/>
                <w:szCs w:val="20"/>
              </w:rPr>
              <w:t>George R Uhl,​ Donna Walther,​ Frederique M Behm,​ Jed E Rose Menthol preference among smokers: association with TRPA1 variants.. Nicotine &amp; tobacco research : official journal of the Society for Research on Nicotine and Tobacco; 2011;13:1311.</w:t>
            </w:r>
            <w:r w:rsidRPr="005762E6">
              <w:rPr>
                <w:sz w:val="20"/>
                <w:szCs w:val="20"/>
              </w:rPr>
              <w:br/>
            </w:r>
            <w:r w:rsidRPr="005762E6">
              <w:rPr>
                <w:sz w:val="20"/>
                <w:szCs w:val="20"/>
              </w:rPr>
              <w:br/>
            </w:r>
            <w:r w:rsidRPr="005762E6">
              <w:rPr>
                <w:b/>
                <w:bCs/>
                <w:sz w:val="20"/>
                <w:szCs w:val="20"/>
              </w:rPr>
              <w:t>Keywords:</w:t>
            </w:r>
            <w:r w:rsidRPr="005762E6">
              <w:rPr>
                <w:sz w:val="20"/>
                <w:szCs w:val="20"/>
              </w:rPr>
              <w:br/>
              <w:t>Adult,​*Calcium Channels/ge [Genetics],​*European Continental Ancestry Group/sn [Statistics &amp; Numerical Data],​Female,​Gene Frequency,​Genotype,​HapMap Project,​Haplotypes,​Humans,​Male,​Maryland/ep [Epidemiology],​Menthol,​*Nerve Tissue Proteins/ge [Genetics],​North Carolina/ep [Epidemiology],​Polymorphism,​ Single Nucleotide/ge [Genetics],​Self-Report,​Smoking/ep [Epidemiology],​*Smoking/ge [Genetics],​*Smoking Cessation/sn [Statistics &amp; Numerical Data],​TRPA1 Cation Channel,​Tobacco Use Disorder/ep [Epidemiology],​*Tobacco Use Disorder/ge [Genetics],​*Transient Receptor Potential Channels/ge [Genetics]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Preference for smoking menthol cigarettes differs from individual to individual and population to population in ways that may provide higher levels of nicotine intake and contribute to smoking's morbidity and mortality. Menthol acts at sites that include the transient receptor potential (TRP) A1 channel that is expressed by nociceptors in the lung and airways,​ suggesting that individual and population differences in TRPA1 sequences might contribute to observed differences in menthol preference among smokers.,​ METHODS: We have thus sought association between menthol preference and common variants in the TRPA1 gene in heavier and lighter European-American smokers. Smokers were recruited for studies of smoking cessation in North Carolina and of substance abuse genetics in Maryland.,​ RESULTS: A common TRPA1 haplotype is defined by 1 missense and 10 intronic single nucleotide polymorphisms that display significant (.006 &lt; p &lt; .05; chi(2)) association with preference for mentholated cigarettes in heavy smokers (odds ratio ca. 1.3). There are smaller trends in the same direction in lighter smokers.,​ CONCLUSIONS: This TRPA1 haplotype provides a novel biological basis for individual differences in menthol preference and possibly for actions of other agents that act at TRPA1.</w:t>
            </w:r>
          </w:p>
        </w:tc>
      </w:tr>
      <w:tr w:rsidR="007F0AE0" w:rsidRPr="005762E6" w14:paraId="2B5FC93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46BD0F" w14:textId="77777777" w:rsidR="007F0AE0" w:rsidRPr="005762E6" w:rsidRDefault="007F0AE0" w:rsidP="00453DE3">
            <w:pPr>
              <w:spacing w:after="120" w:line="240" w:lineRule="auto"/>
              <w:contextualSpacing/>
              <w:rPr>
                <w:sz w:val="20"/>
                <w:szCs w:val="20"/>
              </w:rPr>
            </w:pPr>
            <w:r w:rsidRPr="005762E6">
              <w:rPr>
                <w:sz w:val="20"/>
                <w:szCs w:val="20"/>
              </w:rPr>
              <w:t>587</w:t>
            </w:r>
          </w:p>
        </w:tc>
        <w:tc>
          <w:tcPr>
            <w:tcW w:w="0" w:type="auto"/>
            <w:tcBorders>
              <w:top w:val="single" w:sz="6" w:space="0" w:color="auto"/>
              <w:left w:val="single" w:sz="6" w:space="0" w:color="auto"/>
              <w:bottom w:val="single" w:sz="6" w:space="0" w:color="auto"/>
              <w:right w:val="single" w:sz="6" w:space="0" w:color="auto"/>
            </w:tcBorders>
          </w:tcPr>
          <w:p w14:paraId="6DCF97B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FFCAC03" w14:textId="77777777" w:rsidR="007F0AE0" w:rsidRPr="005762E6" w:rsidRDefault="007F0AE0" w:rsidP="00453DE3">
            <w:pPr>
              <w:spacing w:after="120" w:line="240" w:lineRule="auto"/>
              <w:contextualSpacing/>
              <w:rPr>
                <w:sz w:val="20"/>
                <w:szCs w:val="20"/>
              </w:rPr>
            </w:pPr>
            <w:r w:rsidRPr="005762E6">
              <w:rPr>
                <w:sz w:val="20"/>
                <w:szCs w:val="20"/>
              </w:rPr>
              <w:t>Paul M Wise,​ George Preti,​ Jason Eades,​ Charles J Wysocki The effect of menthol vapor on nasal sensitivity to chemical irritation.. Nicotine &amp; tobacco research : official journal of the Society for Research on Nicotine and Tobacco; 2011;13:989.</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Acetic Acid/ad [Administration &amp; Dosage],​Acetic Acid/pd [Pharmacology],​Administration,​ Inhalation,​Adult,​Female,​Humans,​*Irritants/pd [Pharmacology],​Isothiocyanates/pd [Pharmacology],​Male,​Menthol/ad [Administration &amp; Dosage],​*Menthol/pd [Pharmacology],​Middle Aged,​*Nasal Mucosa/de [Drug Effects],​Nasal </w:t>
            </w:r>
            <w:r w:rsidRPr="005762E6">
              <w:rPr>
                <w:sz w:val="20"/>
                <w:szCs w:val="20"/>
              </w:rPr>
              <w:lastRenderedPageBreak/>
              <w:t>Mucosa/ph [Physiology],​*Sensation/de [Drug Effects],​Sensation/ph [Physiology],​Sensory Thresholds/ph [Physiology],​Smoking/px [Psychology],​Stimulation,​ Chemical,​Tobacco Smoke Pollution,​Young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Among other effects,​ menthol added to cigarettes may modulate sensory response to cigarette smoke either by masking "harshness" or contributing to a desirable "impact." However,​ harshness and impact have been imprecisely defined and assessed using subjective measures. Thus,​ the current experiments used an objective measure of sensitivity to chemical irritation in the nose to test the hypothesis that menthol vapor modulates sensitivity to chemical irritation in the airways.,​ METHODS: Nasal irritation thresholds were measured for 2 model compounds (acetic acid and allyl isothiocyanate) using nasal lateralization. In this technique,​ participants simultaneously sniff clean air in one nostril and chemical vapor in the other and attempt to identify the stimulated nostril. People cannot lateralize based on smell alone but can do so when chemicals are strong enough to feel. In one condition,​ participants were pretreated by sniffing menthol vapor. In a control condition,​ participants were pretreated by sniffing an odorless blank (within-subjects design).,​ RESULTS: Pretreatment with menthol vapor decreased sensitivity to nasal irritation from acetic acid (participants required higher concentrations to lateralize) but increased sensitivity to allyl isothiocyanate (lower concentrations were required).,​ CONCLUSIONS: The current experiments provide objective evidence that menthol vapor can modulate sensitivity to chemical irritation in the upper airways in humans. Cigarette smoke is a complex mixture of chemicals and particulates,​ and further work will be needed to determine exactly how menthol modulates smoking sensation. A better understanding could lead to treatments tailored to help menthol smokers quit by replacing the sensation of mentholated cigarettes.</w:t>
            </w:r>
          </w:p>
        </w:tc>
      </w:tr>
      <w:tr w:rsidR="007F0AE0" w:rsidRPr="005762E6" w14:paraId="12A2787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B7A39E" w14:textId="77777777" w:rsidR="007F0AE0" w:rsidRPr="005762E6" w:rsidRDefault="007F0AE0" w:rsidP="00453DE3">
            <w:pPr>
              <w:spacing w:after="120" w:line="240" w:lineRule="auto"/>
              <w:contextualSpacing/>
              <w:rPr>
                <w:sz w:val="20"/>
                <w:szCs w:val="20"/>
              </w:rPr>
            </w:pPr>
            <w:r w:rsidRPr="005762E6">
              <w:rPr>
                <w:sz w:val="20"/>
                <w:szCs w:val="20"/>
              </w:rPr>
              <w:lastRenderedPageBreak/>
              <w:t>588</w:t>
            </w:r>
          </w:p>
        </w:tc>
        <w:tc>
          <w:tcPr>
            <w:tcW w:w="0" w:type="auto"/>
            <w:tcBorders>
              <w:top w:val="single" w:sz="6" w:space="0" w:color="auto"/>
              <w:left w:val="single" w:sz="6" w:space="0" w:color="auto"/>
              <w:bottom w:val="single" w:sz="6" w:space="0" w:color="auto"/>
              <w:right w:val="single" w:sz="6" w:space="0" w:color="auto"/>
            </w:tcBorders>
          </w:tcPr>
          <w:p w14:paraId="640CAD4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561590F" w14:textId="77777777" w:rsidR="007F0AE0" w:rsidRPr="005762E6" w:rsidRDefault="007F0AE0" w:rsidP="00453DE3">
            <w:pPr>
              <w:spacing w:after="120" w:line="240" w:lineRule="auto"/>
              <w:contextualSpacing/>
              <w:rPr>
                <w:sz w:val="20"/>
                <w:szCs w:val="20"/>
              </w:rPr>
            </w:pPr>
            <w:r w:rsidRPr="005762E6">
              <w:rPr>
                <w:sz w:val="20"/>
                <w:szCs w:val="20"/>
              </w:rPr>
              <w:t>Lorraine R Reitzel,​ Nga Nguyen,​ Yumei Cao,​ Jennifer Irvin Vidrine,​ Patricia Daza,​ Patricia Dolan Mullen,​ Mary M Velasquez,​ Yisheng Li,​ Paul M Cinciripini,​ Ludmila Cofta-Woerpel,​ David W Wetter Race/ethnicity moderates the effect of prepartum menthol cigarette use on postpartum smoking abstinence.. Nicotine &amp; tobacco research : official journal of the Society for Research on Nicotine and Tobacco; 2011;13:1305.</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Data],​European Continental Ancestry Group/sn [Statistics &amp; Numerical Data],​Female,​Hispanic Americans/sn [Statistics &amp; Numerical Data],​Humans,​Logistic Models,​Longitudinal Studies,​Menthol,​Odds Ratio,​Postpartum Period,​Pregnancy,​*Pregnancy Complications/eh [Ethnology],​Smoking/ep [Epidemiology],​*Smoking/eh [Ethnology],​*Smoking Cessation/eh [Ethnology],​Smoking Cessation/sn [Statistics &amp; Numerical Data],​Smoking Prevention,​Tobacco Use Disorder/ep [Epidemiology],​*Tobacco Use Disorder/eh [Ethnology],​Tobacco Use Disorder/pc [Prevention &amp; Control],​United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Little is known about the influence of prepartum menthol cigarette use on postpartum smoking abstinence or how race/ethnicity might moderate this relationship. The current study addressed that gap by testing these relationships among racially/ethnically diverse women who quit smoking during pregnancy (N = 244; 33% African American,​ 31% Latina,​ 36% White).,​ METHODS: Continuation ratio logit models were used to examine the effects of prepartum menthol cigarette use on biochemically confirmed,​ continuous abstinence through 26 weeks postpartum using an intent-to-treat approach. Analyses controlled for age,​ race/ethnicity,​ partner status,​ income,​ education,​ treatment,​ number of prequit cigarettes smoked per day,​ time to the first cigarette of the day,​ and time (Week 8 or 26 data collection timepoint). An additional model tested the moderating effects of race/ethnicity by including an interaction term.,​ RESULTS: Prepartum menthol cigarette use was not significantly associated with postpartum smoking abstinence in the overall sample. However,​ the interaction between menthol use and race/ethnicity was significant (p = .02). Among White women,​ menthol use was associated with significantly lower odds of maintaining postpartum smoking abstinence (p = .03; odds ratio = .19 [.04-.89]),​ and the effect approached significance among African American women (p = .08).,​ CONCLUSIONS: This study provides the first evidence that prepartum menthol cigarette use may increase the risk of postpartum smoking relapse among White,​ and possibly African American,​ women who quit smoking during or immediately before pregnancy. Results suggest that White and African American prepartum menthol users may require different or more intensive cessation services to aid in the maintenance of postpartum smoking abstinence. Replication with larger samples,​ and a focus on understanding the mechanisms that underlie these relationships,​ are warranted.</w:t>
            </w:r>
          </w:p>
        </w:tc>
      </w:tr>
      <w:tr w:rsidR="007F0AE0" w:rsidRPr="005762E6" w14:paraId="1505692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F4CCF6" w14:textId="77777777" w:rsidR="007F0AE0" w:rsidRPr="005762E6" w:rsidRDefault="007F0AE0" w:rsidP="00453DE3">
            <w:pPr>
              <w:spacing w:after="120" w:line="240" w:lineRule="auto"/>
              <w:contextualSpacing/>
              <w:rPr>
                <w:sz w:val="20"/>
                <w:szCs w:val="20"/>
              </w:rPr>
            </w:pPr>
            <w:r w:rsidRPr="005762E6">
              <w:rPr>
                <w:sz w:val="20"/>
                <w:szCs w:val="20"/>
              </w:rPr>
              <w:lastRenderedPageBreak/>
              <w:t>590</w:t>
            </w:r>
          </w:p>
        </w:tc>
        <w:tc>
          <w:tcPr>
            <w:tcW w:w="0" w:type="auto"/>
            <w:tcBorders>
              <w:top w:val="single" w:sz="6" w:space="0" w:color="auto"/>
              <w:left w:val="single" w:sz="6" w:space="0" w:color="auto"/>
              <w:bottom w:val="single" w:sz="6" w:space="0" w:color="auto"/>
              <w:right w:val="single" w:sz="6" w:space="0" w:color="auto"/>
            </w:tcBorders>
          </w:tcPr>
          <w:p w14:paraId="336808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0BCEB3" w14:textId="77777777" w:rsidR="007F0AE0" w:rsidRPr="005762E6" w:rsidRDefault="007F0AE0" w:rsidP="00453DE3">
            <w:pPr>
              <w:spacing w:after="120" w:line="240" w:lineRule="auto"/>
              <w:contextualSpacing/>
              <w:rPr>
                <w:sz w:val="20"/>
                <w:szCs w:val="20"/>
              </w:rPr>
            </w:pPr>
            <w:r w:rsidRPr="005762E6">
              <w:rPr>
                <w:sz w:val="20"/>
                <w:szCs w:val="20"/>
              </w:rPr>
              <w:t>David T Levy,​ Jennifer L Pearson,​ Andrea C Villanti,​ Kenneth Blackman,​ Donna M Vallone,​ Raymond S Niaura,​ David B Abrams Modeling the future effects of a menthol ban on smoking prevalence and smoking-attributable deaths in the United States.. American journal of public health; 2011;101:1236.</w:t>
            </w:r>
            <w:r w:rsidRPr="005762E6">
              <w:rPr>
                <w:sz w:val="20"/>
                <w:szCs w:val="20"/>
              </w:rPr>
              <w:br/>
            </w:r>
            <w:r w:rsidRPr="005762E6">
              <w:rPr>
                <w:sz w:val="20"/>
                <w:szCs w:val="20"/>
              </w:rPr>
              <w:br/>
            </w:r>
            <w:r w:rsidRPr="005762E6">
              <w:rPr>
                <w:b/>
                <w:bCs/>
                <w:sz w:val="20"/>
                <w:szCs w:val="20"/>
              </w:rPr>
              <w:t>Keywords:</w:t>
            </w:r>
            <w:r w:rsidRPr="005762E6">
              <w:rPr>
                <w:sz w:val="20"/>
                <w:szCs w:val="20"/>
              </w:rPr>
              <w:br/>
              <w:t>African Continental Ancestry Group/sn [Statistics &amp; Numerical Data],​Humans,​*Menthol,​Models,​ Statistical,​Prevalence,​Smoking/ep [Epidemiology],​*Smoking/lj [Legislation &amp; Jurisprudence],​Smoking/mo [Mortality],​Smoking Cessation/sn [Statistics &amp; Numerical Data],​United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We used a validated smoking simulation model and data from the 2003 Tobacco Use Supplement to the Current Population Survey to project the impact that a US menthol ban would have on smoking prevalence and smoking-attributable deaths. In a scenario in which 30% of menthol smokers quit and 30% of those who would have initiated as menthol smokers do not initiate,​ by 2050 the relative reduction in smoking prevalence would be 9.7% overall and 24.8% for Blacks; deaths averted would be 633,​252 overall and 237,​317 for Blacks.</w:t>
            </w:r>
          </w:p>
        </w:tc>
      </w:tr>
      <w:tr w:rsidR="007F0AE0" w:rsidRPr="005762E6" w14:paraId="3ABAE86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A05CAF" w14:textId="77777777" w:rsidR="007F0AE0" w:rsidRPr="005762E6" w:rsidRDefault="007F0AE0" w:rsidP="00453DE3">
            <w:pPr>
              <w:spacing w:after="120" w:line="240" w:lineRule="auto"/>
              <w:contextualSpacing/>
              <w:rPr>
                <w:sz w:val="20"/>
                <w:szCs w:val="20"/>
              </w:rPr>
            </w:pPr>
            <w:r w:rsidRPr="005762E6">
              <w:rPr>
                <w:sz w:val="20"/>
                <w:szCs w:val="20"/>
              </w:rPr>
              <w:t>591</w:t>
            </w:r>
          </w:p>
        </w:tc>
        <w:tc>
          <w:tcPr>
            <w:tcW w:w="0" w:type="auto"/>
            <w:tcBorders>
              <w:top w:val="single" w:sz="6" w:space="0" w:color="auto"/>
              <w:left w:val="single" w:sz="6" w:space="0" w:color="auto"/>
              <w:bottom w:val="single" w:sz="6" w:space="0" w:color="auto"/>
              <w:right w:val="single" w:sz="6" w:space="0" w:color="auto"/>
            </w:tcBorders>
          </w:tcPr>
          <w:p w14:paraId="221052A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740C463" w14:textId="77777777" w:rsidR="007F0AE0" w:rsidRPr="005762E6" w:rsidRDefault="007F0AE0" w:rsidP="00453DE3">
            <w:pPr>
              <w:spacing w:after="120" w:line="240" w:lineRule="auto"/>
              <w:contextualSpacing/>
              <w:rPr>
                <w:sz w:val="20"/>
                <w:szCs w:val="20"/>
              </w:rPr>
            </w:pPr>
            <w:r w:rsidRPr="005762E6">
              <w:rPr>
                <w:sz w:val="20"/>
                <w:szCs w:val="20"/>
              </w:rPr>
              <w:t>David T Levy,​ Kenneth Blackman,​ John Tauras,​ Frank J Chaloupka,​ Andrea C Villanti,​ Raymond S Niaura,​ Donna M Vallone,​ David B Abrams Quit attempts and quit rates among menthol and nonmenthol smokers in the United States.. American journal of public health; 2011;101:1241.</w:t>
            </w:r>
            <w:r w:rsidRPr="005762E6">
              <w:rPr>
                <w:sz w:val="20"/>
                <w:szCs w:val="20"/>
              </w:rPr>
              <w:br/>
            </w:r>
            <w:r w:rsidRPr="005762E6">
              <w:rPr>
                <w:sz w:val="20"/>
                <w:szCs w:val="20"/>
              </w:rPr>
              <w:br/>
            </w:r>
            <w:r w:rsidRPr="005762E6">
              <w:rPr>
                <w:b/>
                <w:bCs/>
                <w:sz w:val="20"/>
                <w:szCs w:val="20"/>
              </w:rPr>
              <w:t>Keywords:</w:t>
            </w:r>
            <w:r w:rsidRPr="005762E6">
              <w:rPr>
                <w:sz w:val="20"/>
                <w:szCs w:val="20"/>
              </w:rPr>
              <w:br/>
              <w:t>Health Surveys,​Humans,​Logistic Models,​Menthol,​Smoking/ep [Epidemiology],​Smoking/lj [Legislation &amp; Jurisprudence],​*Smoking Cessation/sn [Statistics &amp; Numerical Data],​Socioeconomic Factors,​United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We compared quit attempts and quit rates among menthol and nonmenthol cigarette smokers in the United States.,​ METHODS: We used data from the 2003 and 2006-2007 waves of the large,​ nationally representative Tobacco Use Supplement to the Current Population Survey with control for state-level tobacco control spending,​ prices,​ and smoke-free air laws. We estimated mean prevalence,​ quit rates,​ and multivariate logistic regression equations by using self-respondent weights for menthol and nonmenthol smokers.,​ RESULTS: In 2003 and 2007,​ 70% of smokers smoked nonmenthol cigarettes,​ 26% smoked menthol cigarettes,​ and 4% had no preference. Quit attempts were 4.3% higher in 2003 and 8.8% higher in 2007 among menthol than nonmenthol smokers. The likelihood of quitting was 3.5% lower for quitting in the past year and 6% lower for quitting in the past 5 years in menthol compared with nonmenthol smokers. Quit success in the past 5 years was further eroded among menthol-smoking Blacks and young adults.,​ CONCLUSIONS: Menthol smokers are more likely to make quit attempts,​ but are less successful at staying quit. The creation of menthol preference through marketing may reduce quit success.</w:t>
            </w:r>
          </w:p>
        </w:tc>
      </w:tr>
      <w:tr w:rsidR="007F0AE0" w:rsidRPr="005762E6" w14:paraId="09A37D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F717F9F" w14:textId="77777777" w:rsidR="007F0AE0" w:rsidRPr="005762E6" w:rsidRDefault="007F0AE0" w:rsidP="00453DE3">
            <w:pPr>
              <w:spacing w:after="120" w:line="240" w:lineRule="auto"/>
              <w:contextualSpacing/>
              <w:rPr>
                <w:sz w:val="20"/>
                <w:szCs w:val="20"/>
              </w:rPr>
            </w:pPr>
            <w:r w:rsidRPr="005762E6">
              <w:rPr>
                <w:sz w:val="20"/>
                <w:szCs w:val="20"/>
              </w:rPr>
              <w:t>592</w:t>
            </w:r>
          </w:p>
        </w:tc>
        <w:tc>
          <w:tcPr>
            <w:tcW w:w="0" w:type="auto"/>
            <w:tcBorders>
              <w:top w:val="single" w:sz="6" w:space="0" w:color="auto"/>
              <w:left w:val="single" w:sz="6" w:space="0" w:color="auto"/>
              <w:bottom w:val="single" w:sz="6" w:space="0" w:color="auto"/>
              <w:right w:val="single" w:sz="6" w:space="0" w:color="auto"/>
            </w:tcBorders>
          </w:tcPr>
          <w:p w14:paraId="3039BAF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1C5BAFE" w14:textId="77777777" w:rsidR="007F0AE0" w:rsidRPr="005762E6" w:rsidRDefault="007F0AE0" w:rsidP="00453DE3">
            <w:pPr>
              <w:spacing w:after="120" w:line="240" w:lineRule="auto"/>
              <w:contextualSpacing/>
              <w:rPr>
                <w:sz w:val="20"/>
                <w:szCs w:val="20"/>
              </w:rPr>
            </w:pPr>
            <w:r w:rsidRPr="005762E6">
              <w:rPr>
                <w:sz w:val="20"/>
                <w:szCs w:val="20"/>
              </w:rPr>
              <w:t>Neal L Benowitz,​ Katherine M Dains,​ Delia Dempsey,​ Margaret Wilson,​ Peyton Jacob Racial differences in the relationship between number of cigarettes smoked and nicotine and carcinogen exposure.. Nicotine &amp; tobacco research : official journal of the Society for Research on Nicotine and Tobacco; 2011;13:772.</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Americans/px [Psychology],​Aged,​Carcinogens/an [Analysis],​Cotinine/bl [Blood],​European Continental Ancestry Group/px [Psychology],​Female,​Humans,​Male,​Middle Aged,​*Nicotine/bl [Blood],​Nicotine/ur [Urine],​Nitrosamines/ur [Urine],​Polycyclic Aromatic Hydrocarbons/ur [Urine],​Pyridines/ur [Urine],​San Francisco,​Smoking/bl [Blood],​*Smoking/eh [Ethnology],​Smoking/px [Psychology],​Smoking/ur [Urine],​Tobacco Use Disorder/bl [Blood],​*Tobacco Use Disorder/eh [Ethnology],​Tobacco Use Disorder/px [Psychology],​Tobacco Use Disorder/ur [Urine],​Young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Black smokers are reported to have higher lung cancer rates and greater tobacco dependence at lower levels of cigarette consumption compared to non-Hispanic White smokers. We studied the relationship between cigarettes per day (CPD) and biomarkers of nicotine and carcinogen exposure in Black and White smokers.,​ METHODS: In 128 Black and White smokers,​ we measured plasma nicotine and its main proximate metabolite cotinine,​ urine nicotine equivalents,​ 4-(methylnitrosamino)-1-(3)pyridyl-1-butanol (NNAL),​ and polycyclic aromatic hydrocarbon (PAH) metabolites.,​ RESULTS: The dose-response between CPD and nicotine equivalents,​ and NNAL and PAH was flat for Black but positive for White smokers (Race x CPD interaction,​ all ps &lt; </w:t>
            </w:r>
            <w:r w:rsidRPr="005762E6">
              <w:rPr>
                <w:sz w:val="20"/>
                <w:szCs w:val="20"/>
              </w:rPr>
              <w:lastRenderedPageBreak/>
              <w:t>.05). Regression estimates for the Race x CPD interactions were 0.042 (95% CI 0.013-0.070),​ 0.054 (0.023-0.086),​ and 0.028 (0.004-0.052) for urine nicotine equivalents,​ NNAL,​ and PAHs,​ respectively. In contrast there was a strong correlation between nicotine equivalents and NNAL and PAH independent of race. Nicotine and carcinogen exposure per individual cigarette was inversely related to CPD. This inverse correlation was stronger in Black compared to White smokers and stronger in menthol compared to regular cigarette smokers (not mutually adjusted).,​ CONCLUSIONS: Our data indicate that Blacks on average smoke cigarettes differently than White smokers such that CPD predicts smoke intake more poorly in Black than in White smokers.</w:t>
            </w:r>
          </w:p>
        </w:tc>
      </w:tr>
      <w:tr w:rsidR="007F0AE0" w:rsidRPr="005762E6" w14:paraId="008A9A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0E1402" w14:textId="77777777" w:rsidR="007F0AE0" w:rsidRPr="005762E6" w:rsidRDefault="007F0AE0" w:rsidP="00453DE3">
            <w:pPr>
              <w:spacing w:after="120" w:line="240" w:lineRule="auto"/>
              <w:contextualSpacing/>
              <w:rPr>
                <w:sz w:val="20"/>
                <w:szCs w:val="20"/>
              </w:rPr>
            </w:pPr>
            <w:r w:rsidRPr="005762E6">
              <w:rPr>
                <w:sz w:val="20"/>
                <w:szCs w:val="20"/>
              </w:rPr>
              <w:lastRenderedPageBreak/>
              <w:t>593</w:t>
            </w:r>
          </w:p>
        </w:tc>
        <w:tc>
          <w:tcPr>
            <w:tcW w:w="0" w:type="auto"/>
            <w:tcBorders>
              <w:top w:val="single" w:sz="6" w:space="0" w:color="auto"/>
              <w:left w:val="single" w:sz="6" w:space="0" w:color="auto"/>
              <w:bottom w:val="single" w:sz="6" w:space="0" w:color="auto"/>
              <w:right w:val="single" w:sz="6" w:space="0" w:color="auto"/>
            </w:tcBorders>
          </w:tcPr>
          <w:p w14:paraId="172270C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4DA39E" w14:textId="77777777" w:rsidR="007F0AE0" w:rsidRPr="005762E6" w:rsidRDefault="007F0AE0" w:rsidP="00453DE3">
            <w:pPr>
              <w:spacing w:after="120" w:line="240" w:lineRule="auto"/>
              <w:contextualSpacing/>
              <w:rPr>
                <w:sz w:val="20"/>
                <w:szCs w:val="20"/>
              </w:rPr>
            </w:pPr>
            <w:r w:rsidRPr="005762E6">
              <w:rPr>
                <w:sz w:val="20"/>
                <w:szCs w:val="20"/>
              </w:rPr>
              <w:t>Youn Ok Lee,​ Stanton A Glantz Menthol: putting the pieces together.. Tobacco control; 2011;20 Suppl 2:ii1.</w:t>
            </w:r>
            <w:r w:rsidRPr="005762E6">
              <w:rPr>
                <w:sz w:val="20"/>
                <w:szCs w:val="20"/>
              </w:rPr>
              <w:br/>
            </w:r>
            <w:r w:rsidRPr="005762E6">
              <w:rPr>
                <w:sz w:val="20"/>
                <w:szCs w:val="20"/>
              </w:rPr>
              <w:br/>
            </w:r>
            <w:r w:rsidRPr="005762E6">
              <w:rPr>
                <w:b/>
                <w:bCs/>
                <w:sz w:val="20"/>
                <w:szCs w:val="20"/>
              </w:rPr>
              <w:t>Keywords:</w:t>
            </w:r>
            <w:r w:rsidRPr="005762E6">
              <w:rPr>
                <w:sz w:val="20"/>
                <w:szCs w:val="20"/>
              </w:rPr>
              <w:br/>
              <w:t>Documentation,​Health Knowledge,​ Attitudes,​ Practice,​Humans,​*Marketing,​*Menthol,​*Public Health,​Public Opinion,​*Smoking,​*Tobacco Industry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integrate information on cigarette companies' understanding and use of menthol as summarised in published research based on previously internal tobacco industry documents with results from large population-based surveys of tobacco use and other independent sources.,​ DATA SOURCES: Papers published in this supplement of Tobacco Control,​ together with papers identified using PubMed searches.,​ RESULTS: Tobacco companies shaped consumer perceptions of menthol cigarettes. Menthol is not just a flavouring agent. Cigarette companies use menthol's ability to mask irritation and provide sensory effects to make menthol cigarettes appeal to youth and health-concerned smokers,​ in part because menthol makes low-tar cigarettes more palatable. Consistent with targeted marketing,​ youths,​ women and African Americans disproportionately smoke menthols. There appear to be complex interactions with addictive effects of nicotine. The ubiquitous addition of menthol by tobacco companies to over 90% of all tobacco products,​ whether labelled 'menthol' or not,​ demonstrates that menthol is not simply a flavour or brand. Menthol imparts sensory characteristics to cigarettes and has a complex interaction with nicotine that affects smoking behaviour whether it is perceived or not,​ or whether cigarettes containing menthol are marketed as 'menthol' or not. Adding menthol increases fine particles in cigarette smoke,​ which have immediate adverse effects on the risk of heart attack.,​ CONCLUSION: Information from industry documents,​ confirmed by independent scientific literature,​ consistently demonstrates that menthol increases population harm from smoking by increasing initiation and reducing cessation in some groups. Menthol facilitates and increases smoking,​ which causes disease and death.</w:t>
            </w:r>
          </w:p>
        </w:tc>
      </w:tr>
      <w:tr w:rsidR="007F0AE0" w:rsidRPr="005762E6" w14:paraId="378C59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5B9943" w14:textId="77777777" w:rsidR="007F0AE0" w:rsidRPr="005762E6" w:rsidRDefault="007F0AE0" w:rsidP="00453DE3">
            <w:pPr>
              <w:spacing w:after="120" w:line="240" w:lineRule="auto"/>
              <w:contextualSpacing/>
              <w:rPr>
                <w:sz w:val="20"/>
                <w:szCs w:val="20"/>
              </w:rPr>
            </w:pPr>
            <w:r w:rsidRPr="005762E6">
              <w:rPr>
                <w:sz w:val="20"/>
                <w:szCs w:val="20"/>
              </w:rPr>
              <w:t>594</w:t>
            </w:r>
          </w:p>
        </w:tc>
        <w:tc>
          <w:tcPr>
            <w:tcW w:w="0" w:type="auto"/>
            <w:tcBorders>
              <w:top w:val="single" w:sz="6" w:space="0" w:color="auto"/>
              <w:left w:val="single" w:sz="6" w:space="0" w:color="auto"/>
              <w:bottom w:val="single" w:sz="6" w:space="0" w:color="auto"/>
              <w:right w:val="single" w:sz="6" w:space="0" w:color="auto"/>
            </w:tcBorders>
          </w:tcPr>
          <w:p w14:paraId="351379B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730D5F1" w14:textId="77777777" w:rsidR="007F0AE0" w:rsidRPr="005762E6" w:rsidRDefault="007F0AE0" w:rsidP="00453DE3">
            <w:pPr>
              <w:spacing w:after="120" w:line="240" w:lineRule="auto"/>
              <w:contextualSpacing/>
              <w:rPr>
                <w:sz w:val="20"/>
                <w:szCs w:val="20"/>
              </w:rPr>
            </w:pPr>
            <w:r w:rsidRPr="005762E6">
              <w:rPr>
                <w:sz w:val="20"/>
                <w:szCs w:val="20"/>
              </w:rPr>
              <w:t>Peter N Lee Systematic review of the epidemiological evidence comparing lung cancer risk in smokers of mentholated and unmentholated cigarettes.. BMC pulmonary medicine; 2011;11:18.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Continental Ancestry Group,​Aged,​Child,​European Continental Ancestry Group,​Female,​Humans,​*Lung Neoplasms/ep [Epidemiology],​Lung Neoplasms/eh [Ethnology],​Male,​*Menthol,​Middle Aged,​Prevalence,​Risk Factors,​*Smoking/ae [Adverse Effects],​United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US mentholated cigarette sales have increased considerably over 50 years. Preference for mentholated cigarettes is markedly higher in Black people. While menthol itself is not genotoxic or carcinogenic,​ its acute respiratory effects might affect inhalation of cigarette smoke. This possibility seems consistent with the higher lung cancer risk in Black men,​ despite Black people smoking less and starting smoking later than White people. Despite experimental data suggesting similar carcinogenicity of mentholated and non-mentholated cigarettes,​ the lack of convincing evidence that mentholation increases puffing,​ inhalation or smoke uptake,​ and the similarity of lung cancer rates in Black and White females,​ a review of cigarette mentholation and lung cancer is timely given current regulatory interest in the topic.,​ METHODS: Epidemiological studies comparing lung cancer risk in mentholated and non-mentholated cigarette smokers were identified from MedLine and other sources. Study details were extracted and strengths and weaknesses assessed. Relative risk estimates were extracted,​ or derived,​ for ever mentholated use and for long-term use,​ overall and by gender,​ race,​ and current/ever smoking,​ and meta-analyses conducted.,​ RESULTS: Eight generally good quality studies were identified,​ with valid cases and controls,​ and appropriate adjustment for age,​ gender,​ race and smoking. The studies afforded good power to detect possible effects. However,​ only one study presented results by histological type,​ none adjusted for occupation or diet,​ and some provided no results by length of mentholated cigarette use. The data do not suggest any effect of mentholation on lung cancer risk. Adjusted relative risk estimates for ever </w:t>
            </w:r>
            <w:r w:rsidRPr="005762E6">
              <w:rPr>
                <w:sz w:val="20"/>
                <w:szCs w:val="20"/>
              </w:rPr>
              <w:lastRenderedPageBreak/>
              <w:t>use vary from 0.81 to 1.12,​ giving a combined estimate of 0.93 (95% confidence interval 0.84-1.02,​ n = 8),​ with no increase in males (1.01,​ 0.84-1.22,​ n = 5),​ females (0.80,​ 0.67-0.95,​ n = 5),​ White people (0.87,​ 0.75-1.03,​ n = 4) or Black people (0.90,​ 0.73-1.10,​ n = 4). Estimates for current and ever smokers are similar. The combined estimate for long-term use (0.95,​ 0.80-1.13,​ n = 4) again suggests no effect of mentholation.,​ CONCLUSION: Higher lung cancer rates in Black males cannot be due to their greater preference for mentholated cigarettes. While some study weaknesses exist,​ the epidemiological evidence is consistent with mentholation having no effect on the lung carcinogenicity of cigarettes.</w:t>
            </w:r>
          </w:p>
        </w:tc>
      </w:tr>
      <w:tr w:rsidR="007F0AE0" w:rsidRPr="005762E6" w14:paraId="6CC47B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500431" w14:textId="77777777" w:rsidR="007F0AE0" w:rsidRPr="005762E6" w:rsidRDefault="007F0AE0" w:rsidP="00453DE3">
            <w:pPr>
              <w:spacing w:after="120" w:line="240" w:lineRule="auto"/>
              <w:contextualSpacing/>
              <w:rPr>
                <w:sz w:val="20"/>
                <w:szCs w:val="20"/>
              </w:rPr>
            </w:pPr>
            <w:r w:rsidRPr="005762E6">
              <w:rPr>
                <w:sz w:val="20"/>
                <w:szCs w:val="20"/>
              </w:rPr>
              <w:lastRenderedPageBreak/>
              <w:t>595</w:t>
            </w:r>
          </w:p>
        </w:tc>
        <w:tc>
          <w:tcPr>
            <w:tcW w:w="0" w:type="auto"/>
            <w:tcBorders>
              <w:top w:val="single" w:sz="6" w:space="0" w:color="auto"/>
              <w:left w:val="single" w:sz="6" w:space="0" w:color="auto"/>
              <w:bottom w:val="single" w:sz="6" w:space="0" w:color="auto"/>
              <w:right w:val="single" w:sz="6" w:space="0" w:color="auto"/>
            </w:tcBorders>
          </w:tcPr>
          <w:p w14:paraId="7EBD91D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917864" w14:textId="77777777" w:rsidR="007F0AE0" w:rsidRPr="005762E6" w:rsidRDefault="007F0AE0" w:rsidP="00453DE3">
            <w:pPr>
              <w:spacing w:after="120" w:line="240" w:lineRule="auto"/>
              <w:contextualSpacing/>
              <w:rPr>
                <w:sz w:val="20"/>
                <w:szCs w:val="20"/>
              </w:rPr>
            </w:pPr>
            <w:r w:rsidRPr="005762E6">
              <w:rPr>
                <w:sz w:val="20"/>
                <w:szCs w:val="20"/>
              </w:rPr>
              <w:t>Merrill Goozner FDA finding may curb mentholated cigarette availability.. Journal of the National Cancer Institute; 2011;103:620.</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Behavior,​Advertising as Topic,​African Americans/sn [Statistics &amp; Numerical Data],​Conflict of Interest,​Evidence-Based Medicine/st [Standards],​*Evidence-Based Medicine,​Humans,​Legislation,​ Drug/st [Standards],​Legislation,​ Drug/td [Trends],​*Menthol,​Models,​ Statistical,​*Smoking,​*Smoking Cessation,​Tobacco Industry/lj [Legislation &amp; Jurisprudence],​*Tobacco Industry,​United States,​United States Food and Drug Administration</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D89CF0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C8A204" w14:textId="77777777" w:rsidR="007F0AE0" w:rsidRPr="005762E6" w:rsidRDefault="007F0AE0" w:rsidP="00453DE3">
            <w:pPr>
              <w:spacing w:after="120" w:line="240" w:lineRule="auto"/>
              <w:contextualSpacing/>
              <w:rPr>
                <w:sz w:val="20"/>
                <w:szCs w:val="20"/>
              </w:rPr>
            </w:pPr>
            <w:r w:rsidRPr="005762E6">
              <w:rPr>
                <w:sz w:val="20"/>
                <w:szCs w:val="20"/>
              </w:rPr>
              <w:t>597</w:t>
            </w:r>
          </w:p>
        </w:tc>
        <w:tc>
          <w:tcPr>
            <w:tcW w:w="0" w:type="auto"/>
            <w:tcBorders>
              <w:top w:val="single" w:sz="6" w:space="0" w:color="auto"/>
              <w:left w:val="single" w:sz="6" w:space="0" w:color="auto"/>
              <w:bottom w:val="single" w:sz="6" w:space="0" w:color="auto"/>
              <w:right w:val="single" w:sz="6" w:space="0" w:color="auto"/>
            </w:tcBorders>
          </w:tcPr>
          <w:p w14:paraId="53FC40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F341EAF" w14:textId="77777777" w:rsidR="007F0AE0" w:rsidRPr="005762E6" w:rsidRDefault="007F0AE0" w:rsidP="00453DE3">
            <w:pPr>
              <w:spacing w:after="120" w:line="240" w:lineRule="auto"/>
              <w:contextualSpacing/>
              <w:rPr>
                <w:sz w:val="20"/>
                <w:szCs w:val="20"/>
              </w:rPr>
            </w:pPr>
            <w:r w:rsidRPr="005762E6">
              <w:rPr>
                <w:sz w:val="20"/>
                <w:szCs w:val="20"/>
              </w:rPr>
              <w:t>Cai Chen,​ Wentai Luo,​ Lorne M Isabelle,​ Keith D Gareau,​ James F Pankow The stereoisomers of menthol in selected tobacco products. A brief report.. Nicotine &amp; tobacco research : official journal of the Society for Research on Nicotine and Tobacco; 2011;13:741.</w:t>
            </w:r>
            <w:r w:rsidRPr="005762E6">
              <w:rPr>
                <w:sz w:val="20"/>
                <w:szCs w:val="20"/>
              </w:rPr>
              <w:br/>
            </w:r>
            <w:r w:rsidRPr="005762E6">
              <w:rPr>
                <w:sz w:val="20"/>
                <w:szCs w:val="20"/>
              </w:rPr>
              <w:br/>
            </w:r>
            <w:r w:rsidRPr="005762E6">
              <w:rPr>
                <w:b/>
                <w:bCs/>
                <w:sz w:val="20"/>
                <w:szCs w:val="20"/>
              </w:rPr>
              <w:t>Keywords:</w:t>
            </w:r>
            <w:r w:rsidRPr="005762E6">
              <w:rPr>
                <w:sz w:val="20"/>
                <w:szCs w:val="20"/>
              </w:rPr>
              <w:br/>
              <w:t>*Flavoring Agents/an [Analysis],​Flavoring Agents/ch [Chemistry],​Gas Chromatography-Mass Spectrometry,​*Menthol/an [Analysis],​Menthol/ch [Chemistry],​*Smoke/an [Analysis],​Smoking,​Stereoisomerism,​*Tobacco/ch [Chemistry],​Tobacco,​ Smokeless/ch [Chemistry],​United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has long been an important flavorant in tobacco products,​ and both its historical and present uses are topics of increasing debate. Menthol can exist in eight different stereoisomeric forms (as four enantiomeric pairs) that possess different sensory properties. As regards use in tobacco products,​ the open scientific literature and available industry documents focus on the D-menthol and l-menthol enantiomeric pair,​ and in particular on l-menthol,​ but are ambiguous about the actual importance of D-menthol in tobacco products. This study provides the first openly available measurements regarding the stereoisomeric forms of menthol as found in selected United States sub-brands of smokeless tobacco (SLT),​ cigarettes,​ and cigarette smoke.,​ METHODS: Gas chromatography/mass spectrometry (GC/MS) was applied using a "chiral" GC column to separate and determine the forms of menthol present in headspace air above various samples of United States sub-brands of SLT,​ cigarette filler material,​ and cigarette smoke particulate matter. Additional GC x GC/Time-of-flight mass spectrometry measurements were also made.,​ RESULTS: The dominant form of menthol by far in any of the samples was l-menthol.,​ CONCLUSIONS: For the selected cigarettes and SLT products tested from the U.S. market,​ the only form of menthol found was l-menthol. Other forms may be present in products that were not tested. No evidence was found of thermal racemization upon smoking of l-menthol to a d+l mixture.</w:t>
            </w:r>
          </w:p>
        </w:tc>
      </w:tr>
      <w:tr w:rsidR="007F0AE0" w:rsidRPr="005762E6" w14:paraId="2BF6698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D73262" w14:textId="77777777" w:rsidR="007F0AE0" w:rsidRPr="005762E6" w:rsidRDefault="007F0AE0" w:rsidP="00453DE3">
            <w:pPr>
              <w:spacing w:after="120" w:line="240" w:lineRule="auto"/>
              <w:contextualSpacing/>
              <w:rPr>
                <w:sz w:val="20"/>
                <w:szCs w:val="20"/>
              </w:rPr>
            </w:pPr>
            <w:r w:rsidRPr="005762E6">
              <w:rPr>
                <w:sz w:val="20"/>
                <w:szCs w:val="20"/>
              </w:rPr>
              <w:t>598</w:t>
            </w:r>
          </w:p>
        </w:tc>
        <w:tc>
          <w:tcPr>
            <w:tcW w:w="0" w:type="auto"/>
            <w:tcBorders>
              <w:top w:val="single" w:sz="6" w:space="0" w:color="auto"/>
              <w:left w:val="single" w:sz="6" w:space="0" w:color="auto"/>
              <w:bottom w:val="single" w:sz="6" w:space="0" w:color="auto"/>
              <w:right w:val="single" w:sz="6" w:space="0" w:color="auto"/>
            </w:tcBorders>
          </w:tcPr>
          <w:p w14:paraId="7CB484F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45E97E8" w14:textId="77777777" w:rsidR="007F0AE0" w:rsidRPr="005762E6" w:rsidRDefault="007F0AE0" w:rsidP="00453DE3">
            <w:pPr>
              <w:spacing w:after="120" w:line="240" w:lineRule="auto"/>
              <w:contextualSpacing/>
              <w:rPr>
                <w:sz w:val="20"/>
                <w:szCs w:val="20"/>
              </w:rPr>
            </w:pPr>
            <w:r w:rsidRPr="005762E6">
              <w:rPr>
                <w:sz w:val="20"/>
                <w:szCs w:val="20"/>
              </w:rPr>
              <w:t>William J Blot,​ Sarah S Cohen,​ Melinda Aldrich,​ Joseph K McLaughlin,​ Margaret K Hargreaves,​ Lisa B Signorello Lung cancer risk among smokers of menthol cigarettes.. Journal of the National Cancer Institute; 2011;103:810.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Data],​Aged,​Case-Control Studies,​European Continental Ancestry Group/sn [Statistics &amp; Numerical Data],​Female,​Humans,​Incidence,​*Lung Neoplasms/ep [Epidemiology],​Lung Neoplasms/eh [Ethnology],​*Lung Neoplasms/et [Etiology],​Lung Neoplasms/mo [Mortality],​Lung Neoplasms/pc [Prevention &amp; Control],​Male,​Menthol,​Middle Aged,​Multivariate Analysis,​Odds Ratio,​Proportional Hazards Models,​Prospective Studies,​Risk Assessment,​Risk Factors,​*Smoking/ae [Adverse Effects],​*Smoking/ep [Epidemiology],​Smoking Cessation/eh [Ethnology],​*Smoking Cessation,​Southeastern United States/ep [Epidemiology]</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BACKGROUND: Menthol cigarettes,​ preferred by African American smokers,​ have been conjectured to be harder to quit and to contribute to the excess lung cancer burden among black men in the Unites States. However,​ data showing an association between smoking menthol cigarettes and increased lung cancer risk compared with smoking nonmenthol cigarettes are limited. The Food and Drug Administration is currently considering whether to ban the sale of menthol cigarettes in the United States.,​ METHODS: We conducted a prospective study among 85,​806 racially diverse adults enrolled in the Southern Community Cohort Study during March 2002 to September 2009 according to cigarette smoking status,​ with smokers classified by preference for menthol vs nonmenthol cigarettes. Among 12,​373 smokers who responded to a follow-up questionnaire,​ we compared rates of quitting between menthol and nonmenthol smokers. In a nested case-control analysis of 440 incident lung cancer case patients and 2213 matched control subjects,​ using logistic regression modeling we computed odds ratios (ORs) and accompanying 95% confidence intervals (CIs) of lung cancer incidence,​ and applied Cox proportional hazards modeling to estimate hazard ratios (HRs) of lung cancer mortality,​ according to menthol preference.,​ RESULTS: Among both blacks and whites,​ menthol smokers reported smoking fewer cigarettes per day; an average of 1.6 (95% CI = 1.3 to 2.0) fewer for blacks and 1.8 (95% CI = 1.3 to 2.3) fewer for whites,​ compared with nonmenthol smokers. During an average of 4.3 years of follow-up,​ 21% of participants smoking at baseline had quit,​ with menthol and nonmenthol smokers having equal odds of quitting (OR = 1.02,​ 95% CI = 0.89 to 1.16). A lower lung cancer incidence was noted in menthol vs nonmenthol smokers (for smokers of &lt;10,​ 10-19,​ and &gt;= 20 cigarettes per day,​ compared with never smokers,​ OR = 5.0 vs 10.3,​ 8.7 vs 12.9,​ and 12.2 vs 21.1,​ respectively). These trends were mirrored for lung cancer mortality. In multivariable analyses adjusted for pack-years of smoking,​ menthol cigarettes were associated with a lower lung cancer incidence (OR = 0.65,​ 95% CI = 0.47 to 0.90) and mortality (hazard ratio of mortality = 0.69,​ 95% CI = 0.49 to 0.95) than nonmenthol cigarettes.,​ CONCLUSIONS: The findings suggest that menthol cigarettes are no more,​ and perhaps less,​ harmful than nonmenthol cigarettes.</w:t>
            </w:r>
          </w:p>
        </w:tc>
      </w:tr>
      <w:tr w:rsidR="007F0AE0" w:rsidRPr="005762E6" w14:paraId="67F9AD4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3B86D6" w14:textId="77777777" w:rsidR="007F0AE0" w:rsidRPr="005762E6" w:rsidRDefault="007F0AE0" w:rsidP="00453DE3">
            <w:pPr>
              <w:spacing w:after="120" w:line="240" w:lineRule="auto"/>
              <w:contextualSpacing/>
              <w:rPr>
                <w:sz w:val="20"/>
                <w:szCs w:val="20"/>
              </w:rPr>
            </w:pPr>
            <w:r w:rsidRPr="005762E6">
              <w:rPr>
                <w:sz w:val="20"/>
                <w:szCs w:val="20"/>
              </w:rPr>
              <w:lastRenderedPageBreak/>
              <w:t>599</w:t>
            </w:r>
          </w:p>
        </w:tc>
        <w:tc>
          <w:tcPr>
            <w:tcW w:w="0" w:type="auto"/>
            <w:tcBorders>
              <w:top w:val="single" w:sz="6" w:space="0" w:color="auto"/>
              <w:left w:val="single" w:sz="6" w:space="0" w:color="auto"/>
              <w:bottom w:val="single" w:sz="6" w:space="0" w:color="auto"/>
              <w:right w:val="single" w:sz="6" w:space="0" w:color="auto"/>
            </w:tcBorders>
          </w:tcPr>
          <w:p w14:paraId="31B07FF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29A707" w14:textId="77777777" w:rsidR="007F0AE0" w:rsidRPr="005762E6" w:rsidRDefault="007F0AE0" w:rsidP="00453DE3">
            <w:pPr>
              <w:spacing w:after="120" w:line="240" w:lineRule="auto"/>
              <w:contextualSpacing/>
              <w:rPr>
                <w:sz w:val="20"/>
                <w:szCs w:val="20"/>
              </w:rPr>
            </w:pPr>
            <w:r w:rsidRPr="005762E6">
              <w:rPr>
                <w:sz w:val="20"/>
                <w:szCs w:val="20"/>
              </w:rPr>
              <w:t>Ralph S Caraballo,​ David B Holiday,​ Steven D Stellman,​ Paul D Mowery,​ Gary A Giovino,​ Joshua E Muscat,​ Michael P Eriksen,​ John T Bernert,​ Patricia A Richter,​ Lynn T Kozlowski Comparison of serum cotinine concentration within and across smokers of menthol and nonmenthol cigarette brands among non-Hispanic black and non-Hispanic white U.S. adult smokers,​ 2001-2006.. Cancer epidemiology,​ biomarkers &amp; prevention : a publication of the American Association for Cancer Research,​ cosponsored by the American Society of Preventive Oncology; 2011;20:1329.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Americans,​Aged,​*Cotinine/bl [Blood],​European Continental Ancestry Group/eh [Ethnology],​Female,​Humans,​Male,​*Menthol,​Middle Aged,​Nutrition Surveys,​*Smoking/bl [Blood],​United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The Food and Drug Administration (FDA) is examining options for regulating menthol content in cigarettes. There are many pharmacologic properties of menthol that may facilitate exposure to tobacco smoke,​ and it has been suggested that the preference for menthol cigarettes in black smokers accounts for their higher cotinine levels.,​ OBJECTIVE: To assess cigarettes smoked per day-adjusted cotinine levels in relation to smoking a menthol or nonmenthol cigarette brand among non-Hispanic black and white U.S. adult smokers under natural smoking conditions.,​ METHOD: Serum cotinine concentrations were measured in 1,​943 smokers participating in the 2001 to 2006 National Health and Nutrition Examination Surveys (NHANES). The effect of smoking a menthol brand on cigarettes smoked per day-adjusted serum cotinine levels in these two populations was modeled by adjusting for sex,​ age,​ number of smokers living in the home,​ body weight,​ time since last smoked,​ and FTC (Federal Trade Commission)-measured nicotine levels. The 8- or 12-digit Universal Product Code (UPC) on the cigarette label was used to determine the cigarette brand and whether it was menthol.,​ RESULTS: Smoking a menthol cigarette brand versus smoking a nonmenthol cigarette brand was not associated (P &gt;= 0.05) with mean serum cotinine concentration in either black or white smokers.,​ CONCLUSIONS: The higher levels of cotinine observed in black smokers compared with white smokers are not explained by their higher preference for menthol cigarette brands.,​ IMPACT: Further studies like ours are needed to improve our ability to understand health consequences of future changes in tobacco product design. Copyright ©2011 AACR</w:t>
            </w:r>
          </w:p>
        </w:tc>
      </w:tr>
      <w:tr w:rsidR="007F0AE0" w:rsidRPr="005762E6" w14:paraId="1B8E42D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0787E29" w14:textId="77777777" w:rsidR="007F0AE0" w:rsidRPr="005762E6" w:rsidRDefault="007F0AE0" w:rsidP="00453DE3">
            <w:pPr>
              <w:spacing w:after="120" w:line="240" w:lineRule="auto"/>
              <w:contextualSpacing/>
              <w:rPr>
                <w:sz w:val="20"/>
                <w:szCs w:val="20"/>
              </w:rPr>
            </w:pPr>
            <w:r w:rsidRPr="005762E6">
              <w:rPr>
                <w:sz w:val="20"/>
                <w:szCs w:val="20"/>
              </w:rPr>
              <w:t>600</w:t>
            </w:r>
          </w:p>
        </w:tc>
        <w:tc>
          <w:tcPr>
            <w:tcW w:w="0" w:type="auto"/>
            <w:tcBorders>
              <w:top w:val="single" w:sz="6" w:space="0" w:color="auto"/>
              <w:left w:val="single" w:sz="6" w:space="0" w:color="auto"/>
              <w:bottom w:val="single" w:sz="6" w:space="0" w:color="auto"/>
              <w:right w:val="single" w:sz="6" w:space="0" w:color="auto"/>
            </w:tcBorders>
          </w:tcPr>
          <w:p w14:paraId="598CEC2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E4C2E06" w14:textId="77777777" w:rsidR="007F0AE0" w:rsidRPr="005762E6" w:rsidRDefault="007F0AE0" w:rsidP="00453DE3">
            <w:pPr>
              <w:spacing w:after="120" w:line="240" w:lineRule="auto"/>
              <w:contextualSpacing/>
              <w:rPr>
                <w:sz w:val="20"/>
                <w:szCs w:val="20"/>
              </w:rPr>
            </w:pPr>
            <w:r w:rsidRPr="005762E6">
              <w:rPr>
                <w:sz w:val="20"/>
                <w:szCs w:val="20"/>
              </w:rPr>
              <w:t>Clare Dyer Tobacco firms move to stop FDA banning menthol cigarettes.. BMJ (Clinical research ed.); 2011;342:d1368.</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t>*Menthol,​*Smoking/lj [Legislation &amp; Jurisprudence],​*Tobacco Industry/lj [Legislation &amp; Jurisprudence],​United States,​United States Food and Drug Administration</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D2012C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A727D2" w14:textId="77777777" w:rsidR="007F0AE0" w:rsidRPr="005762E6" w:rsidRDefault="007F0AE0" w:rsidP="00453DE3">
            <w:pPr>
              <w:spacing w:after="120" w:line="240" w:lineRule="auto"/>
              <w:contextualSpacing/>
              <w:rPr>
                <w:sz w:val="20"/>
                <w:szCs w:val="20"/>
              </w:rPr>
            </w:pPr>
            <w:r w:rsidRPr="005762E6">
              <w:rPr>
                <w:sz w:val="20"/>
                <w:szCs w:val="20"/>
              </w:rPr>
              <w:lastRenderedPageBreak/>
              <w:t>602</w:t>
            </w:r>
          </w:p>
        </w:tc>
        <w:tc>
          <w:tcPr>
            <w:tcW w:w="0" w:type="auto"/>
            <w:tcBorders>
              <w:top w:val="single" w:sz="6" w:space="0" w:color="auto"/>
              <w:left w:val="single" w:sz="6" w:space="0" w:color="auto"/>
              <w:bottom w:val="single" w:sz="6" w:space="0" w:color="auto"/>
              <w:right w:val="single" w:sz="6" w:space="0" w:color="auto"/>
            </w:tcBorders>
          </w:tcPr>
          <w:p w14:paraId="16AF647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AE7735" w14:textId="77777777" w:rsidR="007F0AE0" w:rsidRPr="005762E6" w:rsidRDefault="007F0AE0" w:rsidP="00453DE3">
            <w:pPr>
              <w:spacing w:after="120" w:line="240" w:lineRule="auto"/>
              <w:contextualSpacing/>
              <w:rPr>
                <w:sz w:val="20"/>
                <w:szCs w:val="20"/>
              </w:rPr>
            </w:pPr>
            <w:r w:rsidRPr="005762E6">
              <w:rPr>
                <w:sz w:val="20"/>
                <w:szCs w:val="20"/>
              </w:rPr>
              <w:t>Mansoo Yu Tobacco use among American Indian or Alaska Native middle- and high-school students in the United States.. Nicotine &amp; tobacco research : official journal of the Society for Research on Nicotine and Tobacco; 2011;13:173.</w:t>
            </w:r>
            <w:r w:rsidRPr="005762E6">
              <w:rPr>
                <w:sz w:val="20"/>
                <w:szCs w:val="20"/>
              </w:rPr>
              <w:br/>
            </w:r>
            <w:r w:rsidRPr="005762E6">
              <w:rPr>
                <w:sz w:val="20"/>
                <w:szCs w:val="20"/>
              </w:rPr>
              <w:br/>
            </w:r>
            <w:r w:rsidRPr="005762E6">
              <w:rPr>
                <w:b/>
                <w:bCs/>
                <w:sz w:val="20"/>
                <w:szCs w:val="20"/>
              </w:rPr>
              <w:t>Keywords:</w:t>
            </w:r>
            <w:r w:rsidRPr="005762E6">
              <w:rPr>
                <w:sz w:val="20"/>
                <w:szCs w:val="20"/>
              </w:rPr>
              <w:br/>
              <w:t>Adolescent,​Alaska/ep [Epidemiology],​Female,​Humans,​Indians,​ North American/sn [Statistics &amp; Numerical Data],​Male,​Multivariate Analysis,​*Smoking/ep [Epidemiology],​*Students/sn [Statistics &amp; Numerical Data],​United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An estimated 0.5 million American Indian or Alaska Native (AI/AN) adolescents under the age of 18 years smoked cigarettes during their entire lifetime. Using a national sample of AI/AN middle- and high-school students,​ this study examines prevalence rates and relative impacts of individual,​ familial,​ and social predictors of different types of tobacco use.,​ METHODS: A national sample of 305 (weighted N = 142,​989) AI/AN middle- and high-school students in Grades 6 through 12 were selected from the 2006 National Youth Tobacco Survey.,​ RESULTS: During their entire life,​ most of the respondents used cigarettes (54%),​ followed by cigars (24%),​ smokeless tobacco (16%),​ pipes (13%),​ and menthol cigarettes (12%). One in 3 (32%) used 2 or more forms of tobacco. High-school students reported significantly higher for all types of tobacco use than middle-school students,​ while the rates did not differ by gender. Multivariate analyses showed that age,​ family members' smoking,​ and refusal to smoke predicted tobacco users with one product. Family members' smoking and refusal to smoke remained significant in predicting more than 2 forms of tobacco use (polytobacco users),​ while age was no longer significant. School truancy and receptivity to tobacco marketing uniquely predicted polytobacco users.,​ CONCLUSIONS: Findings underscore that tobacco control programs for AI/AN students need to address the multiple predictors of different types of tobacco use. Implications of the findings are discussed.</w:t>
            </w:r>
          </w:p>
        </w:tc>
      </w:tr>
      <w:tr w:rsidR="007F0AE0" w:rsidRPr="005762E6" w14:paraId="0761878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7C6289" w14:textId="77777777" w:rsidR="007F0AE0" w:rsidRPr="005762E6" w:rsidRDefault="007F0AE0" w:rsidP="00453DE3">
            <w:pPr>
              <w:spacing w:after="120" w:line="240" w:lineRule="auto"/>
              <w:contextualSpacing/>
              <w:rPr>
                <w:sz w:val="20"/>
                <w:szCs w:val="20"/>
              </w:rPr>
            </w:pPr>
            <w:r w:rsidRPr="005762E6">
              <w:rPr>
                <w:sz w:val="20"/>
                <w:szCs w:val="20"/>
              </w:rPr>
              <w:t>604</w:t>
            </w:r>
          </w:p>
        </w:tc>
        <w:tc>
          <w:tcPr>
            <w:tcW w:w="0" w:type="auto"/>
            <w:tcBorders>
              <w:top w:val="single" w:sz="6" w:space="0" w:color="auto"/>
              <w:left w:val="single" w:sz="6" w:space="0" w:color="auto"/>
              <w:bottom w:val="single" w:sz="6" w:space="0" w:color="auto"/>
              <w:right w:val="single" w:sz="6" w:space="0" w:color="auto"/>
            </w:tcBorders>
          </w:tcPr>
          <w:p w14:paraId="08DCF55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BBEC36" w14:textId="77777777" w:rsidR="007F0AE0" w:rsidRPr="005762E6" w:rsidRDefault="007F0AE0" w:rsidP="00453DE3">
            <w:pPr>
              <w:spacing w:after="120" w:line="240" w:lineRule="auto"/>
              <w:contextualSpacing/>
              <w:rPr>
                <w:sz w:val="20"/>
                <w:szCs w:val="20"/>
              </w:rPr>
            </w:pPr>
            <w:r w:rsidRPr="005762E6">
              <w:rPr>
                <w:sz w:val="20"/>
                <w:szCs w:val="20"/>
              </w:rPr>
              <w:t>Michael B Steinberg,​ Michelle T Bover,​ Donna L Richardson,​ Amy C Schmelzer,​ Jill M Williams,​ Jonathan Foulds Abstinence and psychological distress in co-morbid smokers using various pharmacotherapies.. Drug and alcohol dependence; 2011;114:77.</w:t>
            </w:r>
            <w:r w:rsidRPr="005762E6">
              <w:rPr>
                <w:sz w:val="20"/>
                <w:szCs w:val="20"/>
              </w:rPr>
              <w:br/>
            </w:r>
            <w:r w:rsidRPr="005762E6">
              <w:rPr>
                <w:sz w:val="20"/>
                <w:szCs w:val="20"/>
              </w:rPr>
              <w:br/>
            </w:r>
            <w:r w:rsidRPr="005762E6">
              <w:rPr>
                <w:b/>
                <w:bCs/>
                <w:sz w:val="20"/>
                <w:szCs w:val="20"/>
              </w:rPr>
              <w:t>Keywords:</w:t>
            </w:r>
            <w:r w:rsidRPr="005762E6">
              <w:rPr>
                <w:sz w:val="20"/>
                <w:szCs w:val="20"/>
              </w:rPr>
              <w:br/>
              <w:t>Adult,​Aged,​Benzazepines/ad [Administration &amp; Dosage],​Bupropion/ad [Administration &amp; Dosage],​Cohort Studies,​Comorbidity,​Drug Therapy,​ Combination,​Female,​Humans,​Male,​Middle Aged,​Nicotine/ad [Administration &amp; Dosage],​Quinoxalines/ad [Administration &amp; Dosage],​Retrospective Studies,​*Smoking/dt [Drug Therapy],​*Smoking/ep [Epidemiology],​Smoking/px [Psychology],​*Smoking Cessation/mt [Methods],​Smoking Cessation/px [Psychology],​*Stress,​ Psychological/dt [Drug Therapy],​*Stress,​ Psychological/ep [Epidemiology],​Stress,​ Psychological/px [Psychology],​Treatment Outcome,​Varenicline,​Young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Existing trials of varenicline have typically excluded smokers with concurrent medical and psychiatric illnesses and no data exist comparing effectiveness of varenicline with combination pharmacotherapy. This study evaluated abstinence and psychiatric outcomes of various tobacco dependence medications,​ including varenicline.,​ METHODS: Retrospective cohort of 723 smokers,​ most with significant medical and psychiatric comorbidity,​ was evaluated at the UMDNJ-Tobacco Dependence Clinic from 2006 to 2008. Demographics,​ measures of tobacco dependence and co-morbidities,​ and a validated instrument measuring psychological distress (Kessler-6) were obtained. Primary outcome was 7-day point abstinence at 6 months after target quit date.,​ RESULTS: Cessation medications used included combination pharmacotherapy (39%),​ single nicotine replacement therapy (NRT) or bupropion (29%),​ and varenicline (23%),​ with 9% using no medications. Overall,​ 23% of patients were abstinent at 6 months. In an adjusted regression model,​ smokers using varenicline or combination medications were more likely abstinent at 6 months than those using no medications (adjusted odds ratio=2.99; 95% confidence interval=1.20-7.47 and 2.80; 1.15-6.82,​ respectively),​ but not statistically higher than those using single medications (AOR=1.70). Age,​ gender,​ education,​ marital status,​ cigarettes per day,​ time to first cigarette,​ night smoking,​ and menthol smoking were not significantly related to abstinence. Varenicline or combination medications did not significantly increase serious psychological distress </w:t>
            </w:r>
            <w:r w:rsidRPr="005762E6">
              <w:rPr>
                <w:sz w:val="20"/>
                <w:szCs w:val="20"/>
              </w:rPr>
              <w:lastRenderedPageBreak/>
              <w:t>over the treatment period compared to other medication options.,​ CONCLUSIONS: Both varenicline and combination pharmacotherapy were effective and did not increase psychological distress for up to 6 months in smokers with co-morbidities treated at a specialty clinic. Copyright © 2010 Elsevier Ireland Ltd. All rights reserved.</w:t>
            </w:r>
          </w:p>
        </w:tc>
      </w:tr>
      <w:tr w:rsidR="007F0AE0" w:rsidRPr="005762E6" w14:paraId="3B134DA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399B49D" w14:textId="77777777" w:rsidR="007F0AE0" w:rsidRPr="005762E6" w:rsidRDefault="007F0AE0" w:rsidP="00453DE3">
            <w:pPr>
              <w:spacing w:after="120" w:line="240" w:lineRule="auto"/>
              <w:contextualSpacing/>
              <w:rPr>
                <w:sz w:val="20"/>
                <w:szCs w:val="20"/>
              </w:rPr>
            </w:pPr>
            <w:r w:rsidRPr="005762E6">
              <w:rPr>
                <w:sz w:val="20"/>
                <w:szCs w:val="20"/>
              </w:rPr>
              <w:lastRenderedPageBreak/>
              <w:t>605</w:t>
            </w:r>
          </w:p>
        </w:tc>
        <w:tc>
          <w:tcPr>
            <w:tcW w:w="0" w:type="auto"/>
            <w:tcBorders>
              <w:top w:val="single" w:sz="6" w:space="0" w:color="auto"/>
              <w:left w:val="single" w:sz="6" w:space="0" w:color="auto"/>
              <w:bottom w:val="single" w:sz="6" w:space="0" w:color="auto"/>
              <w:right w:val="single" w:sz="6" w:space="0" w:color="auto"/>
            </w:tcBorders>
          </w:tcPr>
          <w:p w14:paraId="7AB2D20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318049" w14:textId="77777777" w:rsidR="007F0AE0" w:rsidRPr="005762E6" w:rsidRDefault="007F0AE0" w:rsidP="00453DE3">
            <w:pPr>
              <w:spacing w:after="120" w:line="240" w:lineRule="auto"/>
              <w:contextualSpacing/>
              <w:rPr>
                <w:sz w:val="20"/>
                <w:szCs w:val="20"/>
              </w:rPr>
            </w:pPr>
            <w:r w:rsidRPr="005762E6">
              <w:rPr>
                <w:sz w:val="20"/>
                <w:szCs w:val="20"/>
              </w:rPr>
              <w:t>Monica Webb Hooper,​ Wei Zhao,​ Margaret M Byrne,​ Evelyn Davila,​ Alberto Caban-Martinez,​ Noella A Dietz,​ Dorothy F Parker,​ Youjie Huang,​ Antoine Messiah,​ David J Lee Menthol cigarette smoking and health,​ Florida 2007 BRFSS.. American journal of health behavior; 2011;35:3.</w:t>
            </w:r>
            <w:r w:rsidRPr="005762E6">
              <w:rPr>
                <w:sz w:val="20"/>
                <w:szCs w:val="20"/>
              </w:rPr>
              <w:br/>
            </w:r>
            <w:r w:rsidRPr="005762E6">
              <w:rPr>
                <w:sz w:val="20"/>
                <w:szCs w:val="20"/>
              </w:rPr>
              <w:br/>
            </w:r>
            <w:r w:rsidRPr="005762E6">
              <w:rPr>
                <w:b/>
                <w:bCs/>
                <w:sz w:val="20"/>
                <w:szCs w:val="20"/>
              </w:rPr>
              <w:t>Keywords:</w:t>
            </w:r>
            <w:r w:rsidRPr="005762E6">
              <w:rPr>
                <w:sz w:val="20"/>
                <w:szCs w:val="20"/>
              </w:rPr>
              <w:br/>
              <w:t>Behavioral Risk Factor Surveillance System,​Consumer Behavior/sn [Statistics &amp; Numerical Data],​Ethnic Groups,​Female,​Florida,​*Health Status,​Humans,​Male,​*Mental Health/sn [Statistics &amp; Numerical Data],​*Menthol/ad [Administration &amp; Dosage],​Middle Aged,​Self-Report,​*Smoking/ae [Adverse Effects],​Smoking/ep [Epidemiology],​Smoking Cessation/sn [Statistics &amp; Numerical Data],​*Tobacco Use Disorder/ep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examine associations between menthol cigarette smoking and nicotine dependence,​ quit attempts,​ and physical and mental health.,​ METHODS: Data were drawn from the 2007 Florida Behavioral Risk Factor Surveillance System (BRFSS) and a follow-up survey among current smokers (N = 3396). Univariate and multivariate logistic regression analyses were conducted.,​ RESULTS: In multivariate analyses,​ menthol cigarette smoking was associated with women,​ African American and Hispanic race/ethnicity,​ and greater mental distress.,​ CONCLUSIONS: Women,​ racial/ethnic minorities,​ and individuals reporting a greater frequency of mental distress are more likely to smoke menthol versus nonmenthol cigarettes. Implications for public health policy and cessation interventions are discussed.</w:t>
            </w:r>
          </w:p>
        </w:tc>
      </w:tr>
      <w:tr w:rsidR="007F0AE0" w:rsidRPr="005762E6" w14:paraId="5B26EBE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96F767" w14:textId="77777777" w:rsidR="007F0AE0" w:rsidRPr="005762E6" w:rsidRDefault="007F0AE0" w:rsidP="00453DE3">
            <w:pPr>
              <w:spacing w:after="120" w:line="240" w:lineRule="auto"/>
              <w:contextualSpacing/>
              <w:rPr>
                <w:sz w:val="20"/>
                <w:szCs w:val="20"/>
              </w:rPr>
            </w:pPr>
            <w:r w:rsidRPr="005762E6">
              <w:rPr>
                <w:sz w:val="20"/>
                <w:szCs w:val="20"/>
              </w:rPr>
              <w:t>608</w:t>
            </w:r>
          </w:p>
        </w:tc>
        <w:tc>
          <w:tcPr>
            <w:tcW w:w="0" w:type="auto"/>
            <w:tcBorders>
              <w:top w:val="single" w:sz="6" w:space="0" w:color="auto"/>
              <w:left w:val="single" w:sz="6" w:space="0" w:color="auto"/>
              <w:bottom w:val="single" w:sz="6" w:space="0" w:color="auto"/>
              <w:right w:val="single" w:sz="6" w:space="0" w:color="auto"/>
            </w:tcBorders>
          </w:tcPr>
          <w:p w14:paraId="309E0E4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A975865" w14:textId="77777777" w:rsidR="007F0AE0" w:rsidRPr="005762E6" w:rsidRDefault="007F0AE0" w:rsidP="00453DE3">
            <w:pPr>
              <w:spacing w:after="120" w:line="240" w:lineRule="auto"/>
              <w:contextualSpacing/>
              <w:rPr>
                <w:sz w:val="20"/>
                <w:szCs w:val="20"/>
              </w:rPr>
            </w:pPr>
            <w:r w:rsidRPr="005762E6">
              <w:rPr>
                <w:sz w:val="20"/>
                <w:szCs w:val="20"/>
              </w:rPr>
              <w:t>Cheryl G Healton,​ Amber Thornton Bullock,​ William S Robinson,​ Stacy E Beck,​ Julia Cartwright,​ Sharon Y Eubanks Why we should make menthol cigarettes history.. Nicotine &amp; tobacco research : official journal of the Society for Research on Nicotine and Tobacco; 2010;12 Suppl 2:S94.</w:t>
            </w:r>
            <w:r w:rsidRPr="005762E6">
              <w:rPr>
                <w:sz w:val="20"/>
                <w:szCs w:val="20"/>
              </w:rPr>
              <w:br/>
            </w:r>
            <w:r w:rsidRPr="005762E6">
              <w:rPr>
                <w:sz w:val="20"/>
                <w:szCs w:val="20"/>
              </w:rPr>
              <w:br/>
            </w:r>
            <w:r w:rsidRPr="005762E6">
              <w:rPr>
                <w:b/>
                <w:bCs/>
                <w:sz w:val="20"/>
                <w:szCs w:val="20"/>
              </w:rPr>
              <w:t>Keywords:</w:t>
            </w:r>
            <w:r w:rsidRPr="005762E6">
              <w:rPr>
                <w:sz w:val="20"/>
                <w:szCs w:val="20"/>
              </w:rPr>
              <w:br/>
              <w:t>*Flavoring Agents,​Humans,​*Menthol,​*Public Health/st [Standards],​*Smoking/ae [Adverse Effects],​Tobacco Industry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249AA0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3545F2" w14:textId="77777777" w:rsidR="007F0AE0" w:rsidRPr="005762E6" w:rsidRDefault="007F0AE0" w:rsidP="00453DE3">
            <w:pPr>
              <w:spacing w:after="120" w:line="240" w:lineRule="auto"/>
              <w:contextualSpacing/>
              <w:rPr>
                <w:sz w:val="20"/>
                <w:szCs w:val="20"/>
              </w:rPr>
            </w:pPr>
            <w:r w:rsidRPr="005762E6">
              <w:rPr>
                <w:sz w:val="20"/>
                <w:szCs w:val="20"/>
              </w:rPr>
              <w:t>609</w:t>
            </w:r>
          </w:p>
        </w:tc>
        <w:tc>
          <w:tcPr>
            <w:tcW w:w="0" w:type="auto"/>
            <w:tcBorders>
              <w:top w:val="single" w:sz="6" w:space="0" w:color="auto"/>
              <w:left w:val="single" w:sz="6" w:space="0" w:color="auto"/>
              <w:bottom w:val="single" w:sz="6" w:space="0" w:color="auto"/>
              <w:right w:val="single" w:sz="6" w:space="0" w:color="auto"/>
            </w:tcBorders>
          </w:tcPr>
          <w:p w14:paraId="39C9623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DCA3B16" w14:textId="77777777" w:rsidR="007F0AE0" w:rsidRPr="005762E6" w:rsidRDefault="007F0AE0" w:rsidP="00453DE3">
            <w:pPr>
              <w:spacing w:after="120" w:line="240" w:lineRule="auto"/>
              <w:contextualSpacing/>
              <w:rPr>
                <w:sz w:val="20"/>
                <w:szCs w:val="20"/>
              </w:rPr>
            </w:pPr>
            <w:r w:rsidRPr="005762E6">
              <w:rPr>
                <w:sz w:val="20"/>
                <w:szCs w:val="20"/>
              </w:rPr>
              <w:t>Phillip Gardiner,​ Pamela I Clark Menthol cigarettes: moving toward a broader definition of harm.. Nicotine &amp; tobacco research : official journal of the Society for Research on Nicotine and Tobacco; 2010;12 Suppl 2:S85.</w:t>
            </w:r>
            <w:r w:rsidRPr="005762E6">
              <w:rPr>
                <w:sz w:val="20"/>
                <w:szCs w:val="20"/>
              </w:rPr>
              <w:br/>
            </w:r>
            <w:r w:rsidRPr="005762E6">
              <w:rPr>
                <w:sz w:val="20"/>
                <w:szCs w:val="20"/>
              </w:rPr>
              <w:br/>
            </w:r>
            <w:r w:rsidRPr="005762E6">
              <w:rPr>
                <w:b/>
                <w:bCs/>
                <w:sz w:val="20"/>
                <w:szCs w:val="20"/>
              </w:rPr>
              <w:t>Keywords:</w:t>
            </w:r>
            <w:r w:rsidRPr="005762E6">
              <w:rPr>
                <w:sz w:val="20"/>
                <w:szCs w:val="20"/>
              </w:rPr>
              <w:br/>
              <w:t>*Flavoring Agents,​Humans,​*Menthol,​Public Health/lj [Legislation &amp; Jurisprudence],​Public Health/st [Standards],​*Public Health,​*Smoking/ae [Adverse Effects],​Tobacco Industry/es [Ethics],​*Tobacco Industry/lj [Legislation &amp; Jurisprudence],​United States,​United States Food and Drug Administration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RATIONALE: The current practice of the tobacco industry of primarily focusing on the extent that menthol cigarettes contribute or do not contribute to excess morbidity and mortality in various diseases does not,​ in and of itself,​ fully illuminate the harm caused by these products. In fact,​ this practice actually masks and obscures the public health harm associated with menthol cigarettes. Given this,​ this commentary develops and presents a broader definition of harm in which to view menthol cigarettes and as the necessary and underlying rationale of why this candy-flavored ingredient should be removed from all tobacco products.,​ METHODS: This paper relies on the scientific presentations of the 2nd Conference on Menthol Cigarettes,​ and the peer-reviewed literature on menthol cigarettes.,​ OUTCOMES: A broader definition of harm from menthol cigarettes must be analyzed from a broad public health perspective and take into account youth uptake and initiation,​ menthol's ability to augment addiction through unique sensory properties,​ spurious health messages associated with these products,​ menthol's role in cessation inhibition and relapse promotion,​ and the blatant predatory marketing of these products to the most vulnerable sectors of society.,​ CONCLUSIONS: The Food and Drug Administration (FDA) should apply the same logic that outlawed other candy flavorings and apply it to menthol cigarettes; in the end,​ all candy flavorings,​ including menthol,​ only serve to make the poisons inherent in tobacco smoke go down </w:t>
            </w:r>
            <w:r w:rsidRPr="005762E6">
              <w:rPr>
                <w:sz w:val="20"/>
                <w:szCs w:val="20"/>
              </w:rPr>
              <w:lastRenderedPageBreak/>
              <w:t>easier. Additionally,​ the mobilization of communities most affected by the menthol cigarettes,​ the FDA,​ and candy flavorings and the tobacco industry's machinations will be discussed.</w:t>
            </w:r>
          </w:p>
        </w:tc>
      </w:tr>
      <w:tr w:rsidR="007F0AE0" w:rsidRPr="005762E6" w14:paraId="40D4F92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0CFC99" w14:textId="77777777" w:rsidR="007F0AE0" w:rsidRPr="005762E6" w:rsidRDefault="007F0AE0" w:rsidP="00453DE3">
            <w:pPr>
              <w:spacing w:after="120" w:line="240" w:lineRule="auto"/>
              <w:contextualSpacing/>
              <w:rPr>
                <w:sz w:val="20"/>
                <w:szCs w:val="20"/>
              </w:rPr>
            </w:pPr>
            <w:r w:rsidRPr="005762E6">
              <w:rPr>
                <w:sz w:val="20"/>
                <w:szCs w:val="20"/>
              </w:rPr>
              <w:lastRenderedPageBreak/>
              <w:t>611</w:t>
            </w:r>
          </w:p>
        </w:tc>
        <w:tc>
          <w:tcPr>
            <w:tcW w:w="0" w:type="auto"/>
            <w:tcBorders>
              <w:top w:val="single" w:sz="6" w:space="0" w:color="auto"/>
              <w:left w:val="single" w:sz="6" w:space="0" w:color="auto"/>
              <w:bottom w:val="single" w:sz="6" w:space="0" w:color="auto"/>
              <w:right w:val="single" w:sz="6" w:space="0" w:color="auto"/>
            </w:tcBorders>
          </w:tcPr>
          <w:p w14:paraId="604377E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75C0914" w14:textId="77777777" w:rsidR="007F0AE0" w:rsidRPr="005762E6" w:rsidRDefault="007F0AE0" w:rsidP="00453DE3">
            <w:pPr>
              <w:spacing w:after="120" w:line="240" w:lineRule="auto"/>
              <w:contextualSpacing/>
              <w:rPr>
                <w:sz w:val="20"/>
                <w:szCs w:val="20"/>
              </w:rPr>
            </w:pPr>
            <w:r w:rsidRPr="005762E6">
              <w:rPr>
                <w:sz w:val="20"/>
                <w:szCs w:val="20"/>
              </w:rPr>
              <w:t>James C Hersey,​ James M Nonnemaker,​ Ghada Homsi Menthol cigarettes contribute to the appeal and addiction potential of smoking for youth.. Nicotine &amp; tobacco research : official journal of the Society for Research on Nicotine and Tobacco; 2010;12 Suppl 2:S136.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Adolescent,​Adult,​*Behavior,​ Addictive/ci [Chemically Induced],​Child,​Female,​Humans,​Logistic Models,​Male,​*Menthol,​*Smoking/ae [Adverse Effects],​*Tobacco Use Disorder/et [Etiology],​Young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cigarettes are a common choice of cigarettes among young smokers that contribute to the addictive potential of cigarette smoking.,​ METHODS: We reviewed prior research and analyzed the 2006 National Youth Tobacco Survey (NYTS),​ using logistic regression to assess the relationship between menthol cigarette use and needing a cigarette within 1 hr after smoking.,​ RESULTS: In the 2006 NYTS,​ 51.7% (95% CI: 45.8-57.5) of middle school smokers and 43.1% (95% C.I.: 37.0,​ 49.1) of high school smokers reported that they usually smoked a menthol brand of cigarettes,​ using a menthol smoking status definition based on consistency between smokers' report of the brand and the menthol status of the cigarettes they usually smoked. A logistic regression model of dependence,​ controlling for background (i.e.,​ school level,​ gender,​ and race/ethnicity) and smoking level (i.e.,​ years,​ frequency,​ and level of smoking) found that smoking menthol cigarettes was significantly associated with reduced time to needing a cigarette among smokers with a regular brand (odds ratio [OR]: 1.86,​ p = .003) and among established smokers (OR: 2.06,​ p = .001). This is consistent with other studies that found that youth who smoked menthol cigarettes were significantly more likely than those who smoked nonmenthol cigarettes to report signs of nicotine dependency.,​ CONCLUSIONS: Menthol cigarettes contribute to the appeal of youth smoking and to the addictive potential of smoking cigarettes among youth. It is important to control the use of menthol cigarettes and to implement cessation strategies that are effective with youth smokers.</w:t>
            </w:r>
          </w:p>
        </w:tc>
      </w:tr>
      <w:tr w:rsidR="007F0AE0" w:rsidRPr="005762E6" w14:paraId="628FFED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67A33D" w14:textId="77777777" w:rsidR="007F0AE0" w:rsidRPr="005762E6" w:rsidRDefault="007F0AE0" w:rsidP="00453DE3">
            <w:pPr>
              <w:spacing w:after="120" w:line="240" w:lineRule="auto"/>
              <w:contextualSpacing/>
              <w:rPr>
                <w:sz w:val="20"/>
                <w:szCs w:val="20"/>
              </w:rPr>
            </w:pPr>
            <w:r w:rsidRPr="005762E6">
              <w:rPr>
                <w:sz w:val="20"/>
                <w:szCs w:val="20"/>
              </w:rPr>
              <w:t>612</w:t>
            </w:r>
          </w:p>
        </w:tc>
        <w:tc>
          <w:tcPr>
            <w:tcW w:w="0" w:type="auto"/>
            <w:tcBorders>
              <w:top w:val="single" w:sz="6" w:space="0" w:color="auto"/>
              <w:left w:val="single" w:sz="6" w:space="0" w:color="auto"/>
              <w:bottom w:val="single" w:sz="6" w:space="0" w:color="auto"/>
              <w:right w:val="single" w:sz="6" w:space="0" w:color="auto"/>
            </w:tcBorders>
          </w:tcPr>
          <w:p w14:paraId="33EE32F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426762A" w14:textId="77777777" w:rsidR="007F0AE0" w:rsidRPr="005762E6" w:rsidRDefault="007F0AE0" w:rsidP="00453DE3">
            <w:pPr>
              <w:spacing w:after="120" w:line="240" w:lineRule="auto"/>
              <w:contextualSpacing/>
              <w:rPr>
                <w:sz w:val="20"/>
                <w:szCs w:val="20"/>
              </w:rPr>
            </w:pPr>
            <w:r w:rsidRPr="005762E6">
              <w:rPr>
                <w:sz w:val="20"/>
                <w:szCs w:val="20"/>
              </w:rPr>
              <w:t>Shane P Davis,​ Annette K McClave-Regan,​ Valerie J Rock,​ Judy Kruger,​ Bridgette E Garrett Perceptions of menthol cigarette use among U.S. adults and adult smokers: findings from the 2009 HealthStyles survey.. Nicotine &amp; tobacco research : official journal of the Society for Research on Nicotine and Tobacco; 2010;12 Suppl 2:S125.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Adolescent,​Adult,​Aged,​*Data Collection,​Female,​Humans,​Male,​*Menthol,​Middle Aged,​*Perception,​Public Health,​*Smoking/px [Psychology],​United States,​Young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Perceptions of menthol cigarette use may have implications for smoking initiation and cessation. This study explores harm and health perceptions of menthol cigarette use among a national sample of U.S. adults and current smokers.,​ METHODS: We examined data from the 2009 HealthStyles survey (n = 4,​556),​ an annual mail survey of adults &gt;=18 years of age that collects information on attitudes and behaviors,​ including smoking. Frequencies and weighted percentages were calculated by sex,​ race/ethnicity,​ age,​ education level,​ household income,​ and smoking status. Unadjusted odds ratios (OR) were used to compare perceptions of menthol cigarette use between demographic groups.,​ RESULTS: Close to half of adults (45.8%) believed that menthol cigarettes are just as harmful as nonmenthol cigarettes,​ and 40.9% of adults did not know whether menthol cigarettes are more or less harmful than nonmenthol cigarettes. Few adults (0.6%),​ including smokers,​ perceived menthol cigarettes to be less harmful than nonmenthol cigarettes. Blacks (OR = 3.22,​ 95% CI = 1.80-5.76) were more likely to believe that menthol cigarettes have health benefits when compared with Whites. Almost half of current smokers believed menthol cigarettes are equally addictive as nonmenthol cigarettes and 74.9% believed menthol and nonmenthol cigarettes are equally hard to quit.,​ CONCLUSIONS: Findings suggest directions for targeted public health messages for menthol cigarette use. Future research is needed among a nationally representative sample to capture more subtle differences in perceptions among menthol and nonmenthol smokers.</w:t>
            </w:r>
          </w:p>
        </w:tc>
      </w:tr>
      <w:tr w:rsidR="007F0AE0" w:rsidRPr="005762E6" w14:paraId="56F5F11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92FCF20" w14:textId="77777777" w:rsidR="007F0AE0" w:rsidRPr="005762E6" w:rsidRDefault="007F0AE0" w:rsidP="00453DE3">
            <w:pPr>
              <w:spacing w:after="120" w:line="240" w:lineRule="auto"/>
              <w:contextualSpacing/>
              <w:rPr>
                <w:sz w:val="20"/>
                <w:szCs w:val="20"/>
              </w:rPr>
            </w:pPr>
            <w:r w:rsidRPr="005762E6">
              <w:rPr>
                <w:sz w:val="20"/>
                <w:szCs w:val="20"/>
              </w:rPr>
              <w:t>613</w:t>
            </w:r>
          </w:p>
        </w:tc>
        <w:tc>
          <w:tcPr>
            <w:tcW w:w="0" w:type="auto"/>
            <w:tcBorders>
              <w:top w:val="single" w:sz="6" w:space="0" w:color="auto"/>
              <w:left w:val="single" w:sz="6" w:space="0" w:color="auto"/>
              <w:bottom w:val="single" w:sz="6" w:space="0" w:color="auto"/>
              <w:right w:val="single" w:sz="6" w:space="0" w:color="auto"/>
            </w:tcBorders>
          </w:tcPr>
          <w:p w14:paraId="4A29DCB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05F788" w14:textId="77777777" w:rsidR="007F0AE0" w:rsidRPr="005762E6" w:rsidRDefault="007F0AE0" w:rsidP="00453DE3">
            <w:pPr>
              <w:spacing w:after="120" w:line="240" w:lineRule="auto"/>
              <w:contextualSpacing/>
              <w:rPr>
                <w:sz w:val="20"/>
                <w:szCs w:val="20"/>
              </w:rPr>
            </w:pPr>
            <w:r w:rsidRPr="005762E6">
              <w:rPr>
                <w:sz w:val="20"/>
                <w:szCs w:val="20"/>
              </w:rPr>
              <w:t>Valerie J Rock,​ Shane P Davis,​ Stacy L Thorne,​ Kat J Asman,​ Ralph S Caraballo Menthol cigarette use among racial and ethnic groups in the United States,​ 2004-2008.. Nicotine &amp; tobacco research : official journal of the Society for Research on Nicotine and Tobacco; 2010;12 Suppl 2:S117.</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Adolescent,​Adult,​Child,​Female,​*Flavoring Agents,​Humans,​Male,​*Menthol,​*Public Health/sn [Statistics &amp; Numerical Data],​*Smoking/ep [Epidemiology],​*Smoking/eh [Ethnology],​United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Understanding the patterns of menthol cigarette use can be useful in developing and justifying policies designed to prevent and reduce cigarette use and exposure to tobacco smoke. This report provides an update and summary of the demographic distribution and trends of menthol cigarette use in the United States.,​ METHODS: Data from the 2004-2008 National Survey on Drug Use and Health were analyzed to estimate menthol cigarette use among current smokers by race/ethnicity,​ sex,​ and age (12 years and older). A t-test was used to compare estimates for menthol and nonmenthol use by demographic group. Trend analyses were conducted to examine differences in menthol cigarette use by race/ethnicity and age from 2004 to 2008.,​ RESULTS: Over half of menthol cigarette smokers were female (52.2%),​ and approximately 29.4% of all menthol smokers were Black,​ which was almost 10 times the percentage of nonmenthol smokers who were Black (3.0%,​ p &lt; .01). Prevalence of past month menthol cigarette use was highest among current smokers aged 12-17 years (44.7%) and decreased as age group increased. From 2004 to 2008,​ menthol cigarette use increased significantly among White smokers aged 12-17 years (from 40.3% in 2004 to 46.0% in 2008,​ p &lt; .01). Menthol cigarette use among young adult smokers aged 18-25 years increased for Hispanics (from 33.9% in 2004 to 42.4% in 2008,​ p &lt; .01) and Whites (from 26.7% to 32.5%,​ p &lt; .01).,​ CONCLUSIONS: Demographic disparities in menthol cigarette use persist in the United States. Continued monitoring and improvement of existing surveillance systems to identify patterns and trends in menthol cigarette use are needed.</w:t>
            </w:r>
          </w:p>
        </w:tc>
      </w:tr>
      <w:tr w:rsidR="007F0AE0" w:rsidRPr="005762E6" w14:paraId="1B3BA4C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2E497C" w14:textId="77777777" w:rsidR="007F0AE0" w:rsidRPr="005762E6" w:rsidRDefault="007F0AE0" w:rsidP="00453DE3">
            <w:pPr>
              <w:spacing w:after="120" w:line="240" w:lineRule="auto"/>
              <w:contextualSpacing/>
              <w:rPr>
                <w:sz w:val="20"/>
                <w:szCs w:val="20"/>
              </w:rPr>
            </w:pPr>
            <w:r w:rsidRPr="005762E6">
              <w:rPr>
                <w:sz w:val="20"/>
                <w:szCs w:val="20"/>
              </w:rPr>
              <w:lastRenderedPageBreak/>
              <w:t>614</w:t>
            </w:r>
          </w:p>
        </w:tc>
        <w:tc>
          <w:tcPr>
            <w:tcW w:w="0" w:type="auto"/>
            <w:tcBorders>
              <w:top w:val="single" w:sz="6" w:space="0" w:color="auto"/>
              <w:left w:val="single" w:sz="6" w:space="0" w:color="auto"/>
              <w:bottom w:val="single" w:sz="6" w:space="0" w:color="auto"/>
              <w:right w:val="single" w:sz="6" w:space="0" w:color="auto"/>
            </w:tcBorders>
          </w:tcPr>
          <w:p w14:paraId="6EC5DCE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7B7A4D7" w14:textId="77777777" w:rsidR="007F0AE0" w:rsidRPr="005762E6" w:rsidRDefault="007F0AE0" w:rsidP="00453DE3">
            <w:pPr>
              <w:spacing w:after="120" w:line="240" w:lineRule="auto"/>
              <w:contextualSpacing/>
              <w:rPr>
                <w:sz w:val="20"/>
                <w:szCs w:val="20"/>
              </w:rPr>
            </w:pPr>
            <w:r w:rsidRPr="005762E6">
              <w:rPr>
                <w:sz w:val="20"/>
                <w:szCs w:val="20"/>
              </w:rPr>
              <w:t>Karen Ahijevych,​ Bridgette E Garrett The role of menthol in cigarettes as a reinforcer of smoking behavior.. Nicotine &amp; tobacco research : official journal of the Society for Research on Nicotine and Tobacco; 2010;12 Suppl 2:S110.</w:t>
            </w:r>
            <w:r w:rsidRPr="005762E6">
              <w:rPr>
                <w:sz w:val="20"/>
                <w:szCs w:val="20"/>
              </w:rPr>
              <w:br/>
            </w:r>
            <w:r w:rsidRPr="005762E6">
              <w:rPr>
                <w:sz w:val="20"/>
                <w:szCs w:val="20"/>
              </w:rPr>
              <w:br/>
            </w:r>
            <w:r w:rsidRPr="005762E6">
              <w:rPr>
                <w:b/>
                <w:bCs/>
                <w:sz w:val="20"/>
                <w:szCs w:val="20"/>
              </w:rPr>
              <w:t>Keywords:</w:t>
            </w:r>
            <w:r w:rsidRPr="005762E6">
              <w:rPr>
                <w:sz w:val="20"/>
                <w:szCs w:val="20"/>
              </w:rPr>
              <w:br/>
              <w:t>*Behavior,​ Addictive/ci [Chemically Induced],​Humans,​*Menthol,​*Smoking/ae [Adverse Effects],​Smoking Cessation/sn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World Health Organization has identified several additives such as menthol in the manufacturing of cigarettes to specifically reduce smoke harshness. These additives may have important implications for reinforcing smoking behavior and motivation to quit smoking. The purpose of this paper is to synthesize research related to the role of menthol's sensory characteristics in strengthening the reinforcing effects of nicotine in cigarettes and the impact on nicotine addiction and smoking behavior.,​ METHODS: Research reports from 2002 to 2010 on the addictive potential of menthol cigarettes were reviewed that included qualitative focus groups,​ self-reports and biomarkers of nicotine dependence,​ human laboratory,​ and epidemiological studies.,​ RESULTS: Positive sensory effects of menthol cigarette use were identified via reports of early smoking experiences and as a potential starter product for smoking uptake in youth. Menthol cigarettes may serve as a conditioned stimulus that reinforces the rewarding effects of smoking. Nicotine dependence measured by shorter time-to-first cigarette upon waking was increased with menthol cigarette use in most of the studies reviewed. Smoking quit rates provide additional indicators of nicotine dependence,​ and the majority of the studies reviewed provided evidence of lower quit rates or higher relapse rates among menthol cigarette smokers.,​ CONCLUSIONS: The effects of menthol cigarette use in increasing the reinforcing effects of nicotine on smoking behavior were evidenced in both qualitative and quantitative empirical studies. These findings have implications for enhanced prevention and cessation efforts in menthol smokers.</w:t>
            </w:r>
          </w:p>
        </w:tc>
      </w:tr>
      <w:tr w:rsidR="007F0AE0" w:rsidRPr="005762E6" w14:paraId="58FDB1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2C08A7" w14:textId="77777777" w:rsidR="007F0AE0" w:rsidRPr="005762E6" w:rsidRDefault="007F0AE0" w:rsidP="00453DE3">
            <w:pPr>
              <w:spacing w:after="120" w:line="240" w:lineRule="auto"/>
              <w:contextualSpacing/>
              <w:rPr>
                <w:sz w:val="20"/>
                <w:szCs w:val="20"/>
              </w:rPr>
            </w:pPr>
            <w:r w:rsidRPr="005762E6">
              <w:rPr>
                <w:sz w:val="20"/>
                <w:szCs w:val="20"/>
              </w:rPr>
              <w:t>615</w:t>
            </w:r>
          </w:p>
        </w:tc>
        <w:tc>
          <w:tcPr>
            <w:tcW w:w="0" w:type="auto"/>
            <w:tcBorders>
              <w:top w:val="single" w:sz="6" w:space="0" w:color="auto"/>
              <w:left w:val="single" w:sz="6" w:space="0" w:color="auto"/>
              <w:bottom w:val="single" w:sz="6" w:space="0" w:color="auto"/>
              <w:right w:val="single" w:sz="6" w:space="0" w:color="auto"/>
            </w:tcBorders>
          </w:tcPr>
          <w:p w14:paraId="6654E3A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AD8615" w14:textId="77777777" w:rsidR="007F0AE0" w:rsidRPr="005762E6" w:rsidRDefault="007F0AE0" w:rsidP="00453DE3">
            <w:pPr>
              <w:spacing w:after="120" w:line="240" w:lineRule="auto"/>
              <w:contextualSpacing/>
              <w:rPr>
                <w:sz w:val="20"/>
                <w:szCs w:val="20"/>
              </w:rPr>
            </w:pPr>
            <w:r w:rsidRPr="005762E6">
              <w:rPr>
                <w:sz w:val="20"/>
                <w:szCs w:val="20"/>
              </w:rPr>
              <w:t>Jonathan Foulds,​ Monica Webb Hooper,​ Mark J Pletcher,​ Kolawole S Okuyemi Do smokers of menthol cigarettes find it harder to quit smoking?.. Nicotine &amp; tobacco research : official journal of the Society for Research on Nicotine and Tobacco; 2010;12 Suppl 2:S102.</w:t>
            </w:r>
            <w:r w:rsidRPr="005762E6">
              <w:rPr>
                <w:sz w:val="20"/>
                <w:szCs w:val="20"/>
              </w:rPr>
              <w:br/>
            </w:r>
            <w:r w:rsidRPr="005762E6">
              <w:rPr>
                <w:sz w:val="20"/>
                <w:szCs w:val="20"/>
              </w:rPr>
              <w:br/>
            </w:r>
            <w:r w:rsidRPr="005762E6">
              <w:rPr>
                <w:b/>
                <w:bCs/>
                <w:sz w:val="20"/>
                <w:szCs w:val="20"/>
              </w:rPr>
              <w:t>Keywords:</w:t>
            </w:r>
            <w:r w:rsidRPr="005762E6">
              <w:rPr>
                <w:sz w:val="20"/>
                <w:szCs w:val="20"/>
              </w:rPr>
              <w:br/>
              <w:t>Humans,​*Menthol,​*Smoking/ep [Epidemiology],​*Smoking Cessation/sn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Menthol cigarette smokers may find it harder to quit smoking than smokers of nonmenthol cigarettes.,​ METHODS: We conducted a systematic review of published studies examining the </w:t>
            </w:r>
            <w:r w:rsidRPr="005762E6">
              <w:rPr>
                <w:sz w:val="20"/>
                <w:szCs w:val="20"/>
              </w:rPr>
              <w:lastRenderedPageBreak/>
              <w:t>association between menthol cigarette smoking and cessation. Electronic databases and reference lists were searched to identify studies published through May 2010,​ and results were tabulated.,​ RESULTS: Ten studies were located that reported cessation outcomes for menthol and nonmenthol smokers. Half of the studies found evidence that menthol smoking is associated with lower odds of cessation,​ while the other half found no such effects. The pattern of results in these studies suggest that the association between smoking menthol cigarettes and difficulty quitting is stronger in (a) racial/ethnic minority populations,​ (b) younger smokers,​ and (c) studies carried out after 1999. This pattern is consistent with an effect that relies on menthol to facilitate increased nicotine intake from fewer cigarettes where economic pressure restricts the number of cigarettes smokers can afford to purchase.,​ CONCLUSIONS: There is growing evidence that certain subgroups of smokers find it harder to quit menthol versus nonmenthol cigarettes. There is a need for additional research,​ and particularly for studies including adequately powered and diverse samples of menthol and nonmenthol smokers,​ with reliable measurement of cigarette brands,​ socioeconomic status,​ and biomarkers of nicotine intake.</w:t>
            </w:r>
          </w:p>
        </w:tc>
      </w:tr>
      <w:tr w:rsidR="007F0AE0" w:rsidRPr="005762E6" w14:paraId="5BE5F4D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78A1F8B" w14:textId="77777777" w:rsidR="007F0AE0" w:rsidRPr="005762E6" w:rsidRDefault="007F0AE0" w:rsidP="00453DE3">
            <w:pPr>
              <w:spacing w:after="120" w:line="240" w:lineRule="auto"/>
              <w:contextualSpacing/>
              <w:rPr>
                <w:sz w:val="20"/>
                <w:szCs w:val="20"/>
              </w:rPr>
            </w:pPr>
            <w:r w:rsidRPr="005762E6">
              <w:rPr>
                <w:sz w:val="20"/>
                <w:szCs w:val="20"/>
              </w:rPr>
              <w:lastRenderedPageBreak/>
              <w:t>617</w:t>
            </w:r>
          </w:p>
        </w:tc>
        <w:tc>
          <w:tcPr>
            <w:tcW w:w="0" w:type="auto"/>
            <w:tcBorders>
              <w:top w:val="single" w:sz="6" w:space="0" w:color="auto"/>
              <w:left w:val="single" w:sz="6" w:space="0" w:color="auto"/>
              <w:bottom w:val="single" w:sz="6" w:space="0" w:color="auto"/>
              <w:right w:val="single" w:sz="6" w:space="0" w:color="auto"/>
            </w:tcBorders>
          </w:tcPr>
          <w:p w14:paraId="28E8DA6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80FA97E" w14:textId="77777777" w:rsidR="007F0AE0" w:rsidRPr="005762E6" w:rsidRDefault="007F0AE0" w:rsidP="00453DE3">
            <w:pPr>
              <w:spacing w:after="120" w:line="240" w:lineRule="auto"/>
              <w:contextualSpacing/>
              <w:rPr>
                <w:sz w:val="20"/>
                <w:szCs w:val="20"/>
              </w:rPr>
            </w:pPr>
            <w:r w:rsidRPr="005762E6">
              <w:rPr>
                <w:sz w:val="20"/>
                <w:szCs w:val="20"/>
              </w:rPr>
              <w:t>Marta S Mendiondo,​ Linda A Alexander,​ Tim Crawford Health profile differences for menthol and non-menthol smokers: findings from the National Health Interview Survey.. Addiction (Abingdon,​ England); 2010;105 Suppl 1:124.</w:t>
            </w:r>
            <w:r w:rsidRPr="005762E6">
              <w:rPr>
                <w:sz w:val="20"/>
                <w:szCs w:val="20"/>
              </w:rPr>
              <w:br/>
            </w:r>
            <w:r w:rsidRPr="005762E6">
              <w:rPr>
                <w:sz w:val="20"/>
                <w:szCs w:val="20"/>
              </w:rPr>
              <w:br/>
            </w:r>
            <w:r w:rsidRPr="005762E6">
              <w:rPr>
                <w:b/>
                <w:bCs/>
                <w:sz w:val="20"/>
                <w:szCs w:val="20"/>
              </w:rPr>
              <w:t>Keywords:</w:t>
            </w:r>
            <w:r w:rsidRPr="005762E6">
              <w:rPr>
                <w:sz w:val="20"/>
                <w:szCs w:val="20"/>
              </w:rPr>
              <w:br/>
              <w:t>Adult,​Asthma/ep [Epidemiology],​Body Mass Index,​Female,​*Health Status Indicators,​*Health Surveys,​Humans,​Logistic Models,​Male,​Mental Health/sn [Statistics &amp; Numerical Data],​*Menthol,​Middle Aged,​Patient Acceptance of Health Care/sn [Statistics &amp; Numerical Data],​Smoking/ae [Adverse Effects],​*Smoking/ep [Epidemiology],​Smoking Cessation/sn [Statistics &amp; Numerical Data],​United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Although the adverse effects of smoking are well known,​ limited information exists about the overall health profiles of menthol smokers when compared to their non-menthol smoking counterparts. Using a well-known nationally representative survey,​ this study examines differences between self-reported health characteristics for menthol and non-menthol smokers.,​ DESIGN: Cross-sectional data from the 2005 National Health Interview Survey and its cancer control supplement were used to analyze responses for current and former smokers (n = 12,​004) independently. All analyses were conducted using SAS version 9.2 and SAS callable SUDAAN version 9.0.3. Multiple logistic regression analysis was used to model menthol smoking.,​ FINDINGS: After controlling for sex,​ age and race,​ we found that in current smokers the mean number of cigarettes smoked per day is significantly lower for menthol smokers when compared to non-menthol smokers [odds ratio (OR): 0.99; 95% confidence interval (CI): 0.98,​ 1.00]. Also,​ we found that former menthol smokers had higher body mass indices (BMIs) (OR: 1.01; 95% CI: 1.00,​ 1.02) and were more likely to have visited the emergency room due to asthma (OR: 2.30,​ 95% CI: 1.04,​ 5.09).,​ CONCLUSIONS: Overall,​ current menthol and non-menthol smokers have similar health profiles. However,​ menthol smokers reported smoking fewer cigarettes per day than their non-menthol counterparts. While these findings are supportive of other published data,​ future studies may need to tease out the health-related significance of smoking fewer menthol cigarettes per day but having similar health outcomes to those who smoke more non-menthol cigarettes per day. Additionally,​ our findings suggest that there may be some differences between the former menthol and non-menthol smoker. Copyright © 2010 The Authors,​ Addiction © 2010 Society for the Study of Addiction.</w:t>
            </w:r>
          </w:p>
        </w:tc>
      </w:tr>
      <w:tr w:rsidR="007F0AE0" w:rsidRPr="005762E6" w14:paraId="3988CA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EF443C" w14:textId="77777777" w:rsidR="007F0AE0" w:rsidRPr="005762E6" w:rsidRDefault="007F0AE0" w:rsidP="00453DE3">
            <w:pPr>
              <w:spacing w:after="120" w:line="240" w:lineRule="auto"/>
              <w:contextualSpacing/>
              <w:rPr>
                <w:sz w:val="20"/>
                <w:szCs w:val="20"/>
              </w:rPr>
            </w:pPr>
            <w:r w:rsidRPr="005762E6">
              <w:rPr>
                <w:sz w:val="20"/>
                <w:szCs w:val="20"/>
              </w:rPr>
              <w:t>619</w:t>
            </w:r>
          </w:p>
        </w:tc>
        <w:tc>
          <w:tcPr>
            <w:tcW w:w="0" w:type="auto"/>
            <w:tcBorders>
              <w:top w:val="single" w:sz="6" w:space="0" w:color="auto"/>
              <w:left w:val="single" w:sz="6" w:space="0" w:color="auto"/>
              <w:bottom w:val="single" w:sz="6" w:space="0" w:color="auto"/>
              <w:right w:val="single" w:sz="6" w:space="0" w:color="auto"/>
            </w:tcBorders>
          </w:tcPr>
          <w:p w14:paraId="391980F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2769041" w14:textId="77777777" w:rsidR="007F0AE0" w:rsidRPr="005762E6" w:rsidRDefault="007F0AE0" w:rsidP="00453DE3">
            <w:pPr>
              <w:spacing w:after="120" w:line="240" w:lineRule="auto"/>
              <w:contextualSpacing/>
              <w:rPr>
                <w:sz w:val="20"/>
                <w:szCs w:val="20"/>
              </w:rPr>
            </w:pPr>
            <w:r w:rsidRPr="005762E6">
              <w:rPr>
                <w:sz w:val="20"/>
                <w:szCs w:val="20"/>
              </w:rPr>
              <w:t>Anita Fernander,​ Mary Kay Rayens,​ Ellen Hahn,​ Mei Zhang,​ Sarah M Adkins Menthol smoking,​ smoke-free policies and cessation services.. Addiction (Abingdon,​ England); 2010;105 Suppl 1:105.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Adolescent,​Adult,​Aged,​Demography,​Epidemiologic Methods,​Female,​Health Knowledge,​ Attitudes,​ Practice,​Humans,​Male,​*Menthol,​Middle Aged,​*Occupational Health Services/sd [Supply &amp; Distribution],​*Organizational Policy,​Smoking/ep [Epidemiology],​Smoking/lj [Legislation &amp; Jurisprudence],​*Smoking,​*Smoking Cessation/sn [Statistics &amp; Numerical Data],​Smoking Prevention,​Tobacco Smoke Pollution/ae [Adverse Effects],​Tobacco Smoke Pollution/pc [Prevention &amp; Control],​Workplace/lj [Legislation &amp; Jurisprudence],​Young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AIMS: This study examined whether menthol cigarette smoking is related to exposure to smoke-free home and work-place policies,​ availability of cessation services at work and knowledge of cessation resources among current smokers.,​ DESIGN: Secondary analysis was conducted using logistic regression of cross-sectional data.,​ SETTING: The 2003 and 2006/07 Tobacco Use Supplement (TUS) to the Current Population Survey,​ </w:t>
            </w:r>
            <w:r w:rsidRPr="005762E6">
              <w:rPr>
                <w:sz w:val="20"/>
                <w:szCs w:val="20"/>
              </w:rPr>
              <w:lastRenderedPageBreak/>
              <w:t>administered by the National Cancer Institute,​ the Centers for Disease Control and Prevention (CDC) and the Census Bureau,​ formed the basis for this investigation.,​ PARTICIPANTS: A total of 66,​145 current smokers who participated in the TUS CPS administrations in 2003 and 2006/07.,​ MEASUREMENTS: Demographic characteristics (gender,​ race/ethnicity,​ age,​ education,​ income),​ smoking frequency,​ menthol cigarette use,​ status of smoking bans in the work-place and at home,​ availability of cessation services at work and knowledge of quitting resources were assessed.,​ FINDINGS: Among all current smokers with an indoor job,​ with no smoke-free restrictions at either work or home as the reference,​ those who smoked menthol cigarettes were about one-third as likely to have a smoke-free policy at both work and home [odds ratio (OR) = 0.32; 95% confidence interval (CI): 0.27-0.38]. In the comparison of those with an indoor smoke-free policy at work only versus those with no restrictions,​ menthol status was a risk factor for not having a work-place restriction (OR = 0.79; 95% CI: 0.67-0.93); similarly,​ within this sample,​ menthol use was a risk factor for not having a home restriction (OR = 0.38; 95% CI: 0.31-0.46). Among all current smokers,​ the use of menthol cigarettes was a risk factor for not having a smoking restriction at home (OR = 0.93; 95% CI: 0.88-0.98). Menthol smoking was not related to availability of cessation services offered at work or knowledge of cessation services.,​ CONCLUSIONS: This study suggests that menthol smoking is associated with lack of policy protection from second-hand smoke exposure. Policymakers and tobacco control professionals should monitor tobacco control efforts to ensure that policies and interventions reach all menthol smokers. Copyright © 2010 The Authors,​ Addiction © 2010 Society for the Study of Addiction.</w:t>
            </w:r>
          </w:p>
        </w:tc>
      </w:tr>
      <w:tr w:rsidR="007F0AE0" w:rsidRPr="005762E6" w14:paraId="2AF2853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C8D0FE" w14:textId="77777777" w:rsidR="007F0AE0" w:rsidRPr="005762E6" w:rsidRDefault="007F0AE0" w:rsidP="00453DE3">
            <w:pPr>
              <w:spacing w:after="120" w:line="240" w:lineRule="auto"/>
              <w:contextualSpacing/>
              <w:rPr>
                <w:sz w:val="20"/>
                <w:szCs w:val="20"/>
              </w:rPr>
            </w:pPr>
            <w:r w:rsidRPr="005762E6">
              <w:rPr>
                <w:sz w:val="20"/>
                <w:szCs w:val="20"/>
              </w:rPr>
              <w:lastRenderedPageBreak/>
              <w:t>620</w:t>
            </w:r>
          </w:p>
        </w:tc>
        <w:tc>
          <w:tcPr>
            <w:tcW w:w="0" w:type="auto"/>
            <w:tcBorders>
              <w:top w:val="single" w:sz="6" w:space="0" w:color="auto"/>
              <w:left w:val="single" w:sz="6" w:space="0" w:color="auto"/>
              <w:bottom w:val="single" w:sz="6" w:space="0" w:color="auto"/>
              <w:right w:val="single" w:sz="6" w:space="0" w:color="auto"/>
            </w:tcBorders>
          </w:tcPr>
          <w:p w14:paraId="66066D5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9ED232" w14:textId="77777777" w:rsidR="007F0AE0" w:rsidRPr="005762E6" w:rsidRDefault="007F0AE0" w:rsidP="00453DE3">
            <w:pPr>
              <w:spacing w:after="120" w:line="240" w:lineRule="auto"/>
              <w:contextualSpacing/>
              <w:rPr>
                <w:sz w:val="20"/>
                <w:szCs w:val="20"/>
              </w:rPr>
            </w:pPr>
            <w:r w:rsidRPr="005762E6">
              <w:rPr>
                <w:sz w:val="20"/>
                <w:szCs w:val="20"/>
              </w:rPr>
              <w:t>Dennis R Trinidad,​ Eliseo J Perez-Stable,​ Karen Messer,​ Martha M White,​ John P Pierce Menthol cigarettes and smoking cessation among racial/ethnic groups in the United States.. Addiction (Abingdon,​ England); 2010;105 Suppl 1:84.</w:t>
            </w:r>
            <w:r w:rsidRPr="005762E6">
              <w:rPr>
                <w:sz w:val="20"/>
                <w:szCs w:val="20"/>
              </w:rPr>
              <w:br/>
            </w:r>
            <w:r w:rsidRPr="005762E6">
              <w:rPr>
                <w:sz w:val="20"/>
                <w:szCs w:val="20"/>
              </w:rPr>
              <w:br/>
            </w:r>
            <w:r w:rsidRPr="005762E6">
              <w:rPr>
                <w:b/>
                <w:bCs/>
                <w:sz w:val="20"/>
                <w:szCs w:val="20"/>
              </w:rPr>
              <w:t>Keywords:</w:t>
            </w:r>
            <w:r w:rsidRPr="005762E6">
              <w:rPr>
                <w:sz w:val="20"/>
                <w:szCs w:val="20"/>
              </w:rPr>
              <w:br/>
              <w:t>Adult,​Aged,​Demography,​*Ethnic Groups/sn [Statistics &amp; Numerical Data],​European Continental Ancestry Group/sn [Statistics &amp; Numerical Data],​Female,​Humans,​Logistic Models,​Male,​*Menthol,​Middle Aged,​*Population Surveillance,​*Smoking/eh [Ethnology],​Smoking/th [Therapy],​*Smoking Cessation/eh [Ethnology],​Smoking Cessation/px [Psychology],​United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 To examine the association between smoking mentholated cigarettes and smoking cessation,​ separately for different racial/ethnic groups.,​ DESIGN: Secondary data analysis of the 2003 and 2006-07 Tobacco Use Supplements to the Current Population Survey.,​ SETTING: United States.,​ PARTICIPANTS: African American,​ Asian American/Pacific Islander,​ Hispanic/Latino,​ Native American,​ non-Hispanic white adults.,​ MEASUREMENTS: Examined relations between the use of mentholated cigarettes and measures of smoking cessation.,​ FINDINGS: Among African Americans (ORadj = 1.62,​ 95% CI: 1.35-1.95) and Hispanics/Latinos (ORadj = 1.21,​ 95% CI: 1.00-1.47),​ those who currently smoked mentholated cigarettes were more likely be seriously considering quitting in the next six months than were non-menthol smokers,​ after adjusting for sociodemographic factors. African Americans (ORadj = 1.87,​ 95% CI: 1.60-2.19) and Hispanics/Latinos (ORadj = 1.34,​ 95% CI: 1.11-1.62) who smoked mentholated cigarettes were also significantly more likely to have a positive estimation of successfully quitting in the next six months compared to non-menthol smokers. These associations were not found among Asian Americans/Pacific Islanders,​ Native Americans/Alaska Natives and Non-Hispanic Whites. Among former smokers,​ across racial/ethnic groups,​ those who smoked mentholated cigarettes (vs. non-menthols) were significantly less likely to have successfully quit for at least six months: African Americans (ORadj = 0.23,​ 95% CI: 0.17-0.31),​ Asian Americans/Pacific Islanders (ORadj = 0.22,​ 95% CI: 0.11-0.45),​ Hispanics/Latinos (ORadj = 0.48,​ 95% CI: 0.34-0.69) and Non-Hispanic Whites (ORadj = 0.28,​ 95% CI: 0.25-0.33).,​ CONCLUSION: Across race/ethnic groups,​ those who used to regularly smoke mentholated cigarettes were less likely to have experienced long-term quitting success. Cessation programs should consider the type of cigarette typically smoked by participants,​ particularly menthols. Copyright © 2010 The Authors,​ Addiction © 2010 Society for the Study of Addiction.</w:t>
            </w:r>
          </w:p>
        </w:tc>
      </w:tr>
      <w:tr w:rsidR="007F0AE0" w:rsidRPr="005762E6" w14:paraId="36F5EAD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EE03B2" w14:textId="77777777" w:rsidR="007F0AE0" w:rsidRPr="005762E6" w:rsidRDefault="007F0AE0" w:rsidP="00453DE3">
            <w:pPr>
              <w:spacing w:after="120" w:line="240" w:lineRule="auto"/>
              <w:contextualSpacing/>
              <w:rPr>
                <w:sz w:val="20"/>
                <w:szCs w:val="20"/>
              </w:rPr>
            </w:pPr>
            <w:r w:rsidRPr="005762E6">
              <w:rPr>
                <w:sz w:val="20"/>
                <w:szCs w:val="20"/>
              </w:rPr>
              <w:t>621</w:t>
            </w:r>
          </w:p>
        </w:tc>
        <w:tc>
          <w:tcPr>
            <w:tcW w:w="0" w:type="auto"/>
            <w:tcBorders>
              <w:top w:val="single" w:sz="6" w:space="0" w:color="auto"/>
              <w:left w:val="single" w:sz="6" w:space="0" w:color="auto"/>
              <w:bottom w:val="single" w:sz="6" w:space="0" w:color="auto"/>
              <w:right w:val="single" w:sz="6" w:space="0" w:color="auto"/>
            </w:tcBorders>
          </w:tcPr>
          <w:p w14:paraId="2A10A6A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D5DFC2" w14:textId="77777777" w:rsidR="007F0AE0" w:rsidRPr="005762E6" w:rsidRDefault="007F0AE0" w:rsidP="00453DE3">
            <w:pPr>
              <w:spacing w:after="120" w:line="240" w:lineRule="auto"/>
              <w:contextualSpacing/>
              <w:rPr>
                <w:sz w:val="20"/>
                <w:szCs w:val="20"/>
              </w:rPr>
            </w:pPr>
            <w:r w:rsidRPr="005762E6">
              <w:rPr>
                <w:sz w:val="20"/>
                <w:szCs w:val="20"/>
              </w:rPr>
              <w:t>Linda A Alexander,​ Tim Crawford,​ Marta S Mendiondo Occupational status,​ work-site cessation programs and policies and menthol smoking on quitting behaviors of US smokers.. Addiction (Abingdon,​ England); 2010;105 Suppl 1:95.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Adolescent,​Adult,​Employment/sn [Statistics &amp; Numerical Data],​Epidemiologic Methods,​Female,​*Healthcare Disparities/sn [Statistics &amp; Numerical Data],​Humans,​*Industry/sn [Statistics &amp; Numerical Data],​Male,​*Menthol,​</w:t>
            </w:r>
            <w:r w:rsidRPr="005762E6">
              <w:rPr>
                <w:sz w:val="20"/>
                <w:szCs w:val="20"/>
              </w:rPr>
              <w:lastRenderedPageBreak/>
              <w:t>*Occupational Health Services/sn [Statistics &amp; Numerical Data],​Organizational Policy,​*Smoking/ep [Epidemiology],​Smoking/th [Therapy],​*Smoking Cessation/sn [Statistics &amp; Numerical Data],​Socioeconomic Factors,​Tobacco Smoke Pollution/lj [Legislation &amp; Jurisprudence],​United States/ep [Epidemiology],​Workplace/lj [Legislation &amp; Jurisprudence],​Young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 This exploratory study sought to examine the relationships among occupational status,​ menthol smoking preference and employer-sponsored smoking cessation programs and policies on quitting behaviors.,​ DESIGN: Data for this cross-sectional study were obtained from the 2006 Tobacco Use Supplement to the Current Population Survey (TUS CPS),​ a large national survey representative of the civilian population,​ containing approximately 240,​000 respondents. The total sample for the current study was 30,​176.,​ MEASUREMENTS: The TUS CPS regularly collects data on cigarette prevalence,​ quitting behaviors,​ smoking history and consumption patterns. We performed a logistic regression with 'life-time quitting smoking for 1 day or longer because they were trying to quit' as outcome variable. Independent variables included type of occupation,​ employer-sponsored cessation programs and policies and menthol status.,​ FINDINGS: When controlling for occupational status and work-place policies,​ there were no differences for menthol versus non-menthol smokers on quitting behaviors [odds ratio (OR) = 0.98; 95% confidence interval (CI) = 0.83,​ 1.15]. Service workers were less likely to quit compared with white-collar workers (OR = 0.80; 95% CI = 0.69,​ 0.94),​ and those with no employer-sponsored cessation program were less likely to quit (OR = 0.70; 95% CI = 0.60,​ 0.83). White-collar workers,​ compared with blue-collar and service workers,​ were more likely to have a smoking policy in the work area (93% versus 86% versus 88%,​ respectively).,​ CONCLUSIONS: When occupational status and work-place smoking policies are controlled for,​ smokers of menthol cigarettes in the United States appear to have similar self-reported life-time rates of attempts to stop smoking to non-menthol smokers. Copyright © 2010 The Authors,​ Addiction © 2010 Society for the Study of Addiction.</w:t>
            </w:r>
          </w:p>
        </w:tc>
      </w:tr>
      <w:tr w:rsidR="007F0AE0" w:rsidRPr="005762E6" w14:paraId="0F53CCB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3E4FDC" w14:textId="77777777" w:rsidR="007F0AE0" w:rsidRPr="005762E6" w:rsidRDefault="007F0AE0" w:rsidP="00453DE3">
            <w:pPr>
              <w:spacing w:after="120" w:line="240" w:lineRule="auto"/>
              <w:contextualSpacing/>
              <w:rPr>
                <w:sz w:val="20"/>
                <w:szCs w:val="20"/>
              </w:rPr>
            </w:pPr>
            <w:r w:rsidRPr="005762E6">
              <w:rPr>
                <w:sz w:val="20"/>
                <w:szCs w:val="20"/>
              </w:rPr>
              <w:lastRenderedPageBreak/>
              <w:t>622</w:t>
            </w:r>
          </w:p>
        </w:tc>
        <w:tc>
          <w:tcPr>
            <w:tcW w:w="0" w:type="auto"/>
            <w:tcBorders>
              <w:top w:val="single" w:sz="6" w:space="0" w:color="auto"/>
              <w:left w:val="single" w:sz="6" w:space="0" w:color="auto"/>
              <w:bottom w:val="single" w:sz="6" w:space="0" w:color="auto"/>
              <w:right w:val="single" w:sz="6" w:space="0" w:color="auto"/>
            </w:tcBorders>
          </w:tcPr>
          <w:p w14:paraId="588A6F0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1D26404" w14:textId="77777777" w:rsidR="007F0AE0" w:rsidRPr="005762E6" w:rsidRDefault="007F0AE0" w:rsidP="00453DE3">
            <w:pPr>
              <w:spacing w:after="120" w:line="240" w:lineRule="auto"/>
              <w:contextualSpacing/>
              <w:rPr>
                <w:sz w:val="20"/>
                <w:szCs w:val="20"/>
              </w:rPr>
            </w:pPr>
            <w:r w:rsidRPr="005762E6">
              <w:rPr>
                <w:sz w:val="20"/>
                <w:szCs w:val="20"/>
              </w:rPr>
              <w:t>Mandy Stahre,​ Kolawole S Okuyemi,​ Anne M Joseph,​ Steven S Fu Racial/ethnic differences in menthol cigarette smoking,​ population quit ratios and utilization of evidence-based tobacco cessation treatments.. Addiction (Abingdon,​ England); 2010;105 Suppl 1:75.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Adolescent,​Adult,​Aged,​Epidemiologic Methods,​*Ethnic Groups/sn [Statistics &amp; Numerical Data],​European Continental Ancestry Group/sn [Statistics &amp; Numerical Data],​Female,​Humans,​Male,​*Menthol,​Middle Aged,​*Patient Acceptance of Health Care/eh [Ethnology],​*Smoking/eh [Ethnology],​Smoking/th [Therapy],​Smoking Cessation/eh [Ethnology],​*Smoking Cessation/sn [Statistics &amp; Numerical Data],​Socioeconomic Factors,​United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This study examines the relationship between menthol cigarette smoking and the population quit ratio and whether menthol smokers differ in utilization of evidence-based smoking cessation aids among a nationally representative sample of US adult smokers.,​ DESIGN,​ SETTING AND PARTICIPANTS: Secondary data analysis of cross-sectional data from the 2005 National Health Interview Survey (NHIS) Cancer Control Supplement. The NHIS is a nationally representative survey of US households conducted annually.,​ MEASUREMENTS: The main outcome variables of interest were (1) the population quit ratio and (2) use of smoking quit aids. All analyses were conducted using SAS version 9.2 with SUDAAN,​ which corrects for the complex sampling design of the study. Univariate analyses were used to determine variables that differed significantly by menthol status and utilization of types of quit aids. Multiple logistic regression analysis modeled the relationship between menthol smoking status,​ demographic characteristics and smoking-related characteristics on the population quit ratio and utilization of quit aids.,​ FINDINGS: We observed significant differences in the population quit ratio for menthol versus non-menthol among African American smokers (34% versus 49%,​ P &lt; 0.001),​ but not among whites (52% versus 50%). In multiple logistic regression analysis,​ there was a significant interaction between race and menthol smoking status. African American menthol smokers were significantly less likely than white non-menthol smokers to have quit smoking (adjusted odds ratio: 0.72,​ 95% confidence interval: 0.53,​ 0.97) after controlling for age group,​ sex,​ marital status,​ region and average number of cigarettes smoked per day. Menthol smoking status was not associated with differences in utilization of quit aids.,​ CONCLUSIONS: African Americans have the highest rates of menthol cigarette smoking of all racial and ethnic groups in the United States. Menthol cigarette smoking is associated negatively with successful smoking cessation among African Americans. Copyright Addiction © 2010 Society for the Study of Addiction,​ No claim to original US government works.</w:t>
            </w:r>
          </w:p>
        </w:tc>
      </w:tr>
      <w:tr w:rsidR="007F0AE0" w:rsidRPr="005762E6" w14:paraId="4D05C27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CE0509C" w14:textId="77777777" w:rsidR="007F0AE0" w:rsidRPr="005762E6" w:rsidRDefault="007F0AE0" w:rsidP="00453DE3">
            <w:pPr>
              <w:spacing w:after="120" w:line="240" w:lineRule="auto"/>
              <w:contextualSpacing/>
              <w:rPr>
                <w:sz w:val="20"/>
                <w:szCs w:val="20"/>
              </w:rPr>
            </w:pPr>
            <w:r w:rsidRPr="005762E6">
              <w:rPr>
                <w:sz w:val="20"/>
                <w:szCs w:val="20"/>
              </w:rPr>
              <w:lastRenderedPageBreak/>
              <w:t>623</w:t>
            </w:r>
          </w:p>
        </w:tc>
        <w:tc>
          <w:tcPr>
            <w:tcW w:w="0" w:type="auto"/>
            <w:tcBorders>
              <w:top w:val="single" w:sz="6" w:space="0" w:color="auto"/>
              <w:left w:val="single" w:sz="6" w:space="0" w:color="auto"/>
              <w:bottom w:val="single" w:sz="6" w:space="0" w:color="auto"/>
              <w:right w:val="single" w:sz="6" w:space="0" w:color="auto"/>
            </w:tcBorders>
          </w:tcPr>
          <w:p w14:paraId="64812DE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ACA46AA" w14:textId="77777777" w:rsidR="007F0AE0" w:rsidRPr="005762E6" w:rsidRDefault="007F0AE0" w:rsidP="00453DE3">
            <w:pPr>
              <w:spacing w:after="120" w:line="240" w:lineRule="auto"/>
              <w:contextualSpacing/>
              <w:rPr>
                <w:sz w:val="20"/>
                <w:szCs w:val="20"/>
              </w:rPr>
            </w:pPr>
            <w:r w:rsidRPr="005762E6">
              <w:rPr>
                <w:sz w:val="20"/>
                <w:szCs w:val="20"/>
              </w:rPr>
              <w:t>Pebbles Fagan,​ Eric T Moolchan,​ Alton Jr Hart,​ Allison Rose,​ Deirdre Lawrence,​ Vickie L Shavers,​ James Todd Gibson Nicotine dependence and quitting behaviors among menthol and non-menthol smokers with similar consumptive patterns.. Addiction (Abingdon,​ England); 2010;105 Suppl 1:55.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Adolescent,​Adult,​Aged,​Attitude to Health,​Epidemiologic Methods,​Ethnic Groups/sn [Statistics &amp; Numerical Data],​Female,​Humans,​Male,​*Menthol,​Middle Aged,​*Smoking/ep [Epidemiology],​*Smoking Cessation/sn [Statistics &amp; Numerical Data],​Socioeconomic Factors,​Time Factors,​*Tobacco Use Disorder/ep [Epidemiology],​United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This study examines the associations between usual cigarette brand (i.e. menthol,​ non-menthol) and markers for nicotine dependence and quitting behaviors.,​ DESIGN: The 2003 and 2006/07 Tobacco Use Supplements to the Current Population Surveys were pooled to conduct secondary data analysis.,​ SETTING: National data were collected using in-person and telephone computer-assisted interviews by the United States Census Bureau among civilian,​ non-institutionalized people aged 15 years and older.,​ PARTICIPANTS: Data were analyzed among daily current smokers aged 18+ (n = 46,​273).,​ MEASUREMENTS: The associations between usual cigarette brand and time to first cigarette within 5 and 30 minutes after waking,​ quit attempts in the past 12 months and length of smoking abstinence in the past 12 months were examined. Bivariate and multivariate logistic regression models were stratified by smoking intensity: &lt;=5,​ 6-10,​ 11-19 and 20+ cigarettes per day.,​ FINDINGS: Menthol smokers reported a mean of 13.05 compared with 15.01 cigarettes per day among non-menthol smokers (P &lt; 0.001). Multivariate results showed that among smokers consuming 6-10 cigarettes per day,​ menthol smokers were significantly more likely than non-menthol smokers to consume their first cigarette within 5 minutes after waking (odds ratio = 1.22,​ 95% confidence interval = 1.05,​1.43). The multivariate models did not show significant associations between usual cigarette brand and quit attempts in past 12 months or duration of smoking abstinence &gt;2 weeks in the past 12 months.,​ CONCLUSIONS: Findings from this national survey of daily smokers demonstrate that menthol smokers in the United States who report consuming 6-10 cigarettes per day show greater signs of nicotine dependence than comparable non-menthol smokers. Copyright © 2010 The Authors,​ Addiction © 2010 Society for the Study of Addiction.</w:t>
            </w:r>
          </w:p>
        </w:tc>
      </w:tr>
      <w:tr w:rsidR="007F0AE0" w:rsidRPr="005762E6" w14:paraId="7A18E3E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035AB3" w14:textId="77777777" w:rsidR="007F0AE0" w:rsidRPr="005762E6" w:rsidRDefault="007F0AE0" w:rsidP="00453DE3">
            <w:pPr>
              <w:spacing w:after="120" w:line="240" w:lineRule="auto"/>
              <w:contextualSpacing/>
              <w:rPr>
                <w:sz w:val="20"/>
                <w:szCs w:val="20"/>
              </w:rPr>
            </w:pPr>
            <w:r w:rsidRPr="005762E6">
              <w:rPr>
                <w:sz w:val="20"/>
                <w:szCs w:val="20"/>
              </w:rPr>
              <w:t>624</w:t>
            </w:r>
          </w:p>
        </w:tc>
        <w:tc>
          <w:tcPr>
            <w:tcW w:w="0" w:type="auto"/>
            <w:tcBorders>
              <w:top w:val="single" w:sz="6" w:space="0" w:color="auto"/>
              <w:left w:val="single" w:sz="6" w:space="0" w:color="auto"/>
              <w:bottom w:val="single" w:sz="6" w:space="0" w:color="auto"/>
              <w:right w:val="single" w:sz="6" w:space="0" w:color="auto"/>
            </w:tcBorders>
          </w:tcPr>
          <w:p w14:paraId="28BB79B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B384E19" w14:textId="77777777" w:rsidR="007F0AE0" w:rsidRPr="005762E6" w:rsidRDefault="007F0AE0" w:rsidP="00453DE3">
            <w:pPr>
              <w:spacing w:after="120" w:line="240" w:lineRule="auto"/>
              <w:contextualSpacing/>
              <w:rPr>
                <w:sz w:val="20"/>
                <w:szCs w:val="20"/>
              </w:rPr>
            </w:pPr>
            <w:r w:rsidRPr="005762E6">
              <w:rPr>
                <w:sz w:val="20"/>
                <w:szCs w:val="20"/>
              </w:rPr>
              <w:t>Karen Ahijevych,​ Jodi Ford The relationships between menthol cigarette preference and state tobacco control policies on smoking behaviors of young adult smokers in the 2006-07 Tobacco Use Supplements to the Current Population Surveys (TUS CPS).. Addiction (Abingdon,​ England); 2010;105 Suppl 1:46.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Adolescent,​Adult,​Aged,​Aged,​ 80 and over,​*Consumer Behavior/sn [Statistics &amp; Numerical Data],​Cross-Sectional Studies,​Female,​Humans,​Male,​*Menthol,​Middle Aged,​*Population Surveillance,​*Smoking/ep [Epidemiology],​Smoking Prevention,​Socioeconomic Factors,​Time Factors,​*Tobacco Industry/lj [Legislation &amp; Jurisprudence],​Tobacco Smoke Pollution/lj [Legislation &amp; Jurisprudence],​*Tobacco Use Disorder/ep [Epidemiology],​United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AIM: To examine relationships between the preference for menthol cigarettes and young adult smoking behaviors,​ including the extent to which state tobacco control policies moderate these relationships.,​ DESIGN: Cross-sectional design using secondary data from the 2006-07 Tobacco Use Supplements to the Current Population Surveys (TUS CPS) surveys appended with 2006 state-policy data.,​ SETTING: United States nationally representative survey.,​ PARTICIPANTS: A total of 2241 young adult daily smokers and 688 young adult non-daily smokers.,​ MEASUREMENTS: The two dependent variables of smoking behaviors were smoking first cigarette within 30 minutes of waking (TTF) and number of cigarettes smoked per day (cpd). Primary independent variables included menthol brand preference and state tobacco control policies (youth access laws,​ clean indoor air laws and cigarette excise taxes),​ adjusting for controls.,​ FINDINGS: Among daily smokers,​ there were no significant associations between menthol brand preference and TTF or cpd. However,​ lower educational attainment,​ not being in the labor force and the lack of home smoking rules were associated positively with shorter TTF,​ being white and the lack of home smoking rules were associated positively with cpd. Among daily smokers,​ state excise taxes were associated negatively with higher cpd. Among non-daily smokers,​ menthol brand preference was associated positively with shorter TTF,​ but associations did not vary with state tobacco control policies. Menthol brand preference was not associated significantly with cpd,​ but male gender,​ unmarried status and the lack of home smoking rules were associated positively with greater cpd among non-daily smokers.,​ </w:t>
            </w:r>
            <w:r w:rsidRPr="005762E6">
              <w:rPr>
                <w:sz w:val="20"/>
                <w:szCs w:val="20"/>
              </w:rPr>
              <w:lastRenderedPageBreak/>
              <w:t>CONCLUSIONS: Young adult non-daily smokers who preferred menthol cigarettes were significantly more dependent than those who preferred non-menthol cigarettes,​ as shown through the shorter TTF. Associations between menthol brand preference and smoking behaviors did not vary with state tobacco control policies. Copyright © 2010 The Authors,​ Addiction © 2010 Society for the Study of Addiction.</w:t>
            </w:r>
          </w:p>
        </w:tc>
      </w:tr>
      <w:tr w:rsidR="007F0AE0" w:rsidRPr="005762E6" w14:paraId="6A3B10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EC186B" w14:textId="77777777" w:rsidR="007F0AE0" w:rsidRPr="005762E6" w:rsidRDefault="007F0AE0" w:rsidP="00453DE3">
            <w:pPr>
              <w:spacing w:after="120" w:line="240" w:lineRule="auto"/>
              <w:contextualSpacing/>
              <w:rPr>
                <w:sz w:val="20"/>
                <w:szCs w:val="20"/>
              </w:rPr>
            </w:pPr>
            <w:r w:rsidRPr="005762E6">
              <w:rPr>
                <w:sz w:val="20"/>
                <w:szCs w:val="20"/>
              </w:rPr>
              <w:lastRenderedPageBreak/>
              <w:t>625</w:t>
            </w:r>
          </w:p>
        </w:tc>
        <w:tc>
          <w:tcPr>
            <w:tcW w:w="0" w:type="auto"/>
            <w:tcBorders>
              <w:top w:val="single" w:sz="6" w:space="0" w:color="auto"/>
              <w:left w:val="single" w:sz="6" w:space="0" w:color="auto"/>
              <w:bottom w:val="single" w:sz="6" w:space="0" w:color="auto"/>
              <w:right w:val="single" w:sz="6" w:space="0" w:color="auto"/>
            </w:tcBorders>
          </w:tcPr>
          <w:p w14:paraId="2771925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B071846" w14:textId="77777777" w:rsidR="007F0AE0" w:rsidRPr="005762E6" w:rsidRDefault="007F0AE0" w:rsidP="00453DE3">
            <w:pPr>
              <w:spacing w:after="120" w:line="240" w:lineRule="auto"/>
              <w:contextualSpacing/>
              <w:rPr>
                <w:sz w:val="20"/>
                <w:szCs w:val="20"/>
              </w:rPr>
            </w:pPr>
            <w:r w:rsidRPr="005762E6">
              <w:rPr>
                <w:sz w:val="20"/>
                <w:szCs w:val="20"/>
              </w:rPr>
              <w:t>Anita Fernander,​ Mary Kay Rayens,​ Mei Zhang,​ Sarah Adkins Are age of smoking initiation and purchasing patterns associated with menthol smoking?.. Addiction (Abingdon,​ England); 2010;105 Suppl 1:39.</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Data],​Age Factors,​Age of Onset,​Aged,​European Continental Ancestry Group/sn [Statistics &amp; Numerical Data],​Female,​Hispanic Americans/sn [Statistics &amp; Numerical Data],​Humans,​Logistic Models,​Male,​*Menthol,​Middle Aged,​*Population Surveillance,​*Product Packaging/sn [Statistics &amp; Numerical Data],​*Smoking/ep [Epidemiology],​Socioeconomic Factors,​United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The purpose of this study was to examine the relationship between age of cigarette smoking initiation and cigarette purchasing patterns on menthol smoking among current smokers.,​ DESIGN: Secondary analyses were conducted using logistic regression with balanced replicated weights.,​ SETTING: Data from the 2003 and 2006/07 Tobacco Use Supplement (TUS) to the Current Population Survey (CPS),​ collected by the National Cancer Institute,​ the Centers for Disease Control and Prevention and the Census Bureau,​ formed the basis for this investigation.,​ PARTICIPANTS: A total of 66,​145 current smokers who participated in the TUS CPS administration in 2003 and 2006/07 were examined.,​ MEASUREMENTS: Demographic characteristics (gender,​ race/ethnicity,​ age,​ education and income),​ smoking frequency,​ purchase type (pack,​ carton,​ or both),​ age of initiation and menthol cigarette use were assessed.,​ FINDINGS: One-quarter of the sample smoked menthol cigarettes; most purchased their cigarettes by the pack when rather than by the carton; average age of cigarette smoking initiation was 18 years; and females,​ ethnic/racial minorities and younger participants were more likely to smoke menthol cigarettes compared with males,​ whites or older respondents. Other demographic factors associated with menthol cigarette use among current smokers included a high school education (the prevalence of menthol use among this cohort was greater than either those with less education or those with more). The multivariate logistic model only marginally revealed that age of smoking initiation predicted menthol smoking: findings are suggestive that the longer the delay of initiation the more likely that an individual smoked menthol cigarettes [odds ratio (OR) = 1.01; 95% confidence interval (CI): 1.00-1.01]. In addition,​ relative to those who purchased cigarettes by the pack,​ smokers who purchased cigarettes by the carton were less (OR = 0.86; 95% CI: 0.81-0.91) likely to be menthol smokers.,​ CONCLUSIONS: Menthol smokers in the United States are more likely to be female,​ younger,​ from ethnic minority groups,​ and to have a high school education. The findings that menthol smokers in the U.S. tend to start smoking later than smokers of other types of cigarettes are suggestive only and require further study. Copyright Addiction © 2010 Society for the Study of Addiction,​ No claim to original US government works.</w:t>
            </w:r>
          </w:p>
        </w:tc>
      </w:tr>
      <w:tr w:rsidR="007F0AE0" w:rsidRPr="005762E6" w14:paraId="631BD29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E25A71" w14:textId="77777777" w:rsidR="007F0AE0" w:rsidRPr="005762E6" w:rsidRDefault="007F0AE0" w:rsidP="00453DE3">
            <w:pPr>
              <w:spacing w:after="120" w:line="240" w:lineRule="auto"/>
              <w:contextualSpacing/>
              <w:rPr>
                <w:sz w:val="20"/>
                <w:szCs w:val="20"/>
              </w:rPr>
            </w:pPr>
            <w:r w:rsidRPr="005762E6">
              <w:rPr>
                <w:sz w:val="20"/>
                <w:szCs w:val="20"/>
              </w:rPr>
              <w:t>626</w:t>
            </w:r>
          </w:p>
        </w:tc>
        <w:tc>
          <w:tcPr>
            <w:tcW w:w="0" w:type="auto"/>
            <w:tcBorders>
              <w:top w:val="single" w:sz="6" w:space="0" w:color="auto"/>
              <w:left w:val="single" w:sz="6" w:space="0" w:color="auto"/>
              <w:bottom w:val="single" w:sz="6" w:space="0" w:color="auto"/>
              <w:right w:val="single" w:sz="6" w:space="0" w:color="auto"/>
            </w:tcBorders>
          </w:tcPr>
          <w:p w14:paraId="64B49DF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01C920E" w14:textId="77777777" w:rsidR="007F0AE0" w:rsidRPr="005762E6" w:rsidRDefault="007F0AE0" w:rsidP="00453DE3">
            <w:pPr>
              <w:spacing w:after="120" w:line="240" w:lineRule="auto"/>
              <w:contextualSpacing/>
              <w:rPr>
                <w:sz w:val="20"/>
                <w:szCs w:val="20"/>
              </w:rPr>
            </w:pPr>
            <w:r w:rsidRPr="005762E6">
              <w:rPr>
                <w:sz w:val="20"/>
                <w:szCs w:val="20"/>
              </w:rPr>
              <w:t>Catherine Cubbin,​ Mah-Jabeen Soobader,​ Felicia B LeClere The intersection of gender and race/ethnicity in smoking behaviors among menthol and non-menthol smokers in the United States.. Addiction (Abingdon,​ England); 2010;105 Suppl 1:32.</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Data],​Age of Onset,​Cross-Sectional Studies,​European Continental Ancestry Group/sn [Statistics &amp; Numerical Data],​Female,​Hispanic Americans/sn [Statistics &amp; Numerical Data],​Humans,​Male,​*Menthol,​Middle Aged,​*Population Surveillance,​Sex Factors,​*Smoking/ep [Epidemiology],​Smoking/eh [Ethnology],​Smoking Cessation/eh [Ethnology],​Smoking Cessation/sn [Statistics &amp; Numerical Data],​Socioeconomic Factors,​United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AIMS: To determine whether menthol is related to initiation,​ quantity or quitting,​ we examined differences in smoking behaviors among menthol and non-menthol smokers,​ stratified by gender and race/ethnicity,​ and adjusting for age,​ income and educational attainment.,​ DESIGN: Cross-sectional,​ using data from the 2005 National Health Interview Survey and Cancer Control Supplement.,​ SETTING: United States.,​ PARTICIPANTS: Black,​ Hispanic and white women and men aged 25-64 years.,​ MEASUREMENTS: For each group,​ we examined (i) proportion of menthol smokers (comparing current and former smokers); (ii) age of initiation,​ </w:t>
            </w:r>
            <w:r w:rsidRPr="005762E6">
              <w:rPr>
                <w:sz w:val="20"/>
                <w:szCs w:val="20"/>
              </w:rPr>
              <w:lastRenderedPageBreak/>
              <w:t>cigarettes smoked per day and quit attempt in the past year (comparing menthol and non-menthol current smokers); and (iii) time since quitting (comparing menthol and non-menthol former smokers). We calculated predicted values for each demographic group,​ adjusting for age,​ income and educational attainment.,​ FINDINGS: After adjusting for age,​ income and education,​ black (compared with Hispanic and white) and female (compared with male) smokers were more likely to choose menthol cigarettes. There was only one statistically significant difference in age of initiation,​ cigarettes smoked per day,​ quit attempts or time since quitting between menthol and non-menthol smokers: white women who smoked menthol cigarettes reported longer cessation compared with those who smoked non-menthol cigarettes.,​ CONCLUSIONS: The results do not support the hypothesis that menthol smokers initiate earlier,​ smoke more or have a harder time quitting compared with non-menthol smokers. A menthol additive and the marketing of it,​ given the clear demographic preferences demonstrated here,​ however,​ may be responsible for enticing the groups least likely to smoke into this addictive behavior. Copyright © 2010 The Authors,​ Addiction © 2010 Society for the Study of Addiction.</w:t>
            </w:r>
          </w:p>
        </w:tc>
      </w:tr>
      <w:tr w:rsidR="007F0AE0" w:rsidRPr="005762E6" w14:paraId="2CE53EB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6ACAD7" w14:textId="77777777" w:rsidR="007F0AE0" w:rsidRPr="005762E6" w:rsidRDefault="007F0AE0" w:rsidP="00453DE3">
            <w:pPr>
              <w:spacing w:after="120" w:line="240" w:lineRule="auto"/>
              <w:contextualSpacing/>
              <w:rPr>
                <w:sz w:val="20"/>
                <w:szCs w:val="20"/>
              </w:rPr>
            </w:pPr>
            <w:r w:rsidRPr="005762E6">
              <w:rPr>
                <w:sz w:val="20"/>
                <w:szCs w:val="20"/>
              </w:rPr>
              <w:lastRenderedPageBreak/>
              <w:t>627</w:t>
            </w:r>
          </w:p>
        </w:tc>
        <w:tc>
          <w:tcPr>
            <w:tcW w:w="0" w:type="auto"/>
            <w:tcBorders>
              <w:top w:val="single" w:sz="6" w:space="0" w:color="auto"/>
              <w:left w:val="single" w:sz="6" w:space="0" w:color="auto"/>
              <w:bottom w:val="single" w:sz="6" w:space="0" w:color="auto"/>
              <w:right w:val="single" w:sz="6" w:space="0" w:color="auto"/>
            </w:tcBorders>
          </w:tcPr>
          <w:p w14:paraId="44F4761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6438D5" w14:textId="77777777" w:rsidR="007F0AE0" w:rsidRPr="005762E6" w:rsidRDefault="007F0AE0" w:rsidP="00453DE3">
            <w:pPr>
              <w:spacing w:after="120" w:line="240" w:lineRule="auto"/>
              <w:contextualSpacing/>
              <w:rPr>
                <w:sz w:val="20"/>
                <w:szCs w:val="20"/>
              </w:rPr>
            </w:pPr>
            <w:r w:rsidRPr="005762E6">
              <w:rPr>
                <w:sz w:val="20"/>
                <w:szCs w:val="20"/>
              </w:rPr>
              <w:t>Deirdre Lawrence,​ Allison Rose,​ Pebbles Fagan,​ Eric T Moolchan,​ James Todd Gibson,​ Cathy L Backinger National patterns and correlates of mentholated cigarette use in the United States.. Addiction (Abingdon,​ England); 2010;105 Suppl 1:13.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Continental Ancestry Group/sn [Statistics &amp; Numerical Data],​Age Factors,​Aged,​Epidemiologic Methods,​*Ethnic Groups/sn [Statistics &amp; Numerical Data],​Female,​Humans,​Male,​*Menthol,​Middle Aged,​Sex Distribution,​*Smoking/ep [Epidemiology],​Socioeconomic Factors,​United States/ep [Epidemiology],​Young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 To examine the patterns and correlates of mentholated cigarette smoking among adult smokers in the United States.,​ DESIGN: Cross-sectional data on adult current smokers (n = 63,​193) were pooled from the 2003 and 2006/07 Tobacco Use Supplements to the Current Population Survey.,​ MEASUREMENTS: The associations between socio-demographic and smoking variables were examined with gender- and race/ethnicity-stratified multivariate logistic regression models predicting current use of mentholated cigarettes.,​ FINDINGS: Multivariate logistic regression analyses demonstrated that black smokers were 10-11 times more likely to smoke mentholated cigarettes than white smokers men: odds ratio (OR): 11.59,​ 99% confidence interval (CI): 9.79-13.72; women: OR: 10.12,​ 99% CI: 8.45-12.11). With the exception of American Indian/Aleut/Eskimo smokers,​ non-white smokers were significantly more likely to smoke mentholated cigarettes than were white smokers. Additional significant factors associated with mentholated cigarette smoking included being unmarried (never married: OR: 1.21,​ 99% CI: 1.09-1.34; divorced/separated: OR: 1.13,​ 99% CI: 1.03-1.23),​ being born in a US territory (OR: 2.01,​ 99% CI: 1.35-3.01),​ living in a non-metropolitan area (OR: 0.87,​ 99% CI: 0.80-0.96),​ being unemployed (OR: 1.24,​ 99% CI: 1.06-1.44) and lower levels of education. Race/ethnicity-stratified analyses showed that women were more likely than men to smoke mentholated cigarettes. Among black smokers,​ young adults (aged 18-24 years) were four times more likely to smoke mentholated cigarettes compared with individuals aged 65+.,​ CONCLUSIONS: Race/ethnicity,​ gender and age are significant correlates of mentholated cigarette smoking among current smokers. Given the importance of menthol in the cigarette market and the potential untoward health effects of this additive,​ continued surveillance of the prevalence and correlates of mentholated cigarette use among diverse socio-demographic groups is warranted to inform appropriate interventions. Copyright Addiction © 2010 Society for the Study of Addiction,​ No claim to original US government works.</w:t>
            </w:r>
          </w:p>
        </w:tc>
      </w:tr>
      <w:tr w:rsidR="007F0AE0" w:rsidRPr="005762E6" w14:paraId="12991F8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A3A55B" w14:textId="77777777" w:rsidR="007F0AE0" w:rsidRPr="005762E6" w:rsidRDefault="007F0AE0" w:rsidP="00453DE3">
            <w:pPr>
              <w:spacing w:after="120" w:line="240" w:lineRule="auto"/>
              <w:contextualSpacing/>
              <w:rPr>
                <w:sz w:val="20"/>
                <w:szCs w:val="20"/>
              </w:rPr>
            </w:pPr>
            <w:r w:rsidRPr="005762E6">
              <w:rPr>
                <w:sz w:val="20"/>
                <w:szCs w:val="20"/>
              </w:rPr>
              <w:t>628</w:t>
            </w:r>
          </w:p>
        </w:tc>
        <w:tc>
          <w:tcPr>
            <w:tcW w:w="0" w:type="auto"/>
            <w:tcBorders>
              <w:top w:val="single" w:sz="6" w:space="0" w:color="auto"/>
              <w:left w:val="single" w:sz="6" w:space="0" w:color="auto"/>
              <w:bottom w:val="single" w:sz="6" w:space="0" w:color="auto"/>
              <w:right w:val="single" w:sz="6" w:space="0" w:color="auto"/>
            </w:tcBorders>
          </w:tcPr>
          <w:p w14:paraId="2E0B7AB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96F6C44" w14:textId="77777777" w:rsidR="007F0AE0" w:rsidRPr="005762E6" w:rsidRDefault="007F0AE0" w:rsidP="00453DE3">
            <w:pPr>
              <w:spacing w:after="120" w:line="240" w:lineRule="auto"/>
              <w:contextualSpacing/>
              <w:rPr>
                <w:sz w:val="20"/>
                <w:szCs w:val="20"/>
              </w:rPr>
            </w:pPr>
            <w:r w:rsidRPr="005762E6">
              <w:rPr>
                <w:sz w:val="20"/>
                <w:szCs w:val="20"/>
              </w:rPr>
              <w:t>Neal L Benowitz,​ Katherine M Dains,​ Delia Dempsey,​ Christopher Havel,​ Margaret Wilson,​ Peyton 3rd Jacob Urine menthol as a biomarker of mentholated cigarette smoking.. Cancer epidemiology,​ biomarkers &amp; prevention : a publication of the American Association for Cancer Research,​ cosponsored by the American Society of Preventive Oncology; 2010;19:3013.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Adolescent,​Adult,​Aged,​Biomarkers/ur [Urine],​Chromatography,​ High Pressure Liquid/mt [Methods],​Chromatography,​ Liquid,​Female,​*Glucuronates/ur [Urine],​Humans,​Male,​Mass Spectrometry,​*Menthol/aa [Analogs &amp; Derivatives],​Menthol/ur [Urine],​Middle Aged,​Nicotine/ur [Urine],​Nitrosamines/ur [Urine],​Polycyclic Aromatic Hydrocarbons/ur [Urine],​Pyridines/ur [Urine],​*Smoking/ur [Urine],​Young Adult</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OBJECTIVES: Menthol cigarettes are smoked by 27% of U.S. smokers,​ and there are concerns that menthol might enhance toxicity of cigarette smoking by increasing systemic absorption of smoke toxins. We measured urine menthol concentrations in relation to biomarkers of exposure to nicotine and tobacco carcinogens.,​ METHODS: Concentrations of menthol glucuronide (using a novel analytical method),​ nicotine plus metabolites (nicotine equivalents,​ NE),​ 4-(methylnitrosamino)-1-(3-pyridyl)-1-butanol (NNAL),​ and polycyclic aromatic hydrocarbon (PAH) metabolites were measured in the urine of 60 menthol and 67 regular cigarette smokers.,​ RESULTS: Urine menthol was measurable in 82% of menthol and 54% in regular cigarette smokers. Among menthol smokers,​ urine menthol was highly correlated with NE,​ NNAL,​ and PAHs. In a multiple regression model NE but not menthol was significantly associated with NNAL and PAHs.,​ CONCLUSIONS: Urine menthol concentration is a novel biomarker of exposure in menthol cigarette smokers,​ and is highly correlated with exposure to nicotine and carcinogens. Menthol is not independently associated with carcinogen exposure when nicotine intake is considered. Copyright ©2010 AACR.</w:t>
            </w:r>
          </w:p>
        </w:tc>
      </w:tr>
      <w:tr w:rsidR="007F0AE0" w:rsidRPr="005762E6" w14:paraId="1C6283E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75A778D" w14:textId="77777777" w:rsidR="007F0AE0" w:rsidRPr="005762E6" w:rsidRDefault="007F0AE0" w:rsidP="00453DE3">
            <w:pPr>
              <w:spacing w:after="120" w:line="240" w:lineRule="auto"/>
              <w:contextualSpacing/>
              <w:rPr>
                <w:sz w:val="20"/>
                <w:szCs w:val="20"/>
              </w:rPr>
            </w:pPr>
            <w:r w:rsidRPr="005762E6">
              <w:rPr>
                <w:sz w:val="20"/>
                <w:szCs w:val="20"/>
              </w:rPr>
              <w:lastRenderedPageBreak/>
              <w:t>630</w:t>
            </w:r>
          </w:p>
        </w:tc>
        <w:tc>
          <w:tcPr>
            <w:tcW w:w="0" w:type="auto"/>
            <w:tcBorders>
              <w:top w:val="single" w:sz="6" w:space="0" w:color="auto"/>
              <w:left w:val="single" w:sz="6" w:space="0" w:color="auto"/>
              <w:bottom w:val="single" w:sz="6" w:space="0" w:color="auto"/>
              <w:right w:val="single" w:sz="6" w:space="0" w:color="auto"/>
            </w:tcBorders>
          </w:tcPr>
          <w:p w14:paraId="04A90DF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489FAAC" w14:textId="77777777" w:rsidR="007F0AE0" w:rsidRPr="005762E6" w:rsidRDefault="007F0AE0" w:rsidP="00453DE3">
            <w:pPr>
              <w:spacing w:after="120" w:line="240" w:lineRule="auto"/>
              <w:contextualSpacing/>
              <w:rPr>
                <w:sz w:val="20"/>
                <w:szCs w:val="20"/>
              </w:rPr>
            </w:pPr>
            <w:r w:rsidRPr="005762E6">
              <w:rPr>
                <w:sz w:val="20"/>
                <w:szCs w:val="20"/>
              </w:rPr>
              <w:t>Karyn Hede Drilling down to the causes of racial disparities in lung cancer.. Journal of the National Cancer Institute; 2010;102:1385.</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Americans/sn [Statistics &amp; Numerical Data],​Comorbidity,​Health Status Disparities,​Humans,​Insurance,​ Health,​Lung Neoplasms/eh [Ethnology],​Lung Neoplasms/pa [Pathology],​Lung Neoplasms/su [Surgery],​*Lung Neoplasms,​*Menthol,​Neoplasm Staging,​Physician's Role,​*Pneumonectomy/sn [Statistics &amp; Numerical Data],​Primary Health Care,​SEER Program,​*Smoking/ae [Adverse Effects],​Social Marketing,​Tobacco Industry,​United States/ep [Epidemiology]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A38BD4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6C2D70" w14:textId="77777777" w:rsidR="007F0AE0" w:rsidRPr="005762E6" w:rsidRDefault="007F0AE0" w:rsidP="00453DE3">
            <w:pPr>
              <w:spacing w:after="120" w:line="240" w:lineRule="auto"/>
              <w:contextualSpacing/>
              <w:rPr>
                <w:sz w:val="20"/>
                <w:szCs w:val="20"/>
              </w:rPr>
            </w:pPr>
            <w:r w:rsidRPr="005762E6">
              <w:rPr>
                <w:sz w:val="20"/>
                <w:szCs w:val="20"/>
              </w:rPr>
              <w:t>634</w:t>
            </w:r>
          </w:p>
        </w:tc>
        <w:tc>
          <w:tcPr>
            <w:tcW w:w="0" w:type="auto"/>
            <w:tcBorders>
              <w:top w:val="single" w:sz="6" w:space="0" w:color="auto"/>
              <w:left w:val="single" w:sz="6" w:space="0" w:color="auto"/>
              <w:bottom w:val="single" w:sz="6" w:space="0" w:color="auto"/>
              <w:right w:val="single" w:sz="6" w:space="0" w:color="auto"/>
            </w:tcBorders>
          </w:tcPr>
          <w:p w14:paraId="7317CB5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2E0EEDE" w14:textId="77777777" w:rsidR="007F0AE0" w:rsidRPr="005762E6" w:rsidRDefault="007F0AE0" w:rsidP="00453DE3">
            <w:pPr>
              <w:spacing w:after="120" w:line="240" w:lineRule="auto"/>
              <w:contextualSpacing/>
              <w:rPr>
                <w:sz w:val="20"/>
                <w:szCs w:val="20"/>
              </w:rPr>
            </w:pPr>
            <w:r w:rsidRPr="005762E6">
              <w:rPr>
                <w:sz w:val="20"/>
                <w:szCs w:val="20"/>
              </w:rPr>
              <w:t>Jennifer B Unger,​ Bruce Jr Allen,​ Earl Leonard,​ Made Wenten,​ Tess Boley Cruz Menthol and non-menthol cigarette use among Black smokers in Southern California.. Nicotine &amp; tobacco research : official journal of the Society for Research on Nicotine and Tobacco; 2010;12:398.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Data],​California/ep [Epidemiology],​Female,​Humans,​Male,​*Menthol,​Middle Aged,​*Smoking/ep [Epidemiology],​United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Menthol cigarette smoking is more prevalent among Blacks than among other groups in the United States. This study examined associations between demographic,​ psychological,​ attitudinal,​ social,​ and cultural factors and menthol smoking among Black adults.,​ METHODS: This study recruited 720 Black smokers from community intercept locations throughout Los Angeles County,​ California,​ and surveyed them by telephone.,​ RESULTS: Fifty-seven percent of respondents were menthol-only smokers,​ 15% were regular-only smokers,​ and 28% smoked both menthols and regular cigarettes (combined smokers). In bivariate models,​ menthol-only and combined smokers had stronger beliefs in the medicinal effects of menthols relative to regular-only smokers. Menthol-only smokers held stronger beliefs,​ relative to regular-only smokers,​ that menthols were less harmful than regular cigarettes. Menthol-only smokers preferred the menthol taste/sensation more than combined smokers,​ who preferred the menthol taste/sensation more than regular-only smokers. Menthol-only and combined smokers had more menthol smokers in their current social networks compared with regular-only smokers. In multivariate analyses,​ preference for menthol taste/sensation,​ belief in medicinal effects of menthols,​ and menthol smokers in current social network differentiated menthol-only and combined smokers from regular-only smokers,​ controlling for confounding variables. Correlates of menthol smoking varied across genders and age groups.,​ DISCUSSION: Health education efforts are needed to dispel the myth that menthol cigarettes are more medicinal and less harmful than regular cigarettes. Prevention and cessation efforts in Black communities can be tailored to reflect predictors of menthol smoking to reduce tobacco-related morbidity and mortality. In the era of Food and Drug Administration regulation of cigarettes,​ research is needed to prevent health disparities associated with menthol cigarette smoking.</w:t>
            </w:r>
          </w:p>
        </w:tc>
      </w:tr>
      <w:tr w:rsidR="007F0AE0" w:rsidRPr="005762E6" w14:paraId="0B79CC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C10ACE" w14:textId="77777777" w:rsidR="007F0AE0" w:rsidRPr="005762E6" w:rsidRDefault="007F0AE0" w:rsidP="00453DE3">
            <w:pPr>
              <w:spacing w:after="120" w:line="240" w:lineRule="auto"/>
              <w:contextualSpacing/>
              <w:rPr>
                <w:sz w:val="20"/>
                <w:szCs w:val="20"/>
              </w:rPr>
            </w:pPr>
            <w:r w:rsidRPr="005762E6">
              <w:rPr>
                <w:sz w:val="20"/>
                <w:szCs w:val="20"/>
              </w:rPr>
              <w:t>635</w:t>
            </w:r>
          </w:p>
        </w:tc>
        <w:tc>
          <w:tcPr>
            <w:tcW w:w="0" w:type="auto"/>
            <w:tcBorders>
              <w:top w:val="single" w:sz="6" w:space="0" w:color="auto"/>
              <w:left w:val="single" w:sz="6" w:space="0" w:color="auto"/>
              <w:bottom w:val="single" w:sz="6" w:space="0" w:color="auto"/>
              <w:right w:val="single" w:sz="6" w:space="0" w:color="auto"/>
            </w:tcBorders>
          </w:tcPr>
          <w:p w14:paraId="61C8506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CC1A23C" w14:textId="77777777" w:rsidR="007F0AE0" w:rsidRPr="005762E6" w:rsidRDefault="007F0AE0" w:rsidP="00453DE3">
            <w:pPr>
              <w:spacing w:after="120" w:line="240" w:lineRule="auto"/>
              <w:contextualSpacing/>
              <w:rPr>
                <w:sz w:val="20"/>
                <w:szCs w:val="20"/>
              </w:rPr>
            </w:pPr>
            <w:r w:rsidRPr="005762E6">
              <w:rPr>
                <w:sz w:val="20"/>
                <w:szCs w:val="20"/>
              </w:rPr>
              <w:t>J Daniel Heck A review and assessment of menthol employed as a cigarette flavoring ingredient.. Food and chemical toxicology : an international journal published for the British Industrial Biological Research Association; 2010;48 Suppl 2:S1.</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*Flavoring Agents/ch [Chemistry],​*Flavoring Agents/to [Toxicity],​Humans,​*Menthol/ch [Chemistry],​*Menthol/to [Toxicity],​*Smoking,​Social Behavior,​Socioeconomic Factors,​*Tobacco/ch [Chemistry]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Cigarette smoking is established as a substantial contributor to risks for cancer,​ cardiovascular and respiratory diseases. Less is known about the potential of cigarette composition to affect smoking risks. The use of cigarette flavoring ingredients such as menthol is currently of worldwide public health and regulatory interest. The unique conditions of menthol inhalation exposure that occur coincident with that of the complex cigarette smoke aerosol require specialized studies to support an assessment of its safety in cigarette flavoring applications. The present state of knowledge is sufficient to support an assessment of the safety of the use of menthol in cigarettes. Scientific,​ smoking behavioral and epidemiological data available through mid-2009 is critically reviewed and a broad convergence of findings supports a judgment that menthol employed as a cigarette tobacco flavoring ingredient does not meaningfully affect the inherent toxicity of cigarette smoke or the human risks that attend smoking. There remains a need for well-designed studies of the potential of menthol to affect smoking initiation,​ cessation and addiction in order to differentiate any independent effects of menthol in cigarettes from those imposed by socioeconomic,​ environmental and peer influences on these complex human behaviors. Copyright 2009 Elsevier Ltd. All rights reserved.</w:t>
            </w:r>
          </w:p>
        </w:tc>
      </w:tr>
      <w:tr w:rsidR="007F0AE0" w:rsidRPr="005762E6" w14:paraId="1BD69DF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AE3D33" w14:textId="77777777" w:rsidR="007F0AE0" w:rsidRPr="005762E6" w:rsidRDefault="007F0AE0" w:rsidP="00453DE3">
            <w:pPr>
              <w:spacing w:after="120" w:line="240" w:lineRule="auto"/>
              <w:contextualSpacing/>
              <w:rPr>
                <w:sz w:val="20"/>
                <w:szCs w:val="20"/>
              </w:rPr>
            </w:pPr>
            <w:r w:rsidRPr="005762E6">
              <w:rPr>
                <w:sz w:val="20"/>
                <w:szCs w:val="20"/>
              </w:rPr>
              <w:lastRenderedPageBreak/>
              <w:t>638</w:t>
            </w:r>
          </w:p>
        </w:tc>
        <w:tc>
          <w:tcPr>
            <w:tcW w:w="0" w:type="auto"/>
            <w:tcBorders>
              <w:top w:val="single" w:sz="6" w:space="0" w:color="auto"/>
              <w:left w:val="single" w:sz="6" w:space="0" w:color="auto"/>
              <w:bottom w:val="single" w:sz="6" w:space="0" w:color="auto"/>
              <w:right w:val="single" w:sz="6" w:space="0" w:color="auto"/>
            </w:tcBorders>
          </w:tcPr>
          <w:p w14:paraId="696EAF6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64B24FB" w14:textId="77777777" w:rsidR="007F0AE0" w:rsidRPr="005762E6" w:rsidRDefault="007F0AE0" w:rsidP="00453DE3">
            <w:pPr>
              <w:spacing w:after="120" w:line="240" w:lineRule="auto"/>
              <w:contextualSpacing/>
              <w:rPr>
                <w:sz w:val="20"/>
                <w:szCs w:val="20"/>
              </w:rPr>
            </w:pPr>
            <w:r w:rsidRPr="005762E6">
              <w:rPr>
                <w:sz w:val="20"/>
                <w:szCs w:val="20"/>
              </w:rPr>
              <w:t>Jingzhu Wang,​ Hans J Roethig,​ Scott Appleton,​ Michael Werley,​ Raheema Muhammad-Kah,​ Paul Mendes The effect of menthol containing cigarettes on adult smokers' exposure to nicotine and carbon monoxide.. Regulatory toxicology and pharmacology : RTP; 2010;57:24.</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Group,​Aged,​Aged,​ 80 and over,​Analysis of Variance,​Biomarkers/an [Analysis],​Biomarkers/bl [Blood],​Biomarkers/ur [Urine],​*Carbon Monoxide/an [Analysis],​Carboxyhemoglobin/an [Analysis],​Cotinine/bl [Blood],​Cross-Sectional Studies,​European Continental Ancestry Group,​Female,​Humans,​Male,​Menthol/ae [Adverse Effects],​*Menthol/an [Analysis],​Middle Aged,​*Nicotine/an [Analysis],​Nicotine/ur [Urine],​Smoking/ae [Adverse Effects],​Smoking/bl [Blood],​Smoking/ur [Urine],​*Smoking,​*Tobacco/ch [Chemistry],​Young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UNLABELLED: There is limited information comparing biomarkers of exposure (BOE) to cigarette smoke in menthol (MS) and non-menthol cigarette smokers (NMS).,​ OBJECTIVE: To compare BOE to nicotine and carbon monoxide in MS and NMS.,​ METHODS: Cross-sectional,​ observational,​ ambulatory,​ multi-centre study in 3341 adult cigarette smokers. Nicotine equivalents (NE) in 24h urine,​ NE/cigarette,​ COHb and serum cotinine were measured. Statistical analyses included analysis of variance and Wilcoxon test.,​ RESULTS: Analyses of variance revealed no statistically significant effects of mentholated cigarettes on NE/24h,​ COHb,​ serum cotinine and NE/cigarette. On average MS smoked 15.0 and NMS 16.8 cigarettes/day. The unadjusted mean differences were as follows: MS had lower NE/24h (5.4%) and COHb (3.2%),​ higher serum cotinine (3.0%) and NE/cigarette (5.7%) than NMS. African-Americans MS smoked 40% fewer cigarettes,​ showed lower NE/24h (24%) and COHb (10%) and higher NE/cig (29%) and serum cotinine (8%) levels than their White counterparts.,​ CONCLUSIONS: Smoking mentholated cigarettes does not increase daily exposure to smoke constituents as measured by NE and COHb. These findings are consistent with the majority of epidemiological studies indicating no difference in smoking related risks between MS and NMS. Copyright (c) 2009 Elsevier Inc. All rights reserved.</w:t>
            </w:r>
          </w:p>
        </w:tc>
      </w:tr>
      <w:tr w:rsidR="007F0AE0" w:rsidRPr="005762E6" w14:paraId="2D2010F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777623" w14:textId="77777777" w:rsidR="007F0AE0" w:rsidRPr="005762E6" w:rsidRDefault="007F0AE0" w:rsidP="00453DE3">
            <w:pPr>
              <w:spacing w:after="120" w:line="240" w:lineRule="auto"/>
              <w:contextualSpacing/>
              <w:rPr>
                <w:sz w:val="20"/>
                <w:szCs w:val="20"/>
              </w:rPr>
            </w:pPr>
            <w:r w:rsidRPr="005762E6">
              <w:rPr>
                <w:sz w:val="20"/>
                <w:szCs w:val="20"/>
              </w:rPr>
              <w:t>641</w:t>
            </w:r>
          </w:p>
        </w:tc>
        <w:tc>
          <w:tcPr>
            <w:tcW w:w="0" w:type="auto"/>
            <w:tcBorders>
              <w:top w:val="single" w:sz="6" w:space="0" w:color="auto"/>
              <w:left w:val="single" w:sz="6" w:space="0" w:color="auto"/>
              <w:bottom w:val="single" w:sz="6" w:space="0" w:color="auto"/>
              <w:right w:val="single" w:sz="6" w:space="0" w:color="auto"/>
            </w:tcBorders>
          </w:tcPr>
          <w:p w14:paraId="68FBC8E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E57E605" w14:textId="77777777" w:rsidR="007F0AE0" w:rsidRPr="005762E6" w:rsidRDefault="007F0AE0" w:rsidP="00453DE3">
            <w:pPr>
              <w:spacing w:after="120" w:line="240" w:lineRule="auto"/>
              <w:contextualSpacing/>
              <w:rPr>
                <w:sz w:val="20"/>
                <w:szCs w:val="20"/>
              </w:rPr>
            </w:pPr>
            <w:r w:rsidRPr="005762E6">
              <w:rPr>
                <w:sz w:val="20"/>
                <w:szCs w:val="20"/>
              </w:rPr>
              <w:t>Lisa B Signorello,​ Qiuyin Cai,​ Robert E Tarone,​ Joseph K McLaughlin,​ William J Blot Racial differences in serum cotinine levels of smokers.. Disease markers; 2009;27:187.</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Group,​*Biomarkers/bl [Blood],​Cohort Studies,​*Cotinine/bl [Blood],​*European Continental Ancestry Group,​Female,​Humans,​Male,​Middle Aged,​Multivariate Analysis,​*Smoking/bl [Blood]</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purpose of this study was to estimate black/white differences in cotinine levels for current smokers of both sexes,​ and to explore the potential contribution of mentholated cigarettes to these differences. Sera from 255 current smokers sampled from Southern Community Cohort Study participants (65 black men,​ 65 black women,​ 63 white men,​ 62 white women) were analyzed for cotinine,​ and linear regression was used to model </w:t>
            </w:r>
            <w:r w:rsidRPr="005762E6">
              <w:rPr>
                <w:sz w:val="20"/>
                <w:szCs w:val="20"/>
              </w:rPr>
              <w:lastRenderedPageBreak/>
              <w:t>the effect of race on cotinine level,​ adjusting for the number of cigarettes smoked within the last 24 hours,​ use of menthol vs. non-menthol cigarettes,​ exposure to environmental tobacco smoke,​ and age. Black smokers smoked fewer cigarettes than white smokers,​ yet had crude mean cotinine levels nearly as high or higher than white smokers. After multivariate adjustment,​ cotinine levels were an average of 50 ng/ml higher among black than white women (p=0.008) and non-significantly 12 ng/ml higher among black than white men (p=0.52). We observed no increase in cotinine levels associated with menthol cigarette use. We conclude that differences in cotinine levels among smokers suggest racial variation in exposure to and/or metabolism of tobacco smoke constituents,​ but our findings do not support a role for menthol preference in this disparity.</w:t>
            </w:r>
          </w:p>
        </w:tc>
      </w:tr>
      <w:tr w:rsidR="007F0AE0" w:rsidRPr="005762E6" w14:paraId="182A5E0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3730E4" w14:textId="77777777" w:rsidR="007F0AE0" w:rsidRPr="005762E6" w:rsidRDefault="007F0AE0" w:rsidP="00453DE3">
            <w:pPr>
              <w:spacing w:after="120" w:line="240" w:lineRule="auto"/>
              <w:contextualSpacing/>
              <w:rPr>
                <w:sz w:val="20"/>
                <w:szCs w:val="20"/>
              </w:rPr>
            </w:pPr>
            <w:r w:rsidRPr="005762E6">
              <w:rPr>
                <w:sz w:val="20"/>
                <w:szCs w:val="20"/>
              </w:rPr>
              <w:lastRenderedPageBreak/>
              <w:t>642</w:t>
            </w:r>
          </w:p>
        </w:tc>
        <w:tc>
          <w:tcPr>
            <w:tcW w:w="0" w:type="auto"/>
            <w:tcBorders>
              <w:top w:val="single" w:sz="6" w:space="0" w:color="auto"/>
              <w:left w:val="single" w:sz="6" w:space="0" w:color="auto"/>
              <w:bottom w:val="single" w:sz="6" w:space="0" w:color="auto"/>
              <w:right w:val="single" w:sz="6" w:space="0" w:color="auto"/>
            </w:tcBorders>
          </w:tcPr>
          <w:p w14:paraId="5A5B62E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EEE5471" w14:textId="77777777" w:rsidR="007F0AE0" w:rsidRPr="005762E6" w:rsidRDefault="007F0AE0" w:rsidP="00453DE3">
            <w:pPr>
              <w:spacing w:after="120" w:line="240" w:lineRule="auto"/>
              <w:contextualSpacing/>
              <w:rPr>
                <w:sz w:val="20"/>
                <w:szCs w:val="20"/>
              </w:rPr>
            </w:pPr>
            <w:r w:rsidRPr="005762E6">
              <w:rPr>
                <w:sz w:val="20"/>
                <w:szCs w:val="20"/>
              </w:rPr>
              <w:t>Daniel A Gundersen,​ Cristine D Delnevo,​ Olivia Wackowski Exploring the relationship between race/ethnicity,​ menthol smoking,​ and cessation,​ in a nationally representative sample of adults.. Preventive medicine; 2009;49:553.</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Americans,​Cross-Sectional Studies,​*Ethnic Groups,​European Continental Ancestry Group,​Female,​Health Surveys,​Hispanic Americans,​Humans,​Logistic Models,​Male,​*Menthol,​Middle Aged,​*Smoking/eh [Ethnology],​*Smoking Cessation/eh [Ethnology],​United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explore the relationship between race/ethnicity,​ menthol smoking,​ and cessation in a nationally representative sample of adults.,​ METHODS: Data from the 2005 U.S. National Health Interview Survey was analyzed. Our analyses were restricted to 7815 white,​ black,​ and Hispanic current and former cigarette smokers who indicated that they do not currently use other tobacco products and have made a quit attempt. We used multiple logistic regressions to test the relationship of menthol smoking and cessation controlling for various factors.,​ RESULTS: Significant interaction effects were found indicating that the association between menthol smoking and cessation differs between whites and blacks,​ and whites and Hispanics. When blacks and Hispanics are collapsed as non-white,​ we found that non-white menthol smokers were significantly less likely to have quit smoking (adjusted odds ratio=0.55,​ p&lt;0.01) compared to their non-menthol smoking counterparts. In contrast,​ among whites,​ menthol smokers were more likely to be former smokers than nonmenthol smokers (adjusted odds ratio=1.17,​ p&lt;0.05).,​ CONCLUSION: Our findings provide some support for the hypothesis that menthol smoking can lead to poorer cessation outcomes,​ but only for non-white smokers.</w:t>
            </w:r>
          </w:p>
        </w:tc>
      </w:tr>
      <w:tr w:rsidR="007F0AE0" w:rsidRPr="005762E6" w14:paraId="3C2D785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66DAE3" w14:textId="77777777" w:rsidR="007F0AE0" w:rsidRPr="005762E6" w:rsidRDefault="007F0AE0" w:rsidP="00453DE3">
            <w:pPr>
              <w:spacing w:after="120" w:line="240" w:lineRule="auto"/>
              <w:contextualSpacing/>
              <w:rPr>
                <w:sz w:val="20"/>
                <w:szCs w:val="20"/>
              </w:rPr>
            </w:pPr>
            <w:r w:rsidRPr="005762E6">
              <w:rPr>
                <w:sz w:val="20"/>
                <w:szCs w:val="20"/>
              </w:rPr>
              <w:t>646</w:t>
            </w:r>
          </w:p>
        </w:tc>
        <w:tc>
          <w:tcPr>
            <w:tcW w:w="0" w:type="auto"/>
            <w:tcBorders>
              <w:top w:val="single" w:sz="6" w:space="0" w:color="auto"/>
              <w:left w:val="single" w:sz="6" w:space="0" w:color="auto"/>
              <w:bottom w:val="single" w:sz="6" w:space="0" w:color="auto"/>
              <w:right w:val="single" w:sz="6" w:space="0" w:color="auto"/>
            </w:tcBorders>
          </w:tcPr>
          <w:p w14:paraId="00E7F8D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E429A7C" w14:textId="77777777" w:rsidR="007F0AE0" w:rsidRPr="005762E6" w:rsidRDefault="007F0AE0" w:rsidP="00453DE3">
            <w:pPr>
              <w:spacing w:after="120" w:line="240" w:lineRule="auto"/>
              <w:contextualSpacing/>
              <w:rPr>
                <w:sz w:val="20"/>
                <w:szCs w:val="20"/>
              </w:rPr>
            </w:pPr>
            <w:r w:rsidRPr="005762E6">
              <w:rPr>
                <w:sz w:val="20"/>
                <w:szCs w:val="20"/>
              </w:rPr>
              <w:t>Raphaela Finkenauer,​ Cynthia S Pomerleau,​ Sandy M Snedecor,​ Ovide F Pomerleau Race differences in factors relating to smoking initiation.. Addictive behaviors; 2009;34:1056.</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Americans,​*European Continental Ancestry Group,​Female,​Humans,​Male,​Retrospective Studies,​Risk Factors,​*Smoking/eh [Ethnology],​Smoking/px [Psychology],​Socioeconomic Factors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To investigate race differences in retrospectively-reported early smoking experiences,​ we studied African-American (n=48) and Caucasian (n=155) current smokers who participated in a study designed to identify phenotypic and genotypic factors associated with smoking. Compared with Caucasian smokers,​ African-American smokers were less educated (mean+/-s.e.m.: 13.3+/-0.25 vs. 14.3 +/- 0.16; p&lt;.01),​ had higher BMI (28.9+/-1.06 vs. 26.7+/-0.52; p&lt;.05),​ and smoked significantly fewer cigarettes/day (14.1+/-1.00 vs. 18.4+/-0.74; p&lt;.01). Ninety percent of African-American smokers consumed menthol cigarettes,​ as opposed to 25% of Caucasian smokers. African-American smokers were significantly older than Caucasian smokers upon initial smoking experimentation (17.4+/-1.1 vs. 14.7+/-0.3; p&lt;.05) and onset of regular smoking (19.7+/-0.9 vs. 17.4+/-0.4; p&lt;.05). African-American smokers were significantly more likely than Caucasian smokers to endorse global pleasurable sensations (48% vs. 30%; p&lt;.05),​ "pleasurable rush or buzz" (62% vs. 43%; p&lt;.05),​ and "relaxing" (45% vs. 27%; p&lt;.05) as early experiences with smoking,​ whereas Caucasian smokers were marginally more likely to report dizziness and difficulty inhaling (61% vs. 45%; p&lt;.10 and 48% vs. 31%; p&lt;.10,​ respectively). Caucasian smokers were significantly more likely to endorse friends (6.9+/-0.2 vs. 4.8+/-0.4; p&lt;.0001) and "perk me up" (4.2+/-0.3 vs. 3.1+/-0.4; p&lt;.05) and marginally more likely to endorse buzz (4.2+/-0.2 vs. 3.4+/-0.5; p&lt;.10) as reasons for starting to smoke. Further research is needed to determine the relative contributions of genetic,​ developmental,​ and socio-cultural factors to these findings.</w:t>
            </w:r>
          </w:p>
        </w:tc>
      </w:tr>
      <w:tr w:rsidR="007F0AE0" w:rsidRPr="005762E6" w14:paraId="6C7EFE8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76E791F" w14:textId="77777777" w:rsidR="007F0AE0" w:rsidRPr="005762E6" w:rsidRDefault="007F0AE0" w:rsidP="00453DE3">
            <w:pPr>
              <w:spacing w:after="120" w:line="240" w:lineRule="auto"/>
              <w:contextualSpacing/>
              <w:rPr>
                <w:sz w:val="20"/>
                <w:szCs w:val="20"/>
              </w:rPr>
            </w:pPr>
            <w:r w:rsidRPr="005762E6">
              <w:rPr>
                <w:sz w:val="20"/>
                <w:szCs w:val="20"/>
              </w:rPr>
              <w:t>648</w:t>
            </w:r>
          </w:p>
        </w:tc>
        <w:tc>
          <w:tcPr>
            <w:tcW w:w="0" w:type="auto"/>
            <w:tcBorders>
              <w:top w:val="single" w:sz="6" w:space="0" w:color="auto"/>
              <w:left w:val="single" w:sz="6" w:space="0" w:color="auto"/>
              <w:bottom w:val="single" w:sz="6" w:space="0" w:color="auto"/>
              <w:right w:val="single" w:sz="6" w:space="0" w:color="auto"/>
            </w:tcBorders>
          </w:tcPr>
          <w:p w14:paraId="24297A1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3DD0C5" w14:textId="77777777" w:rsidR="007F0AE0" w:rsidRPr="005762E6" w:rsidRDefault="007F0AE0" w:rsidP="00453DE3">
            <w:pPr>
              <w:spacing w:after="120" w:line="240" w:lineRule="auto"/>
              <w:contextualSpacing/>
              <w:rPr>
                <w:sz w:val="20"/>
                <w:szCs w:val="20"/>
              </w:rPr>
            </w:pPr>
            <w:r w:rsidRPr="005762E6">
              <w:rPr>
                <w:sz w:val="20"/>
                <w:szCs w:val="20"/>
              </w:rPr>
              <w:t xml:space="preserve">Karen L Cropsey,​ Michael F Weaver,​ Gloria D Eldridge,​ Gabriela C Villalobos,​ Al M Best,​ Maxine L Stitzer Differential success rates in racial groups: results of a clinical trial of smoking cessation among female prisoners.. </w:t>
            </w:r>
            <w:r w:rsidRPr="005762E6">
              <w:rPr>
                <w:sz w:val="20"/>
                <w:szCs w:val="20"/>
              </w:rPr>
              <w:lastRenderedPageBreak/>
              <w:t>Nicotine &amp; tobacco research : official journal of the Society for Research on Nicotine and Tobacco; 2009;11:690.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Data],​Attitude to Health/eh [Ethnology],​Counseling/sn [Statistics &amp; Numerical Data],​*European Continental Ancestry Group/sn [Statistics &amp; Numerical Data],​Female,​Health Promotion/sn [Statistics &amp; Numerical Data],​Humans,​Middle Aged,​*Prisoners/sn [Statistics &amp; Numerical Data],​*Smoking/eh [Ethnology],​*Smoking/th [Therapy],​*Smoking Cessation/eh [Ethnology],​Smoking Cessation/mt [Methods],​Surveys and Questionnaires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This study replicated prior observations of racial differences in smoking cessation in which Black smokers have demonstrated lower smoking cessation rates than White smokers.,​ METHODS: The study used data from a smoking cessation intervention and compared White and Black female prisoners (N = 233) on a 10-week intervention of group psychotherapy and nicotine replacement (patch). Generalized estimating equations were used to model smoking cessation across the 12-month follow-up.,​ RESULTS: Compared with an untreated control group,​ both Black and White smokers benefited from the cessation treatment. However,​ after controlling for potential confounds,​ White smokers had significantly higher overall smoking cessation rates across time compared with Black smokers (e.g.,​ 30% vs. 24% abstinent at 6 weeks; 13% vs. 10% abstinent at 12 months). Smoking mentholated cigarettes was not associated with these differences in quit rates.,​ DISCUSSION: Understanding differential treatment responses can lead to the development of more tailored and efficacious smoking cessation interventions that may reduce the morbidity and mortality associated with smoking in prison populations.</w:t>
            </w:r>
          </w:p>
        </w:tc>
      </w:tr>
      <w:tr w:rsidR="007F0AE0" w:rsidRPr="005762E6" w14:paraId="62328B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EF7E054" w14:textId="77777777" w:rsidR="007F0AE0" w:rsidRPr="005762E6" w:rsidRDefault="007F0AE0" w:rsidP="00453DE3">
            <w:pPr>
              <w:spacing w:after="120" w:line="240" w:lineRule="auto"/>
              <w:contextualSpacing/>
              <w:rPr>
                <w:sz w:val="20"/>
                <w:szCs w:val="20"/>
              </w:rPr>
            </w:pPr>
            <w:r w:rsidRPr="005762E6">
              <w:rPr>
                <w:sz w:val="20"/>
                <w:szCs w:val="20"/>
              </w:rPr>
              <w:lastRenderedPageBreak/>
              <w:t>650</w:t>
            </w:r>
          </w:p>
        </w:tc>
        <w:tc>
          <w:tcPr>
            <w:tcW w:w="0" w:type="auto"/>
            <w:tcBorders>
              <w:top w:val="single" w:sz="6" w:space="0" w:color="auto"/>
              <w:left w:val="single" w:sz="6" w:space="0" w:color="auto"/>
              <w:bottom w:val="single" w:sz="6" w:space="0" w:color="auto"/>
              <w:right w:val="single" w:sz="6" w:space="0" w:color="auto"/>
            </w:tcBorders>
          </w:tcPr>
          <w:p w14:paraId="6665DB7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CA07196" w14:textId="77777777" w:rsidR="007F0AE0" w:rsidRPr="005762E6" w:rsidRDefault="007F0AE0" w:rsidP="00453DE3">
            <w:pPr>
              <w:spacing w:after="120" w:line="240" w:lineRule="auto"/>
              <w:contextualSpacing/>
              <w:rPr>
                <w:sz w:val="20"/>
                <w:szCs w:val="20"/>
              </w:rPr>
            </w:pPr>
            <w:r w:rsidRPr="005762E6">
              <w:rPr>
                <w:sz w:val="20"/>
                <w:szCs w:val="20"/>
              </w:rPr>
              <w:t>K K Gandhi,​ J Foulds,​ M B Steinberg,​ S-E Lu,​ J M Williams Lower quit rates among African American and Latino menthol cigarette smokers at a tobacco treatment clinic.. International journal of clinical practice; 2009;63:360.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Data],​Cohort Studies,​Educational Status,​European Continental Ancestry Group/sn [Statistics &amp; Numerical Data],​Female,​*Hispanic Americans/sn [Statistics &amp; Numerical Data],​Humans,​Male,​Menthol,​New Jersey,​Retrospective Studies,​Smoking/eh [Ethnology],​*Smoking Cessation/eh [Ethnology],​Smoking Cessation/sn [Statistics &amp; Numerical Data],​*Smoking Prevention,​Socioeconomic Factors,​Treatment Outcome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Lower rates of smoking cessation and higher rates of lung cancer in African American (AA) smokers may be linked to their preference for mentholated cigarettes.,​ AIM: This study assessed the relationship between menthol smoking,​ race/ethnicity and smoking cessation among a diverse cohort of 1688 patients attending a specialist smoking cessation service.,​ RESULTS: 46% of the patients smoked mentholated cigarettes,​ but significantly more AA (81%) and Latino (66%) patients than Whites (32%) smoked menthols. AA and Latino menthol smokers smoked significantly fewer cigarettes per day (CPD) than non-menthol smokers (15.7 vs. 20.3,​ for AA,​ and 17.0 vs. 22.1,​ for Latinos),​ with no differences among White menthol and non-menthol smokers. At 4-week follow up,​ AA,​ Latino and White non-menthol smokers had similar quit rates (54%,​ 50% and 50% respectively). In contrast,​ among menthol smokers,​ AAs and Latinos had lower quit rates (30% and 23% respectively) compared with Whites (43%,​ p &lt; 0.001). AA and Latino menthol smokers had significantly lower odds of quitting [odds ratio (OR) = 0.34; 95% CI = 0.17,​ 0.69 for AA,​ and OR = 0.32; 95% CI = 0.16,​ 0.62 for Latinos] than their non-menthol counterparts. At 6-month follow up,​ a similar trend was observed for the race/ethnicity subgroups,​ with AA menthol smokers having half the odds of being abstinent compared with AA non-menthol smokers (OR = 0.48; 95% CI = 0.25,​ 0.9).,​ CONCLUSIONS: Despite smoking fewer CPD,​ AA and Latino menthol smokers experience reduced success in quitting as compared with non-menthol smokers within the same ethnic/racial groups.</w:t>
            </w:r>
          </w:p>
        </w:tc>
      </w:tr>
      <w:tr w:rsidR="007F0AE0" w:rsidRPr="005762E6" w14:paraId="53A0B83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10C376" w14:textId="77777777" w:rsidR="007F0AE0" w:rsidRPr="005762E6" w:rsidRDefault="007F0AE0" w:rsidP="00453DE3">
            <w:pPr>
              <w:spacing w:after="120" w:line="240" w:lineRule="auto"/>
              <w:contextualSpacing/>
              <w:rPr>
                <w:sz w:val="20"/>
                <w:szCs w:val="20"/>
              </w:rPr>
            </w:pPr>
            <w:r w:rsidRPr="005762E6">
              <w:rPr>
                <w:sz w:val="20"/>
                <w:szCs w:val="20"/>
              </w:rPr>
              <w:t>652</w:t>
            </w:r>
          </w:p>
        </w:tc>
        <w:tc>
          <w:tcPr>
            <w:tcW w:w="0" w:type="auto"/>
            <w:tcBorders>
              <w:top w:val="single" w:sz="6" w:space="0" w:color="auto"/>
              <w:left w:val="single" w:sz="6" w:space="0" w:color="auto"/>
              <w:bottom w:val="single" w:sz="6" w:space="0" w:color="auto"/>
              <w:right w:val="single" w:sz="6" w:space="0" w:color="auto"/>
            </w:tcBorders>
          </w:tcPr>
          <w:p w14:paraId="4627687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0DFC54B" w14:textId="77777777" w:rsidR="007F0AE0" w:rsidRPr="005762E6" w:rsidRDefault="007F0AE0" w:rsidP="00453DE3">
            <w:pPr>
              <w:spacing w:after="120" w:line="240" w:lineRule="auto"/>
              <w:contextualSpacing/>
              <w:rPr>
                <w:sz w:val="20"/>
                <w:szCs w:val="20"/>
              </w:rPr>
            </w:pPr>
            <w:r w:rsidRPr="005762E6">
              <w:rPr>
                <w:sz w:val="20"/>
                <w:szCs w:val="20"/>
              </w:rPr>
              <w:t>Joshua E Muscat,​ Gang Chen,​ Ashley Knipe,​ Steven D Stellman,​ Philip Lazarus,​ John P Jr Richie Effects of menthol on tobacco smoke exposure,​ nicotine dependence,​ and NNAL glucuronidation.. Cancer epidemiology,​ biomarkers &amp; prevention : a publication of the American Association for Cancer Research,​ cosponsored by the American Society of Preventive Oncology; 2009;18:35.</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African Continental Ancestry Group,​*Biomarkers/me [Metabolism],​Chi-Square Distribution,​Cotinine/me </w:t>
            </w:r>
            <w:r w:rsidRPr="005762E6">
              <w:rPr>
                <w:sz w:val="20"/>
                <w:szCs w:val="20"/>
              </w:rPr>
              <w:lastRenderedPageBreak/>
              <w:t>[Metabolism],​Cross-Sectional Studies,​European Continental Ancestry Group,​Female,​*Glucuronates/ur [Urine],​Humans,​Male,​*Menthol/me [Metabolism],​Menthol/to [Toxicity],​*Nitrosamines/ur [Urine],​Regression Analysis,​Thiocyanates/bl [Blood],​*Tobacco Smoke Pollution,​*Tobacco Use Disorder/me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is a controversial cigarette additive because its physiologic or pharmacologic effects may possibly increase the risk for cancer and its targeted market is the Black community. In a community-based cross-sectional study on 525 Black and White volunteers,​ we compared levels of urinary and plasma cotinine,​ plasma thiocyanate,​ urinary 4-(N-nitrosomethylamino)-1-(3-pyridyl)-1-butanol (NNAL),​ and its detoxified form (NNAL-Gluc) between menthol and nonmenthol smokers. In regression models that adjusted for daily cigarette intake,​ no significant differences were observed in the concentration of these biomarkers by menthol status in both races. There was no significant association between high Fagerstrom nicotine dependence scores and the use of menthol cigarettes (odds ratio,​ 1.1; 95% confidence interval,​ 0.6-2.0),​ but an increased risk was observed with smoking a cigarette soon (&lt;or=30 minutes) after waking (odds ratio,​ 2.1; 95% confidence interval,​ 1.0-3.8). The ratio of NNAL-Gluc to NNAL,​ a possible indicator of lung cancer risk,​ was significantly lower in menthol versus nonmenthol smokers. The NNAL-Gluc/NNAL ratio was 34% lower in Whites (P &lt; 0.01) and 22% lower in Blacks. In subsequent human liver microsome studies,​ menthol inhibited the rate of NNAL-O-glucuronidation and NNAL-N-glucuronidation. Collectively,​ these results show that menthol does not affect biological exposure to tobacco smoke constituents but indicates that menthol might inhibit the detoxification of the potent lung carcinogen NNAL.</w:t>
            </w:r>
          </w:p>
        </w:tc>
      </w:tr>
      <w:tr w:rsidR="007F0AE0" w:rsidRPr="005762E6" w14:paraId="3F8BE36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C72A02" w14:textId="77777777" w:rsidR="007F0AE0" w:rsidRPr="005762E6" w:rsidRDefault="007F0AE0" w:rsidP="00453DE3">
            <w:pPr>
              <w:spacing w:after="120" w:line="240" w:lineRule="auto"/>
              <w:contextualSpacing/>
              <w:rPr>
                <w:sz w:val="20"/>
                <w:szCs w:val="20"/>
              </w:rPr>
            </w:pPr>
            <w:r w:rsidRPr="005762E6">
              <w:rPr>
                <w:sz w:val="20"/>
                <w:szCs w:val="20"/>
              </w:rPr>
              <w:lastRenderedPageBreak/>
              <w:t>654</w:t>
            </w:r>
          </w:p>
        </w:tc>
        <w:tc>
          <w:tcPr>
            <w:tcW w:w="0" w:type="auto"/>
            <w:tcBorders>
              <w:top w:val="single" w:sz="6" w:space="0" w:color="auto"/>
              <w:left w:val="single" w:sz="6" w:space="0" w:color="auto"/>
              <w:bottom w:val="single" w:sz="6" w:space="0" w:color="auto"/>
              <w:right w:val="single" w:sz="6" w:space="0" w:color="auto"/>
            </w:tcBorders>
          </w:tcPr>
          <w:p w14:paraId="0EA3726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67E368" w14:textId="77777777" w:rsidR="007F0AE0" w:rsidRPr="005762E6" w:rsidRDefault="007F0AE0" w:rsidP="00453DE3">
            <w:pPr>
              <w:spacing w:after="120" w:line="240" w:lineRule="auto"/>
              <w:contextualSpacing/>
              <w:rPr>
                <w:sz w:val="20"/>
                <w:szCs w:val="20"/>
              </w:rPr>
            </w:pPr>
            <w:r w:rsidRPr="005762E6">
              <w:rPr>
                <w:sz w:val="20"/>
                <w:szCs w:val="20"/>
              </w:rPr>
              <w:t>Jessica L Muilenburg,​ Jerome S Jr Legge African American adolescents and menthol cigarettes: smoking behavior among secondary school students.. The Journal of adolescent health : official publication of the Society for Adolescent Medicine; 2008;43:570.</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Behavior/eh [Ethnology],​*African Americans/sn [Statistics &amp; Numerical Data],​Age Distribution,​Case-Control Studies,​Child,​European Continental Ancestry Group/sn [Statistics &amp; Numerical Data],​Female,​Health Behavior/eh [Ethnology],​Health Surveys,​Humans,​Male,​Menthol,​Sex Distribution,​*Smoking/eh [Ethnology],​Social Environment,​Southeastern United States/ep [Epidemiology],​*Students/sn [Statistics &amp; Numerical Data],​Young Adult</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PURPOSE: This paper examines the impact of smoking menthol cigarettes among secondary students,​ primarily African Americans,​ across five measures of smoking behavior.,​ METHODS: Data were gathered from a 2006 survey of six secondary schools in a large urban area in the southeastern United States. Ordered logit analysis is employed to estimate race and menthol effects on cigarette consumption.,​ RESULTS: African American youth smoke at lower rates than white adolescents; menthol smokers consume cigarettes at higher rates irrespective of race. Most importantly,​ there is a strong interaction effect with black menthol smokers demonstrating the highest levels of cigarette consumption.,​ CONCLUSIONS: There is a need to provide adolescent and adult African Americans accurate information on the dangers of menthol cigarettes. Any proposed legislation should consider the special problems of menthol and its relationship to high cigarette consumption,​ especially for African American adolescents.</w:t>
            </w:r>
          </w:p>
        </w:tc>
      </w:tr>
      <w:tr w:rsidR="007F0AE0" w:rsidRPr="005762E6" w14:paraId="39B722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9F98FE" w14:textId="77777777" w:rsidR="007F0AE0" w:rsidRPr="005762E6" w:rsidRDefault="007F0AE0" w:rsidP="00453DE3">
            <w:pPr>
              <w:spacing w:after="120" w:line="240" w:lineRule="auto"/>
              <w:contextualSpacing/>
              <w:rPr>
                <w:sz w:val="20"/>
                <w:szCs w:val="20"/>
              </w:rPr>
            </w:pPr>
            <w:r w:rsidRPr="005762E6">
              <w:rPr>
                <w:sz w:val="20"/>
                <w:szCs w:val="20"/>
              </w:rPr>
              <w:t>656</w:t>
            </w:r>
          </w:p>
        </w:tc>
        <w:tc>
          <w:tcPr>
            <w:tcW w:w="0" w:type="auto"/>
            <w:tcBorders>
              <w:top w:val="single" w:sz="6" w:space="0" w:color="auto"/>
              <w:left w:val="single" w:sz="6" w:space="0" w:color="auto"/>
              <w:bottom w:val="single" w:sz="6" w:space="0" w:color="auto"/>
              <w:right w:val="single" w:sz="6" w:space="0" w:color="auto"/>
            </w:tcBorders>
          </w:tcPr>
          <w:p w14:paraId="29BD396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507C23" w14:textId="77777777" w:rsidR="007F0AE0" w:rsidRPr="005762E6" w:rsidRDefault="007F0AE0" w:rsidP="00453DE3">
            <w:pPr>
              <w:spacing w:after="120" w:line="240" w:lineRule="auto"/>
              <w:contextualSpacing/>
              <w:rPr>
                <w:sz w:val="20"/>
                <w:szCs w:val="20"/>
              </w:rPr>
            </w:pPr>
            <w:r w:rsidRPr="005762E6">
              <w:rPr>
                <w:sz w:val="20"/>
                <w:szCs w:val="20"/>
              </w:rPr>
              <w:t>Anita Fernander,​ Mitzi Schumacher,​ Xiaochen Wei,​ Peter Crooks,​ Peter Wedlund Smoking risk and the likelihood of quitting among African-American female light and heavy smokers.. Journal of the National Medical Association; 2008;100:1199.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[Psychology],​*African Americans,​Female,​Humans,​Smoking/ae [Adverse Effects],​*Smoking,​*Smoking Cessation/sn [Statistics &amp; Numerical Data],​United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While African-American females are more likely to be light smokers compared to their counterparts of other racially classified social groups (RCSGs),​ they are more likely to carry a heavier burden of smoking-related morbidity and mortality. Thus,​ it is critical that African-American female light smokers are targeted to engage in smoking cessation. Research has revealed that African-American women are less likely to have a successful quit attempt following a cessation intervention than females from other RCSGs. It has been postulated that the low smoking cessation rates among African-American female light smokers may be due to the lack of appropriate </w:t>
            </w:r>
            <w:r w:rsidRPr="005762E6">
              <w:rPr>
                <w:sz w:val="20"/>
                <w:szCs w:val="20"/>
              </w:rPr>
              <w:lastRenderedPageBreak/>
              <w:t>psychosocioculturally tailored cessation interventions that address issues of stress and coping that explain why they smoke and continue to smoke that may differ from their heavy smoker counterparts. The purpose of this study was to ascertain whether African-American female light smokers differed from their heavy smoker counterparts on psychosociocultural stress and coping factors. Findings revealed no differences in the sociodemographic variables of age,​ income,​ education and BMI; in the psychosociocultural measures of acculturative stress,​ race-related stress and coping; or in the smoking characteristics of menthol smoking status,​ cotinine level and CYP2A6 metabolic functioning between light and heavy smokers. However,​ the study found that African-American female light smokers take longer to smoke their first cigarette of the day,​ have a lower smoking risk,​ are more likely to quit,​ and exhibit lower carbon monoxide levels than African-American female heavy smokers. The current study suggests that other than the obvious factors of greater likelihood of quitting,​ lower smoking risk,​ longer latency to smoke and lower carbon monoxide levels,​ specific smoking cessation programs may not need to be differentially psychosocio-culturally tailored for African-American female light smokers compared to their heavy-smoking counterparts.</w:t>
            </w:r>
          </w:p>
        </w:tc>
      </w:tr>
      <w:tr w:rsidR="007F0AE0" w:rsidRPr="005762E6" w14:paraId="5715E2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AED102" w14:textId="77777777" w:rsidR="007F0AE0" w:rsidRPr="005762E6" w:rsidRDefault="007F0AE0" w:rsidP="00453DE3">
            <w:pPr>
              <w:spacing w:after="120" w:line="240" w:lineRule="auto"/>
              <w:contextualSpacing/>
              <w:rPr>
                <w:sz w:val="20"/>
                <w:szCs w:val="20"/>
              </w:rPr>
            </w:pPr>
            <w:r w:rsidRPr="005762E6">
              <w:rPr>
                <w:sz w:val="20"/>
                <w:szCs w:val="20"/>
              </w:rPr>
              <w:lastRenderedPageBreak/>
              <w:t>657</w:t>
            </w:r>
          </w:p>
        </w:tc>
        <w:tc>
          <w:tcPr>
            <w:tcW w:w="0" w:type="auto"/>
            <w:tcBorders>
              <w:top w:val="single" w:sz="6" w:space="0" w:color="auto"/>
              <w:left w:val="single" w:sz="6" w:space="0" w:color="auto"/>
              <w:bottom w:val="single" w:sz="6" w:space="0" w:color="auto"/>
              <w:right w:val="single" w:sz="6" w:space="0" w:color="auto"/>
            </w:tcBorders>
          </w:tcPr>
          <w:p w14:paraId="6A95178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4B4CC7E" w14:textId="77777777" w:rsidR="007F0AE0" w:rsidRPr="005762E6" w:rsidRDefault="007F0AE0" w:rsidP="00453DE3">
            <w:pPr>
              <w:spacing w:after="120" w:line="240" w:lineRule="auto"/>
              <w:contextualSpacing/>
              <w:rPr>
                <w:sz w:val="20"/>
                <w:szCs w:val="20"/>
              </w:rPr>
            </w:pPr>
            <w:r w:rsidRPr="005762E6">
              <w:rPr>
                <w:sz w:val="20"/>
                <w:szCs w:val="20"/>
              </w:rPr>
              <w:t>Wen Qi Gan,​ Sigal Ben-Zaken Cohen,​ S F Paul Man,​ Don D Sin Sex-related differences in serum cotinine concentrations in daily cigarette smokers.. Nicotine &amp; tobacco research : official journal of the Society for Research on Nicotine and Tobacco; 2008;10:1293.</w:t>
            </w:r>
            <w:r w:rsidRPr="005762E6">
              <w:rPr>
                <w:sz w:val="20"/>
                <w:szCs w:val="20"/>
              </w:rPr>
              <w:br/>
            </w:r>
            <w:r w:rsidRPr="005762E6">
              <w:rPr>
                <w:sz w:val="20"/>
                <w:szCs w:val="20"/>
              </w:rPr>
              <w:br/>
            </w:r>
            <w:r w:rsidRPr="005762E6">
              <w:rPr>
                <w:b/>
                <w:bCs/>
                <w:sz w:val="20"/>
                <w:szCs w:val="20"/>
              </w:rPr>
              <w:t>Keywords:</w:t>
            </w:r>
            <w:r w:rsidRPr="005762E6">
              <w:rPr>
                <w:sz w:val="20"/>
                <w:szCs w:val="20"/>
              </w:rPr>
              <w:br/>
              <w:t>Adult,​Aged,​*Biomarkers/bl [Blood],​Canada/ep [Epidemiology],​*Cotinine/bl [Blood],​Female,​Humans,​Male,​Middle Aged,​Nicotine/bl [Blood],​Regression Analysis,​Sex Distribution,​*Smoking/bl [Blood],​*Smoking/ep [Epidemiology],​Smoking Cessation/sn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Self-reported use of cigarettes generally underestimates the true cigarette exposure of smokers. Serum cotinine is considered the best biomarker to evaluate tobacco exposure. This study determined whether or not there were any significant differences in serum cotinine concentrations between men and women when they reported smoking the same number of cigarettes per day. We analyzed cotinine and tobacco consumption data on 680 women and 840 men,​ aged 20 years or older,​ who smoked at least 100 cigarettes during their lifetime and were still actively smoking at the time of the National Health and Nutrition Examination Surveys (1999-2002). Overall,​ compared with men,​ women reported smoking fewer cigarettes per day (16.1 vs. 18.7,​ p&lt;.001) and had lower serum cotinine concentrations (1163.3 nmol/L vs. 1343.9 nmol/L,​ p&lt;.001). Women were more likely than men to smoke filtered (p = .018) and mentholated (p&lt;.001) cigarettes. After adjustment for the number of cigarettes smoked per day,​ age,​ race,​ body mass index,​ poverty status,​ the use of either menthol or regular cigarettes,​ and the nicotine content in cigarettes,​ female compared with male smokers had lower serum cotinine concentrations (difference of 117.6 nmol/L; 95% CI = 42.6-192.6,​ p = .003). The difference was particularly notable in moderate to heavy smokers (i.e.,​ those who smoked more than 15 cigarettes/day). These findings indicate that significant sex-related differences exist in serum cotinine levels among smokers,​ which suggests that self-reports may overestimate cigarette exposure in women compared with men.</w:t>
            </w:r>
          </w:p>
        </w:tc>
      </w:tr>
      <w:tr w:rsidR="007F0AE0" w:rsidRPr="005762E6" w14:paraId="6C86E9B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AF8053" w14:textId="77777777" w:rsidR="007F0AE0" w:rsidRPr="005762E6" w:rsidRDefault="007F0AE0" w:rsidP="00453DE3">
            <w:pPr>
              <w:spacing w:after="120" w:line="240" w:lineRule="auto"/>
              <w:contextualSpacing/>
              <w:rPr>
                <w:sz w:val="20"/>
                <w:szCs w:val="20"/>
              </w:rPr>
            </w:pPr>
            <w:r w:rsidRPr="005762E6">
              <w:rPr>
                <w:sz w:val="20"/>
                <w:szCs w:val="20"/>
              </w:rPr>
              <w:t>658</w:t>
            </w:r>
          </w:p>
        </w:tc>
        <w:tc>
          <w:tcPr>
            <w:tcW w:w="0" w:type="auto"/>
            <w:tcBorders>
              <w:top w:val="single" w:sz="6" w:space="0" w:color="auto"/>
              <w:left w:val="single" w:sz="6" w:space="0" w:color="auto"/>
              <w:bottom w:val="single" w:sz="6" w:space="0" w:color="auto"/>
              <w:right w:val="single" w:sz="6" w:space="0" w:color="auto"/>
            </w:tcBorders>
          </w:tcPr>
          <w:p w14:paraId="50DAF56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B043C36" w14:textId="77777777" w:rsidR="007F0AE0" w:rsidRPr="005762E6" w:rsidRDefault="007F0AE0" w:rsidP="00453DE3">
            <w:pPr>
              <w:spacing w:after="120" w:line="240" w:lineRule="auto"/>
              <w:contextualSpacing/>
              <w:rPr>
                <w:sz w:val="20"/>
                <w:szCs w:val="20"/>
              </w:rPr>
            </w:pPr>
            <w:r w:rsidRPr="005762E6">
              <w:rPr>
                <w:sz w:val="20"/>
                <w:szCs w:val="20"/>
              </w:rPr>
              <w:t>Jennifer M Kreslake,​ Geoffrey Ferris Wayne,​ Hillel R Alpert,​ Howard K Koh,​ Gregory N Connolly Tobacco industry control of menthol in cigarettes and targeting of adolescents and young adults.. American journal of public health; 2008;98:1685.</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Behavior,​Adult,​Age Factors,​*Consumer Behavior/sn [Statistics &amp; Numerical Data],​Data Collection,​Female,​Health Knowledge,​ Attitudes,​ Practice,​Humans,​Male,​*Marketing/mt [Methods],​Marketing/sn [Statistics &amp; Numerical Data],​*Menthol/an [Analysis],​Menthol/sd [Supply &amp; Distribution],​*Smoking/ep [Epidemiology],​*Tobacco/ch [Chemistry],​*Tobacco Industry/ec [Economics],​Tobacco Industry/sn [Statistics &amp; Numerical Data],​United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OBJECTIVES: We examined whether tobacco manufacturers manipulate the menthol content of cigarettes in an effort to target adolescents and young adults.,​ METHODS: We analyzed data from tobacco industry documents describing menthol product development,​ results of laboratory testing of US menthol brands,​ market research reports,​ and the 2006 National Survey on Drug Use and Health.,​ RESULTS: The tobacco industry attracted new smokers by promoting cigarettes with lower menthol content,​ which were popular with adolescents and young adults,​ and provided cigarettes with higher menthol content to long-term smokers. </w:t>
            </w:r>
            <w:r w:rsidRPr="005762E6">
              <w:rPr>
                <w:sz w:val="20"/>
                <w:szCs w:val="20"/>
              </w:rPr>
              <w:lastRenderedPageBreak/>
              <w:t>Menthol cigarette sales remained stable from 2000 to 2005 in the United States,​ despite a 22% decline in overall packs sold.,​ CONCLUSIONS: Tobacco companies manipulate the sensory characteristics of cigarettes,​ including menthol content,​ thereby facilitating smoking initiation and nicotine dependence. Menthol brands that have used this strategy have been the most successful in attracting youth and young adult smokers and have grown in popularity.</w:t>
            </w:r>
          </w:p>
        </w:tc>
      </w:tr>
      <w:tr w:rsidR="007F0AE0" w:rsidRPr="005762E6" w14:paraId="13DF4B9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EC1D6E6" w14:textId="77777777" w:rsidR="007F0AE0" w:rsidRPr="005762E6" w:rsidRDefault="007F0AE0" w:rsidP="00453DE3">
            <w:pPr>
              <w:spacing w:after="120" w:line="240" w:lineRule="auto"/>
              <w:contextualSpacing/>
              <w:rPr>
                <w:sz w:val="20"/>
                <w:szCs w:val="20"/>
              </w:rPr>
            </w:pPr>
            <w:r w:rsidRPr="005762E6">
              <w:rPr>
                <w:sz w:val="20"/>
                <w:szCs w:val="20"/>
              </w:rPr>
              <w:lastRenderedPageBreak/>
              <w:t>659</w:t>
            </w:r>
          </w:p>
        </w:tc>
        <w:tc>
          <w:tcPr>
            <w:tcW w:w="0" w:type="auto"/>
            <w:tcBorders>
              <w:top w:val="single" w:sz="6" w:space="0" w:color="auto"/>
              <w:left w:val="single" w:sz="6" w:space="0" w:color="auto"/>
              <w:bottom w:val="single" w:sz="6" w:space="0" w:color="auto"/>
              <w:right w:val="single" w:sz="6" w:space="0" w:color="auto"/>
            </w:tcBorders>
          </w:tcPr>
          <w:p w14:paraId="3D5DE3F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5FE325F" w14:textId="77777777" w:rsidR="007F0AE0" w:rsidRPr="005762E6" w:rsidRDefault="007F0AE0" w:rsidP="00453DE3">
            <w:pPr>
              <w:spacing w:after="120" w:line="240" w:lineRule="auto"/>
              <w:contextualSpacing/>
              <w:rPr>
                <w:sz w:val="20"/>
                <w:szCs w:val="20"/>
              </w:rPr>
            </w:pPr>
            <w:r w:rsidRPr="005762E6">
              <w:rPr>
                <w:sz w:val="20"/>
                <w:szCs w:val="20"/>
              </w:rPr>
              <w:t>Gisela I Robles,​ Devada Singh-Franco,​ Hoytin Lee Ghin A review of the efficacy of smoking-cessation pharmacotherapies in nonwhite populations.. Clinical therapeutics; 2008;30:800.</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Americans,​Bupropion/ad [Administration &amp; Dosage],​Bupropion/tu [Therapeutic Use],​Hispanic Americans,​Humans,​Nicotine/ad [Administration &amp; Dosage],​Nicotine/tu [Therapeutic Use],​*Smoking Cessation/eh [Ethnology],​*Smoking Cessation/mt [Methods],​Smoking Cessation/px [Psychology],​*Tobacco Use Disorder/dt [Drug Therapy],​*Tobacco Use Disorder/eh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Cigarette smoking continues to be the leading cause of preventable morbidity and mortality in the United States. Research suggests that behavioral support strategies and pharmacotherapy can improve abstinence rates. However,​ both approaches,​ especially pharmacotherapy,​ have been understudied in nonwhite US populations.,​ OBJECTIVE: The aim of this review was to evaluate the efficacy of smoking-cessation pharmacotherapy in nonwhite US populations.,​ METHODS: Using search terms smoking cessation,​ nicotine replacement therapy,​ bupropion SR,​ varenicline,​ minority,​ ethnicity,​ African American,​ black,​ Hispanic,​ American Indian,​ and Alaska Native,​ a literature search was conducted to identify English-language studies that evaluated the use of smoking-cessation pharmacotherapies in nonwhite patients in MEDLINE (1966-December 2007),​ International Pharmaceutical Abstracts (1980-January 2008),​ Database of Abstracts of Reviews of Effectiveness (1990-December 2007),​ and EMBASE Drugs &amp; Pharmacology (1991-third quarter 2007).,​ RESULTS: Nine studies were identified and assessed. Six studies looked at smoking-cessation pharmacotherapy in black smokers,​ 1 in Hispanic smokers,​ 1 in Native American smokers,​ and 1 in white and nonwhite smokers. In black smokers (N = 410; mean cigarettes per day [cpd],​ 20.4) who received the nicotine patch versus placebo,​ the 30-day self-reported abstinence rates were 21.5% versus 13.7% (P = 0.03) at 10 weeks and 17.1% versus 11.7% (P = NS) at 6 months. In black smokers (N = 600; mean [SD] cpd,​ 16.1 [7.5]) who received sustained-release (SR) bupropion 150 mg BID versus placebo for 7 weeks,​ the 7-day biochemically verified abstinence rates at weeks 6 and 26 were 36.0% versus 19.0% (Delta,​ 17%; 95% CI,​ 9.7-24.4; P &lt; 0.001) and 21.0% versus 13.7% (Delta,​ 7.3%; 95% CI,​ 1.0-13.7; P = 0.02). Predictors of smoking cessation included use of bupropion SR (abstinence rate,​ 41.5% vs 21.1%; P&lt;0.001); smoking nonmentholated cigarettes (abstinence rate,​ 28.3% in mentholated smokers [n = 417] vs 41.5% in nonmentholated smokers [n = 118]; P = 0.006); not smoking within 30 minutes of awakening (abstinence rate,​ 26.4% [n = 420] in those who did vs 48.7% [n = 115] in those who did not; P &lt; 0.001); and lower baseline salivary cotinine levels (256.8 [137.0] ng/mL in those who became abstinent vs 305.6 [143.4] ng/mL in those who remained smokers; P &lt; 0.001). In black light (or=7 consecutive days (odds ratio,​ 0.20; 95% CI,​ 0.05-0.77; P = 0.02).,​ CONCLUSIONS: Data from the studies in this review support the use of smoking-cessation pharmacotherapy (nicotine patch and bupropion SR) in nonwhite patients. Black patients,​ who smoked within 30 minutes of awakening,​ smoked mentholated cigarettes,​ and had high salivary cotinine levels may have difficulty quitting regardless of the number of cigarettes smoked per day; therefore,​ determining the type of cigarettes smoked (mentholated vs nonmentholated) and salivary cotinine levels may be helpful in assessing the severity of smoking addiction and guide pharmacotherapy (eg,​ starting at higher doses of nicotine-replacement therapy in a light smoker). Other than smoking-cessation behavioral studies,​ there is a lack of congruent smoking-cessation pharmacotherapy studies in American Indian/Alaska Native,​ Hispanic,​ and other ethnic populations.</w:t>
            </w:r>
          </w:p>
        </w:tc>
      </w:tr>
      <w:tr w:rsidR="007F0AE0" w:rsidRPr="005762E6" w14:paraId="36FD1F6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63BAF7" w14:textId="77777777" w:rsidR="007F0AE0" w:rsidRPr="005762E6" w:rsidRDefault="007F0AE0" w:rsidP="00453DE3">
            <w:pPr>
              <w:spacing w:after="120" w:line="240" w:lineRule="auto"/>
              <w:contextualSpacing/>
              <w:rPr>
                <w:sz w:val="20"/>
                <w:szCs w:val="20"/>
              </w:rPr>
            </w:pPr>
            <w:r w:rsidRPr="005762E6">
              <w:rPr>
                <w:sz w:val="20"/>
                <w:szCs w:val="20"/>
              </w:rPr>
              <w:t>661</w:t>
            </w:r>
          </w:p>
        </w:tc>
        <w:tc>
          <w:tcPr>
            <w:tcW w:w="0" w:type="auto"/>
            <w:tcBorders>
              <w:top w:val="single" w:sz="6" w:space="0" w:color="auto"/>
              <w:left w:val="single" w:sz="6" w:space="0" w:color="auto"/>
              <w:bottom w:val="single" w:sz="6" w:space="0" w:color="auto"/>
              <w:right w:val="single" w:sz="6" w:space="0" w:color="auto"/>
            </w:tcBorders>
          </w:tcPr>
          <w:p w14:paraId="2508912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4B4CBD9" w14:textId="77777777" w:rsidR="007F0AE0" w:rsidRPr="005762E6" w:rsidRDefault="007F0AE0" w:rsidP="00453DE3">
            <w:pPr>
              <w:spacing w:after="120" w:line="240" w:lineRule="auto"/>
              <w:contextualSpacing/>
              <w:rPr>
                <w:sz w:val="20"/>
                <w:szCs w:val="20"/>
              </w:rPr>
            </w:pPr>
            <w:r w:rsidRPr="005762E6">
              <w:rPr>
                <w:sz w:val="20"/>
                <w:szCs w:val="20"/>
              </w:rPr>
              <w:t>Patricia Richter,​ Diane Beistle,​ Linda Pederson,​ Michelle O'Hegarty Small-group discussions on menthol cigarettes: listening to adult African American smokers in Atlanta,​ Georgia.. Ethnicity &amp; health; 2008;13:171.</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Americans/px [Psychology],​Female,​*Flavoring Agents,​Georgia,​Health Behavior/eh [Ethnology],​Humans,​Interviews as Topic,​Male,​Marketing,​*Menthol,​Middle Aged,​*Smoking/eh [Ethnology],​*Smoking/px [Psychology],​Smoking Cessation/eh [Ethnology],​Smoking Cessation/px [Psychology],​Social Perception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 In 2002,​ the First Conference on Menthol Cigarettes brought together researchers from </w:t>
            </w:r>
            <w:r w:rsidRPr="005762E6">
              <w:rPr>
                <w:sz w:val="20"/>
                <w:szCs w:val="20"/>
              </w:rPr>
              <w:lastRenderedPageBreak/>
              <w:t>diverse backgrounds to summarize what is known about menthol cigarettes and the people who smoke them,​ and to identify areas of needed research on menthol cigarettes. Since the conference,​ PubMed reports 24 articles,​ including the conference proceedings,​ on menthol cigarettes and African Americans. Many of the articles address epidemiological or biomedical topics. While there has been some focus on social influences and marketing issues,​ more research and a greater focus on this topic are needed.,​ DESIGN: To stimulate research on a population disproportionately burdened by the health effects of smoking,​ we conducted small-group discussions in 2005 with adult African American smokers in Atlanta,​ Georgia. Each group discussion focused on a different topic: smoking behavior and preferences,​ perceptions of social influences,​ health effects and perceived harmfulness of menthol,​ quitting menthol cigarette smoking,​ or the influence of marketing and advertising of menthol cigarettes.,​ RESULTS: Themes emerged from the discussions: (1) emulation of black culture by white youth and racial integration of neighborhoods and communities may have modified the perception that African Americans smoke menthol cigarettes and whites smoke non-menthol cigarettes; (2) non-menthol cigarette smokers were thought to be 'hardcore' smokers with less interest in quitting; (3) switching to non-menthol cigarettes was discussed as a way of quitting cigarettes for habitual menthol smokers; and,​ (4) smoking menthol cigarettes was thought to lead to fewer negative health effects.,​ CONCLUSION: Some topics suggested by the participants warrant further investigation. More research is needed to assess the pervasiveness of these beliefs and their potential utility for smoking cessation interventions.</w:t>
            </w:r>
          </w:p>
        </w:tc>
      </w:tr>
      <w:tr w:rsidR="007F0AE0" w:rsidRPr="005762E6" w14:paraId="1FDD159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AA3E2F" w14:textId="77777777" w:rsidR="007F0AE0" w:rsidRPr="005762E6" w:rsidRDefault="007F0AE0" w:rsidP="00453DE3">
            <w:pPr>
              <w:spacing w:after="120" w:line="240" w:lineRule="auto"/>
              <w:contextualSpacing/>
              <w:rPr>
                <w:sz w:val="20"/>
                <w:szCs w:val="20"/>
              </w:rPr>
            </w:pPr>
            <w:r w:rsidRPr="005762E6">
              <w:rPr>
                <w:sz w:val="20"/>
                <w:szCs w:val="20"/>
              </w:rPr>
              <w:lastRenderedPageBreak/>
              <w:t>662</w:t>
            </w:r>
          </w:p>
        </w:tc>
        <w:tc>
          <w:tcPr>
            <w:tcW w:w="0" w:type="auto"/>
            <w:tcBorders>
              <w:top w:val="single" w:sz="6" w:space="0" w:color="auto"/>
              <w:left w:val="single" w:sz="6" w:space="0" w:color="auto"/>
              <w:bottom w:val="single" w:sz="6" w:space="0" w:color="auto"/>
              <w:right w:val="single" w:sz="6" w:space="0" w:color="auto"/>
            </w:tcBorders>
          </w:tcPr>
          <w:p w14:paraId="4920586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8EC649F" w14:textId="77777777" w:rsidR="007F0AE0" w:rsidRPr="005762E6" w:rsidRDefault="007F0AE0" w:rsidP="00453DE3">
            <w:pPr>
              <w:spacing w:after="120" w:line="240" w:lineRule="auto"/>
              <w:contextualSpacing/>
              <w:rPr>
                <w:sz w:val="20"/>
                <w:szCs w:val="20"/>
              </w:rPr>
            </w:pPr>
            <w:r w:rsidRPr="005762E6">
              <w:rPr>
                <w:sz w:val="20"/>
                <w:szCs w:val="20"/>
              </w:rPr>
              <w:t>Jennifer M Kreslake,​ Geoffrey Ferris Wayne,​ Gregory N Connolly The menthol smoker: tobacco industry research on consumer sensory perception of menthol cigarettes and its role in smoking behavior.. Nicotine &amp; tobacco research : official journal of the Society for Research on Nicotine and Tobacco; 2008;10:705.</w:t>
            </w:r>
            <w:r w:rsidRPr="005762E6">
              <w:rPr>
                <w:sz w:val="20"/>
                <w:szCs w:val="20"/>
              </w:rPr>
              <w:br/>
            </w:r>
            <w:r w:rsidRPr="005762E6">
              <w:rPr>
                <w:sz w:val="20"/>
                <w:szCs w:val="20"/>
              </w:rPr>
              <w:br/>
            </w:r>
            <w:r w:rsidRPr="005762E6">
              <w:rPr>
                <w:b/>
                <w:bCs/>
                <w:sz w:val="20"/>
                <w:szCs w:val="20"/>
              </w:rPr>
              <w:t>Keywords:</w:t>
            </w:r>
            <w:r w:rsidRPr="005762E6">
              <w:rPr>
                <w:sz w:val="20"/>
                <w:szCs w:val="20"/>
              </w:rPr>
              <w:br/>
              <w:t>Age Factors,​*Behavior,​ Addictive/ep [Epidemiology],​Behavior,​ Addictive/eh [Ethnology],​*Consumer Behavior/sn [Statistics &amp; Numerical Data],​Documentation,​Ethnic Groups/sn [Statistics &amp; Numerical Data],​*Flavoring Agents/ad [Administration &amp; Dosage],​Humans,​*Menthol/ad [Administration &amp; Dosage],​Sex Factors,​*Smoking/ep [Epidemiology],​Smoking/eh [Ethnology],​Smoking/lj [Legislation &amp; Jurisprudence],​*Tobacco Industry,​Tobacco Use Disorder/ep [Epidemiology],​Tobacco Use Disorder/eh [Ethnology],​United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use of menthol in cigarettes is actively promoted by the tobacco industry for its perceived sensory benefits,​ and smokers of menthol cigarettes commonly differ from nonmenthol smokers in markers of smoking behavior and addiction. In this study,​ we analyzed internal tobacco industry documents to describe the relationships between sensory perception and the attitudes,​ preferences,​ and patterns of cigarette use among menthol smokers. Two unique types of menthol smoker emerged from this analysis: those who cannot tolerate the harshness and irritation associated with smoking nonmenthol cigarettes,​ and those who seek out the specific menthol flavor and associated physical sensation. Among the first segment of menthol smokers,​ menthol reduces negative sensory characteristics associated with smoking. This segment of smokers may include a large proportion of occasional smokers or young people,​ as well as smokers who have "traded down" to a less strong cigarette because of perceived harshness or negative health effects. Some established menthol smokers,​ on the other hand,​ appear to be tolerant of and even actively seek stronger sensory attributes,​ including higher menthol levels. Smokers of these "stronger" menthols have traditionally been disproportionately Black and male. Some beginning or occasional smokers may adopt menthols for their mild properties and to cover up the taste of tobacco,​ but then develop a stronger desire for the menthol taste over time. Future research measuring smoking behavior and evaluating cessation outcomes of menthol smokers should consider the duration of menthol use and differentiate smokers according to their reasons for using menthols.</w:t>
            </w:r>
          </w:p>
        </w:tc>
      </w:tr>
      <w:tr w:rsidR="007F0AE0" w:rsidRPr="005762E6" w14:paraId="7006931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92C03C" w14:textId="77777777" w:rsidR="007F0AE0" w:rsidRPr="005762E6" w:rsidRDefault="007F0AE0" w:rsidP="00453DE3">
            <w:pPr>
              <w:spacing w:after="120" w:line="240" w:lineRule="auto"/>
              <w:contextualSpacing/>
              <w:rPr>
                <w:sz w:val="20"/>
                <w:szCs w:val="20"/>
              </w:rPr>
            </w:pPr>
            <w:r w:rsidRPr="005762E6">
              <w:rPr>
                <w:sz w:val="20"/>
                <w:szCs w:val="20"/>
              </w:rPr>
              <w:t>665</w:t>
            </w:r>
          </w:p>
        </w:tc>
        <w:tc>
          <w:tcPr>
            <w:tcW w:w="0" w:type="auto"/>
            <w:tcBorders>
              <w:top w:val="single" w:sz="6" w:space="0" w:color="auto"/>
              <w:left w:val="single" w:sz="6" w:space="0" w:color="auto"/>
              <w:bottom w:val="single" w:sz="6" w:space="0" w:color="auto"/>
              <w:right w:val="single" w:sz="6" w:space="0" w:color="auto"/>
            </w:tcBorders>
          </w:tcPr>
          <w:p w14:paraId="3BE5B15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5D10DAD" w14:textId="77777777" w:rsidR="007F0AE0" w:rsidRPr="005762E6" w:rsidRDefault="007F0AE0" w:rsidP="00453DE3">
            <w:pPr>
              <w:spacing w:after="120" w:line="240" w:lineRule="auto"/>
              <w:contextualSpacing/>
              <w:rPr>
                <w:sz w:val="20"/>
                <w:szCs w:val="20"/>
              </w:rPr>
            </w:pPr>
            <w:r w:rsidRPr="005762E6">
              <w:rPr>
                <w:sz w:val="20"/>
                <w:szCs w:val="20"/>
              </w:rPr>
              <w:t>Steven S Fu,​ Kolawole S Okuyemi,​ Melissa R Partin,​ Jasjit S Ahluwalia,​ David B Nelson,​ Barbara A Clothier,​ Anne M Joseph Menthol cigarettes and smoking cessation during an aided quit attempt.. Nicotine &amp; tobacco research : official journal of the Society for Research on Nicotine and Tobacco; 2008;10:457.</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Data],​Age Factors,​Aged,​*Ethnic Groups/sn [Statistics &amp; Numerical Data],​European Continental Ancestry Group/sn [Statistics &amp; Numerical Data],​Female,​*Flavoring Agents/ad [Administration &amp; Dosage],​Humans,​Male,​*Menthol/ad [Administration &amp; Dosage],​Middle Aged,​*Nicotine/ad [Administration &amp; Dosage],​Prevalence,​Risk Factors,​*Smoking/eh [Ethnology],​*Smoking Cessation/eh [Ethnology],​Smoking Cessation/px [Psychology],​Smoking Prevention</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Menthol may make cigarettes more addictive and rates of menthol cigarette smoking are disproportionately higher among Black. However,​ few studies have examined the association between menthol cigarette smoking and cessation,​ and the studies to date have produced conflicting findings. The present study examines the effect of menthol cigarette smoking on cessation among a multi-ethnic sample of smokers making a pharmacotherapy-aided quit attempt. We hypothesized that menthol cigarette smoking would be associated with lower smoking abstinence rates and conducted a secondary analysis of data from a multi-site randomized controlled trial of an intervention designed to facilitate repeat tobacco cessation treatment (N = 1,​343). The intervention consisted of a patient phone call and a computerized provider prompt. The primary outcome for this analysis was 7-day point prevalence smoking abstinence. The average age of the sample was 56 years old. Overall,​ 25% of the sample smoked menthol cigarettes: 19% of Whites,​ 62% of Blacks,​ and 25% of other ethnicity (p&lt;.001). We observed no significant effects for menthol cigarette smoking or ethnicity on smoking abstinence rates. In conclusion,​ combined with findings from previous research,​ this study suggests that smoking menthol cigarettes does not decrease smoking cessation among older smokers during a quit attempt aided with pharmacotherapy.</w:t>
            </w:r>
          </w:p>
        </w:tc>
      </w:tr>
      <w:tr w:rsidR="007F0AE0" w:rsidRPr="005762E6" w14:paraId="2A9B4C4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745D344" w14:textId="77777777" w:rsidR="007F0AE0" w:rsidRPr="005762E6" w:rsidRDefault="007F0AE0" w:rsidP="00453DE3">
            <w:pPr>
              <w:spacing w:after="120" w:line="240" w:lineRule="auto"/>
              <w:contextualSpacing/>
              <w:rPr>
                <w:sz w:val="20"/>
                <w:szCs w:val="20"/>
              </w:rPr>
            </w:pPr>
            <w:r w:rsidRPr="005762E6">
              <w:rPr>
                <w:sz w:val="20"/>
                <w:szCs w:val="20"/>
              </w:rPr>
              <w:lastRenderedPageBreak/>
              <w:t>667</w:t>
            </w:r>
          </w:p>
        </w:tc>
        <w:tc>
          <w:tcPr>
            <w:tcW w:w="0" w:type="auto"/>
            <w:tcBorders>
              <w:top w:val="single" w:sz="6" w:space="0" w:color="auto"/>
              <w:left w:val="single" w:sz="6" w:space="0" w:color="auto"/>
              <w:bottom w:val="single" w:sz="6" w:space="0" w:color="auto"/>
              <w:right w:val="single" w:sz="6" w:space="0" w:color="auto"/>
            </w:tcBorders>
          </w:tcPr>
          <w:p w14:paraId="5CC69F8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AE41235" w14:textId="77777777" w:rsidR="007F0AE0" w:rsidRPr="005762E6" w:rsidRDefault="007F0AE0" w:rsidP="00453DE3">
            <w:pPr>
              <w:spacing w:after="120" w:line="240" w:lineRule="auto"/>
              <w:contextualSpacing/>
              <w:rPr>
                <w:sz w:val="20"/>
                <w:szCs w:val="20"/>
              </w:rPr>
            </w:pPr>
            <w:r w:rsidRPr="005762E6">
              <w:rPr>
                <w:sz w:val="20"/>
                <w:szCs w:val="20"/>
              </w:rPr>
              <w:t>Amie L Haas,​ James L Sorensen,​ Sharon M Hall,​ Christine Lin,​ Kevin Delucchi,​ Karl Sporer,​ TeChieh Chen Cigarette smoking in opioid-using patients presenting for hospital-based medical services.. The American journal on addictions; 2008;17:65.</w:t>
            </w:r>
            <w:r w:rsidRPr="005762E6">
              <w:rPr>
                <w:sz w:val="20"/>
                <w:szCs w:val="20"/>
              </w:rPr>
              <w:br/>
            </w:r>
            <w:r w:rsidRPr="005762E6">
              <w:rPr>
                <w:sz w:val="20"/>
                <w:szCs w:val="20"/>
              </w:rPr>
              <w:br/>
            </w:r>
            <w:r w:rsidRPr="005762E6">
              <w:rPr>
                <w:b/>
                <w:bCs/>
                <w:sz w:val="20"/>
                <w:szCs w:val="20"/>
              </w:rPr>
              <w:t>Keywords:</w:t>
            </w:r>
            <w:r w:rsidRPr="005762E6">
              <w:rPr>
                <w:sz w:val="20"/>
                <w:szCs w:val="20"/>
              </w:rPr>
              <w:br/>
              <w:t>Adult,​Female,​*Health Services/ut [Utilization],​Hospitalization,​Humans,​Male,​Menthol,​Nicotine,​*Opioid-Related Disorders/ep [Epidemiology],​*Opioid-Related Disorders/rh [Rehabilitation],​Patient Compliance/sn [Statistics &amp; Numerical Data],​Sex Factors,​*Smoking/ep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Little is known about cigarette smoking among opioid users who are not in substance abuse treatment. The study examined cigarette smoking in out-of-treatment opioid users presenting at a hospital who participated in drug abuse research. Participants exhibited a high rate of smoking (92%) at baseline that remained unchanged at one year and were moderately nicotine-dependent. Nineteen percent preferred unfiltered cigarettes. Women were more likely to smoke menthol cigarettes; men were more likely to smoke unfiltered cigarettes. Caucasians tended to smoke more than other ethnicities and exhibited greater dependence. Out-of-treatment drug users continue to be at high risk for continued smoking.</w:t>
            </w:r>
          </w:p>
        </w:tc>
      </w:tr>
      <w:tr w:rsidR="007F0AE0" w:rsidRPr="005762E6" w14:paraId="493E29C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C91AA7" w14:textId="77777777" w:rsidR="007F0AE0" w:rsidRPr="005762E6" w:rsidRDefault="007F0AE0" w:rsidP="00453DE3">
            <w:pPr>
              <w:spacing w:after="120" w:line="240" w:lineRule="auto"/>
              <w:contextualSpacing/>
              <w:rPr>
                <w:sz w:val="20"/>
                <w:szCs w:val="20"/>
              </w:rPr>
            </w:pPr>
            <w:r w:rsidRPr="005762E6">
              <w:rPr>
                <w:sz w:val="20"/>
                <w:szCs w:val="20"/>
              </w:rPr>
              <w:t>668</w:t>
            </w:r>
          </w:p>
        </w:tc>
        <w:tc>
          <w:tcPr>
            <w:tcW w:w="0" w:type="auto"/>
            <w:tcBorders>
              <w:top w:val="single" w:sz="6" w:space="0" w:color="auto"/>
              <w:left w:val="single" w:sz="6" w:space="0" w:color="auto"/>
              <w:bottom w:val="single" w:sz="6" w:space="0" w:color="auto"/>
              <w:right w:val="single" w:sz="6" w:space="0" w:color="auto"/>
            </w:tcBorders>
          </w:tcPr>
          <w:p w14:paraId="1810459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4BAD24" w14:textId="77777777" w:rsidR="007F0AE0" w:rsidRPr="005762E6" w:rsidRDefault="007F0AE0" w:rsidP="00453DE3">
            <w:pPr>
              <w:spacing w:after="120" w:line="240" w:lineRule="auto"/>
              <w:contextualSpacing/>
              <w:rPr>
                <w:sz w:val="20"/>
                <w:szCs w:val="20"/>
              </w:rPr>
            </w:pPr>
            <w:r w:rsidRPr="005762E6">
              <w:rPr>
                <w:sz w:val="20"/>
                <w:szCs w:val="20"/>
              </w:rPr>
              <w:t>M T Bover,​ J Foulds,​ M B Steinberg,​ D Richardson,​ S W Marcella Waking at night to smoke as a marker for tobacco dependence: patient characteristics and relationship to treatment outcome.. International journal of clinical practice; 2008;62:182.</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Adolescent,​Adult,​Aged,​Aged,​ 80 and over,​*Circadian Rhythm,​Female,​Follow-Up Studies,​Humans,​Male,​Middle Aged,​Prognosis,​*Sleep Disorders,​ Intrinsic/et [Etiology],​Smoking Cessation,​Socioeconomic Factors,​*Tobacco Use Disorder/px [Psychology],​*Tobacco Use Disorder/th [Therapy],​Treatment Outcome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AIM: This study aimed to describe the characteristics of treatment-seeking patients who wake at night to smoke (night-smoking),​ identify factors that may be associated with night-smoking,​ and assess the association between night-smoking and treatment outcome.,​ METHODS: A total of 2312 consecutive eligible cigarette smokers who sought treatment at a specialist tobacco-dependence clinic declared a Target Quit Date,​ provided baseline information at assessment,​ and were then followed-up 4 and 26 weeks after their target quit date.,​ RESULTS: Of the total sample,​ 51.1% were identified as night-smokers and 25.1% reported smoking abstinence at 26-week follow-up. Night-smoking was associated with a number of other patient characteristics,​ including African-American race or Hispanic ethnicity,​ having smoking-related medical symptoms,​ having been treated for a behavioural health problem,​ smoking mentholated cigarettes,​ smoking within 30 min of waking in the morning,​ increased cigarettes smoked per day,​ and not having private health insurance. In multivariate analyses,​ night-smoking at assessment remained a significant predictor of smoking at 26-week follow-up when controlling for other factors associated with treatment outcome (adjusted odds ratio: 0.77,​ 95% confidence interval: 0.62-0.96). Night-smokers also experienced a shorter average time to relapse (38.5 vs. 56 days,​ p&lt;0.0001).,​ CONCLUSIONS: Several socioeconomic and tobacco use characteristics are shared among patients who wake at night to smoke. </w:t>
            </w:r>
            <w:r w:rsidRPr="005762E6">
              <w:rPr>
                <w:sz w:val="20"/>
                <w:szCs w:val="20"/>
              </w:rPr>
              <w:lastRenderedPageBreak/>
              <w:t>This behaviour can be assessed by a simple question and used as a marker for tobacco dependence and as an indicator that more intensive and sustained treatment may be required.</w:t>
            </w:r>
          </w:p>
        </w:tc>
      </w:tr>
      <w:tr w:rsidR="007F0AE0" w:rsidRPr="005762E6" w14:paraId="0C107C4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0D48543" w14:textId="77777777" w:rsidR="007F0AE0" w:rsidRPr="005762E6" w:rsidRDefault="007F0AE0" w:rsidP="00453DE3">
            <w:pPr>
              <w:spacing w:after="120" w:line="240" w:lineRule="auto"/>
              <w:contextualSpacing/>
              <w:rPr>
                <w:sz w:val="20"/>
                <w:szCs w:val="20"/>
              </w:rPr>
            </w:pPr>
            <w:r w:rsidRPr="005762E6">
              <w:rPr>
                <w:sz w:val="20"/>
                <w:szCs w:val="20"/>
              </w:rPr>
              <w:lastRenderedPageBreak/>
              <w:t>672</w:t>
            </w:r>
          </w:p>
        </w:tc>
        <w:tc>
          <w:tcPr>
            <w:tcW w:w="0" w:type="auto"/>
            <w:tcBorders>
              <w:top w:val="single" w:sz="6" w:space="0" w:color="auto"/>
              <w:left w:val="single" w:sz="6" w:space="0" w:color="auto"/>
              <w:bottom w:val="single" w:sz="6" w:space="0" w:color="auto"/>
              <w:right w:val="single" w:sz="6" w:space="0" w:color="auto"/>
            </w:tcBorders>
          </w:tcPr>
          <w:p w14:paraId="2409455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2B6DB87" w14:textId="77777777" w:rsidR="007F0AE0" w:rsidRPr="005762E6" w:rsidRDefault="007F0AE0" w:rsidP="00453DE3">
            <w:pPr>
              <w:spacing w:after="120" w:line="240" w:lineRule="auto"/>
              <w:contextualSpacing/>
              <w:rPr>
                <w:sz w:val="20"/>
                <w:szCs w:val="20"/>
              </w:rPr>
            </w:pPr>
            <w:r w:rsidRPr="005762E6">
              <w:rPr>
                <w:sz w:val="20"/>
                <w:szCs w:val="20"/>
              </w:rPr>
              <w:t>Kolawole S Okuyemi,​ Babalola Faseru,​ Lisa Sanderson Cox,​ Carrie A Bronars,​ Jasjit S Ahluwalia Relationship between menthol cigarettes and smoking cessation among African American light smokers.. Addiction (Abingdon,​ England); 2007;102:1979.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Americans/eh [Ethnology],​African Americans/px [Psychology],​Age Factors,​Female,​Health Education,​Humans,​Male,​*Menthol,​Middle Aged,​Regression Analysis,​*Smoking/ae [Adverse Effects],​*Smoking Cessation/eh [Ethnology],​Smoking Cessation/px [Psychology],​Smoking Cessation/sn [Statistics &amp; Numerical Data],​*Tobacco/ae [Adverse Effects]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AIMS: To determine whether African American light smokers who smoked menthol cigarettes had lower cessation when treated with nicotine replacement therapy and counseling.,​ DESIGN: Data were derived from a clinical trial that assessed the efficacy of 2 mg nicotine gum (versus placebo) and counseling (motivational interviewing counseling versus Health Education) for smoking cessation among African American light smokers (smoked &lt; or = 10 cigarettes per day).,​ PARTICIPANTS: The sample consisted of 755 African American light smokers.,​ MEASUREMENTS: The primary outcome variable was verified 7-day point-prevalence smoking cessation at 26 weeks follow-up. Verification was by salivary cotinine.,​ FINDINGS: Compared to non-menthol smokers,​ menthol smokers were younger and less confident to quit smoking (P = 0.023). At 26 weeks post-randomization,​ 7-day verified abstinence rate was significantly lower for menthol smokers (11.2% versus 18.8% for non-menthol,​ P = 0.015).,​ CONCLUSIONS: Among African American light smokers,​ use of menthol cigarettes is associated with lower smoking cessation rates. Because the majority of African American smokers use menthol cigarettes,​ a better understanding of the mechanism for this lower quit rate is needed.</w:t>
            </w:r>
          </w:p>
        </w:tc>
      </w:tr>
      <w:tr w:rsidR="007F0AE0" w:rsidRPr="005762E6" w14:paraId="16BCFE0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7B4B2F" w14:textId="77777777" w:rsidR="007F0AE0" w:rsidRPr="005762E6" w:rsidRDefault="007F0AE0" w:rsidP="00453DE3">
            <w:pPr>
              <w:spacing w:after="120" w:line="240" w:lineRule="auto"/>
              <w:contextualSpacing/>
              <w:rPr>
                <w:sz w:val="20"/>
                <w:szCs w:val="20"/>
              </w:rPr>
            </w:pPr>
            <w:r w:rsidRPr="005762E6">
              <w:rPr>
                <w:sz w:val="20"/>
                <w:szCs w:val="20"/>
              </w:rPr>
              <w:t>673</w:t>
            </w:r>
          </w:p>
        </w:tc>
        <w:tc>
          <w:tcPr>
            <w:tcW w:w="0" w:type="auto"/>
            <w:tcBorders>
              <w:top w:val="single" w:sz="6" w:space="0" w:color="auto"/>
              <w:left w:val="single" w:sz="6" w:space="0" w:color="auto"/>
              <w:bottom w:val="single" w:sz="6" w:space="0" w:color="auto"/>
              <w:right w:val="single" w:sz="6" w:space="0" w:color="auto"/>
            </w:tcBorders>
          </w:tcPr>
          <w:p w14:paraId="6800432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D1D43C0" w14:textId="77777777" w:rsidR="007F0AE0" w:rsidRPr="005762E6" w:rsidRDefault="007F0AE0" w:rsidP="00453DE3">
            <w:pPr>
              <w:spacing w:after="120" w:line="240" w:lineRule="auto"/>
              <w:contextualSpacing/>
              <w:rPr>
                <w:sz w:val="20"/>
                <w:szCs w:val="20"/>
              </w:rPr>
            </w:pPr>
            <w:r w:rsidRPr="005762E6">
              <w:rPr>
                <w:sz w:val="20"/>
                <w:szCs w:val="20"/>
              </w:rPr>
              <w:t>Gregory N Connolly,​ Hillel R Alpert,​ Geoffrey Ferris Wayne,​ Howard Koh Trends in nicotine yield in smoke and its relationship with design characteristics among popular US cigarette brands,​ 1997-2005.. Tobacco control; 2007;16:e5.</w:t>
            </w:r>
            <w:r w:rsidRPr="005762E6">
              <w:rPr>
                <w:sz w:val="20"/>
                <w:szCs w:val="20"/>
              </w:rPr>
              <w:br/>
            </w:r>
            <w:r w:rsidRPr="005762E6">
              <w:rPr>
                <w:sz w:val="20"/>
                <w:szCs w:val="20"/>
              </w:rPr>
              <w:br/>
            </w:r>
            <w:r w:rsidRPr="005762E6">
              <w:rPr>
                <w:b/>
                <w:bCs/>
                <w:sz w:val="20"/>
                <w:szCs w:val="20"/>
              </w:rPr>
              <w:t>Keywords:</w:t>
            </w:r>
            <w:r w:rsidRPr="005762E6">
              <w:rPr>
                <w:sz w:val="20"/>
                <w:szCs w:val="20"/>
              </w:rPr>
              <w:br/>
              <w:t>Humans,​*Nicotine/an [Analysis],​*Smoke/an [Analysis],​*Smoking/td [Trends],​*Tobacco/ch [Chemistry],​*Tobacco Industry/td [Trends],​United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To determine whether nicotine yields in the smoke of cigarettes would show an overall increase over time or an increasing trend limited to any particular market category (eg,​ full flavour vs light,​ medium (mild) or ultralight; mentholated vs non-mentholated),​ manufacturer,​ or brand family or brand style,​ and whether nicotine yields in smoke would be associated with measurable trends in cigarette design.,​ METHODS: Machine-based measures of nicotine yield in smoke and measures of cigarette design features related to nicotine delivery (ventilation,​ nicotine content in the tobacco rod and number of puffs),​ as well as market category descriptors,​ were obtained from annual reports filed with the Massachusetts Department of Public by tobacco manufacturers for 1997-2005. Trends in nicotine yield and its relationship with design features and market parameters were analysed with multilevel mixed-effects regression modelling procedures.,​ RESULTS: A statistically significant trend was confirmed in increased nicotine yield,​ of 0.019 (1.1%) mg/cig/year over the period 1997-2005 and 0.029 (1.6%) mg/cig/year over the period 1998-2005. The increasing trend was observed in all major market categories (mentholated vs non-mentholated,​ and full flavour vs light,​ medium (mild) or ultralight). Nicotine yield in smoke was positively associated with nicotine concentration in the tobacco and number of puffs per cigarette,​ both of which showed increasing trends during the study period.,​ CONCLUSIONS: This study confirms increased machine-measured levels of nicotine,​ the addictive agent in cigarettes,​ in smoke,​ to be a result of increased nicotine in the tobacco rod and other design modifications.</w:t>
            </w:r>
          </w:p>
        </w:tc>
      </w:tr>
      <w:tr w:rsidR="007F0AE0" w:rsidRPr="005762E6" w14:paraId="15020AA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B6963DF" w14:textId="77777777" w:rsidR="007F0AE0" w:rsidRPr="005762E6" w:rsidRDefault="007F0AE0" w:rsidP="00453DE3">
            <w:pPr>
              <w:spacing w:after="120" w:line="240" w:lineRule="auto"/>
              <w:contextualSpacing/>
              <w:rPr>
                <w:sz w:val="20"/>
                <w:szCs w:val="20"/>
              </w:rPr>
            </w:pPr>
            <w:r w:rsidRPr="005762E6">
              <w:rPr>
                <w:sz w:val="20"/>
                <w:szCs w:val="20"/>
              </w:rPr>
              <w:t>678</w:t>
            </w:r>
          </w:p>
        </w:tc>
        <w:tc>
          <w:tcPr>
            <w:tcW w:w="0" w:type="auto"/>
            <w:tcBorders>
              <w:top w:val="single" w:sz="6" w:space="0" w:color="auto"/>
              <w:left w:val="single" w:sz="6" w:space="0" w:color="auto"/>
              <w:bottom w:val="single" w:sz="6" w:space="0" w:color="auto"/>
              <w:right w:val="single" w:sz="6" w:space="0" w:color="auto"/>
            </w:tcBorders>
          </w:tcPr>
          <w:p w14:paraId="4529575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E08DC8E" w14:textId="77777777" w:rsidR="007F0AE0" w:rsidRPr="005762E6" w:rsidRDefault="007F0AE0" w:rsidP="00453DE3">
            <w:pPr>
              <w:spacing w:after="120" w:line="240" w:lineRule="auto"/>
              <w:contextualSpacing/>
              <w:rPr>
                <w:sz w:val="20"/>
                <w:szCs w:val="20"/>
              </w:rPr>
            </w:pPr>
            <w:r w:rsidRPr="005762E6">
              <w:rPr>
                <w:sz w:val="20"/>
                <w:szCs w:val="20"/>
              </w:rPr>
              <w:t>Bruce Jr Allen,​ Jennifer B Unger Sociocultural correlates of menthol cigarette smoking among adult African Americans in Los Angeles.. Nicotine &amp; tobacco research : official journal of the Society for Research on Nicotine and Tobacco; 2007;9:447.</w:t>
            </w:r>
            <w:r w:rsidRPr="005762E6">
              <w:rPr>
                <w:sz w:val="20"/>
                <w:szCs w:val="20"/>
              </w:rPr>
              <w:br/>
            </w:r>
            <w:r w:rsidRPr="005762E6">
              <w:rPr>
                <w:sz w:val="20"/>
                <w:szCs w:val="20"/>
              </w:rPr>
              <w:br/>
            </w:r>
            <w:r w:rsidRPr="005762E6">
              <w:rPr>
                <w:b/>
                <w:bCs/>
                <w:sz w:val="20"/>
                <w:szCs w:val="20"/>
              </w:rPr>
              <w:t>Keywords:</w:t>
            </w:r>
            <w:r w:rsidRPr="005762E6">
              <w:rPr>
                <w:sz w:val="20"/>
                <w:szCs w:val="20"/>
              </w:rPr>
              <w:br/>
              <w:t xml:space="preserve">Adult,​African Americans/px [Psychology],​*African Americans/sn [Statistics &amp; Numerical Data],​*Attitude to </w:t>
            </w:r>
            <w:r w:rsidRPr="005762E6">
              <w:rPr>
                <w:sz w:val="20"/>
                <w:szCs w:val="20"/>
              </w:rPr>
              <w:lastRenderedPageBreak/>
              <w:t>Health/eh [Ethnology],​Cultural Characteristics,​Female,​*Flavoring Agents,​Health Behavior/eh [Ethnology],​Humans,​Los Angeles/ep [Epidemiology],​Male,​*Menthol,​Middle Aged,​*Smoking/eh [Ethnology],​*Smoking Cessation/eh [Ethnology],​Socioeconomic Factors,​Surveys and Questionnaires,​Urban Population/sn [Statistics &amp; Numerical Data]</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Nearly 70% of adult African American smokers smoke menthol cigarettes. More information is needed about the psychological,​ social,​ and cultural factors that influence their overwhelming preference for menthol cigarettes. This study examined variables associated with menthol vs. nonmenthol cigarette use among 432 adult African American smokers in Los Angeles,​ California. Menthol smoking was most prevalent among women,​ 18-30-year-olds,​ and employed respondents. Controlling for age and employment,​ we found that the significant correlates of menthol use among women were parents' menthol smoking,​ the belief that most African American smokers smoke menthols,​ and disagreement with the belief that smoking menthol cigarettes is a "Black thing." Among men,​ the only significant correlate of menthol smoking was the belief that most African American smokers smoke menthols. Results indicate that menthol smoking among adult African Americans is at least partly a consequence of a complex set of social and cultural norms. Further research is needed to understand the reasons why so many African Americans select menthols,​ as well as the health consequences of these choices.</w:t>
            </w:r>
          </w:p>
        </w:tc>
      </w:tr>
      <w:tr w:rsidR="007F0AE0" w:rsidRPr="005762E6" w14:paraId="4148FF0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5F850F" w14:textId="77777777" w:rsidR="007F0AE0" w:rsidRPr="005762E6" w:rsidRDefault="007F0AE0" w:rsidP="00453DE3">
            <w:pPr>
              <w:spacing w:after="120" w:line="240" w:lineRule="auto"/>
              <w:contextualSpacing/>
              <w:rPr>
                <w:sz w:val="20"/>
                <w:szCs w:val="20"/>
              </w:rPr>
            </w:pPr>
            <w:r w:rsidRPr="005762E6">
              <w:rPr>
                <w:sz w:val="20"/>
                <w:szCs w:val="20"/>
              </w:rPr>
              <w:lastRenderedPageBreak/>
              <w:t>680</w:t>
            </w:r>
          </w:p>
        </w:tc>
        <w:tc>
          <w:tcPr>
            <w:tcW w:w="0" w:type="auto"/>
            <w:tcBorders>
              <w:top w:val="single" w:sz="6" w:space="0" w:color="auto"/>
              <w:left w:val="single" w:sz="6" w:space="0" w:color="auto"/>
              <w:bottom w:val="single" w:sz="6" w:space="0" w:color="auto"/>
              <w:right w:val="single" w:sz="6" w:space="0" w:color="auto"/>
            </w:tcBorders>
          </w:tcPr>
          <w:p w14:paraId="0D80428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C840F3B" w14:textId="77777777" w:rsidR="007F0AE0" w:rsidRPr="005762E6" w:rsidRDefault="007F0AE0" w:rsidP="00453DE3">
            <w:pPr>
              <w:spacing w:after="120" w:line="240" w:lineRule="auto"/>
              <w:contextualSpacing/>
              <w:rPr>
                <w:sz w:val="20"/>
                <w:szCs w:val="20"/>
              </w:rPr>
            </w:pPr>
            <w:r w:rsidRPr="005762E6">
              <w:rPr>
                <w:sz w:val="20"/>
                <w:szCs w:val="20"/>
              </w:rPr>
              <w:t>Robert P Murray,​ John E Connett,​ Melissa A Skeans,​ Donald P Tashkin Menthol cigarettes and health risks in Lung Health Study data.. Nicotine &amp; tobacco research : official journal of the Society for Research on Nicotine and Tobacco; 2007;9:101.</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Data],​Bronchodilator Agents/tu [Therapeutic Use],​Female,​*Health Behavior,​Humans,​Ipratropium/tu [Therapeutic Use],​*Lung Diseases/ci [Chemically Induced],​Lung Diseases/ep [Epidemiology],​Male,​*Menthol/ae [Adverse Effects],​Middle Aged,​Risk Factors,​*Smoking/ep [Epidemiology],​Smoking Cessation/sn [Statistics &amp; Numerical Data],​*Smoking Prevention,​*Tobacco</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Whether menthol cigarettes confer a higher risk of death than plain cigarettes is not known. The Lung Health Study (LHS) enrolled 5,​887 adult smokers in a clinical trial of smoking cessation and ipratropium in the prevention of chronic obstructive pulmonary disease. LHS participants have been subjected to surveillance for mortality from all causes for 14 years. We examined these data for differences between self-reported smokers of menthol cigarettes versus plain cigarettes. Using proportional hazards regression methods,​ we found no differences in hazard ratios for coronary heart disease,​ cardiovascular disease,​ lung cancer,​ or death from any cause. Contrary to expectations about nicotine dependence,​ we found that users of menthol cigarettes had smoked fewer pack-years at baseline. We found no difference in success at smoking cessation with or without menthol. We conclude that our data contain no evidence that mentholation of cigarettes increases the hazards of smoking.</w:t>
            </w:r>
          </w:p>
        </w:tc>
      </w:tr>
      <w:tr w:rsidR="007F0AE0" w:rsidRPr="005762E6" w14:paraId="3820F78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6CC361" w14:textId="77777777" w:rsidR="007F0AE0" w:rsidRPr="005762E6" w:rsidRDefault="007F0AE0" w:rsidP="00453DE3">
            <w:pPr>
              <w:spacing w:after="120" w:line="240" w:lineRule="auto"/>
              <w:contextualSpacing/>
              <w:rPr>
                <w:sz w:val="20"/>
                <w:szCs w:val="20"/>
              </w:rPr>
            </w:pPr>
            <w:r w:rsidRPr="005762E6">
              <w:rPr>
                <w:sz w:val="20"/>
                <w:szCs w:val="20"/>
              </w:rPr>
              <w:t>681</w:t>
            </w:r>
          </w:p>
        </w:tc>
        <w:tc>
          <w:tcPr>
            <w:tcW w:w="0" w:type="auto"/>
            <w:tcBorders>
              <w:top w:val="single" w:sz="6" w:space="0" w:color="auto"/>
              <w:left w:val="single" w:sz="6" w:space="0" w:color="auto"/>
              <w:bottom w:val="single" w:sz="6" w:space="0" w:color="auto"/>
              <w:right w:val="single" w:sz="6" w:space="0" w:color="auto"/>
            </w:tcBorders>
          </w:tcPr>
          <w:p w14:paraId="6F90222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7BEC32" w14:textId="77777777" w:rsidR="007F0AE0" w:rsidRPr="005762E6" w:rsidRDefault="007F0AE0" w:rsidP="00453DE3">
            <w:pPr>
              <w:spacing w:after="120" w:line="240" w:lineRule="auto"/>
              <w:contextualSpacing/>
              <w:rPr>
                <w:sz w:val="20"/>
                <w:szCs w:val="20"/>
              </w:rPr>
            </w:pPr>
            <w:r w:rsidRPr="005762E6">
              <w:rPr>
                <w:sz w:val="20"/>
                <w:szCs w:val="20"/>
              </w:rPr>
              <w:t>Olivia Wackowski,​ Cristine D Delnevo Menthol cigarettes and indicators of tobacco dependence among adolescents.. Addictive behaviors; 2007;32:1964.</w:t>
            </w:r>
            <w:r w:rsidRPr="005762E6">
              <w:rPr>
                <w:sz w:val="20"/>
                <w:szCs w:val="20"/>
              </w:rPr>
              <w:br/>
            </w:r>
            <w:r w:rsidRPr="005762E6">
              <w:rPr>
                <w:sz w:val="20"/>
                <w:szCs w:val="20"/>
              </w:rPr>
              <w:br/>
            </w:r>
            <w:r w:rsidRPr="005762E6">
              <w:rPr>
                <w:b/>
                <w:bCs/>
                <w:sz w:val="20"/>
                <w:szCs w:val="20"/>
              </w:rPr>
              <w:t>Keywords:</w:t>
            </w:r>
            <w:r w:rsidRPr="005762E6">
              <w:rPr>
                <w:sz w:val="20"/>
                <w:szCs w:val="20"/>
              </w:rPr>
              <w:br/>
              <w:t>Adolescent,​Age Factors,​Female,​Humans,​Male,​*Menthol,​Prevalence,​Severity of Illness Index,​Surveys and Questionnaires,​*Tobacco Use Disorder/ep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OBJECTIVES: This study examines measures of nicotine dependence among adolescent menthol and non-menthol cigarette smokers in a nationally representative sample.,​ METHODS: We examined rates of menthol smoking and measures of nicotine dependence among 1345 current established smokers in grades 9-12 who participated in the 2004 National Youth Tobacco Survey. Logistic regression was used to generate an adjusted odds ratio (OR) for menthol smoking for four measures of nicotine dependence,​ controlling for demographic characteristics and smoking patterns.,​ RESULTS: Approximately 46% of all current established cigarette smokers were menthol smokers. Menthol smokers had 2.6 and 1.6 greater odds than non-menthol smokers for reporting that they could go for less than 1 h before feeling like they need a cigarette and that they experience cravings after not smoking for a while,​ respectively.,​ CONCLUSIONS: Menthol cigarette smoking was associated with two dependence measures and may be more addictive than regular cigarettes in young smokers. Future research </w:t>
            </w:r>
            <w:r w:rsidRPr="005762E6">
              <w:rPr>
                <w:sz w:val="20"/>
                <w:szCs w:val="20"/>
              </w:rPr>
              <w:lastRenderedPageBreak/>
              <w:t>should continue to explore relationships between dependency and menthol use as well as the high prevalence of menthol use among adolescents.</w:t>
            </w:r>
          </w:p>
        </w:tc>
      </w:tr>
      <w:tr w:rsidR="007F0AE0" w:rsidRPr="005762E6" w14:paraId="04425A4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C4ED2D" w14:textId="77777777" w:rsidR="007F0AE0" w:rsidRPr="005762E6" w:rsidRDefault="007F0AE0" w:rsidP="00453DE3">
            <w:pPr>
              <w:spacing w:after="120" w:line="240" w:lineRule="auto"/>
              <w:contextualSpacing/>
              <w:rPr>
                <w:sz w:val="20"/>
                <w:szCs w:val="20"/>
              </w:rPr>
            </w:pPr>
            <w:r w:rsidRPr="005762E6">
              <w:rPr>
                <w:sz w:val="20"/>
                <w:szCs w:val="20"/>
              </w:rPr>
              <w:lastRenderedPageBreak/>
              <w:t>682</w:t>
            </w:r>
          </w:p>
        </w:tc>
        <w:tc>
          <w:tcPr>
            <w:tcW w:w="0" w:type="auto"/>
            <w:tcBorders>
              <w:top w:val="single" w:sz="6" w:space="0" w:color="auto"/>
              <w:left w:val="single" w:sz="6" w:space="0" w:color="auto"/>
              <w:bottom w:val="single" w:sz="6" w:space="0" w:color="auto"/>
              <w:right w:val="single" w:sz="6" w:space="0" w:color="auto"/>
            </w:tcBorders>
          </w:tcPr>
          <w:p w14:paraId="14CBD03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9FF5A91" w14:textId="77777777" w:rsidR="007F0AE0" w:rsidRPr="005762E6" w:rsidRDefault="007F0AE0" w:rsidP="00453DE3">
            <w:pPr>
              <w:spacing w:after="120" w:line="240" w:lineRule="auto"/>
              <w:contextualSpacing/>
              <w:rPr>
                <w:sz w:val="20"/>
                <w:szCs w:val="20"/>
              </w:rPr>
            </w:pPr>
            <w:r w:rsidRPr="005762E6">
              <w:rPr>
                <w:sz w:val="20"/>
                <w:szCs w:val="20"/>
              </w:rPr>
              <w:t>Michael S Werley,​ Christopher R E Coggins,​ Peter N Lee Possible effects on smokers of cigarette mentholation: a review of the evidence relating to key research questions.. Regulatory toxicology and pharmacology : RTP; 2007;47:189.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Data],​Blood Pressure,​Carbon Monoxide,​Cotinine/bl [Blood],​Female,​Health Behavior/eh [Ethnology],​Heart Rate,​Humans,​*Lung Neoplasms/ep [Epidemiology],​*Lung Neoplasms/et [Etiology],​Male,​*Menthol/pd [Pharmacology],​Nicotine/pk [Pharmacokinetics],​Prevalence,​Respiratory Mechanics,​Risk Factors,​Sex Factors,​*Smoking/ae [Adverse Effects],​Smoking/eh [Ethnology],​Smoking Cessation,​Tars/me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(2-isopropyl-5-methyl-cyclohexan-1-ol) is used in food,​ pharmaceutical,​ and tobacco products. Despite its long usage history and GRAS status,​ scientific literature on effects of cigarette mentholation is limited. Because African-American men have high lung cancer rates and predominantly smoke mentholated cigarettes,​ and because menthol's cooling effect might affect puffing and smoke inhalation,​ possible adverse effects of cigarette mentholation have been suggested. We review the evidence on the effects of mentholation on smokers,​ and we also identify areas for further study. Five large epidemiological studies provide no evidence that cigarette mentholation increases lung cancer risk. Mentholation cannot explain the higher risk for lung cancer in African-American male smokers,​ who also predominantly smoke mentholated cigarettes. Limited data on other cancers also suggest no risk from mentholation. The scientific literature suggests that cigarette mentholation does not increase puff number or puff volume of smoked cigarettes,​ and has little or no effect on heart rate,​ blood pressure,​ uptake of carbon monoxide,​ tar intake or retention,​ or blood cotinine concentration. Mentholation has little effect on other smoke constituents,​ and no apparent effect on nicotine absorption,​ airway patency and smoking initiation,​ dependency or cessation. Any toxicological effects of cigarette mentholation on adult smokers are probably quite limited.</w:t>
            </w:r>
          </w:p>
        </w:tc>
      </w:tr>
      <w:tr w:rsidR="007F0AE0" w:rsidRPr="005762E6" w14:paraId="0D2D21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08EE57D" w14:textId="77777777" w:rsidR="007F0AE0" w:rsidRPr="005762E6" w:rsidRDefault="007F0AE0" w:rsidP="00453DE3">
            <w:pPr>
              <w:spacing w:after="120" w:line="240" w:lineRule="auto"/>
              <w:contextualSpacing/>
              <w:rPr>
                <w:sz w:val="20"/>
                <w:szCs w:val="20"/>
              </w:rPr>
            </w:pPr>
            <w:r w:rsidRPr="005762E6">
              <w:rPr>
                <w:sz w:val="20"/>
                <w:szCs w:val="20"/>
              </w:rPr>
              <w:t>683</w:t>
            </w:r>
          </w:p>
        </w:tc>
        <w:tc>
          <w:tcPr>
            <w:tcW w:w="0" w:type="auto"/>
            <w:tcBorders>
              <w:top w:val="single" w:sz="6" w:space="0" w:color="auto"/>
              <w:left w:val="single" w:sz="6" w:space="0" w:color="auto"/>
              <w:bottom w:val="single" w:sz="6" w:space="0" w:color="auto"/>
              <w:right w:val="single" w:sz="6" w:space="0" w:color="auto"/>
            </w:tcBorders>
          </w:tcPr>
          <w:p w14:paraId="050691A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80E71B5" w14:textId="77777777" w:rsidR="007F0AE0" w:rsidRPr="005762E6" w:rsidRDefault="007F0AE0" w:rsidP="00453DE3">
            <w:pPr>
              <w:spacing w:after="120" w:line="240" w:lineRule="auto"/>
              <w:contextualSpacing/>
              <w:rPr>
                <w:sz w:val="20"/>
                <w:szCs w:val="20"/>
              </w:rPr>
            </w:pPr>
            <w:r w:rsidRPr="005762E6">
              <w:rPr>
                <w:sz w:val="20"/>
                <w:szCs w:val="20"/>
              </w:rPr>
              <w:t>Mark J Pletcher,​ Benjamin J Hulley,​ Thomas Houston,​ Catarina I Kiefe,​ Neal Benowitz,​ Stephen Sidney Menthol cigarettes,​ smoking cessation,​ atherosclerosis,​ and pulmonary function: the Coronary Artery Risk Development in Young Adults (CARDIA) Study.. Archives of internal medicine; 2006;166:1915.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Americans,​*Atherosclerosis/et [Etiology],​European Continental Ancestry Group,​Female,​Humans,​Male,​*Menthol/ae [Adverse Effects],​Prospective Studies,​*Pulmonary Ventilation/de [Drug Effects],​*Smoking/ae [Adverse Effects],​Smoking/eh [Ethnology],​*Smoking Cessation/eh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African American smokers are more likely to experience tobacco-related morbidity and mortality than European American smokers,​ and higher rates of menthol cigarette smoking may contribute to these disparities.,​ METHODS: We prospectively measured cumulative exposure to menthol and nonmenthol cigarettes and smoking cessation behavior (1985-2000),​ coronary calcification (2000),​ and 10-year change in pulmonary function (1985-1995) in African American and European American smokers recruited in 1985 for the Coronary Artery Risk Development in Young Adults Study.,​ RESULTS: We identified 1535 smokers in 1985 (972 menthol and 563 nonmenthol); 89% of African Americans preferred menthol vs 29% of European Americans (P&lt;.001). After adjustment for ethnicity,​ demographics,​ and social factors,​ we found nonsignificant trends in menthol smokers toward lower cessation (odds ratio [OR],​ 0.71; 95% confidence interval [CI],​ 0.49-1.02; P = .06) and recent quit attempt (OR,​ 0.77; 95% CI,​ 0.56-1.06; P = .11) rates and a significant increase in the risk of relapse (OR,​ 1.89; 95% CI,​ 1.17-3.05; P = .009). Per pack-year of exposure,​ however,​ we found no differences from menthol in tobacco-related coronary calcification (adjusted OR,​ 1.27; 95% CI,​ 1.01-1.60 for menthol cigarettes and 1.33; 95% CI,​ 1.06-1.68 for nonmenthol cigarettes per 10-pack-year increase; P = .75 for comparison) or 10-year pulmonary function decline (adjusted excess decline in forced expiratory volume in 1 second,​ 84 mL; 95% CI,​ 32-137 for menthol cigarettes and 80 mL; 95% CI,​ 30-129 for nonmenthol cigarettes,​ per 10-pack-year increase; P = .88 for comparison).,​ CONCLUSION: Menthol and nonmenthol cigarettes seem to be equally harmful per cigarette smoked in terms of atherosclerosis and pulmonary function decline,​ but menthol cigarettes may be harder to quit smoking.</w:t>
            </w:r>
          </w:p>
        </w:tc>
      </w:tr>
      <w:tr w:rsidR="007F0AE0" w:rsidRPr="005762E6" w14:paraId="78F866C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7663AB1" w14:textId="77777777" w:rsidR="007F0AE0" w:rsidRPr="005762E6" w:rsidRDefault="007F0AE0" w:rsidP="00453DE3">
            <w:pPr>
              <w:spacing w:after="120" w:line="240" w:lineRule="auto"/>
              <w:contextualSpacing/>
              <w:rPr>
                <w:sz w:val="20"/>
                <w:szCs w:val="20"/>
              </w:rPr>
            </w:pPr>
            <w:r w:rsidRPr="005762E6">
              <w:rPr>
                <w:sz w:val="20"/>
                <w:szCs w:val="20"/>
              </w:rPr>
              <w:lastRenderedPageBreak/>
              <w:t>684</w:t>
            </w:r>
          </w:p>
        </w:tc>
        <w:tc>
          <w:tcPr>
            <w:tcW w:w="0" w:type="auto"/>
            <w:tcBorders>
              <w:top w:val="single" w:sz="6" w:space="0" w:color="auto"/>
              <w:left w:val="single" w:sz="6" w:space="0" w:color="auto"/>
              <w:bottom w:val="single" w:sz="6" w:space="0" w:color="auto"/>
              <w:right w:val="single" w:sz="6" w:space="0" w:color="auto"/>
            </w:tcBorders>
          </w:tcPr>
          <w:p w14:paraId="47E6517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9D05922" w14:textId="77777777" w:rsidR="007F0AE0" w:rsidRPr="005762E6" w:rsidRDefault="007F0AE0" w:rsidP="00453DE3">
            <w:pPr>
              <w:spacing w:after="120" w:line="240" w:lineRule="auto"/>
              <w:contextualSpacing/>
              <w:rPr>
                <w:sz w:val="20"/>
                <w:szCs w:val="20"/>
              </w:rPr>
            </w:pPr>
            <w:r w:rsidRPr="005762E6">
              <w:rPr>
                <w:sz w:val="20"/>
                <w:szCs w:val="20"/>
              </w:rPr>
              <w:t>Richard Hebert What's new in Nicotine &amp; Tobacco Research?.. Nicotine &amp; tobacco research : official journal of the Society for Research on Nicotine and Tobacco; 2006;8:481.</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Behavior,​Adult,​Female,​Humans,​Male,​*Melanins/me [Metabolism],​Menthol,​Nicotine/ae [Adverse Effects],​Nicotine/me [Metabolism],​*Nicotine/pd [Pharmacology],​Pregnancy,​Pregnancy Complications/me [Metabolism],​*Smoking/ae [Adverse Effects],​Smoking/px [Psychology],​Tobacco Smoke Pollution/ae [Adverse Effects]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B710A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C8CFDE5" w14:textId="77777777" w:rsidR="007F0AE0" w:rsidRPr="005762E6" w:rsidRDefault="007F0AE0" w:rsidP="00453DE3">
            <w:pPr>
              <w:spacing w:after="120" w:line="240" w:lineRule="auto"/>
              <w:contextualSpacing/>
              <w:rPr>
                <w:sz w:val="20"/>
                <w:szCs w:val="20"/>
              </w:rPr>
            </w:pPr>
            <w:r w:rsidRPr="005762E6">
              <w:rPr>
                <w:sz w:val="20"/>
                <w:szCs w:val="20"/>
              </w:rPr>
              <w:t>685</w:t>
            </w:r>
          </w:p>
        </w:tc>
        <w:tc>
          <w:tcPr>
            <w:tcW w:w="0" w:type="auto"/>
            <w:tcBorders>
              <w:top w:val="single" w:sz="6" w:space="0" w:color="auto"/>
              <w:left w:val="single" w:sz="6" w:space="0" w:color="auto"/>
              <w:bottom w:val="single" w:sz="6" w:space="0" w:color="auto"/>
              <w:right w:val="single" w:sz="6" w:space="0" w:color="auto"/>
            </w:tcBorders>
          </w:tcPr>
          <w:p w14:paraId="77F52D3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3D41D34" w14:textId="77777777" w:rsidR="007F0AE0" w:rsidRPr="005762E6" w:rsidRDefault="007F0AE0" w:rsidP="00453DE3">
            <w:pPr>
              <w:spacing w:after="120" w:line="240" w:lineRule="auto"/>
              <w:contextualSpacing/>
              <w:rPr>
                <w:sz w:val="20"/>
                <w:szCs w:val="20"/>
              </w:rPr>
            </w:pPr>
            <w:r w:rsidRPr="005762E6">
              <w:rPr>
                <w:sz w:val="20"/>
                <w:szCs w:val="20"/>
              </w:rPr>
              <w:t>James C Hersey,​ Shu Wen Ng,​ James M Nonnemaker,​ Paul Mowery,​ Kristin Y Thomas,​ My-Charllins Vilsaint,​ Jane A Allen,​ M Lyndon Haviland Are menthol cigarettes a starter product for youth?.. Nicotine &amp; tobacco research : official journal of the Society for Research on Nicotine and Tobacco; 2006;8:403.</w:t>
            </w:r>
            <w:r w:rsidRPr="005762E6">
              <w:rPr>
                <w:sz w:val="20"/>
                <w:szCs w:val="20"/>
              </w:rPr>
              <w:br/>
            </w:r>
            <w:r w:rsidRPr="005762E6">
              <w:rPr>
                <w:sz w:val="20"/>
                <w:szCs w:val="20"/>
              </w:rPr>
              <w:br/>
            </w:r>
            <w:r w:rsidRPr="005762E6">
              <w:rPr>
                <w:b/>
                <w:bCs/>
                <w:sz w:val="20"/>
                <w:szCs w:val="20"/>
              </w:rPr>
              <w:t>Keywords:</w:t>
            </w:r>
            <w:r w:rsidRPr="005762E6">
              <w:rPr>
                <w:sz w:val="20"/>
                <w:szCs w:val="20"/>
              </w:rPr>
              <w:br/>
              <w:t>Adolescent,​Adolescent Behavior,​*Behavior,​ Addictive/ep [Epidemiology],​Causality,​Comorbidity,​Female,​Flavoring Agents/ad [Administration &amp; Dosage],​Humans,​Male,​*Menthol/ad [Administration &amp; Dosage],​Population Surveillance,​*Smoking/ep [Epidemiology],​Smoking/px [Psychology],​*Tobacco Industry,​*Tobacco Use Disorder/ep [Epidemiology],​United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assessed the relationship between menthol use and nicotine dependence. Data from the National Youth Tobacco Survey indicated that menthol cigarette use was significantly more common among newer,​ younger smokers. Additionally,​ youth who smoked menthol cigarettes had significantly higher scores on a scale of nicotine dependence compared with nonmenthol smokers,​ controlling for demographic background and the length,​ frequency,​ and level of smoking. The study suggests that menthol cigarettes are a starter product that may be associated with smoking uptake by youth.</w:t>
            </w:r>
          </w:p>
        </w:tc>
      </w:tr>
      <w:tr w:rsidR="007F0AE0" w:rsidRPr="005762E6" w14:paraId="2573CB3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A76DA6" w14:textId="77777777" w:rsidR="007F0AE0" w:rsidRPr="005762E6" w:rsidRDefault="007F0AE0" w:rsidP="00453DE3">
            <w:pPr>
              <w:spacing w:after="120" w:line="240" w:lineRule="auto"/>
              <w:contextualSpacing/>
              <w:rPr>
                <w:sz w:val="20"/>
                <w:szCs w:val="20"/>
              </w:rPr>
            </w:pPr>
            <w:r w:rsidRPr="005762E6">
              <w:rPr>
                <w:sz w:val="20"/>
                <w:szCs w:val="20"/>
              </w:rPr>
              <w:t>688</w:t>
            </w:r>
          </w:p>
        </w:tc>
        <w:tc>
          <w:tcPr>
            <w:tcW w:w="0" w:type="auto"/>
            <w:tcBorders>
              <w:top w:val="single" w:sz="6" w:space="0" w:color="auto"/>
              <w:left w:val="single" w:sz="6" w:space="0" w:color="auto"/>
              <w:bottom w:val="single" w:sz="6" w:space="0" w:color="auto"/>
              <w:right w:val="single" w:sz="6" w:space="0" w:color="auto"/>
            </w:tcBorders>
          </w:tcPr>
          <w:p w14:paraId="1426474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B8A588D" w14:textId="77777777" w:rsidR="007F0AE0" w:rsidRPr="005762E6" w:rsidRDefault="007F0AE0" w:rsidP="00453DE3">
            <w:pPr>
              <w:spacing w:after="120" w:line="240" w:lineRule="auto"/>
              <w:contextualSpacing/>
              <w:rPr>
                <w:sz w:val="20"/>
                <w:szCs w:val="20"/>
              </w:rPr>
            </w:pPr>
            <w:r w:rsidRPr="005762E6">
              <w:rPr>
                <w:sz w:val="20"/>
                <w:szCs w:val="20"/>
              </w:rPr>
              <w:t>Eric T Moolchan,​ Frederick H Franken,​ Maria Jaszyna-Gasior Adolescent nicotine metabolism: ethnoracial differences among dependent smokers.. Ethnicity &amp; disease; 2006;16:239.</w:t>
            </w:r>
            <w:r w:rsidRPr="005762E6">
              <w:rPr>
                <w:sz w:val="20"/>
                <w:szCs w:val="20"/>
              </w:rPr>
              <w:br/>
            </w:r>
            <w:r w:rsidRPr="005762E6">
              <w:rPr>
                <w:sz w:val="20"/>
                <w:szCs w:val="20"/>
              </w:rPr>
              <w:br/>
            </w:r>
            <w:r w:rsidRPr="005762E6">
              <w:rPr>
                <w:b/>
                <w:bCs/>
                <w:sz w:val="20"/>
                <w:szCs w:val="20"/>
              </w:rPr>
              <w:t>Keywords:</w:t>
            </w:r>
            <w:r w:rsidRPr="005762E6">
              <w:rPr>
                <w:sz w:val="20"/>
                <w:szCs w:val="20"/>
              </w:rPr>
              <w:br/>
              <w:t>Adolescent,​African Americans,​Baltimore,​European Continental Ancestry Group,​Female,​Humans,​Male,​Nicotine/bl [Blood],​*Nicotine/me [Metabolism],​Smoking/eh [Ethnology],​*Tobacco Use Disorder/eh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Variations in nicotine metabolism are thought to contribute to differences in cigarette consumption between African Americans and Caucasian adult smokers. To investigate the potential mechanism of previously documented lower smoking rates among African-American adolescent smokers seeking cessation treatment,​ we measured nicotine metabolite ratios as markers of the metabolic disposition of nicotine,​ which is generally considered to be under the influence of cytochrome P450 (CYP) 2A6. Plasma ratios of trans-3'-hydroxycotinine (3HC) to cotinine (COT) were examined in 92 cessation treatment-seeking adolescents (mean age 15.2 years,​ standard deviation [SD] 1.3,​ 69% female,​ 31% African American,​ mean Fagerstrom Test for Nicotine Dependence [FTND] 6.5,​ SD 1.6,​ mean years smoked 2.6,​ SD 1.6). Groups were similar in age,​ gender distribution,​ and mean FTND score. Analysis with independent t tests revealed significantly lower number of cigarettes per day (CPD) (15.1,​ SD 7.6 vs 19.6,​ SD 8.0,​ P=.013) and nicotine metabolite ratios (0.27,​ SD 0.15 vs 0.35,​ SD 0.16,​ P=.026) in African-American compared to Caucasian adolescent smokers. Consistent with metabolic variation,​ mean COT/CPD ratio was significantly higher in African-American compared to Caucasian adolescents. Results remained statistically significant when comparing menthol smokers by ethnicity. These findings are consistent with those found among adult smokers and provide a putative mechanism for reported ethnoracial differences in adolescent cigarette consumption. Our results underscore the need for measures independent of consumption for determining degree of nicotine dependence and treatment selection across ethnicities,​ even among youths.</w:t>
            </w:r>
          </w:p>
        </w:tc>
      </w:tr>
      <w:tr w:rsidR="007F0AE0" w:rsidRPr="005762E6" w14:paraId="7E899E7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6474349" w14:textId="77777777" w:rsidR="007F0AE0" w:rsidRPr="005762E6" w:rsidRDefault="007F0AE0" w:rsidP="00453DE3">
            <w:pPr>
              <w:spacing w:after="120" w:line="240" w:lineRule="auto"/>
              <w:contextualSpacing/>
              <w:rPr>
                <w:sz w:val="20"/>
                <w:szCs w:val="20"/>
              </w:rPr>
            </w:pPr>
            <w:r w:rsidRPr="005762E6">
              <w:rPr>
                <w:sz w:val="20"/>
                <w:szCs w:val="20"/>
              </w:rPr>
              <w:t>690</w:t>
            </w:r>
          </w:p>
        </w:tc>
        <w:tc>
          <w:tcPr>
            <w:tcW w:w="0" w:type="auto"/>
            <w:tcBorders>
              <w:top w:val="single" w:sz="6" w:space="0" w:color="auto"/>
              <w:left w:val="single" w:sz="6" w:space="0" w:color="auto"/>
              <w:bottom w:val="single" w:sz="6" w:space="0" w:color="auto"/>
              <w:right w:val="single" w:sz="6" w:space="0" w:color="auto"/>
            </w:tcBorders>
          </w:tcPr>
          <w:p w14:paraId="56ED269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2EECF0A" w14:textId="77777777" w:rsidR="007F0AE0" w:rsidRPr="005762E6" w:rsidRDefault="007F0AE0" w:rsidP="00453DE3">
            <w:pPr>
              <w:spacing w:after="120" w:line="240" w:lineRule="auto"/>
              <w:contextualSpacing/>
              <w:rPr>
                <w:sz w:val="20"/>
                <w:szCs w:val="20"/>
              </w:rPr>
            </w:pPr>
            <w:r w:rsidRPr="005762E6">
              <w:rPr>
                <w:sz w:val="20"/>
                <w:szCs w:val="20"/>
              </w:rPr>
              <w:t>Charles C Collins,​ Eric T Moolchan Shorter time to first cigarette of the day in menthol adolescent cigarette smokers.. Addictive behaviors; 2006;31:1460.</w:t>
            </w:r>
            <w:r w:rsidRPr="005762E6">
              <w:rPr>
                <w:sz w:val="20"/>
                <w:szCs w:val="20"/>
              </w:rPr>
              <w:br/>
            </w:r>
            <w:r w:rsidRPr="005762E6">
              <w:rPr>
                <w:sz w:val="20"/>
                <w:szCs w:val="20"/>
              </w:rPr>
              <w:br/>
            </w:r>
            <w:r w:rsidRPr="005762E6">
              <w:rPr>
                <w:b/>
                <w:bCs/>
                <w:sz w:val="20"/>
                <w:szCs w:val="20"/>
              </w:rPr>
              <w:t>Keywords:</w:t>
            </w:r>
            <w:r w:rsidRPr="005762E6">
              <w:rPr>
                <w:sz w:val="20"/>
                <w:szCs w:val="20"/>
              </w:rPr>
              <w:br/>
              <w:t>Adolescent,​*Behavior,​ Addictive/pp [Physiopathology],​*Circadian Rhythm/de [Drug Effects],​Female,​Humans,​</w:t>
            </w:r>
            <w:r w:rsidRPr="005762E6">
              <w:rPr>
                <w:sz w:val="20"/>
                <w:szCs w:val="20"/>
              </w:rPr>
              <w:lastRenderedPageBreak/>
              <w:t>Male,​*Menthol/ad [Administration &amp; Dosage],​*Nicotine/ad [Administration &amp; Dosage],​*Smoking,​Time Factors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smoking is thought to contribute to the addictiveness of smoking. Given the high prevalence of menthol smoking among youth,​ the aim of the current analysis was to examine differences in consumption and tobacco dependence,​ including smoking urgency among menthol and non-menthol adolescent smokers. Data for the current analysis were collected from telephone interviews with adolescent smokers applying to a cessation treatment study. Of 572 adolescent smokers (mean age=15.6+/-1.6 years; 55.1% female; 46.9% African American,​ 48.2% European American),​ 531 smoked menthol cigarettes and 41 smoked non-menthol as their usual brand. Analysis using Fisher's Exact (one-tailed) Test revealed that menthol smokers had a significantly shorter time to first (TTF) cigarette of the day compared to non-menthol smokers (smoking within the first 5 min of the day,​ 45% vs. 29%,​ respectively; p&lt;0.04). Independent t tests revealed no significant difference in number of cigarettes per day (CPD) (mean=12.2+/-8.5 vs. 11.4+/-8.8; p&lt;0.28) or Fagerstrom Test for Nicotine Dependence (FTND) scores (3.4+/-1.4 vs. 3.2+/-1.3; p&lt;0.23). While preliminary,​ our findings suggest greater smoking urgency among menthol compared to non-menthol adolescent cessation-treatment seekers. Further study in a broader sample of adolescent smokers is warranted to elucidate the mechanisms underlying the effects of menthol smoking for youths.</w:t>
            </w:r>
          </w:p>
        </w:tc>
      </w:tr>
      <w:tr w:rsidR="007F0AE0" w:rsidRPr="005762E6" w14:paraId="7D1B74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090B098" w14:textId="77777777" w:rsidR="007F0AE0" w:rsidRPr="005762E6" w:rsidRDefault="007F0AE0" w:rsidP="00453DE3">
            <w:pPr>
              <w:spacing w:after="120" w:line="240" w:lineRule="auto"/>
              <w:contextualSpacing/>
              <w:rPr>
                <w:sz w:val="20"/>
                <w:szCs w:val="20"/>
              </w:rPr>
            </w:pPr>
            <w:r w:rsidRPr="005762E6">
              <w:rPr>
                <w:sz w:val="20"/>
                <w:szCs w:val="20"/>
              </w:rPr>
              <w:lastRenderedPageBreak/>
              <w:t>692</w:t>
            </w:r>
          </w:p>
        </w:tc>
        <w:tc>
          <w:tcPr>
            <w:tcW w:w="0" w:type="auto"/>
            <w:tcBorders>
              <w:top w:val="single" w:sz="6" w:space="0" w:color="auto"/>
              <w:left w:val="single" w:sz="6" w:space="0" w:color="auto"/>
              <w:bottom w:val="single" w:sz="6" w:space="0" w:color="auto"/>
              <w:right w:val="single" w:sz="6" w:space="0" w:color="auto"/>
            </w:tcBorders>
          </w:tcPr>
          <w:p w14:paraId="49D372C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FE7725F" w14:textId="77777777" w:rsidR="007F0AE0" w:rsidRPr="005762E6" w:rsidRDefault="007F0AE0" w:rsidP="00453DE3">
            <w:pPr>
              <w:spacing w:after="120" w:line="240" w:lineRule="auto"/>
              <w:contextualSpacing/>
              <w:rPr>
                <w:sz w:val="20"/>
                <w:szCs w:val="20"/>
              </w:rPr>
            </w:pPr>
            <w:r w:rsidRPr="005762E6">
              <w:rPr>
                <w:sz w:val="20"/>
                <w:szCs w:val="20"/>
              </w:rPr>
              <w:t>Taru Kinnunen Mustonen,​ Stacie M Spencer,​ Randall A Hoskinson,​ David P L Sachs,​ Arthur J Garvey The influence of gender,​ race,​ and menthol content on tobacco exposure measures.. Nicotine &amp; tobacco research : official journal of the Society for Research on Nicotine and Tobacco; 2005;7:581.</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[Psychology],​*African Americans/sn [Statistics &amp; Numerical Data],​Analysis of Variance,​Attitude to Health/eh [Ethnology],​Biomarkers/an [Analysis],​Carbon Monoxide/an [Analysis],​Cotinine/an [Analysis],​European Continental Ancestry Group/px [Psychology],​*European Continental Ancestry Group/sn [Statistics &amp; Numerical Data],​Female,​Flavoring Agents/ae [Adverse Effects],​*Flavoring Agents/an [Analysis],​Humans,​Male,​Menthol/ae [Adverse Effects],​*Menthol/an [Analysis],​Middle Aged,​Saliva/ch [Chemistry],​Sex Distribution,​Smoking/ae [Adverse Effects],​*Smoking/ep [Epidemiology],​*Smoking/me [Metabolism],​Smoking Cessation/sn [Statistics &amp; Numerical Data],​United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Research has suggested that race,​ gender,​ and menthol cigarette use influence tobacco-smoke exposure measures and smoking-related disease risk. For example,​ a high proportion of Black smokers prefer menthol cigarettes and,​ despite smoking fewer cigarettes per day (CPD) than do Whites,​ tend to have higher cotinine levels. Additionally,​ Black males are more at risk for smoking-related lung cancer. High cotinine levels and smoking menthol cigarettes may lead to higher toxin intake,​ which contributes to increased disease risk. We explored the relationship between tobacco exposure variables (i.e.,​ cotinine,​ CPD,​ carbon monoxide [CO],​ nicotine content,​ and nicotine dependence) with respect to race,​ gender,​ and menthol content in a sample of 307 smokers recruited from the greater Boston area to participate in a smoking cessation treatment trial. The pattern of correlations between tobacco exposure measures and cotinine showed a consistently positive correlation between cotinine and CO in all smokers and a correlation between cotinine and CPD in those who smoked nonmenthol cigarettes. Cotinine and CPD correlations varied by gender and race among menthol cigarette smokers. Consistently,​ we found a significant gender x race x menthol interaction on salivary cotinine level as well as cotinine/CPD ratio. These findings suggest that the relationship between number of cigarettes consumed and salivary cotinine is more complex than previously believed. It is not sufficient to look at race alone; researchers and clinicians need to look at race and gender concurrently,​ as well as type of cigarette consumed.</w:t>
            </w:r>
          </w:p>
        </w:tc>
      </w:tr>
      <w:tr w:rsidR="007F0AE0" w:rsidRPr="005762E6" w14:paraId="3FCB45A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490331" w14:textId="77777777" w:rsidR="007F0AE0" w:rsidRPr="005762E6" w:rsidRDefault="007F0AE0" w:rsidP="00453DE3">
            <w:pPr>
              <w:spacing w:after="120" w:line="240" w:lineRule="auto"/>
              <w:contextualSpacing/>
              <w:rPr>
                <w:sz w:val="20"/>
                <w:szCs w:val="20"/>
              </w:rPr>
            </w:pPr>
            <w:r w:rsidRPr="005762E6">
              <w:rPr>
                <w:sz w:val="20"/>
                <w:szCs w:val="20"/>
              </w:rPr>
              <w:t>693</w:t>
            </w:r>
          </w:p>
        </w:tc>
        <w:tc>
          <w:tcPr>
            <w:tcW w:w="0" w:type="auto"/>
            <w:tcBorders>
              <w:top w:val="single" w:sz="6" w:space="0" w:color="auto"/>
              <w:left w:val="single" w:sz="6" w:space="0" w:color="auto"/>
              <w:bottom w:val="single" w:sz="6" w:space="0" w:color="auto"/>
              <w:right w:val="single" w:sz="6" w:space="0" w:color="auto"/>
            </w:tcBorders>
          </w:tcPr>
          <w:p w14:paraId="090C2D3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32F7C96" w14:textId="77777777" w:rsidR="007F0AE0" w:rsidRPr="005762E6" w:rsidRDefault="007F0AE0" w:rsidP="00453DE3">
            <w:pPr>
              <w:spacing w:after="120" w:line="240" w:lineRule="auto"/>
              <w:contextualSpacing/>
              <w:rPr>
                <w:sz w:val="20"/>
                <w:szCs w:val="20"/>
              </w:rPr>
            </w:pPr>
            <w:r w:rsidRPr="005762E6">
              <w:rPr>
                <w:sz w:val="20"/>
                <w:szCs w:val="20"/>
              </w:rPr>
              <w:t>Carolyn C Celebucki,​ Geoffrey Ferris Wayne,​ Gregory N Connolly,​ James F Pankow,​ Elsa I Chang Characterization of measured menthol in 48 U.S. cigarette sub-brands.. Nicotine &amp; tobacco research : official journal of the Society for Research on Nicotine and Tobacco; 2005;7:523.</w:t>
            </w:r>
            <w:r w:rsidRPr="005762E6">
              <w:rPr>
                <w:sz w:val="20"/>
                <w:szCs w:val="20"/>
              </w:rPr>
              <w:br/>
            </w:r>
            <w:r w:rsidRPr="005762E6">
              <w:rPr>
                <w:sz w:val="20"/>
                <w:szCs w:val="20"/>
              </w:rPr>
              <w:br/>
            </w:r>
            <w:r w:rsidRPr="005762E6">
              <w:rPr>
                <w:b/>
                <w:bCs/>
                <w:sz w:val="20"/>
                <w:szCs w:val="20"/>
              </w:rPr>
              <w:t>Keywords:</w:t>
            </w:r>
            <w:r w:rsidRPr="005762E6">
              <w:rPr>
                <w:sz w:val="20"/>
                <w:szCs w:val="20"/>
              </w:rPr>
              <w:br/>
              <w:t>Analysis of Variance,​Flavoring Agents/ae [Adverse Effects],​*Flavoring Agents/an [Analysis],​Gas Chromatography-Mass Spectrometry,​Government Regulation,​Humans,​Menthol/ae [Adverse Effects],​*Menthol/an [Analysis],​*Smoke/an [Analysis],​*Tobacco/ch [Chemistry],​*Tobacco Industry/st [Standards],​United States</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More than 25% of cigarettes sold in the United States are branded as mentholated,​ and these cigarettes are smoked disproportionately among populations with disparate tobacco-related health outcomes. This study is the first (independent of the tobacco industry) to report menthol for 48 popular commercially available mentholated cigarette sub-brands. The dependent variable "menthol per cigarette" was obtained by gas chromatography-mass spectrometer assay,​ whereas average per-cigarette milligram weight of tobacco filler ("tobacco per cigarette") was determined gravimetrically. Pearson's correlations assessed associations among continuous variables. Analyses of variance assessed mean differences on the independent variables of interest: manufacturer,​ brand family,​ industry descriptors of length (100 mm and King [85 mm]) and label (ultralight,​ light,​ medium/mild,​ and regular/full flavor),​ and a category constructed by the authors of exclusively menthol brand families (those without a non-menthol offering; Kool,​ Newport,​ and Salem) versus others (GPC,​ Camel,​ and Marlboro). Results showed menthol per cigarette and menthol per tobacco (i.e.,​ milligrams of menthol per gram of tobacco filler) to be significantly greater in cigarettes labeled with industry descriptors of ultralight or light,​ belying the common consumer perception that "light" means less. Menthol per cigarette and tobacco per cigarette were significantly greater in 100-mm compared with 85-mm cigarettes. The study results are consistent with prior research that suggests menthol may be used to offset reductions in smoke delivery or impact and to facilitate compensatory smoke inhalation behaviors in smokers of cigarettes with reduced machine-measured smoke delivery. Tobacco manufacturers should be required by federal or other regulatory agencies to report the amount of menthol added to cigarettes.</w:t>
            </w:r>
          </w:p>
        </w:tc>
      </w:tr>
      <w:tr w:rsidR="007F0AE0" w:rsidRPr="005762E6" w14:paraId="7E97879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3C1C97" w14:textId="77777777" w:rsidR="007F0AE0" w:rsidRPr="005762E6" w:rsidRDefault="007F0AE0" w:rsidP="00453DE3">
            <w:pPr>
              <w:spacing w:after="120" w:line="240" w:lineRule="auto"/>
              <w:contextualSpacing/>
              <w:rPr>
                <w:sz w:val="20"/>
                <w:szCs w:val="20"/>
              </w:rPr>
            </w:pPr>
            <w:r w:rsidRPr="005762E6">
              <w:rPr>
                <w:sz w:val="20"/>
                <w:szCs w:val="20"/>
              </w:rPr>
              <w:lastRenderedPageBreak/>
              <w:t>695</w:t>
            </w:r>
          </w:p>
        </w:tc>
        <w:tc>
          <w:tcPr>
            <w:tcW w:w="0" w:type="auto"/>
            <w:tcBorders>
              <w:top w:val="single" w:sz="6" w:space="0" w:color="auto"/>
              <w:left w:val="single" w:sz="6" w:space="0" w:color="auto"/>
              <w:bottom w:val="single" w:sz="6" w:space="0" w:color="auto"/>
              <w:right w:val="single" w:sz="6" w:space="0" w:color="auto"/>
            </w:tcBorders>
          </w:tcPr>
          <w:p w14:paraId="4121AF8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457FD27" w14:textId="77777777" w:rsidR="007F0AE0" w:rsidRPr="005762E6" w:rsidRDefault="007F0AE0" w:rsidP="00453DE3">
            <w:pPr>
              <w:spacing w:after="120" w:line="240" w:lineRule="auto"/>
              <w:contextualSpacing/>
              <w:rPr>
                <w:sz w:val="20"/>
                <w:szCs w:val="20"/>
              </w:rPr>
            </w:pPr>
            <w:r w:rsidRPr="005762E6">
              <w:rPr>
                <w:sz w:val="20"/>
                <w:szCs w:val="20"/>
              </w:rPr>
              <w:t>Anita F Fernander,​ Christi A Patten,​ Darrell R Schroeder,​ Susanna R Stevens,​ Kay M Eberman,​ Richard D Hurt Exploring the association of John Henry active coping and education on smoking behavior and nicotine dependence among Blacks in the USA.. Social science &amp; medicine (1982); 2005;60:491.</w:t>
            </w:r>
            <w:r w:rsidRPr="005762E6">
              <w:rPr>
                <w:sz w:val="20"/>
                <w:szCs w:val="20"/>
              </w:rPr>
              <w:br/>
            </w:r>
            <w:r w:rsidRPr="005762E6">
              <w:rPr>
                <w:sz w:val="20"/>
                <w:szCs w:val="20"/>
              </w:rPr>
              <w:br/>
            </w:r>
            <w:r w:rsidRPr="005762E6">
              <w:rPr>
                <w:b/>
                <w:bCs/>
                <w:sz w:val="20"/>
                <w:szCs w:val="20"/>
              </w:rPr>
              <w:t>Keywords:</w:t>
            </w:r>
            <w:r w:rsidRPr="005762E6">
              <w:rPr>
                <w:sz w:val="20"/>
                <w:szCs w:val="20"/>
              </w:rPr>
              <w:br/>
              <w:t>*Adaptation,​ Psychological,​Adolescent,​Adult,​*African Americans/px [Psychology],​Educational Status,​Female,​Health Education,​Humans,​Male,​*Smoking/px [Psychology],​Social Class,​*Tobacco Use Disorder,​United States,​Urban Population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Although smoking is used as a coping tool in response to stress and Blacks have been found to report smoking more in response to stress than Whites,​ little research exists that has examined ethno-culturally specific constructs of stress and coping as they relate to smoking behavior and nicotine dependence among Blacks in the USA. This study explored the association between the ethno-culturally interactively defined construct of John Henryism,​ as well as the individual contributions of John Henry active coping and education on smoking behavior and nicotine dependence in a relatively urban-Midwestern Black population. Self-identified Black patients (n = 146) who had previously received a clinical intervention for nicotine dependence were followed to assess smoking status and John Henry active coping. Results revealed that patients with low levels of education who had low levels of John Henry active coping reported higher nicotine dependence scores than any other education by John Henry active coping group. Furthermore,​ low levels of John Henry active coping were associated with the use of menthol cigarettes and lower-educational level was associated with smoking greater than 20 cigarettes per day. Further community-based studies examining this construct among Black smokers in various socio-cultural contexts are needed to clarify the association between John Henry active coping and socioeconomic status on smoking behavior and nicotine dependence among Blacks.</w:t>
            </w:r>
          </w:p>
        </w:tc>
      </w:tr>
      <w:tr w:rsidR="007F0AE0" w:rsidRPr="005762E6" w14:paraId="44442E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39EEE6" w14:textId="77777777" w:rsidR="007F0AE0" w:rsidRPr="005762E6" w:rsidRDefault="007F0AE0" w:rsidP="00453DE3">
            <w:pPr>
              <w:spacing w:after="120" w:line="240" w:lineRule="auto"/>
              <w:contextualSpacing/>
              <w:rPr>
                <w:sz w:val="20"/>
                <w:szCs w:val="20"/>
              </w:rPr>
            </w:pPr>
            <w:r w:rsidRPr="005762E6">
              <w:rPr>
                <w:sz w:val="20"/>
                <w:szCs w:val="20"/>
              </w:rPr>
              <w:t>698</w:t>
            </w:r>
          </w:p>
        </w:tc>
        <w:tc>
          <w:tcPr>
            <w:tcW w:w="0" w:type="auto"/>
            <w:tcBorders>
              <w:top w:val="single" w:sz="6" w:space="0" w:color="auto"/>
              <w:left w:val="single" w:sz="6" w:space="0" w:color="auto"/>
              <w:bottom w:val="single" w:sz="6" w:space="0" w:color="auto"/>
              <w:right w:val="single" w:sz="6" w:space="0" w:color="auto"/>
            </w:tcBorders>
          </w:tcPr>
          <w:p w14:paraId="478E99D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4B08DFE" w14:textId="77777777" w:rsidR="007F0AE0" w:rsidRPr="005762E6" w:rsidRDefault="007F0AE0" w:rsidP="00453DE3">
            <w:pPr>
              <w:spacing w:after="120" w:line="240" w:lineRule="auto"/>
              <w:contextualSpacing/>
              <w:rPr>
                <w:sz w:val="20"/>
                <w:szCs w:val="20"/>
              </w:rPr>
            </w:pPr>
            <w:r w:rsidRPr="005762E6">
              <w:rPr>
                <w:sz w:val="20"/>
                <w:szCs w:val="20"/>
              </w:rPr>
              <w:t>Kolawole S Okuyemi,​ Maiko Ebersole-Robinson,​ Niaman Nazir,​ Jasjit S Ahluwalia African-American menthol and nonmenthol smokers: differences in smoking and cessation experiences.. Journal of the National Medical Association; 2004;96:1208.</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Americans/px [Psychology],​Aged,​Cross-Sectional Studies,​Female,​Humans,​Male,​*Menthol,​Middle Aged,​*Smoking/eh [Ethnology],​*Smoking Cessation/eh [Ethnology],​Socioeconomic Factors,​Urban Population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BACKGROUND: Despite smoking fewer cigarettes per day,​ African Americans have lower cessation rates and experience disproportionately higher rates of smoking-related health consequences. Because of their high preference for menthol cigarettes,​ it has been suggested that smoking menthol cigarettes may contribute to the excess smoking-related morbidity experienced by African Americans. Smoking menthol cigarettes could increase </w:t>
            </w:r>
            <w:r w:rsidRPr="005762E6">
              <w:rPr>
                <w:sz w:val="20"/>
                <w:szCs w:val="20"/>
              </w:rPr>
              <w:lastRenderedPageBreak/>
              <w:t>health risks from smoking if smokers of menthol cigarettes have lower cessation rates and thereby have longer duration of smoking compared to smokers of nonmentholated cigarettes. Few studies have examined associations between smoking of mentholated cigarettes and smoking cessation among African Americans. This study examined the smoking patterns of menthol cigarette smokers and their smoking cessation experiences.,​ METHODS: A cross-sectional survey of 480 African-American smokers at an inner-city health center. Survey examined sociodemographics,​ smoking characteristics,​ and smoking cessation experiences of participants. Menthol smokers (n = 407) were compared to nonmenthol smokers (n = 73) in these characteristics.,​ RESULTS: Menthol smokers were younger and more likely to smoke cigarettes with longer rod length,​ with filters,​ and those high in nicotine and tar. Although both groups did not differ by number of past quit attempts,​ time since most recent quit attempt was shorter for menthol smokers. The durations of most recent and longest-ever quit attempts were nonsignificantly shorter for menthol,​ compared to nonmenthol smokers.,​ CONCLUSIONS: These data suggest that African-American menthol smokers are less successful with smoking cessation. Prospective studies are needed to confirm these findings and examine mechanisms underlying such differences.</w:t>
            </w:r>
          </w:p>
        </w:tc>
      </w:tr>
      <w:tr w:rsidR="007F0AE0" w:rsidRPr="005762E6" w14:paraId="6CF7333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BE8D4B" w14:textId="77777777" w:rsidR="007F0AE0" w:rsidRPr="005762E6" w:rsidRDefault="007F0AE0" w:rsidP="00453DE3">
            <w:pPr>
              <w:spacing w:after="120" w:line="240" w:lineRule="auto"/>
              <w:contextualSpacing/>
              <w:rPr>
                <w:sz w:val="20"/>
                <w:szCs w:val="20"/>
              </w:rPr>
            </w:pPr>
            <w:r w:rsidRPr="005762E6">
              <w:rPr>
                <w:sz w:val="20"/>
                <w:szCs w:val="20"/>
              </w:rPr>
              <w:lastRenderedPageBreak/>
              <w:t>699</w:t>
            </w:r>
          </w:p>
        </w:tc>
        <w:tc>
          <w:tcPr>
            <w:tcW w:w="0" w:type="auto"/>
            <w:tcBorders>
              <w:top w:val="single" w:sz="6" w:space="0" w:color="auto"/>
              <w:left w:val="single" w:sz="6" w:space="0" w:color="auto"/>
              <w:bottom w:val="single" w:sz="6" w:space="0" w:color="auto"/>
              <w:right w:val="single" w:sz="6" w:space="0" w:color="auto"/>
            </w:tcBorders>
          </w:tcPr>
          <w:p w14:paraId="573F3AC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BFD265" w14:textId="77777777" w:rsidR="007F0AE0" w:rsidRPr="005762E6" w:rsidRDefault="007F0AE0" w:rsidP="00453DE3">
            <w:pPr>
              <w:spacing w:after="120" w:line="240" w:lineRule="auto"/>
              <w:contextualSpacing/>
              <w:rPr>
                <w:sz w:val="20"/>
                <w:szCs w:val="20"/>
              </w:rPr>
            </w:pPr>
            <w:r w:rsidRPr="005762E6">
              <w:rPr>
                <w:sz w:val="20"/>
                <w:szCs w:val="20"/>
              </w:rPr>
              <w:t>Eric T Moolchan,​ Darrell L Hudson,​ Jennifer R Schroeder,​ Shelley S Sehnert Heart rate and blood pressure responses to tobacco smoking among African-American adolescents.. Journal of the National Medical Association; 2004;96:767.</w:t>
            </w:r>
            <w:r w:rsidRPr="005762E6">
              <w:rPr>
                <w:sz w:val="20"/>
                <w:szCs w:val="20"/>
              </w:rPr>
              <w:br/>
            </w:r>
            <w:r w:rsidRPr="005762E6">
              <w:rPr>
                <w:sz w:val="20"/>
                <w:szCs w:val="20"/>
              </w:rPr>
              <w:br/>
            </w:r>
            <w:r w:rsidRPr="005762E6">
              <w:rPr>
                <w:b/>
                <w:bCs/>
                <w:sz w:val="20"/>
                <w:szCs w:val="20"/>
              </w:rPr>
              <w:t>Keywords:</w:t>
            </w:r>
            <w:r w:rsidRPr="005762E6">
              <w:rPr>
                <w:sz w:val="20"/>
                <w:szCs w:val="20"/>
              </w:rPr>
              <w:br/>
              <w:t>Adolescent,​African Americans/sn [Statistics &amp; Numerical Data],​*African Americans,​*Blood Pressure/ge [Genetics],​European Continental Ancestry Group/sn [Statistics &amp; Numerical Data],​Female,​*Heart Rate/ge [Genetics],​Humans,​Male,​*Smoking/eh [Ethnology],​Smoking/pp [Physiopathology],​Smoking Cessation/eh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Ethnic differences in both physiological response to and health consequences of tobacco smoking-some of which have been attributed to ethnic preferences for menthol cigarettes-have been described in the literature. We compared acute physiological responses to smoking in African-American and European-American adolescent menthol cigarette smokers seeking smoking cessation treatment. One-hundred- twenty-eight adolescents (32% African-American,​ 71% female; mean age 15.16 +/- 1.32 years,​ mean Fagerstrom Test of Nicotine Dependence (FTND) score 6.73 +/- 1.53,​ cigarettes per day (CPD) 16.9 +/- 2.64) participated in an experimental session during which they smoked one menthol cigarette of their usual brand. Blood pressure,​ heart rate,​ and exhaled carbon monoxide (CO) concentrations were measured before and after smoking; mean puff volume (mL),​ puff duration (sec) and maximal puff velocity (mL/sec) during smoking were also determined. Two sample t-tests were performed to assess ethnic differences in smoking topography; analysis of covariance was used to determine whether heart rate and blood pressure after smoking one menthol cigarette varied by ethnicity,​ after controlling for baseline physiological measures. No significant ethnic differences were observed in either smoking topography or acute cardiovascular response to smoking. These preliminary findings warrant extension to a broader group of nontreatment-seeking adolescent smokers of both ethnicities.</w:t>
            </w:r>
          </w:p>
        </w:tc>
      </w:tr>
      <w:tr w:rsidR="007F0AE0" w:rsidRPr="005762E6" w14:paraId="3A7C8E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740271" w14:textId="77777777" w:rsidR="007F0AE0" w:rsidRPr="005762E6" w:rsidRDefault="007F0AE0" w:rsidP="00453DE3">
            <w:pPr>
              <w:spacing w:after="120" w:line="240" w:lineRule="auto"/>
              <w:contextualSpacing/>
              <w:rPr>
                <w:sz w:val="20"/>
                <w:szCs w:val="20"/>
              </w:rPr>
            </w:pPr>
            <w:r w:rsidRPr="005762E6">
              <w:rPr>
                <w:sz w:val="20"/>
                <w:szCs w:val="20"/>
              </w:rPr>
              <w:t>700</w:t>
            </w:r>
          </w:p>
        </w:tc>
        <w:tc>
          <w:tcPr>
            <w:tcW w:w="0" w:type="auto"/>
            <w:tcBorders>
              <w:top w:val="single" w:sz="6" w:space="0" w:color="auto"/>
              <w:left w:val="single" w:sz="6" w:space="0" w:color="auto"/>
              <w:bottom w:val="single" w:sz="6" w:space="0" w:color="auto"/>
              <w:right w:val="single" w:sz="6" w:space="0" w:color="auto"/>
            </w:tcBorders>
          </w:tcPr>
          <w:p w14:paraId="178E9DD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54B07F1" w14:textId="77777777" w:rsidR="007F0AE0" w:rsidRPr="005762E6" w:rsidRDefault="007F0AE0" w:rsidP="00453DE3">
            <w:pPr>
              <w:spacing w:after="120" w:line="240" w:lineRule="auto"/>
              <w:contextualSpacing/>
              <w:rPr>
                <w:sz w:val="20"/>
                <w:szCs w:val="20"/>
              </w:rPr>
            </w:pPr>
            <w:r w:rsidRPr="005762E6">
              <w:rPr>
                <w:sz w:val="20"/>
                <w:szCs w:val="20"/>
              </w:rPr>
              <w:t>Jed E Rose,​ Frederique M Behm Extinguishing the rewarding value of smoke cues: pharmacological and behavioral treatments.. Nicotine &amp; tobacco research : official journal of the Society for Research on Nicotine and Tobacco; 2004;6:523.</w:t>
            </w:r>
            <w:r w:rsidRPr="005762E6">
              <w:rPr>
                <w:sz w:val="20"/>
                <w:szCs w:val="20"/>
              </w:rPr>
              <w:br/>
            </w:r>
            <w:r w:rsidRPr="005762E6">
              <w:rPr>
                <w:sz w:val="20"/>
                <w:szCs w:val="20"/>
              </w:rPr>
              <w:br/>
            </w:r>
            <w:r w:rsidRPr="005762E6">
              <w:rPr>
                <w:b/>
                <w:bCs/>
                <w:sz w:val="20"/>
                <w:szCs w:val="20"/>
              </w:rPr>
              <w:t>Keywords:</w:t>
            </w:r>
            <w:r w:rsidRPr="005762E6">
              <w:rPr>
                <w:sz w:val="20"/>
                <w:szCs w:val="20"/>
              </w:rPr>
              <w:br/>
              <w:t>Administration,​ Cutaneous,​Adult,​*Behavior Therapy,​Extinction,​ Psychological,​Female,​Ganglionic Stimulants/ad [Administration &amp; Dosage],​Ganglionic Stimulants/tu [Therapeutic Use],​Humans,​Male,​Mecamylamine/ad [Administration &amp; Dosage],​Mecamylamine/tu [Therapeutic Use],​Menthol/an [Analysis],​Middle Aged,​Nicotine/ad [Administration &amp; Dosage],​Nicotine/tu [Therapeutic Use],​Nicotinic Antagonists/ad [Administration &amp; Dosage],​Nicotinic Antagonists/tu [Therapeutic Use],​*Reinforcement (Psychology),​*Smoking/px [Psychology],​*Smoking Cessation/mt [Methods],​*Smoking Cessation/px [Psychology],​Tobacco Use Disorder/px [Psychology],​*Tobacco Use Disorder/th [Therapy]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present study examined several pharmacological and behavioral treatments designed to promote extinction of the responses to rewarding cigarette smoke cues. Pharmacological treatments comprised nicotine skin patches (21 mg/24 hr) and the nicotinic acetylcholine receptor antagonist mecamylamine (10 mg/day),​ administered separately or in combination. Behavioral manipulations included switching to denicotinized </w:t>
            </w:r>
            <w:r w:rsidRPr="005762E6">
              <w:rPr>
                <w:sz w:val="20"/>
                <w:szCs w:val="20"/>
              </w:rPr>
              <w:lastRenderedPageBreak/>
              <w:t>cigarettes,​ to cigarettes having different menthol flavor,​ or to ventilated-filter (low tar and nicotine) cigarettes. Smokers were assigned to the various treatments for 2 weeks before they quit smoking. During weekly test sessions,​ subjects rated the rewarding effects of their usual brands of cigarettes or cigarettes with different menthol content (mentholated vs. nonmentholated). Over the 2-week treatment period,​ all pharmacological treatments reduced ratings of reward for the usual-brand test cigarettes. Switching to smoking denicotinized cigarettes for 2 weeks similarly decreased rewarding effects of the usual-brand test cigarettes. Subjects also strongly preferred cigarettes with the same menthol content to which they were accustomed. However,​ manipulating the menthol content of the cigarettes smoked during the 2 weeks of treatment had different effects,​ depending on whether smokers habitually smoked mentholated or nonmentholated cigarettes. For menthol smokers,​ removal of the menthol cue hampered extinction of reward ratings for the usual-brand (mentholated) test cigarette. For nonmenthol smokers,​ addition of the menthol cue did not affect the progress of extinction of nonmenthol smoke cues. These findings demonstrate the importance of sensory cues in determining subjective reward and show that the reward value of these cues can be altered by removal of nicotine from tobacco or by pharmacological manipulations that interfere with the reinforcing effects of nicotine.</w:t>
            </w:r>
          </w:p>
        </w:tc>
      </w:tr>
      <w:tr w:rsidR="007F0AE0" w:rsidRPr="005762E6" w14:paraId="08B948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74B30C" w14:textId="77777777" w:rsidR="007F0AE0" w:rsidRPr="005762E6" w:rsidRDefault="007F0AE0" w:rsidP="00453DE3">
            <w:pPr>
              <w:spacing w:after="120" w:line="240" w:lineRule="auto"/>
              <w:contextualSpacing/>
              <w:rPr>
                <w:sz w:val="20"/>
                <w:szCs w:val="20"/>
              </w:rPr>
            </w:pPr>
            <w:r w:rsidRPr="005762E6">
              <w:rPr>
                <w:sz w:val="20"/>
                <w:szCs w:val="20"/>
              </w:rPr>
              <w:lastRenderedPageBreak/>
              <w:t>701</w:t>
            </w:r>
          </w:p>
        </w:tc>
        <w:tc>
          <w:tcPr>
            <w:tcW w:w="0" w:type="auto"/>
            <w:tcBorders>
              <w:top w:val="single" w:sz="6" w:space="0" w:color="auto"/>
              <w:left w:val="single" w:sz="6" w:space="0" w:color="auto"/>
              <w:bottom w:val="single" w:sz="6" w:space="0" w:color="auto"/>
              <w:right w:val="single" w:sz="6" w:space="0" w:color="auto"/>
            </w:tcBorders>
          </w:tcPr>
          <w:p w14:paraId="3305C3A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F30A866" w14:textId="77777777" w:rsidR="007F0AE0" w:rsidRPr="005762E6" w:rsidRDefault="007F0AE0" w:rsidP="00453DE3">
            <w:pPr>
              <w:spacing w:after="120" w:line="240" w:lineRule="auto"/>
              <w:contextualSpacing/>
              <w:rPr>
                <w:sz w:val="20"/>
                <w:szCs w:val="20"/>
              </w:rPr>
            </w:pPr>
            <w:r w:rsidRPr="005762E6">
              <w:rPr>
                <w:sz w:val="20"/>
                <w:szCs w:val="20"/>
              </w:rPr>
              <w:t>Samuel Garten,​ R Victor Falkner Role of mentholated cigarettes in increased nicotine dependence and greater risk of tobacco-attributable disease.. Preventive medicine; 2004;38:793.</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Americans,​Female,​Humans,​Male,​Menthol/ad [Administration &amp; Dosage],​*Menthol/ae [Adverse Effects],​*Respiratory Tract Diseases/ci [Chemically Induced],​Respiratory Tract Diseases/et [Etiology],​Risk Factors,​*Smoking/ae [Adverse Effects],​*Thermoreceptors/de [Drug Effects],​*Tobacco Use Disorder/pp [Physiopathology]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Cold air stimulates upper airway cold receptors causing a reflex depressive effect on respiratory activity. Menthol,​ in low concentrations can also stimulate these same cold receptors causing a depressive effect on respiratory activity. Menthol cigarettes when smoked,​ deliver enough menthol to stimulate cold receptors resulting in the smoker experiencing a "cool sensation." The "cool sensation" experienced by the menthol smoker can result in a reflex-depressive effect on respiratory activity.,​ METHOD: Literature searches were done for the NLM databases (e.g.,​ MEDLINE from 1966,​ TOXLINE,​ OLDMEDLINE (1985-1965),​ CANCERLIT,​ plus tobacco industry documents and hardcopy indices. The evidence was evaluated with application to mentholated cigarette smoking.,​ RESULTS AND DISCUSSION: A logical progression is presented that develops the framework to prove that menthol found in mentholated cigarettes may cause respiratory depression resulting in greater exposure to the toxic substances found in tobacco smoke.,​ CONCLUSION: As a result of breath holding that results from the stimulation of cold receptors there is a greater opportunity for exposure and transfer of the contents of the lungs to the pulmonary circulation. For the menthol smoker this results in a greater exposure to nicotine and the particulate matter (tar) of the smoked cigarette. This exposure can result in increased nicotine dependence and greater chance of tobacco-attributable disease.</w:t>
            </w:r>
          </w:p>
        </w:tc>
      </w:tr>
      <w:tr w:rsidR="007F0AE0" w:rsidRPr="005762E6" w14:paraId="2336E0C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7107280" w14:textId="77777777" w:rsidR="007F0AE0" w:rsidRPr="005762E6" w:rsidRDefault="007F0AE0" w:rsidP="00453DE3">
            <w:pPr>
              <w:spacing w:after="120" w:line="240" w:lineRule="auto"/>
              <w:contextualSpacing/>
              <w:rPr>
                <w:sz w:val="20"/>
                <w:szCs w:val="20"/>
              </w:rPr>
            </w:pPr>
            <w:r w:rsidRPr="005762E6">
              <w:rPr>
                <w:sz w:val="20"/>
                <w:szCs w:val="20"/>
              </w:rPr>
              <w:t>702</w:t>
            </w:r>
          </w:p>
        </w:tc>
        <w:tc>
          <w:tcPr>
            <w:tcW w:w="0" w:type="auto"/>
            <w:tcBorders>
              <w:top w:val="single" w:sz="6" w:space="0" w:color="auto"/>
              <w:left w:val="single" w:sz="6" w:space="0" w:color="auto"/>
              <w:bottom w:val="single" w:sz="6" w:space="0" w:color="auto"/>
              <w:right w:val="single" w:sz="6" w:space="0" w:color="auto"/>
            </w:tcBorders>
          </w:tcPr>
          <w:p w14:paraId="5D057CE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695930B" w14:textId="77777777" w:rsidR="007F0AE0" w:rsidRPr="005762E6" w:rsidRDefault="007F0AE0" w:rsidP="00453DE3">
            <w:pPr>
              <w:spacing w:after="120" w:line="240" w:lineRule="auto"/>
              <w:contextualSpacing/>
              <w:rPr>
                <w:sz w:val="20"/>
                <w:szCs w:val="20"/>
              </w:rPr>
            </w:pPr>
            <w:r w:rsidRPr="005762E6">
              <w:rPr>
                <w:sz w:val="20"/>
                <w:szCs w:val="20"/>
              </w:rPr>
              <w:t>Neal L Benowitz,​ Brenda Herrera,​ Peyton 3rd Jacob Mentholated cigarette smoking inhibits nicotine metabolism.. The Journal of pharmacology and experimental therapeutics; 2004;310:1208.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Americans,​Antipruritics/pd [Pharmacology],​Carbon Monoxide/pk [Pharmacokinetics],​Cotinine/pk [Pharmacokinetics],​Drug Interactions,​European Continental Ancestry Group,​Female,​Humans,​Male,​*Menthol/pd [Pharmacology],​Middle Aged,​*Nicotine/pk [Pharmacokinetics],​Smoking/eh [Ethnology],​*Smoking/me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Smoking mentholated cigarettes has been suggested to convey a greater cancer risk compared with smoking nonmentholated cigarettes. Two of the possible mechanisms by which mentholated cigarette smoking could increase risk are by increasing systemic exposure to tobacco smoke toxins and by affecting the metabolism of nicotine or tobacco smoke carcinogens. To examine these possibilities,​ we performed a crossover study in 14 healthy smokers,​ one-half of whom were African-Americans and one-half whites. Subjects were randomly assigned to smoke mentholated or nonmentholated cigarettes for 1 week,​ then to cross over to the other type of cigarettes for another week. Subjects were confined to a Clinical Research Center for 3 days of each week,​ during which time blood levels of nicotine and carbon monoxide were measured throughout the day and an intravenous infusion of deuterium-labeled nicotine and cotinine was administered to determine the rate and pathways of </w:t>
            </w:r>
            <w:r w:rsidRPr="005762E6">
              <w:rPr>
                <w:sz w:val="20"/>
                <w:szCs w:val="20"/>
              </w:rPr>
              <w:lastRenderedPageBreak/>
              <w:t>nicotine metabolism. The systemic intake of nicotine and carbon monoxide was,​ on average,​ not affected by mentholation of cigarettes. Mentholated cigarette smoking did significantly inhibit the metabolism of nicotine (clearance: 1289 versus 1431 ml/min,​ two sided,​ p = 0.02). Inhibition of nicotine metabolism occurred both by slower oxidative metabolism to cotinine and by slower glucuronide conjugation. Our data do not support the hypothesis that mentholated cigarette smoking results in a greater absorption of tobacco smoke toxins. Our finding of impaired metabolism of nicotine while mentholated cigarette smoking suggests that mentholated cigarette smoking enhances systemic nicotine exposure.</w:t>
            </w:r>
          </w:p>
        </w:tc>
      </w:tr>
      <w:tr w:rsidR="007F0AE0" w:rsidRPr="005762E6" w14:paraId="33E2B88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599BE5" w14:textId="77777777" w:rsidR="007F0AE0" w:rsidRPr="005762E6" w:rsidRDefault="007F0AE0" w:rsidP="00453DE3">
            <w:pPr>
              <w:spacing w:after="120" w:line="240" w:lineRule="auto"/>
              <w:contextualSpacing/>
              <w:rPr>
                <w:sz w:val="20"/>
                <w:szCs w:val="20"/>
              </w:rPr>
            </w:pPr>
            <w:r w:rsidRPr="005762E6">
              <w:rPr>
                <w:sz w:val="20"/>
                <w:szCs w:val="20"/>
              </w:rPr>
              <w:lastRenderedPageBreak/>
              <w:t>703</w:t>
            </w:r>
          </w:p>
        </w:tc>
        <w:tc>
          <w:tcPr>
            <w:tcW w:w="0" w:type="auto"/>
            <w:tcBorders>
              <w:top w:val="single" w:sz="6" w:space="0" w:color="auto"/>
              <w:left w:val="single" w:sz="6" w:space="0" w:color="auto"/>
              <w:bottom w:val="single" w:sz="6" w:space="0" w:color="auto"/>
              <w:right w:val="single" w:sz="6" w:space="0" w:color="auto"/>
            </w:tcBorders>
          </w:tcPr>
          <w:p w14:paraId="07BE47C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9D38D5C" w14:textId="77777777" w:rsidR="007F0AE0" w:rsidRPr="005762E6" w:rsidRDefault="007F0AE0" w:rsidP="00453DE3">
            <w:pPr>
              <w:spacing w:after="120" w:line="240" w:lineRule="auto"/>
              <w:contextualSpacing/>
              <w:rPr>
                <w:sz w:val="20"/>
                <w:szCs w:val="20"/>
              </w:rPr>
            </w:pPr>
            <w:r w:rsidRPr="005762E6">
              <w:rPr>
                <w:sz w:val="20"/>
                <w:szCs w:val="20"/>
              </w:rPr>
              <w:t>Kari Jo Harris,​ Kolawole S Okuyemi,​ Delwyn Catley,​ Matthew S Mayo,​ Bin Ge,​ Jasjit S Ahluwalia Predictors of smoking cessation among African-Americans enrolled in a randomized controlled trial of bupropion.. Preventive medicine; 2004;38:498.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Americans,​*Bupropion/tu [Therapeutic Use],​*Dopamine Uptake Inhibitors/tu [Therapeutic Use],​Double-Blind Method,​Female,​Follow-Up Studies,​Humans,​Male,​Middle Aged,​Predictive Value of Tests,​*Smoking Cessation/eh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Identification of individual characteristics that predict successful smoking cessation treatment has been limited to studies with mostly white participants. This study identifies factors that predict successful quitting among African-Americans participating in a smoking cessation trial.,​ METHODS: Twenty-one baseline variables were analyzed as potential predictors from a double-blind placebo-controlled,​ randomized trial that used bupropion SR for smoking cessation among 600 African-American smokers. Chi-square tests,​ two sample t tests,​ and multiple logistic regression procedures were employed to identify predictors of 7-day abstinence among the 535 participants who completed the 7-week medication phase.,​ RESULTS: Univariate predictors of cessation were receiving bupropion (P &lt; 0.0001),​ not smoking menthol cigarettes (P = 0.0062),​ smoking after 30 min of waking (P &lt; 0.0001),​ older age (P = 0.0085),​ smoking fewer cigarettes per day (P = 0.0038),​ and lower cotinine levels (P = 0.0002). Logistic regression identified three significant independent predictors. Participants who received bupropion treatment were more than twice as likely to quit smoking at the end of treatment compared to participants who received placebo (OR = 2.62; 95% CI = 1.77-3.88,​ P &lt; 0.0001),​ while smoking within 30 min of waking (OR = 0.40; 95% CI = 0.25-0.62,​ P &lt; 0.0001) and higher salivary cotinine levels at baseline (OR = 0.799; 95% CI = 0.629-0.922,​ P &lt; 0.0001) reduced the likelihood of quitting.,​ CONCLUSIONS: This is the first report identifying predictors of smoking cessation among African-Americans participating in a clinical trial. Results indicate that,​ aside from bupropion treatment,​ various indicators of addiction were the strongest predictors. While this is similar to findings among white smokers,​ thresholds of addiction may need to be adjusted for African-American smoking patterns. Additional studies focused on diverse populations are needed to improve treatment approaches and to identify population-specific factors that are important for treatment-matching approaches.</w:t>
            </w:r>
          </w:p>
        </w:tc>
      </w:tr>
      <w:tr w:rsidR="007F0AE0" w:rsidRPr="005762E6" w14:paraId="5B57CB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CDA5B4" w14:textId="77777777" w:rsidR="007F0AE0" w:rsidRPr="005762E6" w:rsidRDefault="007F0AE0" w:rsidP="00453DE3">
            <w:pPr>
              <w:spacing w:after="120" w:line="240" w:lineRule="auto"/>
              <w:contextualSpacing/>
              <w:rPr>
                <w:sz w:val="20"/>
                <w:szCs w:val="20"/>
              </w:rPr>
            </w:pPr>
            <w:r w:rsidRPr="005762E6">
              <w:rPr>
                <w:sz w:val="20"/>
                <w:szCs w:val="20"/>
              </w:rPr>
              <w:t>704</w:t>
            </w:r>
          </w:p>
        </w:tc>
        <w:tc>
          <w:tcPr>
            <w:tcW w:w="0" w:type="auto"/>
            <w:tcBorders>
              <w:top w:val="single" w:sz="6" w:space="0" w:color="auto"/>
              <w:left w:val="single" w:sz="6" w:space="0" w:color="auto"/>
              <w:bottom w:val="single" w:sz="6" w:space="0" w:color="auto"/>
              <w:right w:val="single" w:sz="6" w:space="0" w:color="auto"/>
            </w:tcBorders>
          </w:tcPr>
          <w:p w14:paraId="3B5AA6A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B77031" w14:textId="77777777" w:rsidR="007F0AE0" w:rsidRPr="005762E6" w:rsidRDefault="007F0AE0" w:rsidP="00453DE3">
            <w:pPr>
              <w:spacing w:after="120" w:line="240" w:lineRule="auto"/>
              <w:contextualSpacing/>
              <w:rPr>
                <w:sz w:val="20"/>
                <w:szCs w:val="20"/>
              </w:rPr>
            </w:pPr>
            <w:r w:rsidRPr="005762E6">
              <w:rPr>
                <w:sz w:val="20"/>
                <w:szCs w:val="20"/>
              </w:rPr>
              <w:t>Eric T Moolchan Adolescent menthol smokers: will they be a harder target for cessation?.. Nicotine &amp; tobacco research : official journal of the Society for Research on Nicotine and Tobacco; 2004;6 Suppl 1:S93.</w:t>
            </w:r>
            <w:r w:rsidRPr="005762E6">
              <w:rPr>
                <w:sz w:val="20"/>
                <w:szCs w:val="20"/>
              </w:rPr>
              <w:br/>
            </w:r>
            <w:r w:rsidRPr="005762E6">
              <w:rPr>
                <w:sz w:val="20"/>
                <w:szCs w:val="20"/>
              </w:rPr>
              <w:br/>
            </w:r>
            <w:r w:rsidRPr="005762E6">
              <w:rPr>
                <w:b/>
                <w:bCs/>
                <w:sz w:val="20"/>
                <w:szCs w:val="20"/>
              </w:rPr>
              <w:t>Keywords:</w:t>
            </w:r>
            <w:r w:rsidRPr="005762E6">
              <w:rPr>
                <w:sz w:val="20"/>
                <w:szCs w:val="20"/>
              </w:rPr>
              <w:br/>
              <w:t>Administration,​ Inhalation,​Adolescent,​*Adolescent Behavior,​African Americans/sn [Statistics &amp; Numerical Data],​Female,​Health Status,​Humans,​Male,​*Menthol/ad [Administration &amp; Dosage],​Menthol/ae [Adverse Effects],​Smoking/eh [Ethnology],​*Smoking Cessation/mt [Methods],​*Smoking Prevention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Menthol smoking may influence the development of tobacco addiction and related health consequences,​ yet limited data on menthol smoking by youth are available. We assessed usual brand menthol preference by Baltimore-area teenage smokers applying to a smoking cessation study between September 1999 and December 2002. Of a biethnic (Black and White) sample of 593 youths (mean age=15.5+/-1.4 years,​ 51% female,​ 45% African American),​ the overwhelming majority (93%) were menthol smokers. Menthol preference rates were highest among African American girls and lowest among White boys. Overall,​ a statistically significant association was found between ethnicity and menthol preference,​ chi2 (df=1)=19.4,​ p&lt;.001. This association also was observed separately for girls,​ chi2 (df=1)=9.21,​ p=.0024,​ and for boys,​ chi2 (df=1)=9.59,​ p=.0020. Menthol smoking did not vary with age in either ethnic group. These findings of overwhelming menthol preference in a </w:t>
            </w:r>
            <w:r w:rsidRPr="005762E6">
              <w:rPr>
                <w:sz w:val="20"/>
                <w:szCs w:val="20"/>
              </w:rPr>
              <w:lastRenderedPageBreak/>
              <w:t>treatment-seeking sample of adolescents warrant further research on the developmental trajectory,​ cessation,​ and health-related impact of menthol smoking by youth.</w:t>
            </w:r>
          </w:p>
        </w:tc>
      </w:tr>
      <w:tr w:rsidR="007F0AE0" w:rsidRPr="005762E6" w14:paraId="44C2A4F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2268A9" w14:textId="77777777" w:rsidR="007F0AE0" w:rsidRPr="005762E6" w:rsidRDefault="007F0AE0" w:rsidP="00453DE3">
            <w:pPr>
              <w:spacing w:after="120" w:line="240" w:lineRule="auto"/>
              <w:contextualSpacing/>
              <w:rPr>
                <w:sz w:val="20"/>
                <w:szCs w:val="20"/>
              </w:rPr>
            </w:pPr>
            <w:r w:rsidRPr="005762E6">
              <w:rPr>
                <w:sz w:val="20"/>
                <w:szCs w:val="20"/>
              </w:rPr>
              <w:lastRenderedPageBreak/>
              <w:t>706</w:t>
            </w:r>
          </w:p>
        </w:tc>
        <w:tc>
          <w:tcPr>
            <w:tcW w:w="0" w:type="auto"/>
            <w:tcBorders>
              <w:top w:val="single" w:sz="6" w:space="0" w:color="auto"/>
              <w:left w:val="single" w:sz="6" w:space="0" w:color="auto"/>
              <w:bottom w:val="single" w:sz="6" w:space="0" w:color="auto"/>
              <w:right w:val="single" w:sz="6" w:space="0" w:color="auto"/>
            </w:tcBorders>
          </w:tcPr>
          <w:p w14:paraId="0D15F11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DCFB796" w14:textId="77777777" w:rsidR="007F0AE0" w:rsidRPr="005762E6" w:rsidRDefault="007F0AE0" w:rsidP="00453DE3">
            <w:pPr>
              <w:spacing w:after="120" w:line="240" w:lineRule="auto"/>
              <w:contextualSpacing/>
              <w:rPr>
                <w:sz w:val="20"/>
                <w:szCs w:val="20"/>
              </w:rPr>
            </w:pPr>
            <w:r w:rsidRPr="005762E6">
              <w:rPr>
                <w:sz w:val="20"/>
                <w:szCs w:val="20"/>
              </w:rPr>
              <w:t>Gary A Giovino,​ Stephen Sidney,​ Joseph C Gfroerer,​ Patrick M O'Malley,​ Jane A Allen,​ Patricia A Richter,​ K Michael Cummings Epidemiology of menthol cigarette use.. Nicotine &amp; tobacco research : official journal of the Society for Research on Nicotine and Tobacco; 2004;6 Suppl 1:S67.</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Adolescent,​Adult,​Africa/ep [Epidemiology],​Asia/ep [Epidemiology],​Australia/ep [Epidemiology],​Canada/ep [Epidemiology],​Child,​*Ethnic Groups/sn [Statistics &amp; Numerical Data],​Europe/ep [Epidemiology],​Female,​Hong Kong/ep [Epidemiology],​Humans,​Latin America/ep [Epidemiology],​Male,​*Menthol/pd [Pharmacology],​*Smoking/ep [Epidemiology],​Surveys and Questionnaires,​Taste/de [Drug Effects],​United Kingdom/ep [Epidemiology],​United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Approximately one-fourth of all cigarettes sold in the United States are mentholated. An understanding of the consequences,​ patterns,​ and correlates of menthol cigarette use can guide the development and implementation of strategies to reduce smoking prevalence and smoking-attributable morbidity and mortality. This paper summarizes the literature on the health effects of mentholated cigarettes and describes various patterns of use as indicated by consumption and survey data from the United States and other nations. The epidemiological literature on menthol cigarettes and cancer risk is inconclusive regarding whether these cigarettes confer a risk for cancer above that of nonmentholated varieties. Available data indicate that mentholated cigarettes are at least as dangerous as their nonmentholated counterparts. In addition,​ because mentholation improves the taste of cigarettes for a substantial segment of the smoking population and appears to mask disease symptoms,​ this additive may facilitate initiation or inhibit quitting. Menthol market share is high in the Philippines (60%),​ Cameroon (35%-40%),​ Hong Kong (26%),​ the United States (26%),​ and Singapore (22%). Newport has become the leading menthol brand in the United States. Surveys from four nations indicate that menthol use among adult smokers is more common among females than males. Among U.S. smokers,​ 68.9% of Blacks,​ 29.2% of Hispanics,​ and 22.4% of Whites reported smoking a mentholated variety. Research is needed to better explain factors that may influence menthol preference,​ such as marketing,​ risk perceptions,​ brand formulation,​ and taste preferences. Such research would guide the development of potentially more effective programs and policies.</w:t>
            </w:r>
          </w:p>
        </w:tc>
      </w:tr>
      <w:tr w:rsidR="007F0AE0" w:rsidRPr="005762E6" w14:paraId="10EF729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40AA9E" w14:textId="77777777" w:rsidR="007F0AE0" w:rsidRPr="005762E6" w:rsidRDefault="007F0AE0" w:rsidP="00453DE3">
            <w:pPr>
              <w:spacing w:after="120" w:line="240" w:lineRule="auto"/>
              <w:contextualSpacing/>
              <w:rPr>
                <w:sz w:val="20"/>
                <w:szCs w:val="20"/>
              </w:rPr>
            </w:pPr>
            <w:r w:rsidRPr="005762E6">
              <w:rPr>
                <w:sz w:val="20"/>
                <w:szCs w:val="20"/>
              </w:rPr>
              <w:t>708</w:t>
            </w:r>
          </w:p>
        </w:tc>
        <w:tc>
          <w:tcPr>
            <w:tcW w:w="0" w:type="auto"/>
            <w:tcBorders>
              <w:top w:val="single" w:sz="6" w:space="0" w:color="auto"/>
              <w:left w:val="single" w:sz="6" w:space="0" w:color="auto"/>
              <w:bottom w:val="single" w:sz="6" w:space="0" w:color="auto"/>
              <w:right w:val="single" w:sz="6" w:space="0" w:color="auto"/>
            </w:tcBorders>
          </w:tcPr>
          <w:p w14:paraId="1DDE636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797ADB2" w14:textId="77777777" w:rsidR="007F0AE0" w:rsidRPr="005762E6" w:rsidRDefault="007F0AE0" w:rsidP="00453DE3">
            <w:pPr>
              <w:spacing w:after="120" w:line="240" w:lineRule="auto"/>
              <w:contextualSpacing/>
              <w:rPr>
                <w:sz w:val="20"/>
                <w:szCs w:val="20"/>
              </w:rPr>
            </w:pPr>
            <w:r w:rsidRPr="005762E6">
              <w:rPr>
                <w:sz w:val="20"/>
                <w:szCs w:val="20"/>
              </w:rPr>
              <w:t>Geoffrey Ferris Wayne,​ Gregory N Connolly Application,​ function,​ and effects of menthol in cigarettes: a survey of tobacco industry documents.. Nicotine &amp; tobacco research : official journal of the Society for Research on Nicotine and Tobacco; 2004;6 Suppl 1:S43.</w:t>
            </w:r>
            <w:r w:rsidRPr="005762E6">
              <w:rPr>
                <w:sz w:val="20"/>
                <w:szCs w:val="20"/>
              </w:rPr>
              <w:br/>
            </w:r>
            <w:r w:rsidRPr="005762E6">
              <w:rPr>
                <w:sz w:val="20"/>
                <w:szCs w:val="20"/>
              </w:rPr>
              <w:br/>
            </w:r>
            <w:r w:rsidRPr="005762E6">
              <w:rPr>
                <w:b/>
                <w:bCs/>
                <w:sz w:val="20"/>
                <w:szCs w:val="20"/>
              </w:rPr>
              <w:t>Keywords:</w:t>
            </w:r>
            <w:r w:rsidRPr="005762E6">
              <w:rPr>
                <w:sz w:val="20"/>
                <w:szCs w:val="20"/>
              </w:rPr>
              <w:br/>
              <w:t>Central Nervous System/de [Drug Effects],​*Data Collection,​*Documentation,​Humans,​*Menthol/ae [Adverse Effects],​Public Health/lj [Legislation &amp; Jurisprudence],​*Smoking,​Tobacco Industry/lj [Legislation &amp; Jurisprudence],​*Tobacco Industry,​Trigeminal Nerve/de [Drug Effects],​United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cigarettes are the only cigarette market category identified by use of a flavor additive and constitute more than a quarter of the overall market. Menthol also is used at reduced levels in many nonmenthol brands. Public health research has suggested patterns of use of mentholated brands as a potential explanation for the health disparities between Black (largely menthol) and White (largely nonmenthol) smokers and has explored the effects of menthol on smoker behavior,​ consumption patterns,​ and consequent delivery of smoke constituents. However,​ relatively few published studies have directly examined the physiological impact and function of menthol delivery in cigarettes. In this study,​ we review internal tobacco industry documents to assess industry research on function and effects of menthol in cigarettes. Industry documents describe a range of physiological effects of menthol,​ with important implications for use and consumption patterns. These effects include altered perception of tobacco smoke and its constituents via cooling,​ smoothing,​ and anesthetic effects; increased impact through stimulation of trigeminal receptors; interaction with nicotine controlling its perception,​ delivery,​ and uptake; and increased respiratory irritation and toxic effects. Further studies are needed to evaluate these findings. We conclude that the unique differences between menthol cigarettes and nonmenthol cigarettes must be considered in research,​ cessation treatment,​ and enactment of tobacco product regulations.</w:t>
            </w:r>
          </w:p>
        </w:tc>
      </w:tr>
      <w:tr w:rsidR="007F0AE0" w:rsidRPr="005762E6" w14:paraId="2C9D559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D0CA8B5" w14:textId="77777777" w:rsidR="007F0AE0" w:rsidRPr="005762E6" w:rsidRDefault="007F0AE0" w:rsidP="00453DE3">
            <w:pPr>
              <w:spacing w:after="120" w:line="240" w:lineRule="auto"/>
              <w:contextualSpacing/>
              <w:rPr>
                <w:sz w:val="20"/>
                <w:szCs w:val="20"/>
              </w:rPr>
            </w:pPr>
            <w:r w:rsidRPr="005762E6">
              <w:rPr>
                <w:sz w:val="20"/>
                <w:szCs w:val="20"/>
              </w:rPr>
              <w:lastRenderedPageBreak/>
              <w:t>710</w:t>
            </w:r>
          </w:p>
        </w:tc>
        <w:tc>
          <w:tcPr>
            <w:tcW w:w="0" w:type="auto"/>
            <w:tcBorders>
              <w:top w:val="single" w:sz="6" w:space="0" w:color="auto"/>
              <w:left w:val="single" w:sz="6" w:space="0" w:color="auto"/>
              <w:bottom w:val="single" w:sz="6" w:space="0" w:color="auto"/>
              <w:right w:val="single" w:sz="6" w:space="0" w:color="auto"/>
            </w:tcBorders>
          </w:tcPr>
          <w:p w14:paraId="79B1000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65A989C" w14:textId="77777777" w:rsidR="007F0AE0" w:rsidRPr="005762E6" w:rsidRDefault="007F0AE0" w:rsidP="00453DE3">
            <w:pPr>
              <w:spacing w:after="120" w:line="240" w:lineRule="auto"/>
              <w:contextualSpacing/>
              <w:rPr>
                <w:sz w:val="20"/>
                <w:szCs w:val="20"/>
              </w:rPr>
            </w:pPr>
            <w:r w:rsidRPr="005762E6">
              <w:rPr>
                <w:sz w:val="20"/>
                <w:szCs w:val="20"/>
              </w:rPr>
              <w:t>Karen Ahijevych,​ Bridgette E Garrett Menthol pharmacology and its potential impact on cigarette smoking behavior.. Nicotine &amp; tobacco research : official journal of the Society for Research on Nicotine and Tobacco; 2004;6 Suppl 1:S17.</w:t>
            </w:r>
            <w:r w:rsidRPr="005762E6">
              <w:rPr>
                <w:sz w:val="20"/>
                <w:szCs w:val="20"/>
              </w:rPr>
              <w:br/>
            </w:r>
            <w:r w:rsidRPr="005762E6">
              <w:rPr>
                <w:sz w:val="20"/>
                <w:szCs w:val="20"/>
              </w:rPr>
              <w:br/>
            </w:r>
            <w:r w:rsidRPr="005762E6">
              <w:rPr>
                <w:b/>
                <w:bCs/>
                <w:sz w:val="20"/>
                <w:szCs w:val="20"/>
              </w:rPr>
              <w:t>Keywords:</w:t>
            </w:r>
            <w:r w:rsidRPr="005762E6">
              <w:rPr>
                <w:sz w:val="20"/>
                <w:szCs w:val="20"/>
              </w:rPr>
              <w:br/>
              <w:t>*Behavior,​ Addictive,​Calcium Channels/de [Drug Effects],​*Choice Behavior/de [Drug Effects],​Edetic Acid/me [Metabolism],​Humans,​Incidence,​Lung/me [Metabolism],​Menthol/ae [Adverse Effects],​Menthol/pk [Pharmacokinetics],​*Menthol/pd [Pharmacology],​Nicotine/pk [Pharmacokinetics],​Reinforcement (Psychology),​Respiration/de [Drug Effects],​*Smoking/ep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is the only tobacco additive promoted and advertised by the tobacco industry. Although a considerable body of research has examined the effects of menthol when it is administered alone and unburned,​ the effects of menthol when burned in cigarette smoke are more complex because it is administered in a matrix of more than 4,​000 substances. Therefore,​ it is difficult to isolate potential pharmacological and toxic effects of menthol when it is administered in a smoke mixture. Menthol properties include cooling and local anesthesia,​ as well as effects on drug absorption and metabolism,​ bronchodilation and respiration changes,​ and electrophysiology. Subjective effects of smoothness and less harshness have been identified as reasons for menthol cigarette smoking,​ but findings have been inconclusive regarding the effect of menthol on carbon monoxide exposure and smoking topography parameters. Gaps in the research literature and future research areas include the following: (a) What is the role of menthol in tobacco reinforcement and addiction? (b) In the absence of nicotine,​ is menthol reinforcing? (c) Are the pharmacological and physiological effects of menthol mediated by a menthol-specific receptor or some other central nervous system-mediated action? (d) What are the influences of menthol and menthol metabolism on the metabolic activation and detoxification of carcinogens in tobacco smoke? and (e) Do differences exist in cigarette smoking topography in relation to the interaction of ethnicity,​ gender,​ and menthol cigarette preference? Answers to these questions will help to elucidate the function of menthol in cigarettes and its impact on smoking behavior.</w:t>
            </w:r>
          </w:p>
        </w:tc>
      </w:tr>
      <w:tr w:rsidR="007F0AE0" w:rsidRPr="005762E6" w14:paraId="414CC43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AE94F2F" w14:textId="77777777" w:rsidR="007F0AE0" w:rsidRPr="005762E6" w:rsidRDefault="007F0AE0" w:rsidP="00453DE3">
            <w:pPr>
              <w:spacing w:after="120" w:line="240" w:lineRule="auto"/>
              <w:contextualSpacing/>
              <w:rPr>
                <w:sz w:val="20"/>
                <w:szCs w:val="20"/>
              </w:rPr>
            </w:pPr>
            <w:r w:rsidRPr="005762E6">
              <w:rPr>
                <w:sz w:val="20"/>
                <w:szCs w:val="20"/>
              </w:rPr>
              <w:t>712</w:t>
            </w:r>
          </w:p>
        </w:tc>
        <w:tc>
          <w:tcPr>
            <w:tcW w:w="0" w:type="auto"/>
            <w:tcBorders>
              <w:top w:val="single" w:sz="6" w:space="0" w:color="auto"/>
              <w:left w:val="single" w:sz="6" w:space="0" w:color="auto"/>
              <w:bottom w:val="single" w:sz="6" w:space="0" w:color="auto"/>
              <w:right w:val="single" w:sz="6" w:space="0" w:color="auto"/>
            </w:tcBorders>
          </w:tcPr>
          <w:p w14:paraId="538F82E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9EE1E4" w14:textId="77777777" w:rsidR="007F0AE0" w:rsidRPr="005762E6" w:rsidRDefault="007F0AE0" w:rsidP="00453DE3">
            <w:pPr>
              <w:spacing w:after="120" w:line="240" w:lineRule="auto"/>
              <w:contextualSpacing/>
              <w:rPr>
                <w:sz w:val="20"/>
                <w:szCs w:val="20"/>
              </w:rPr>
            </w:pPr>
            <w:r w:rsidRPr="005762E6">
              <w:rPr>
                <w:sz w:val="20"/>
                <w:szCs w:val="20"/>
              </w:rPr>
              <w:t>Joseph R DiFranza,​ Judith A Savageau,​ Kenneth Fletcher,​ Judith K Ockene,​ Nancy A Rigotti,​ Ann D McNeill,​ Mardia Coleman,​ Constance Wood Recollections and repercussions of the first inhaled cigarette.. Addictive behaviors; 2004;29:261.</w:t>
            </w:r>
            <w:r w:rsidRPr="005762E6">
              <w:rPr>
                <w:sz w:val="20"/>
                <w:szCs w:val="20"/>
              </w:rPr>
              <w:br/>
            </w:r>
            <w:r w:rsidRPr="005762E6">
              <w:rPr>
                <w:sz w:val="20"/>
                <w:szCs w:val="20"/>
              </w:rPr>
              <w:br/>
            </w:r>
            <w:r w:rsidRPr="005762E6">
              <w:rPr>
                <w:b/>
                <w:bCs/>
                <w:sz w:val="20"/>
                <w:szCs w:val="20"/>
              </w:rPr>
              <w:t>Keywords:</w:t>
            </w:r>
            <w:r w:rsidRPr="005762E6">
              <w:rPr>
                <w:sz w:val="20"/>
                <w:szCs w:val="20"/>
              </w:rPr>
              <w:br/>
              <w:t>Adolescent,​Dizziness/et [Etiology],​Female,​Humans,​Male,​Massachusetts/ep [Epidemiology],​*Mental Recall,​Nausea/et [Etiology],​Psychometrics,​Relaxation/px [Psychology],​Retrospective Studies,​Risk Factors,​Smoking/ae [Adverse Effects],​*Smoking/px [Psychology],​Tobacco Use Disorder/ep [Epidemiology],​*Tobacco Use Disorder/et [Etiology]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CONTEXT: It has not been determined if a youth's reaction to the first smoking experience is predictive of future nicotine dependence,​ or whether the impact of the first cigarette can be altered by manipulating levels of tar,​ nicotine and menthol.,​ OBJECTIVE: To determine if the recalled response to the first cigarette is predictive of the development of symptoms of nicotine dependence and whether it is influenced by the type of cigarette smoked.,​ DESIGN AND SETTING: A retrospective/prospective longitudinal study of the natural history of nicotine dependence employing individual interviews conducted three times annually in two urban school systems over 3 years. Subjects were asked to recall their first smoking experience.,​ PARTICIPANTS: A cohort of 237 subjects who had inhaled on a cigarette.,​ MAIN OUTCOME MEASURES: Symptoms associated with smoking; the Hooked on Nicotine Checklist of 10 symptoms of dependence.,​ RESULTS: Reactions to the initial smoking experience were unrelated to gender or cigarette brand,​ strength or mentholation. Relaxation in response to the first inhalation was the strongest predictor of symptoms of nicotine dependence. Dizziness and nausea were also independent predictors of dependence symptoms.,​ CONCLUSIONS: The data suggest that increased sensitivity to nicotine as manifested by relaxation,​ dizziness,​ or nausea in response to the first exposure to nicotine represents a risk factor for the development of nicotine dependence.</w:t>
            </w:r>
          </w:p>
        </w:tc>
      </w:tr>
      <w:tr w:rsidR="007F0AE0" w:rsidRPr="005762E6" w14:paraId="4626D2D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104A66" w14:textId="77777777" w:rsidR="007F0AE0" w:rsidRPr="005762E6" w:rsidRDefault="007F0AE0" w:rsidP="00453DE3">
            <w:pPr>
              <w:spacing w:after="120" w:line="240" w:lineRule="auto"/>
              <w:contextualSpacing/>
              <w:rPr>
                <w:sz w:val="20"/>
                <w:szCs w:val="20"/>
              </w:rPr>
            </w:pPr>
            <w:r w:rsidRPr="005762E6">
              <w:rPr>
                <w:sz w:val="20"/>
                <w:szCs w:val="20"/>
              </w:rPr>
              <w:t>713</w:t>
            </w:r>
          </w:p>
        </w:tc>
        <w:tc>
          <w:tcPr>
            <w:tcW w:w="0" w:type="auto"/>
            <w:tcBorders>
              <w:top w:val="single" w:sz="6" w:space="0" w:color="auto"/>
              <w:left w:val="single" w:sz="6" w:space="0" w:color="auto"/>
              <w:bottom w:val="single" w:sz="6" w:space="0" w:color="auto"/>
              <w:right w:val="single" w:sz="6" w:space="0" w:color="auto"/>
            </w:tcBorders>
          </w:tcPr>
          <w:p w14:paraId="4102EB6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80E42D6" w14:textId="77777777" w:rsidR="007F0AE0" w:rsidRPr="005762E6" w:rsidRDefault="007F0AE0" w:rsidP="00453DE3">
            <w:pPr>
              <w:spacing w:after="120" w:line="240" w:lineRule="auto"/>
              <w:contextualSpacing/>
              <w:rPr>
                <w:sz w:val="20"/>
                <w:szCs w:val="20"/>
              </w:rPr>
            </w:pPr>
            <w:r w:rsidRPr="005762E6">
              <w:rPr>
                <w:sz w:val="20"/>
                <w:szCs w:val="20"/>
              </w:rPr>
              <w:t>Kolawole S Okuyemi,​ Jasjit S Ahluwalia,​ Maiko Ebersole-Robinson,​ Delwyn Catley,​ Matthew S Mayo,​ Ken Resnicow Does menthol attenuate the effect of bupropion among African American smokers?.. Addiction (Abingdon,​ England); 2003;98:1387.</w:t>
            </w:r>
            <w:r w:rsidRPr="005762E6">
              <w:rPr>
                <w:sz w:val="20"/>
                <w:szCs w:val="20"/>
              </w:rPr>
              <w:br/>
            </w:r>
            <w:r w:rsidRPr="005762E6">
              <w:rPr>
                <w:sz w:val="20"/>
                <w:szCs w:val="20"/>
              </w:rPr>
              <w:br/>
            </w:r>
            <w:r w:rsidRPr="005762E6">
              <w:rPr>
                <w:b/>
                <w:bCs/>
                <w:sz w:val="20"/>
                <w:szCs w:val="20"/>
              </w:rPr>
              <w:lastRenderedPageBreak/>
              <w:t>Keywords:</w:t>
            </w:r>
            <w:r w:rsidRPr="005762E6">
              <w:rPr>
                <w:sz w:val="20"/>
                <w:szCs w:val="20"/>
              </w:rPr>
              <w:br/>
              <w:t>Adult,​*African Americans,​*Bupropion/tu [Therapeutic Use],​Double-Blind Method,​Drug Interactions,​Female,​Humans,​Male,​*Menthol/pd [Pharmacology],​Middle Aged,​Odds Ratio,​*Smoking/eh [Ethnology],​*Smoking Cessation/eh [Ethnology],​Smoking Cessation/mt [Methods]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African Americans have higher tobacco-related morbidity and mortality and are more likely to smoke menthol cigarettes than their white counterparts. This study examined differences between African American menthol and non-menthol smokers in smoking characteristics and cessation.,​ METHODS: The study sample consisted of 600 African American smokers enrolled in a clinical trial that assessed the efficacy of sustained-release bupropion for smoking cessation. Menthol (n = 471) and non-menthol (n = 129) smokers were compared on smoking-related characteristics and abstinence rates at 6 weeks and 6 months.,​ RESULTS: Menthol smokers were younger (41.2 versus 52.9 years),​ more likely to be female (73.7% versus 56.6%) and more likely to smoke their first cigarette within 30 minutes of waking up (81.7% versus 69.8%) compared to non-menthol smokers (all P &lt; 0.01). Cigarette taste (50% versus 40%,​ P = 0.054) was rated non-significantly higher by menthol smokers. Seven-day point-prevalence abstinence from smoking at 6 weeks were 28% and 42% (P = 0.006) and at 6 months were 21% and 27% (P = 0.21) for menthol and non-menthol smokers,​ respectively. At 6 weeks follow-up,​ stepwise logistic regression revealed that among those younger than 50 years,​ non-menthol smokers were more likely to quit smoking (odds ratio = 2.0; 95% CI = 1.03-3.95) as were those who received bupropion (odds ratio = 2.12; 95% CI = 1.32-3.39).,​ CONCLUSION: African American menthol smokers had lower smoking cessation rates after 6 weeks of treatment with bupropion-SR,​ thereby putting menthol smokers at greater risk from the health effects of smoking. Lower overall cessation rates among African Americans menthol smokers may partially explain ethnic differences in smoking-related disease risks.</w:t>
            </w:r>
          </w:p>
        </w:tc>
      </w:tr>
      <w:tr w:rsidR="007F0AE0" w:rsidRPr="005762E6" w14:paraId="08825E1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73B722" w14:textId="77777777" w:rsidR="007F0AE0" w:rsidRPr="005762E6" w:rsidRDefault="007F0AE0" w:rsidP="00453DE3">
            <w:pPr>
              <w:spacing w:after="120" w:line="240" w:lineRule="auto"/>
              <w:contextualSpacing/>
              <w:rPr>
                <w:sz w:val="20"/>
                <w:szCs w:val="20"/>
              </w:rPr>
            </w:pPr>
            <w:r w:rsidRPr="005762E6">
              <w:rPr>
                <w:sz w:val="20"/>
                <w:szCs w:val="20"/>
              </w:rPr>
              <w:lastRenderedPageBreak/>
              <w:t>715</w:t>
            </w:r>
          </w:p>
        </w:tc>
        <w:tc>
          <w:tcPr>
            <w:tcW w:w="0" w:type="auto"/>
            <w:tcBorders>
              <w:top w:val="single" w:sz="6" w:space="0" w:color="auto"/>
              <w:left w:val="single" w:sz="6" w:space="0" w:color="auto"/>
              <w:bottom w:val="single" w:sz="6" w:space="0" w:color="auto"/>
              <w:right w:val="single" w:sz="6" w:space="0" w:color="auto"/>
            </w:tcBorders>
          </w:tcPr>
          <w:p w14:paraId="2445673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594CCD2" w14:textId="77777777" w:rsidR="007F0AE0" w:rsidRPr="005762E6" w:rsidRDefault="007F0AE0" w:rsidP="00453DE3">
            <w:pPr>
              <w:spacing w:after="120" w:line="240" w:lineRule="auto"/>
              <w:contextualSpacing/>
              <w:rPr>
                <w:sz w:val="20"/>
                <w:szCs w:val="20"/>
              </w:rPr>
            </w:pPr>
            <w:r w:rsidRPr="005762E6">
              <w:rPr>
                <w:sz w:val="20"/>
                <w:szCs w:val="20"/>
              </w:rPr>
              <w:t>Daniel R Brooks,​ Julie R Palmer,​ Brian L Strom,​ Lynn Rosenberg Menthol cigarettes and risk of lung cancer.. American journal of epidemiology; 2003;158:609.</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Group,​Age Distribution,​Aged,​Case-Control Studies,​European Continental Ancestry Group,​Female,​Humans,​*Lung Neoplasms/ep [Epidemiology],​Male,​*Menthol/ad [Administration &amp; Dosage],​Middle Aged,​Multivariate Analysis,​Odds Ratio,​Population Surveillance,​Risk Assessment,​Risk Factors,​Sex Distribution,​*Smoking/ep [Epidemiology],​Socioeconomic Factors,​United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authors analyzed data from a multihospital case-control study in the eastern United States to evaluate the hypothesis that smoking menthol cigarettes increases lung cancer risk compared with smoking nonmenthol cigarettes. Subjects included cases with lung cancer and controls admitted for conditions unrelated to smoking who were aged 40-74 years,​ were interviewed from 1981 to 2000,​ and had smoked for &gt;or=20 years. Information was available on the brand and type of cigarette smoked most recently and for the longest time. Analyses were based on 643 cases and 4,​110 controls for whom brand information was available for &gt;or=60% of the total duration of smoking. Logistic regression was used to estimate the relative risk of lung cancer according to number of years of menthol cigarette use (&gt;15,​ 1-15,​ 0),​ adjusting for demographic and smoking-related factors. The lung cancer risk for long-term smokers of menthol cigarettes was similar to that for smokers of nonmenthol cigarettes (odds ratio = 0.97,​ 95% confidence interval: 0.70,​ 1.34). Odds ratios were also close to 1.0 in separate analyses of male,​ female,​ Black,​ and White subjects. The results of this study do not support the hypothesis that smoking menthol cigarettes increases the risk of lung cancer relative to smoking nonmenthol cigarettes.</w:t>
            </w:r>
          </w:p>
        </w:tc>
      </w:tr>
      <w:tr w:rsidR="007F0AE0" w:rsidRPr="005762E6" w14:paraId="6F4B75D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609557" w14:textId="77777777" w:rsidR="007F0AE0" w:rsidRPr="005762E6" w:rsidRDefault="007F0AE0" w:rsidP="00453DE3">
            <w:pPr>
              <w:spacing w:after="120" w:line="240" w:lineRule="auto"/>
              <w:contextualSpacing/>
              <w:rPr>
                <w:sz w:val="20"/>
                <w:szCs w:val="20"/>
              </w:rPr>
            </w:pPr>
            <w:r w:rsidRPr="005762E6">
              <w:rPr>
                <w:sz w:val="20"/>
                <w:szCs w:val="20"/>
              </w:rPr>
              <w:t>717</w:t>
            </w:r>
          </w:p>
        </w:tc>
        <w:tc>
          <w:tcPr>
            <w:tcW w:w="0" w:type="auto"/>
            <w:tcBorders>
              <w:top w:val="single" w:sz="6" w:space="0" w:color="auto"/>
              <w:left w:val="single" w:sz="6" w:space="0" w:color="auto"/>
              <w:bottom w:val="single" w:sz="6" w:space="0" w:color="auto"/>
              <w:right w:val="single" w:sz="6" w:space="0" w:color="auto"/>
            </w:tcBorders>
          </w:tcPr>
          <w:p w14:paraId="704DDD2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62B1EDA" w14:textId="77777777" w:rsidR="007F0AE0" w:rsidRPr="005762E6" w:rsidRDefault="007F0AE0" w:rsidP="00453DE3">
            <w:pPr>
              <w:spacing w:after="120" w:line="240" w:lineRule="auto"/>
              <w:contextualSpacing/>
              <w:rPr>
                <w:sz w:val="20"/>
                <w:szCs w:val="20"/>
              </w:rPr>
            </w:pPr>
            <w:r w:rsidRPr="005762E6">
              <w:rPr>
                <w:sz w:val="20"/>
                <w:szCs w:val="20"/>
              </w:rPr>
              <w:t>James M MacDougall,​ Keith Fandrick,​ Xiaodong Zhang,​ Scott V Serafin,​ John R Cashman Inhibition of human liver microsomal (S)-nicotine oxidation by (-)-menthol and analogues.. Chemical research in toxicology; 2003;16:988.</w:t>
            </w:r>
            <w:r w:rsidRPr="005762E6">
              <w:rPr>
                <w:sz w:val="20"/>
                <w:szCs w:val="20"/>
              </w:rPr>
              <w:br/>
            </w:r>
            <w:r w:rsidRPr="005762E6">
              <w:rPr>
                <w:sz w:val="20"/>
                <w:szCs w:val="20"/>
              </w:rPr>
              <w:br/>
            </w:r>
            <w:r w:rsidRPr="005762E6">
              <w:rPr>
                <w:b/>
                <w:bCs/>
                <w:sz w:val="20"/>
                <w:szCs w:val="20"/>
              </w:rPr>
              <w:t>Keywords:</w:t>
            </w:r>
            <w:r w:rsidRPr="005762E6">
              <w:rPr>
                <w:sz w:val="20"/>
                <w:szCs w:val="20"/>
              </w:rPr>
              <w:br/>
              <w:t>Animals,​Aryl Hydrocarbon Hydroxylases/ch [Chemistry],​Aryl Hydrocarbon Hydroxylases/me [Metabolism],​Cotinine/me [Metabolism],​Coumarins/ch [Chemistry],​Coumarins/me [Metabolism],​Cytochrome P-450 CYP2A6,​Cytochrome P-450 Enzyme System/me [Metabolism],​Haplorhini,​Humans,​In Vitro Techniques,​*Menthol/aa [Analogs &amp; Derivatives],​Menthol/ch [Chemistry],​*Menthol/to [Toxicity],​*Microsomes,​ Liver/me [Metabolism],​Mixed Function Oxygenases/ch [Chemistry],​Mixed Function Oxygenases/me [Metabolism],​Nicotine/ch [Chemistry],​*Nicotine/me [Metabolism],​Oxidation-Reduction,​Rats,​Rats,​ Sprague-Dawley,​Smoking,​</w:t>
            </w:r>
            <w:r w:rsidRPr="005762E6">
              <w:rPr>
                <w:sz w:val="20"/>
                <w:szCs w:val="20"/>
              </w:rPr>
              <w:lastRenderedPageBreak/>
              <w:t>Stereoisomerism,​Steroid Hydroxylases/me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is a widely used flavoring ingredient present in mouthwash,​ foods,​ toothpaste,​ and cigarettes; yet,​ the pharmacological effects of menthol have not been widely studied. Mentholated cigarette smoking may increase the risk for lung cancer. Many African American smokers smoke mentholated cigarettes,​ and African Americans have a significantly higher incidence of lung cancer as compared with whites. There may be a relationship between the incidence of lung cancer and the type of cigarette smoked because the use of mentholated cigarettes by white smokers is significantly less and the incidence of lung cancer is less. The mechanism whereby (-)-menthol could increase the health risk of smoking is not known. The results of our in vitro studies herein show that (-)-menthol and synthetic congeners inhibit the microsomal oxidation of nicotine to cotinine and the P450 2A6-mediated 7-hydroxylation of coumarin. Replacement of the alcohol oxygen atom of menthol with other heteroatoms increased the potency of P450 2A6 inhibition. Thus,​ the K(i) value of (-)-menthol for inhibition of microsomal nicotine oxidation was 69.7 micro M but neomenthyl thiol possesses a K(i) value of 13.8 micro M. Menthylamine inhibited nicotine oxidation with a K(i) value of 49.8 micro M,​ but its hydroxylamine derivative gave an IC(50) value of 2.2 micro M. A series of 16 menthol derivatives and putative metabolites were procured or chemically synthesized and tested as inhibitors of P450 2A6. While highly potent inhibition of P450 2A6 was not observed for the menthol analogues examined,​ it is nevertheless possible that smoking mentholated cigarettes leads to inhibition of nicotine metabolism and allows the smoker to achieve a certain elevated dose of nicotine each day. This may be another example of self-medication to obtain the desired effect of nicotine.</w:t>
            </w:r>
          </w:p>
        </w:tc>
      </w:tr>
      <w:tr w:rsidR="007F0AE0" w:rsidRPr="005762E6" w14:paraId="3EA32F6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CF3F765" w14:textId="77777777" w:rsidR="007F0AE0" w:rsidRPr="005762E6" w:rsidRDefault="007F0AE0" w:rsidP="00453DE3">
            <w:pPr>
              <w:spacing w:after="120" w:line="240" w:lineRule="auto"/>
              <w:contextualSpacing/>
              <w:rPr>
                <w:sz w:val="20"/>
                <w:szCs w:val="20"/>
              </w:rPr>
            </w:pPr>
            <w:r w:rsidRPr="005762E6">
              <w:rPr>
                <w:sz w:val="20"/>
                <w:szCs w:val="20"/>
              </w:rPr>
              <w:lastRenderedPageBreak/>
              <w:t>722</w:t>
            </w:r>
          </w:p>
        </w:tc>
        <w:tc>
          <w:tcPr>
            <w:tcW w:w="0" w:type="auto"/>
            <w:tcBorders>
              <w:top w:val="single" w:sz="6" w:space="0" w:color="auto"/>
              <w:left w:val="single" w:sz="6" w:space="0" w:color="auto"/>
              <w:bottom w:val="single" w:sz="6" w:space="0" w:color="auto"/>
              <w:right w:val="single" w:sz="6" w:space="0" w:color="auto"/>
            </w:tcBorders>
          </w:tcPr>
          <w:p w14:paraId="7666AC2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BE6C1BC" w14:textId="77777777" w:rsidR="007F0AE0" w:rsidRPr="005762E6" w:rsidRDefault="007F0AE0" w:rsidP="00453DE3">
            <w:pPr>
              <w:spacing w:after="120" w:line="240" w:lineRule="auto"/>
              <w:contextualSpacing/>
              <w:rPr>
                <w:sz w:val="20"/>
                <w:szCs w:val="20"/>
              </w:rPr>
            </w:pPr>
            <w:r w:rsidRPr="005762E6">
              <w:rPr>
                <w:sz w:val="20"/>
                <w:szCs w:val="20"/>
              </w:rPr>
              <w:t>Kathryn I Pollak,​ Babafemi Taiwo,​ Pauline Lyna,​ Mary Baldwin,​ Isaac M Lipkus,​ Gerold Bepler,​ Colleen M McBride Reported cessation advice given to African Americans by health care providers in a community health clinic.. Journal of community health; 2002;27:381.</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Americans/px [Psychology],​*Community Health Centers/og [Organization &amp; Administration],​Counseling,​Female,​Humans,​Male,​Middle Aged,​Multivariate Analysis,​North Carolina,​Physician-Patient Relations,​*Practice Patterns,​ Physicians',​*Smoking Cessation/eh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Physician smoking cessation advice has been shown to be effective in encouraging patients to attempt cessation. Few studies have examined factors associated with patient-reported physician advice in an inner city community health clinic. Smokers identified via chart review and provider referral met with a study "smoking specialist." Eligible participants self-identified as African American,​ smoked at least 1 cigarette per day in the prior 7 days,​ were 18 or older,​ had access to a telephone,​ and agreed to consider blood testing for genetic susceptibility to lung cancer. Of the 869 smokers identified,​ 487 were eligible and completed a brief in-person and a more extensive follow-up telephone survey within one week after their visit. Patient reports of smoking cessation advice by providers were regressed on patient demographic,​ smoking,​ health,​ and social support variables. Seventy percent of participants reported that they had been advised to quit smoking. Smokers who were older,​ did not smoke menthol cigarettes,​ were in poorer health,​ and who had a regular health care provider were most likely to report having received advice. Patients in this community health setting reported high rates of provider advice to quit smoking. Yet,​ even in this optimal condition,​ young healthy smokers did not report receiving advice,​ even when they were ready to quit smoking. Providers may need additional training and prompting to counsel young healthy smokers about the importance of cessation.</w:t>
            </w:r>
          </w:p>
        </w:tc>
      </w:tr>
      <w:tr w:rsidR="007F0AE0" w:rsidRPr="005762E6" w14:paraId="63910BC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5F322E" w14:textId="77777777" w:rsidR="007F0AE0" w:rsidRPr="005762E6" w:rsidRDefault="007F0AE0" w:rsidP="00453DE3">
            <w:pPr>
              <w:spacing w:after="120" w:line="240" w:lineRule="auto"/>
              <w:contextualSpacing/>
              <w:rPr>
                <w:sz w:val="20"/>
                <w:szCs w:val="20"/>
              </w:rPr>
            </w:pPr>
            <w:r w:rsidRPr="005762E6">
              <w:rPr>
                <w:sz w:val="20"/>
                <w:szCs w:val="20"/>
              </w:rPr>
              <w:t>723</w:t>
            </w:r>
          </w:p>
        </w:tc>
        <w:tc>
          <w:tcPr>
            <w:tcW w:w="0" w:type="auto"/>
            <w:tcBorders>
              <w:top w:val="single" w:sz="6" w:space="0" w:color="auto"/>
              <w:left w:val="single" w:sz="6" w:space="0" w:color="auto"/>
              <w:bottom w:val="single" w:sz="6" w:space="0" w:color="auto"/>
              <w:right w:val="single" w:sz="6" w:space="0" w:color="auto"/>
            </w:tcBorders>
          </w:tcPr>
          <w:p w14:paraId="0014D06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8CA48A" w14:textId="77777777" w:rsidR="007F0AE0" w:rsidRPr="005762E6" w:rsidRDefault="007F0AE0" w:rsidP="00453DE3">
            <w:pPr>
              <w:spacing w:after="120" w:line="240" w:lineRule="auto"/>
              <w:contextualSpacing/>
              <w:rPr>
                <w:sz w:val="20"/>
                <w:szCs w:val="20"/>
              </w:rPr>
            </w:pPr>
            <w:r w:rsidRPr="005762E6">
              <w:rPr>
                <w:sz w:val="20"/>
                <w:szCs w:val="20"/>
              </w:rPr>
              <w:t>J E Muscat,​ J P Jr Richie,​ S D Stellman Mentholated cigarettes and smoking habits in whites and blacks.. Tobacco control; 2002;11:368.</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[Psychology],​Aged,​Cross-Sectional Studies,​*European Continental Ancestry Group/px [Psychology],​Female,​Humans,​Male,​Menthol,​Middle Aged,​Odds Ratio,​*Smoking/px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 To determine if cigarette mentholation is associated with the frequency of smoking and with quitting,​ and whether mentholation explains racial differences in these two smoking behaviours.,​ DESIGN: Cross sectional analysis of case-control data on smoking and lung cancer.,​ SUBJECTS: Limited to 19 545 current and former cigarette smokers.,​ MAIN OUTCOME MEASURES: Smoking &gt; 20 cigarettes per day (cpd) versus or = 21 cpd) associated with mentholated cigarettes versus non-mentholated cigarettes was 0.7 (95% confidence interval </w:t>
            </w:r>
            <w:r w:rsidRPr="005762E6">
              <w:rPr>
                <w:sz w:val="20"/>
                <w:szCs w:val="20"/>
              </w:rPr>
              <w:lastRenderedPageBreak/>
              <w:t>(CI) 0.5 to 0.9) in current smokers and 0.6 (95% CI 0.4 to 0.9) in former smokers. Among whites,​ the corresponding POR were 0.9 (95% CI 0.8 to 1.0) and 0.9 (95% CI 0.8 to 1.0). Blacks were less likely to have been heavy smokers than whites,​ but the difference was unrelated to cigarette mentholation. The POR of continued smoking versus quitting,​ associated with mentholated cigarettes was 1.1 (95% CI 1.0 to 1.2) for both blacks and whites.,​ CONCLUSION: Smoking &gt; 20 cpd was independently associated with white race. Among blacks,​ smoking &lt; or = 20 cpd was independently associated with mentholated cigarettes. The risk of quitting was not associated with cigarette menthol flavour.</w:t>
            </w:r>
          </w:p>
        </w:tc>
      </w:tr>
      <w:tr w:rsidR="007F0AE0" w:rsidRPr="005762E6" w14:paraId="6038A12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7E1AB3" w14:textId="77777777" w:rsidR="007F0AE0" w:rsidRPr="005762E6" w:rsidRDefault="007F0AE0" w:rsidP="00453DE3">
            <w:pPr>
              <w:spacing w:after="120" w:line="240" w:lineRule="auto"/>
              <w:contextualSpacing/>
              <w:rPr>
                <w:sz w:val="20"/>
                <w:szCs w:val="20"/>
              </w:rPr>
            </w:pPr>
            <w:r w:rsidRPr="005762E6">
              <w:rPr>
                <w:sz w:val="20"/>
                <w:szCs w:val="20"/>
              </w:rPr>
              <w:lastRenderedPageBreak/>
              <w:t>725</w:t>
            </w:r>
          </w:p>
        </w:tc>
        <w:tc>
          <w:tcPr>
            <w:tcW w:w="0" w:type="auto"/>
            <w:tcBorders>
              <w:top w:val="single" w:sz="6" w:space="0" w:color="auto"/>
              <w:left w:val="single" w:sz="6" w:space="0" w:color="auto"/>
              <w:bottom w:val="single" w:sz="6" w:space="0" w:color="auto"/>
              <w:right w:val="single" w:sz="6" w:space="0" w:color="auto"/>
            </w:tcBorders>
          </w:tcPr>
          <w:p w14:paraId="56D3287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DC3EBC3" w14:textId="77777777" w:rsidR="007F0AE0" w:rsidRPr="005762E6" w:rsidRDefault="007F0AE0" w:rsidP="00453DE3">
            <w:pPr>
              <w:spacing w:after="120" w:line="240" w:lineRule="auto"/>
              <w:contextualSpacing/>
              <w:rPr>
                <w:sz w:val="20"/>
                <w:szCs w:val="20"/>
              </w:rPr>
            </w:pPr>
            <w:r w:rsidRPr="005762E6">
              <w:rPr>
                <w:sz w:val="20"/>
                <w:szCs w:val="20"/>
              </w:rPr>
              <w:t>A Hyland,​ S Garten,​ G A Giovino,​ K M Cummings Mentholated cigarettes and smoking cessation: findings from COMMIT. Community Intervention Trial for Smoking Cessation.. Tobacco control; 2002;11:135.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Americans/sn [Statistics &amp; Numerical Data],​Female,​Humans,​Male,​*Menthol,​Middle Aged,​*Smoking/ep [Epidemiology],​*Smoking Cessation/sn [Statistics &amp; Numerical Data],​Surveys and Questionnaires,​*Tobacco,​United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 To examine the association between the use of menthol cigarettes and smoking cessation,​ amount smoked,​ and time to first cigarette in the morning.,​ BACKGROUND: The majority of African American smokers smoke mentholated cigarettes. Some evidence suggests that African Americans may be more nicotine dependent than whites. One theory is that menthol in cigarettes is responsible for enhancing the dependence producing capacity of cigarettes; however,​ few studies have prospectively examined the association between menthol use and indicators of nicotine dependence.,​ METHODS: Baseline smokers from the Community Intervention Trial for Smoking Cessation (COMMIT) completed a telephone tobacco use survey in 1988 and were re-interviewed in 1993. Use of mentholated cigarettes was assessed by self-report at baseline. Indicators of dependence examined were six month cessation in 1993,​ amount smoked among continuing smokers in 1993,​ and time to first cigarette in the morning in 1988. Multivariate regression techniques were used to assess the association of baseline menthol use with these outcomes while controlling for other factors related to dependence.,​ RESULTS: Overall,​ 24% of the sample smoked a mentholated brand in 1988. No consistent associations were observed for menthol use and indicators of dependence in both overall and race specific analyses. Factors significantly associated with increased menthol use were female sex,​ age 25-34 years,​ African American and Asian race/ethnicity,​ greater education,​ greater than 60 minutes to the first cigarette in the morning,​ two or more past quit attempts,​ and use of premium brand cigarettes. Canadian respondents and those who smoked 15-24 cigarettes per day had lower rates of menthol use. Use of mentholated cigarettes was not associated with quitting,​ amount smoked,​ or time to first cigarette in the morning.,​ CONCLUSION: Future work is needed to clarify the physiological and sociocultural mechanisms involved in mentholated cigarette smoking.</w:t>
            </w:r>
          </w:p>
        </w:tc>
      </w:tr>
      <w:tr w:rsidR="007F0AE0" w:rsidRPr="005762E6" w14:paraId="2E87CFE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78C5FF6" w14:textId="77777777" w:rsidR="007F0AE0" w:rsidRPr="005762E6" w:rsidRDefault="007F0AE0" w:rsidP="00453DE3">
            <w:pPr>
              <w:spacing w:after="120" w:line="240" w:lineRule="auto"/>
              <w:contextualSpacing/>
              <w:rPr>
                <w:sz w:val="20"/>
                <w:szCs w:val="20"/>
              </w:rPr>
            </w:pPr>
            <w:r w:rsidRPr="005762E6">
              <w:rPr>
                <w:sz w:val="20"/>
                <w:szCs w:val="20"/>
              </w:rPr>
              <w:t>727</w:t>
            </w:r>
          </w:p>
        </w:tc>
        <w:tc>
          <w:tcPr>
            <w:tcW w:w="0" w:type="auto"/>
            <w:tcBorders>
              <w:top w:val="single" w:sz="6" w:space="0" w:color="auto"/>
              <w:left w:val="single" w:sz="6" w:space="0" w:color="auto"/>
              <w:bottom w:val="single" w:sz="6" w:space="0" w:color="auto"/>
              <w:right w:val="single" w:sz="6" w:space="0" w:color="auto"/>
            </w:tcBorders>
          </w:tcPr>
          <w:p w14:paraId="5F4A630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C66E71" w14:textId="77777777" w:rsidR="007F0AE0" w:rsidRPr="005762E6" w:rsidRDefault="007F0AE0" w:rsidP="00453DE3">
            <w:pPr>
              <w:spacing w:after="120" w:line="240" w:lineRule="auto"/>
              <w:contextualSpacing/>
              <w:rPr>
                <w:sz w:val="20"/>
                <w:szCs w:val="20"/>
              </w:rPr>
            </w:pPr>
            <w:r w:rsidRPr="005762E6">
              <w:rPr>
                <w:sz w:val="20"/>
                <w:szCs w:val="20"/>
              </w:rPr>
              <w:t>Wallace B Pickworth,​ Eric T Moolchan,​ Ivan Berlin,​ Ram Murty Sensory and physiologic effects of menthol and non-menthol cigarettes with differing nicotine delivery.. Pharmacology,​ biochemistry,​ and behavior; 2002;71:55.</w:t>
            </w:r>
            <w:r w:rsidRPr="005762E6">
              <w:rPr>
                <w:sz w:val="20"/>
                <w:szCs w:val="20"/>
              </w:rPr>
              <w:br/>
            </w:r>
            <w:r w:rsidRPr="005762E6">
              <w:rPr>
                <w:sz w:val="20"/>
                <w:szCs w:val="20"/>
              </w:rPr>
              <w:br/>
            </w:r>
            <w:r w:rsidRPr="005762E6">
              <w:rPr>
                <w:b/>
                <w:bCs/>
                <w:sz w:val="20"/>
                <w:szCs w:val="20"/>
              </w:rPr>
              <w:t>Keywords:</w:t>
            </w:r>
            <w:r w:rsidRPr="005762E6">
              <w:rPr>
                <w:sz w:val="20"/>
                <w:szCs w:val="20"/>
              </w:rPr>
              <w:br/>
              <w:t>Adult,​Analysis of Variance,​*Blood Pressure/de [Drug Effects],​Blood Pressure/ph [Physiology],​Chi-Square Distribution,​Double-Blind Method,​Drug Delivery Systems/mt [Methods],​*Drug Delivery Systems/sn [Statistics &amp; Numerical Data],​Female,​*Heart Rate/de [Drug Effects],​Heart Rate/ph [Physiology],​Humans,​Male,​*Menthol/pd [Pharmacology],​*Nicotine/ad [Administration &amp; Dosage],​Nicotinic Agonists/ad [Administration &amp; Dosage],​Personal Satisfaction,​*Sense Organs/de [Drug Effects],​Sense Organs/ph [Physiology],​Smoking/px [Psychology],​*Smoking,​Taste/de [Drug Effects],​Taste/ph [Physiology]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Many smokers choose menthol-flavored cigarettes,​ however,​ the influence of menthol on the effects of smoke-delivered nicotine is unknown. Research and commercial cigarettes,​ menthol and non-menthol,​ that delivered a wide range of nicotine were evaluated. Menthol (n=18) and non-menthol (n=18) cigarette smokers participated in a single session during which three cigarettes were smoked 45 min apart,​ in random order. Federal Trade Commission (FTC) nicotine yields of the three cigarettes were: research,​ low yield,​ 0.2 mg,​ commercial cigarettes (average),​ 1.2 mg; research,​ high yield,​ 2.5 mg. Commercial and high-yield cigarettes increased heart rate (HR) and blood pressure more than low-yield cigarettes; although,​ no differences in exhaled carbon monoxide (CO) occurred. Participants smoked commercial cigarettes faster and with fewer puffs than either of the research cigarette indicating production differences can affect topography. There was a significant </w:t>
            </w:r>
            <w:r w:rsidRPr="005762E6">
              <w:rPr>
                <w:sz w:val="20"/>
                <w:szCs w:val="20"/>
              </w:rPr>
              <w:lastRenderedPageBreak/>
              <w:t>group by cigarette interaction on satisfaction,​ and relief from cigarette craving. High-yield non-menthol cigarettes reduced craving and were rated as more satisfying than high-yield menthol cigarettes. No differences between menthol and non-menthol cigarettes on other subjective measures (strength,​ psychological reward,​ negative effects) were observed. Our findings indicate that nicotine delivery,​ but not mentholation,​ influences cardiovascular and most subjective measures. These results illustrate the importance of threshold levels of nicotine on subjective responses to cigarette smoking.</w:t>
            </w:r>
          </w:p>
        </w:tc>
      </w:tr>
      <w:tr w:rsidR="007F0AE0" w:rsidRPr="005762E6" w14:paraId="4A13DB9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B3F8525" w14:textId="77777777" w:rsidR="007F0AE0" w:rsidRPr="005762E6" w:rsidRDefault="007F0AE0" w:rsidP="00453DE3">
            <w:pPr>
              <w:spacing w:after="120" w:line="240" w:lineRule="auto"/>
              <w:contextualSpacing/>
              <w:rPr>
                <w:sz w:val="20"/>
                <w:szCs w:val="20"/>
              </w:rPr>
            </w:pPr>
            <w:r w:rsidRPr="005762E6">
              <w:rPr>
                <w:sz w:val="20"/>
                <w:szCs w:val="20"/>
              </w:rPr>
              <w:lastRenderedPageBreak/>
              <w:t>728</w:t>
            </w:r>
          </w:p>
        </w:tc>
        <w:tc>
          <w:tcPr>
            <w:tcW w:w="0" w:type="auto"/>
            <w:tcBorders>
              <w:top w:val="single" w:sz="6" w:space="0" w:color="auto"/>
              <w:left w:val="single" w:sz="6" w:space="0" w:color="auto"/>
              <w:bottom w:val="single" w:sz="6" w:space="0" w:color="auto"/>
              <w:right w:val="single" w:sz="6" w:space="0" w:color="auto"/>
            </w:tcBorders>
          </w:tcPr>
          <w:p w14:paraId="3EE3A71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E8D3415" w14:textId="77777777" w:rsidR="007F0AE0" w:rsidRPr="005762E6" w:rsidRDefault="007F0AE0" w:rsidP="00453DE3">
            <w:pPr>
              <w:spacing w:after="120" w:line="240" w:lineRule="auto"/>
              <w:contextualSpacing/>
              <w:rPr>
                <w:sz w:val="20"/>
                <w:szCs w:val="20"/>
              </w:rPr>
            </w:pPr>
            <w:r w:rsidRPr="005762E6">
              <w:rPr>
                <w:sz w:val="20"/>
                <w:szCs w:val="20"/>
              </w:rPr>
              <w:t>J Appleyard,​ P Messeri,​ M L Haviland Smoking among Asian American and Hawaiian/Pacific Islander youth: data from the 2000 National Youth Tobacco Survey.. Asian American and Pacific Islander journal of health; 2001;9:5.</w:t>
            </w:r>
            <w:r w:rsidRPr="005762E6">
              <w:rPr>
                <w:sz w:val="20"/>
                <w:szCs w:val="20"/>
              </w:rPr>
              <w:br/>
            </w:r>
            <w:r w:rsidRPr="005762E6">
              <w:rPr>
                <w:sz w:val="20"/>
                <w:szCs w:val="20"/>
              </w:rPr>
              <w:br/>
            </w:r>
            <w:r w:rsidRPr="005762E6">
              <w:rPr>
                <w:b/>
                <w:bCs/>
                <w:sz w:val="20"/>
                <w:szCs w:val="20"/>
              </w:rPr>
              <w:t>Keywords:</w:t>
            </w:r>
            <w:r w:rsidRPr="005762E6">
              <w:rPr>
                <w:sz w:val="20"/>
                <w:szCs w:val="20"/>
              </w:rPr>
              <w:br/>
              <w:t>Adolescent,​*Asian Americans/sn [Statistics &amp; Numerical Data],​Child,​Confidence Intervals,​Continental Population Groups,​Female,​Hawaii/ep [Epidemiology],​Humans,​Male,​Pacific Islands/ep [Epidemiology],​*Smoking/eh [Ethnology],​Surveys and Questionnaires,​United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One of the first steps to reducing the disproportionate burden of tobacco on racial and ethnic minorities is to understand how tobacco differentially affects these populations. This paper,​ based on a nationally representative sample of Asian American youth and a smaller sample of Hawaiian/Pacific Islander youth,​ provides the tobacco control community with important information about the smoking behavior of these youth.,​ METHODS: The National Youth Tobacco Survey conducted during the Spring of 2000 (NYTS 2000) provides recent national estimates of smoking behavior among Asian American youth. The data also permit a limited exploration of possible differences between self-described Asians and Hawaiian/Pacific Islander youth,​ two groups that have been combined into a single racial/ethnic category in earlier national studies.,​ FINDINGS: This report provides estimates and 95 percent confidence intervals for current smoking,​ age of smoking initiation,​ use of menthol cigarettes and tobacco brand preferences.,​ CONCLUSIONS: NYTS 2000 data indicate that during the last year of high school,​ one third of Asian American youth are smokers. Of these youth,​ 60% report that their usual brand of cigarettes is a menthol brand. Among female Hawaiian/Pacific Islander youth in middle school,​ more than 25% report having smoked during the past month.</w:t>
            </w:r>
          </w:p>
        </w:tc>
      </w:tr>
      <w:tr w:rsidR="007F0AE0" w:rsidRPr="005762E6" w14:paraId="4E1DF5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DC71D7" w14:textId="77777777" w:rsidR="007F0AE0" w:rsidRPr="005762E6" w:rsidRDefault="007F0AE0" w:rsidP="00453DE3">
            <w:pPr>
              <w:spacing w:after="120" w:line="240" w:lineRule="auto"/>
              <w:contextualSpacing/>
              <w:rPr>
                <w:sz w:val="20"/>
                <w:szCs w:val="20"/>
              </w:rPr>
            </w:pPr>
            <w:r w:rsidRPr="005762E6">
              <w:rPr>
                <w:sz w:val="20"/>
                <w:szCs w:val="20"/>
              </w:rPr>
              <w:t>732</w:t>
            </w:r>
          </w:p>
        </w:tc>
        <w:tc>
          <w:tcPr>
            <w:tcW w:w="0" w:type="auto"/>
            <w:tcBorders>
              <w:top w:val="single" w:sz="6" w:space="0" w:color="auto"/>
              <w:left w:val="single" w:sz="6" w:space="0" w:color="auto"/>
              <w:bottom w:val="single" w:sz="6" w:space="0" w:color="auto"/>
              <w:right w:val="single" w:sz="6" w:space="0" w:color="auto"/>
            </w:tcBorders>
          </w:tcPr>
          <w:p w14:paraId="02084F9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3E187A8" w14:textId="77777777" w:rsidR="007F0AE0" w:rsidRPr="005762E6" w:rsidRDefault="007F0AE0" w:rsidP="00453DE3">
            <w:pPr>
              <w:spacing w:after="120" w:line="240" w:lineRule="auto"/>
              <w:contextualSpacing/>
              <w:rPr>
                <w:sz w:val="20"/>
                <w:szCs w:val="20"/>
              </w:rPr>
            </w:pPr>
            <w:r w:rsidRPr="005762E6">
              <w:rPr>
                <w:sz w:val="20"/>
                <w:szCs w:val="20"/>
              </w:rPr>
              <w:t>Anonymous Women who smoke menthol cigarettes have greater nicotine exposure.. Oncology (Williston Park,​ N.Y.); 1999;13:915.</w:t>
            </w:r>
            <w:r w:rsidRPr="005762E6">
              <w:rPr>
                <w:sz w:val="20"/>
                <w:szCs w:val="20"/>
              </w:rPr>
              <w:br/>
            </w:r>
            <w:r w:rsidRPr="005762E6">
              <w:rPr>
                <w:sz w:val="20"/>
                <w:szCs w:val="20"/>
              </w:rPr>
              <w:br/>
            </w:r>
            <w:r w:rsidRPr="005762E6">
              <w:rPr>
                <w:b/>
                <w:bCs/>
                <w:sz w:val="20"/>
                <w:szCs w:val="20"/>
              </w:rPr>
              <w:t>Keywords:</w:t>
            </w:r>
            <w:r w:rsidRPr="005762E6">
              <w:rPr>
                <w:sz w:val="20"/>
                <w:szCs w:val="20"/>
              </w:rPr>
              <w:br/>
              <w:t>African Continental Ancestry Group,​European Continental Ancestry Group,​Female,​Humans,​*Menthol/ae [Adverse Effects],​*Nicotine/ae [Adverse Effects],​*Plants,​ Toxic,​*Smoking/ae [Adverse Effects],​*Tobacco,​Tobacco Use Disorder/eh [Ethnology],​*Tobacco Use Disorder/et [Etiology],​United States/ep [Epidemiology],​*Women's Health</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F9EE03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7050EC" w14:textId="77777777" w:rsidR="007F0AE0" w:rsidRPr="005762E6" w:rsidRDefault="007F0AE0" w:rsidP="00453DE3">
            <w:pPr>
              <w:spacing w:after="120" w:line="240" w:lineRule="auto"/>
              <w:contextualSpacing/>
              <w:rPr>
                <w:sz w:val="20"/>
                <w:szCs w:val="20"/>
              </w:rPr>
            </w:pPr>
            <w:r w:rsidRPr="005762E6">
              <w:rPr>
                <w:sz w:val="20"/>
                <w:szCs w:val="20"/>
              </w:rPr>
              <w:t>733</w:t>
            </w:r>
          </w:p>
        </w:tc>
        <w:tc>
          <w:tcPr>
            <w:tcW w:w="0" w:type="auto"/>
            <w:tcBorders>
              <w:top w:val="single" w:sz="6" w:space="0" w:color="auto"/>
              <w:left w:val="single" w:sz="6" w:space="0" w:color="auto"/>
              <w:bottom w:val="single" w:sz="6" w:space="0" w:color="auto"/>
              <w:right w:val="single" w:sz="6" w:space="0" w:color="auto"/>
            </w:tcBorders>
          </w:tcPr>
          <w:p w14:paraId="65DD670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9C6EDD4" w14:textId="77777777" w:rsidR="007F0AE0" w:rsidRPr="005762E6" w:rsidRDefault="007F0AE0" w:rsidP="00453DE3">
            <w:pPr>
              <w:spacing w:after="120" w:line="240" w:lineRule="auto"/>
              <w:contextualSpacing/>
              <w:rPr>
                <w:sz w:val="20"/>
                <w:szCs w:val="20"/>
              </w:rPr>
            </w:pPr>
            <w:r w:rsidRPr="005762E6">
              <w:rPr>
                <w:sz w:val="20"/>
                <w:szCs w:val="20"/>
              </w:rPr>
              <w:t>W S Pritchard,​ M E Houlihan,​ T D Guy,​ J H Robinson Little evidence that "denicotinized" menthol cigarettes have pharmacological effects: an EEG/heart-rate/sujective-response study.. Psychopharmacology; 1999;143:273.</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Adolescent,​Adult,​Analysis of Variance,​Carbon Monoxide/an [Analysis],​*Electroencephalography/de [Drug Effects],​Electroencephalography/px [Psychology],​*Flavoring Agents/pd [Pharmacology],​*Heart Rate/de [Drug Effects],​Humans,​Male,​*Menthol/pd [Pharmacology],​*Psychotropic Drugs/pd [Pharmacology],​*Smoking/px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RATIONALE: A substantial portion of cigarette smokers prefer menthol-flavored cigarettes. To date,​ however,​ no studies have examined whether menthol in cigarettes has central pharmacological effects.,​ OBJECTIVE: We investigated psychophysiological and subjective effects of smoking menthol versus non-menthol cigarettes in both menthol and non-menthol smokers. To assess these effects independently of the immediate effects of nicotine,​ all cigarettes employed were "denicotinized" (FTC nicotine yield = 0.06 mg).,​ METHODS: The psychophysiological measures were EEG and heart rate (HR). The subjective measures assessed mental alertness,​ muscular relaxation,​ anxiety/nervousness,​ and how much a participant wanted to smoke one of his usual brand of cigarettes. Menthol and non-menthol smokers participated in a single session in which each participant </w:t>
            </w:r>
            <w:r w:rsidRPr="005762E6">
              <w:rPr>
                <w:sz w:val="20"/>
                <w:szCs w:val="20"/>
              </w:rPr>
              <w:lastRenderedPageBreak/>
              <w:t>smoked both a menthol and a non-menthol denicotinized cigarette (order balanced across participants). The psychophysiological and subjective measures were recorded before and after smoking each cigarette.,​ RESULTS: Out of 48 F-ratios spanning 22 analyses of variance involving the critical interaction between pre-/post-smoking and menthol/non-menthol cigarette,​ only one unambiguously fit a "pharmacological" pattern,​ a result indistinguishable from a type-I statistical error. We report evidence that menthol smokers may be chronically less aroused and more sensitive to the effects of nicotine than non-menthol smokers.,​ CONCLUSIONS: We found little evidence that menthol in cigarettes has central pharmacological effects.</w:t>
            </w:r>
          </w:p>
        </w:tc>
      </w:tr>
      <w:tr w:rsidR="007F0AE0" w:rsidRPr="005762E6" w14:paraId="7905598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D0D78AC" w14:textId="77777777" w:rsidR="007F0AE0" w:rsidRPr="005762E6" w:rsidRDefault="007F0AE0" w:rsidP="00453DE3">
            <w:pPr>
              <w:spacing w:after="120" w:line="240" w:lineRule="auto"/>
              <w:contextualSpacing/>
              <w:rPr>
                <w:sz w:val="20"/>
                <w:szCs w:val="20"/>
              </w:rPr>
            </w:pPr>
            <w:r w:rsidRPr="005762E6">
              <w:rPr>
                <w:sz w:val="20"/>
                <w:szCs w:val="20"/>
              </w:rPr>
              <w:lastRenderedPageBreak/>
              <w:t>734</w:t>
            </w:r>
          </w:p>
        </w:tc>
        <w:tc>
          <w:tcPr>
            <w:tcW w:w="0" w:type="auto"/>
            <w:tcBorders>
              <w:top w:val="single" w:sz="6" w:space="0" w:color="auto"/>
              <w:left w:val="single" w:sz="6" w:space="0" w:color="auto"/>
              <w:bottom w:val="single" w:sz="6" w:space="0" w:color="auto"/>
              <w:right w:val="single" w:sz="6" w:space="0" w:color="auto"/>
            </w:tcBorders>
          </w:tcPr>
          <w:p w14:paraId="38DB49A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FA49C19" w14:textId="77777777" w:rsidR="007F0AE0" w:rsidRPr="005762E6" w:rsidRDefault="007F0AE0" w:rsidP="00453DE3">
            <w:pPr>
              <w:spacing w:after="120" w:line="240" w:lineRule="auto"/>
              <w:contextualSpacing/>
              <w:rPr>
                <w:sz w:val="20"/>
                <w:szCs w:val="20"/>
              </w:rPr>
            </w:pPr>
            <w:r w:rsidRPr="005762E6">
              <w:rPr>
                <w:sz w:val="20"/>
                <w:szCs w:val="20"/>
              </w:rPr>
              <w:t>K Ahijevych,​ L A Parsley Smoke constituent exposure and stage of change in black and white women cigarette smokers.. Addictive behaviors; 1999;24:115.</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[Psychology],​*Attitude to Health/eh [Ethnology],​Behavior,​ Addictive/cl [Classification],​Behavior,​ Addictive/me [Metabolism],​Behavior,​ Addictive/px [Psychology],​*Behavior,​ Addictive,​Decision Making,​*European Continental Ancestry Group/px [Psychology],​Female,​Humans,​Linear Models,​Menthol,​Motivation,​Sampling Studies,​Severity of Illness Index,​*Smoke/an [Analysis],​*Smoking/eh [Ethnology],​Smoking/me [Metabolism],​Smoking/px [Psychology],​Smoking Cessation/px [Psychology],​Time Factors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Differences in smoke constituent exposure by ethnicity and menthol preference and differences in decisional balance and habit strength by stage of change,​ ethnicity,​ and menthol preference were examined in this 2-factor study design. Ninety-five women,​ half of whom were Black and half of who smoked menthol cigarettes,​ participated in a cigarette smoking bout in the Clinical Research Center. Measures of smoking topography,​ plasma cotinine and nicotine,​ and expired carbon monoxide were obtained in addition to self-report of the pros and cons of smoking,​ time to first cigarette,​ and smoking history. Black women smoked significantly fewer cigarettes per day,​ but had higher cotinine levels compared to White women. Menthol smokers (n = 49) had significantly larger puff volumes,​ higher cotinine levels,​ and shorter time to first cigarette compared to nonmenthol smokers (n = 46). Precontemplators (n = 44) were significantly lower on beliefs about the negative aspects of smoking compared to contemplators and those in preparation stage. Black women,​ all stages combined,​ had higher negative beliefs about smoking than did White women. Implications for assessment of smoking patterns and intervention are discussed.</w:t>
            </w:r>
          </w:p>
        </w:tc>
      </w:tr>
      <w:tr w:rsidR="007F0AE0" w:rsidRPr="005762E6" w14:paraId="4CEA4BB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485FD7" w14:textId="77777777" w:rsidR="007F0AE0" w:rsidRPr="005762E6" w:rsidRDefault="007F0AE0" w:rsidP="00453DE3">
            <w:pPr>
              <w:spacing w:after="120" w:line="240" w:lineRule="auto"/>
              <w:contextualSpacing/>
              <w:rPr>
                <w:sz w:val="20"/>
                <w:szCs w:val="20"/>
              </w:rPr>
            </w:pPr>
            <w:r w:rsidRPr="005762E6">
              <w:rPr>
                <w:sz w:val="20"/>
                <w:szCs w:val="20"/>
              </w:rPr>
              <w:t>738</w:t>
            </w:r>
          </w:p>
        </w:tc>
        <w:tc>
          <w:tcPr>
            <w:tcW w:w="0" w:type="auto"/>
            <w:tcBorders>
              <w:top w:val="single" w:sz="6" w:space="0" w:color="auto"/>
              <w:left w:val="single" w:sz="6" w:space="0" w:color="auto"/>
              <w:bottom w:val="single" w:sz="6" w:space="0" w:color="auto"/>
              <w:right w:val="single" w:sz="6" w:space="0" w:color="auto"/>
            </w:tcBorders>
          </w:tcPr>
          <w:p w14:paraId="3C91A62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AA0FBD7" w14:textId="77777777" w:rsidR="007F0AE0" w:rsidRPr="005762E6" w:rsidRDefault="007F0AE0" w:rsidP="00453DE3">
            <w:pPr>
              <w:spacing w:after="120" w:line="240" w:lineRule="auto"/>
              <w:contextualSpacing/>
              <w:rPr>
                <w:sz w:val="20"/>
                <w:szCs w:val="20"/>
              </w:rPr>
            </w:pPr>
            <w:r w:rsidRPr="005762E6">
              <w:rPr>
                <w:sz w:val="20"/>
                <w:szCs w:val="20"/>
              </w:rPr>
              <w:t>G D Friedman,​ M Sadler,​ I S Tekawa,​ S Sidney Mentholated cigarettes and non-lung smoking related cancers in California,​ USA.. Journal of epidemiology and community health; 1998;52:202.</w:t>
            </w:r>
            <w:r w:rsidRPr="005762E6">
              <w:rPr>
                <w:sz w:val="20"/>
                <w:szCs w:val="20"/>
              </w:rPr>
              <w:br/>
            </w:r>
            <w:r w:rsidRPr="005762E6">
              <w:rPr>
                <w:sz w:val="20"/>
                <w:szCs w:val="20"/>
              </w:rPr>
              <w:br/>
            </w:r>
            <w:r w:rsidRPr="005762E6">
              <w:rPr>
                <w:b/>
                <w:bCs/>
                <w:sz w:val="20"/>
                <w:szCs w:val="20"/>
              </w:rPr>
              <w:t>Keywords:</w:t>
            </w:r>
            <w:r w:rsidRPr="005762E6">
              <w:rPr>
                <w:sz w:val="20"/>
                <w:szCs w:val="20"/>
              </w:rPr>
              <w:br/>
              <w:t>Adult,​Aged,​California/ep [Epidemiology],​Female,​Follow-Up Studies,​Humans,​Male,​*Menthol,​Middle Aged,​Neoplasms/ep [Epidemiology],​*Neoplasms/et [Etiology],​*Smoking/ae [Adverse Effects]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D6DD7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6842F6" w14:textId="77777777" w:rsidR="007F0AE0" w:rsidRPr="005762E6" w:rsidRDefault="007F0AE0" w:rsidP="00453DE3">
            <w:pPr>
              <w:spacing w:after="120" w:line="240" w:lineRule="auto"/>
              <w:contextualSpacing/>
              <w:rPr>
                <w:sz w:val="20"/>
                <w:szCs w:val="20"/>
              </w:rPr>
            </w:pPr>
            <w:r w:rsidRPr="005762E6">
              <w:rPr>
                <w:sz w:val="20"/>
                <w:szCs w:val="20"/>
              </w:rPr>
              <w:t>739</w:t>
            </w:r>
          </w:p>
        </w:tc>
        <w:tc>
          <w:tcPr>
            <w:tcW w:w="0" w:type="auto"/>
            <w:tcBorders>
              <w:top w:val="single" w:sz="6" w:space="0" w:color="auto"/>
              <w:left w:val="single" w:sz="6" w:space="0" w:color="auto"/>
              <w:bottom w:val="single" w:sz="6" w:space="0" w:color="auto"/>
              <w:right w:val="single" w:sz="6" w:space="0" w:color="auto"/>
            </w:tcBorders>
          </w:tcPr>
          <w:p w14:paraId="61DDC52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3E0AD87" w14:textId="77777777" w:rsidR="007F0AE0" w:rsidRPr="005762E6" w:rsidRDefault="007F0AE0" w:rsidP="00453DE3">
            <w:pPr>
              <w:spacing w:after="120" w:line="240" w:lineRule="auto"/>
              <w:contextualSpacing/>
              <w:rPr>
                <w:sz w:val="20"/>
                <w:szCs w:val="20"/>
              </w:rPr>
            </w:pPr>
            <w:r w:rsidRPr="005762E6">
              <w:rPr>
                <w:sz w:val="20"/>
                <w:szCs w:val="20"/>
              </w:rPr>
              <w:t>J P Jr Richie,​ S G Carmella,​ J E Muscat,​ D G Scott,​ S A Akerkar,​ S S Hecht Differences in the urinary metabolites of the tobacco-specific lung carcinogen 4-(methylnitrosamino)-1-(3-pyridyl)-1-butanone in black and white smokers.. Cancer epidemiology,​ biomarkers &amp; prevention : a publication of the American Association for Cancer Research,​ cosponsored by the American Society of Preventive Oncology; 1997;6:783.</w:t>
            </w:r>
            <w:r w:rsidRPr="005762E6">
              <w:rPr>
                <w:sz w:val="20"/>
                <w:szCs w:val="20"/>
              </w:rPr>
              <w:br/>
            </w:r>
            <w:r w:rsidRPr="005762E6">
              <w:rPr>
                <w:sz w:val="20"/>
                <w:szCs w:val="20"/>
              </w:rPr>
              <w:br/>
            </w:r>
            <w:r w:rsidRPr="005762E6">
              <w:rPr>
                <w:b/>
                <w:bCs/>
                <w:sz w:val="20"/>
                <w:szCs w:val="20"/>
              </w:rPr>
              <w:t>Keywords:</w:t>
            </w:r>
            <w:r w:rsidRPr="005762E6">
              <w:rPr>
                <w:sz w:val="20"/>
                <w:szCs w:val="20"/>
              </w:rPr>
              <w:br/>
              <w:t>Adult,​*African Continental Ancestry Group,​Analysis of Variance,​Animals,​Biomarkers/ur [Urine],​Carcinogens/me [Metabolism],​Cotinine/ur [Urine],​Creatinine/ur [Urine],​*European Continental Ancestry Group,​Female,​*Glucuronates/ur [Urine],​Humans,​Incidence,​*Lung Neoplasms/ep [Epidemiology],​Male,​Menthol,​Middle Aged,​*Nitrosamines/me [Metabolism],​*Nitrosamines/ur [Urine],​Plants,​ Toxic,​Rats,​Smoking/ae [Adverse Effects],​Smoking/eh [Ethnology],​*Smoking/me [Metabolism],​Tobacco/me [Metabolism]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Incidence and mortality rates for lung cancer in the United States are significantly greater in blacks than in whites. This disparity cannot be explained by differences in smoking behavior. We hypothesize that the observed racial differences in risk may be due to differences in the metabolic activation or detoxification of the tobacco-specific lung carcinogen 4-(methylnitrosamino)-1-(3-pyridyl)-1-butanone (NNK). To test this,​ different biomarkers of NNK exposure and metabolism,​ including the urinary metabolite 4-(methylnitrosamino)-1-(3-</w:t>
            </w:r>
            <w:r w:rsidRPr="005762E6">
              <w:rPr>
                <w:sz w:val="20"/>
                <w:szCs w:val="20"/>
              </w:rPr>
              <w:lastRenderedPageBreak/>
              <w:t>pyridyl)-1-butanol (NNAL) and the presumed detoxification product [4-(methylnitrosamino)-1-(3-pyridyl)but-1-yl]-beta-O-D-glucosiduronic acid (NNAL-Gluc),​ were examined along with questionnaire data on lifestyle habits and diet in a metabolic epidemiological study of 34 black and 27 white healthy smokers. Results demonstrated that urinary NNAL-Gluc:NNAL ratios,​ a likely indicator of NNAL glucuronidation and detoxification,​ were significantly greater in whites than in blacks (P &lt; 0.02). In addition,​ two phenotypes were apparent by probit analysis representing poor (ratio &lt; 6) and extensive (ratio &gt; or = 6) glucuronidation groups. The proportion of blacks falling into the former,​ potentially high-risk group was significantly greater than that of whites (P &lt; 0.05). The absolute levels of urinary NNAL,​ NNAL-Gluc,​ and cotinine were also greater in blacks than in whites when adjusted for the number of cigarettes smoked. None of the observed racial differences could be explained by dissimilarities in exposure or other sociodemographic or dietary factors. Also,​ it is unlikely that the dissimilarities are due to racial differences in preference for mentholated cigarettes,​ because chronic administration of menthol to NNK-treated rats did not result in either increases in urinary total NNAL or decreases in NNAL-Gluc:NNAL ratios. Altogether,​ these results suggest that racial differences in NNAL glucuronidation,​ a putative detoxification pathway for NNK,​ may explain in part the observed differences in cancer risk.</w:t>
            </w:r>
          </w:p>
        </w:tc>
      </w:tr>
      <w:tr w:rsidR="007F0AE0" w:rsidRPr="005762E6" w14:paraId="0A8D0F8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ED6F92" w14:textId="77777777" w:rsidR="007F0AE0" w:rsidRPr="005762E6" w:rsidRDefault="007F0AE0" w:rsidP="00453DE3">
            <w:pPr>
              <w:spacing w:after="120" w:line="240" w:lineRule="auto"/>
              <w:contextualSpacing/>
              <w:rPr>
                <w:sz w:val="20"/>
                <w:szCs w:val="20"/>
              </w:rPr>
            </w:pPr>
            <w:r w:rsidRPr="005762E6">
              <w:rPr>
                <w:sz w:val="20"/>
                <w:szCs w:val="20"/>
              </w:rPr>
              <w:lastRenderedPageBreak/>
              <w:t>741</w:t>
            </w:r>
          </w:p>
        </w:tc>
        <w:tc>
          <w:tcPr>
            <w:tcW w:w="0" w:type="auto"/>
            <w:tcBorders>
              <w:top w:val="single" w:sz="6" w:space="0" w:color="auto"/>
              <w:left w:val="single" w:sz="6" w:space="0" w:color="auto"/>
              <w:bottom w:val="single" w:sz="6" w:space="0" w:color="auto"/>
              <w:right w:val="single" w:sz="6" w:space="0" w:color="auto"/>
            </w:tcBorders>
          </w:tcPr>
          <w:p w14:paraId="54DE161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703742F" w14:textId="77777777" w:rsidR="007F0AE0" w:rsidRPr="005762E6" w:rsidRDefault="007F0AE0" w:rsidP="00453DE3">
            <w:pPr>
              <w:spacing w:after="120" w:line="240" w:lineRule="auto"/>
              <w:contextualSpacing/>
              <w:rPr>
                <w:sz w:val="20"/>
                <w:szCs w:val="20"/>
              </w:rPr>
            </w:pPr>
            <w:r w:rsidRPr="005762E6">
              <w:rPr>
                <w:sz w:val="20"/>
                <w:szCs w:val="20"/>
              </w:rPr>
              <w:t>T L Richardson African-American smokers and cancers of the lung and of the upper respiratory and digestive tracts. Is menthol part of the puzzle?.. The Western journal of medicine; 1997;166:189.</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Americans,​Digestive System Neoplasms/ci [Chemically Induced],​European Continental Ancestry Group,​Female,​Humans,​*Lung Neoplasms/ci [Chemically Induced],​Male,​*Menthol/ae [Adverse Effects],​Respiratory Tract Neoplasms/ci [Chemically Induced],​Risk Factors,​*Smoking/ae [Adverse Effects],​Smoking/eh [Ethnology],​Smoking Cessation,​United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prevalence of cigarette smoking is higher among African Americans than among whites. African Americans have higher rates of lung cancer than whites,​ although they smoke fewer cigarettes. To explore this black-white difference in lung cancer rates,​ I examine various aspects of tobacco use in African-American smokers,​ including the age of initiation of smoking,​ quantity of cigarettes smoked,​ quit rates,​ level of nicotine dependence,​ biochemical differences,​ and brand preferences,​ specifically menthol brand cigarettes. I also review briefly the sequelae of patterns of tobacco use,​ including rates of lung and other tobacco-related cancers. A preference for mentholated cigarettes by African Americans is well documented and is one of the most striking differences between African-American and white smokers. Menthol brand preference has been investigated in an attempt to explain the black-white differences in rates of cancers of the lungs and the upper respiratory and digestive tracts. Also,​ studies have evaluated smoking behavior both with and without menthol and have explicitly examined the question of whether menthol use helps explain the black-white difference in lung cancer rates. The results of these studies are so far inconclusive with regard to the use of menthol and the risk of lung cancer developing. I provide practical suggestions for clinicians in counseling African-American smokers to quit smoking and to maintain a nonsmoking status.</w:t>
            </w:r>
          </w:p>
        </w:tc>
      </w:tr>
      <w:tr w:rsidR="007F0AE0" w:rsidRPr="005762E6" w14:paraId="4598C43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98BF4C" w14:textId="77777777" w:rsidR="007F0AE0" w:rsidRPr="005762E6" w:rsidRDefault="007F0AE0" w:rsidP="00453DE3">
            <w:pPr>
              <w:spacing w:after="120" w:line="240" w:lineRule="auto"/>
              <w:contextualSpacing/>
              <w:rPr>
                <w:sz w:val="20"/>
                <w:szCs w:val="20"/>
              </w:rPr>
            </w:pPr>
            <w:r w:rsidRPr="005762E6">
              <w:rPr>
                <w:sz w:val="20"/>
                <w:szCs w:val="20"/>
              </w:rPr>
              <w:t>742</w:t>
            </w:r>
          </w:p>
        </w:tc>
        <w:tc>
          <w:tcPr>
            <w:tcW w:w="0" w:type="auto"/>
            <w:tcBorders>
              <w:top w:val="single" w:sz="6" w:space="0" w:color="auto"/>
              <w:left w:val="single" w:sz="6" w:space="0" w:color="auto"/>
              <w:bottom w:val="single" w:sz="6" w:space="0" w:color="auto"/>
              <w:right w:val="single" w:sz="6" w:space="0" w:color="auto"/>
            </w:tcBorders>
          </w:tcPr>
          <w:p w14:paraId="5EEFB4F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FECA04" w14:textId="77777777" w:rsidR="007F0AE0" w:rsidRPr="005762E6" w:rsidRDefault="007F0AE0" w:rsidP="00453DE3">
            <w:pPr>
              <w:spacing w:after="120" w:line="240" w:lineRule="auto"/>
              <w:contextualSpacing/>
              <w:rPr>
                <w:sz w:val="20"/>
                <w:szCs w:val="20"/>
              </w:rPr>
            </w:pPr>
            <w:r w:rsidRPr="005762E6">
              <w:rPr>
                <w:sz w:val="20"/>
                <w:szCs w:val="20"/>
              </w:rPr>
              <w:t>T Richardson Menthol cigarette use in African Americans.. Hospital practice (1995); 1996;31:22H.</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Americans,​*Choice Behavior,​Female,​Humans,​Lung Neoplasms/eh [Ethnology],​Male,​*Menthol/ae [Adverse Effects],​*Smoking/ae [Adverse Effects],​*Smoking/eh [Ethnology],​United States/ep [Epidemiology]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5F8BCDC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AC0D68" w14:textId="77777777" w:rsidR="007F0AE0" w:rsidRPr="005762E6" w:rsidRDefault="007F0AE0" w:rsidP="00453DE3">
            <w:pPr>
              <w:spacing w:after="120" w:line="240" w:lineRule="auto"/>
              <w:contextualSpacing/>
              <w:rPr>
                <w:sz w:val="20"/>
                <w:szCs w:val="20"/>
              </w:rPr>
            </w:pPr>
            <w:r w:rsidRPr="005762E6">
              <w:rPr>
                <w:sz w:val="20"/>
                <w:szCs w:val="20"/>
              </w:rPr>
              <w:t>743</w:t>
            </w:r>
          </w:p>
        </w:tc>
        <w:tc>
          <w:tcPr>
            <w:tcW w:w="0" w:type="auto"/>
            <w:tcBorders>
              <w:top w:val="single" w:sz="6" w:space="0" w:color="auto"/>
              <w:left w:val="single" w:sz="6" w:space="0" w:color="auto"/>
              <w:bottom w:val="single" w:sz="6" w:space="0" w:color="auto"/>
              <w:right w:val="single" w:sz="6" w:space="0" w:color="auto"/>
            </w:tcBorders>
          </w:tcPr>
          <w:p w14:paraId="338B14B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9A58FD5" w14:textId="77777777" w:rsidR="007F0AE0" w:rsidRPr="005762E6" w:rsidRDefault="007F0AE0" w:rsidP="00453DE3">
            <w:pPr>
              <w:spacing w:after="120" w:line="240" w:lineRule="auto"/>
              <w:contextualSpacing/>
              <w:rPr>
                <w:sz w:val="20"/>
                <w:szCs w:val="20"/>
              </w:rPr>
            </w:pPr>
            <w:r w:rsidRPr="005762E6">
              <w:rPr>
                <w:sz w:val="20"/>
                <w:szCs w:val="20"/>
              </w:rPr>
              <w:t>P I Clark,​ S Gautam,​ L W Gerson Effect of menthol cigarettes on biochemical markers of smoke exposure among black and white smokers.. Chest; 1996;110:1194.</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Continental Ancestry Group,​*Biomarkers/an [Analysis],​Biomarkers/bl [Blood],​*Carbon Monoxide/an [Analysis],​*Cotinine/bl [Blood],​Cross-Sectional Studies,​*European Continental Ancestry Group,​Female,​Humans,​Interviews as Topic,​Male,​*Menthol/ae [Adverse Effects],​Menthol/an [Analysis],​Middle Aged,​Nicotine/an [Analysis],​Plants,​ Toxic,​Respiration,​Risk Factors,​Self-Assessment,​*Smoke/ae [Adverse Effects],​Smoking/bl [Blood],​*Smoking/me [Metabolism],​Surveys and Questionnaires,​Tobacco/ch [Chemistry]</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STUDY OBJECTIVES: Black smokers have been reported to have higher serum cotinine levels than do white smokers,​ and have higher rates of most smoking-related diseases,​ despite smoking fewer cigarettes per day. Another striking racial difference is the preference for mentholated cigarettes among black smokers. The contribution of menthol to variability in biochemical markers of cigarette smoke exposure (end-expiratory carbon monoxide and serum cotinine) was evaluated in a biracial sample.,​ DESIGN: Descriptive cross-sectional.,​ SETTING: A university smoking research laboratory.,​ PARTICIPANTS: Sixty-five black and 96 white adult established smokers who were paid for their participation.,​ MEASUREMENTS: Information was obtained through direct observation,​ self-report (interview and self-administered questionnaires),​ measurement of butts collected for a week,​ and laboratory analyses of the biochemical markers of exposure.,​ RESULTS: Compared with the white smokers,​ the black smokers had significantly higher cotinine and carbon monoxide levels per cigarette smoked and per millimeter of smoked tobacco rod (both p &lt; 0.001). After adjusting for race,​ cigarettes per day,​ and mean amount of each cigarette smoked,​ menthol was associated with higher cotinine levels (p = 0.03) and carbon monoxide concentrations (p = 0.02).,​ CONCLUSIONS: The use of menthol may be associated with increased health risks of smoking. Menthol use should be considered when biochemical markers of smoke exposure are used as quantitative measures of smoking intensity or as indicators of compliance with smoking reduction programs. In addition,​ the effect of menthol on total "dose" should be considered in any efforts to regulate the amount of nicotine in cigarettes.</w:t>
            </w:r>
          </w:p>
        </w:tc>
      </w:tr>
      <w:tr w:rsidR="007F0AE0" w:rsidRPr="005762E6" w14:paraId="33C2D6E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62E8D9" w14:textId="77777777" w:rsidR="007F0AE0" w:rsidRPr="005762E6" w:rsidRDefault="007F0AE0" w:rsidP="00453DE3">
            <w:pPr>
              <w:spacing w:after="120" w:line="240" w:lineRule="auto"/>
              <w:contextualSpacing/>
              <w:rPr>
                <w:sz w:val="20"/>
                <w:szCs w:val="20"/>
              </w:rPr>
            </w:pPr>
            <w:r w:rsidRPr="005762E6">
              <w:rPr>
                <w:sz w:val="20"/>
                <w:szCs w:val="20"/>
              </w:rPr>
              <w:lastRenderedPageBreak/>
              <w:t>744</w:t>
            </w:r>
          </w:p>
        </w:tc>
        <w:tc>
          <w:tcPr>
            <w:tcW w:w="0" w:type="auto"/>
            <w:tcBorders>
              <w:top w:val="single" w:sz="6" w:space="0" w:color="auto"/>
              <w:left w:val="single" w:sz="6" w:space="0" w:color="auto"/>
              <w:bottom w:val="single" w:sz="6" w:space="0" w:color="auto"/>
              <w:right w:val="single" w:sz="6" w:space="0" w:color="auto"/>
            </w:tcBorders>
          </w:tcPr>
          <w:p w14:paraId="1A8B893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61C38FA" w14:textId="77777777" w:rsidR="007F0AE0" w:rsidRPr="005762E6" w:rsidRDefault="007F0AE0" w:rsidP="00453DE3">
            <w:pPr>
              <w:spacing w:after="120" w:line="240" w:lineRule="auto"/>
              <w:contextualSpacing/>
              <w:rPr>
                <w:sz w:val="20"/>
                <w:szCs w:val="20"/>
              </w:rPr>
            </w:pPr>
            <w:r w:rsidRPr="005762E6">
              <w:rPr>
                <w:sz w:val="20"/>
                <w:szCs w:val="20"/>
              </w:rPr>
              <w:t>G C Kabat Aspects of the epidemiology of lung cancer in smokers and nonsmokers in the United States.. Lung cancer (Amsterdam,​ Netherlands); 1996;15:1.</w:t>
            </w:r>
            <w:r w:rsidRPr="005762E6">
              <w:rPr>
                <w:sz w:val="20"/>
                <w:szCs w:val="20"/>
              </w:rPr>
              <w:br/>
            </w:r>
            <w:r w:rsidRPr="005762E6">
              <w:rPr>
                <w:sz w:val="20"/>
                <w:szCs w:val="20"/>
              </w:rPr>
              <w:br/>
            </w:r>
            <w:r w:rsidRPr="005762E6">
              <w:rPr>
                <w:b/>
                <w:bCs/>
                <w:sz w:val="20"/>
                <w:szCs w:val="20"/>
              </w:rPr>
              <w:t>Keywords:</w:t>
            </w:r>
            <w:r w:rsidRPr="005762E6">
              <w:rPr>
                <w:sz w:val="20"/>
                <w:szCs w:val="20"/>
              </w:rPr>
              <w:br/>
              <w:t>Adult,​Aged,​Aged,​ 80 and over,​Case-Control Studies,​Female,​Humans,​*Lung Neoplasms/ep [Epidemiology],​Lung Neoplasms/et [Etiology],​Male,​Middle Aged,​*Smoking/ae [Adverse Effects],​United States/ep [Epidemiology]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While it is well-established that smoking is the predominant risk factor for lung cancer,​ it is clear that factors other than smoking and occupational exposure play a role in some lung cancers,​ and particularly adenocarcinoma. Data from a large,​ hospital-based case-control study are used to examine the association of smoking-related risk factors (amount smoked,​ filter status,​ mentholation,​ and differences in smoking habits between blacks and whites) and selected factors other than smoking (environmental tobacco smoke,​ previous primary cancer and radiotherapy,​ reproductive and endocrine factors,​ and body mass index) with lung cancer. Although smoking shows a dose-response relationship with all major lung cancer cell types,​ the strength of the relationship is weaker for adenocarcinoma,​ suggesting that other risk factors must play an important role for this cell type. In blacks and whites of both sexes,​ odds ratios for lung cancer increased with increasing cumulative tobacco tar intake and decreased with years since quitting smoking. Use of mentholated cigarettes was associated with no greater risk for lung cancer than that associated with the use of nonmentholated cigarettes. Exposure to environmental tobacco smoke generally showed little relation to lung cancer risk. In particular,​ exposure of nonsmoking wives to a husband's smoking showed no increase in risk. A history of a reproductive primary cancer and a history of radiotherapy were each associated with a fourfold increase in risk in female nonsmokers. An association of lean body mass with lung cancer was observed in current smokers,​ ex-smokers,​ and female never smokers. These results are discussed in the context of existing studies. In conclusion,​ variation in lung cancer rates between populations may be due to: (1) differences in effective exposure to tobacco smoke carcinogens; (2) differences in factors which modify the effect of tobacco smoke,​ including differences in host susceptibility and metabolism of carcinogens,​ or (3) differences in exposure to other independent risk factors for lung cancer.</w:t>
            </w:r>
          </w:p>
        </w:tc>
      </w:tr>
      <w:tr w:rsidR="007F0AE0" w:rsidRPr="005762E6" w14:paraId="6F63125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BABD45" w14:textId="77777777" w:rsidR="007F0AE0" w:rsidRPr="005762E6" w:rsidRDefault="007F0AE0" w:rsidP="00453DE3">
            <w:pPr>
              <w:spacing w:after="120" w:line="240" w:lineRule="auto"/>
              <w:contextualSpacing/>
              <w:rPr>
                <w:sz w:val="20"/>
                <w:szCs w:val="20"/>
              </w:rPr>
            </w:pPr>
            <w:r w:rsidRPr="005762E6">
              <w:rPr>
                <w:sz w:val="20"/>
                <w:szCs w:val="20"/>
              </w:rPr>
              <w:t>746</w:t>
            </w:r>
          </w:p>
        </w:tc>
        <w:tc>
          <w:tcPr>
            <w:tcW w:w="0" w:type="auto"/>
            <w:tcBorders>
              <w:top w:val="single" w:sz="6" w:space="0" w:color="auto"/>
              <w:left w:val="single" w:sz="6" w:space="0" w:color="auto"/>
              <w:bottom w:val="single" w:sz="6" w:space="0" w:color="auto"/>
              <w:right w:val="single" w:sz="6" w:space="0" w:color="auto"/>
            </w:tcBorders>
          </w:tcPr>
          <w:p w14:paraId="1AFBF51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EF6DC02" w14:textId="77777777" w:rsidR="007F0AE0" w:rsidRPr="005762E6" w:rsidRDefault="007F0AE0" w:rsidP="00453DE3">
            <w:pPr>
              <w:spacing w:after="120" w:line="240" w:lineRule="auto"/>
              <w:contextualSpacing/>
              <w:rPr>
                <w:sz w:val="20"/>
                <w:szCs w:val="20"/>
              </w:rPr>
            </w:pPr>
            <w:r w:rsidRPr="005762E6">
              <w:rPr>
                <w:sz w:val="20"/>
                <w:szCs w:val="20"/>
              </w:rPr>
              <w:t>N Hymowitz,​ D Corle,​ J Royce,​ T Hartwell,​ K Corbett,​ M Orlandi,​ N Piland Smokers' baseline characteristics in the COMMIT trial.. Preventive medicine; 1995;24:503.</w:t>
            </w:r>
            <w:r w:rsidRPr="005762E6">
              <w:rPr>
                <w:sz w:val="20"/>
                <w:szCs w:val="20"/>
              </w:rPr>
              <w:br/>
            </w:r>
            <w:r w:rsidRPr="005762E6">
              <w:rPr>
                <w:sz w:val="20"/>
                <w:szCs w:val="20"/>
              </w:rPr>
              <w:br/>
            </w:r>
            <w:r w:rsidRPr="005762E6">
              <w:rPr>
                <w:b/>
                <w:bCs/>
                <w:sz w:val="20"/>
                <w:szCs w:val="20"/>
              </w:rPr>
              <w:t>Keywords:</w:t>
            </w:r>
            <w:r w:rsidRPr="005762E6">
              <w:rPr>
                <w:sz w:val="20"/>
                <w:szCs w:val="20"/>
              </w:rPr>
              <w:br/>
              <w:t>Adult,​Canada/ep [Epidemiology],​*Ethnic Groups,​Female,​Humans,​Logistic Models,​Male,​Mexico/eh [Ethnology],​Middle Aged,​Odds Ratio,​Puerto Rico/eh [Ethnology],​Risk Factors,​*Smoking/eh [Ethnology],​*Smoking Prevention,​*Tobacco Use Disorder/eh [Ethnology],​*Tobacco Use Disorder/pc [Prevention &amp; Control],​United States/ep [Epidemiology]</w:t>
            </w:r>
            <w:r w:rsidRPr="005762E6">
              <w:rPr>
                <w:sz w:val="20"/>
                <w:szCs w:val="20"/>
              </w:rPr>
              <w:br/>
            </w:r>
            <w:r w:rsidRPr="005762E6">
              <w:rPr>
                <w:sz w:val="20"/>
                <w:szCs w:val="20"/>
              </w:rPr>
              <w:br/>
            </w:r>
            <w:r w:rsidRPr="005762E6">
              <w:rPr>
                <w:b/>
                <w:bCs/>
                <w:sz w:val="20"/>
                <w:szCs w:val="20"/>
              </w:rPr>
              <w:lastRenderedPageBreak/>
              <w:t xml:space="preserve">Abstract: </w:t>
            </w:r>
            <w:r w:rsidRPr="005762E6">
              <w:rPr>
                <w:sz w:val="20"/>
                <w:szCs w:val="20"/>
              </w:rPr>
              <w:t>BACKGROUND: Baseline telephone survey data from 10 COMMIT sites were submitted to statistical analyses to compare the smoking characteristics of non-Hispanic white (white),​ non-Hispanic black (black),​ Mexican-origin (Mexican),​ and Puerto Rican-origin (Puerto Rican) smokers.,​ RESULTS: White men and women were more likely to be classified as "heavy smokers" than members of other racial/ethnic groups,​ although black and Puerto Rican smokers were more likely than whites to increase their smoking rates on weekends. Whites were less likely to report stopping smoking in the past. White and Mexican smokers were most likely to smoke light or ultralight brands and least likely to smoke menthol cigarettes. Blacks were most likely to report smoking their first cigarette of the day within 10 min of waking.,​ CONCLUSION: The differences and similarities among different groups of smokers may have important implications for understanding patterns of tobacco-related disease in smokers from different racial/ethnic and sex groups.</w:t>
            </w:r>
          </w:p>
        </w:tc>
      </w:tr>
      <w:tr w:rsidR="007F0AE0" w:rsidRPr="005762E6" w14:paraId="79B2B1D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6C376BC" w14:textId="77777777" w:rsidR="007F0AE0" w:rsidRPr="005762E6" w:rsidRDefault="007F0AE0" w:rsidP="00453DE3">
            <w:pPr>
              <w:spacing w:after="120" w:line="240" w:lineRule="auto"/>
              <w:contextualSpacing/>
              <w:rPr>
                <w:sz w:val="20"/>
                <w:szCs w:val="20"/>
              </w:rPr>
            </w:pPr>
            <w:r w:rsidRPr="005762E6">
              <w:rPr>
                <w:sz w:val="20"/>
                <w:szCs w:val="20"/>
              </w:rPr>
              <w:lastRenderedPageBreak/>
              <w:t>748</w:t>
            </w:r>
          </w:p>
        </w:tc>
        <w:tc>
          <w:tcPr>
            <w:tcW w:w="0" w:type="auto"/>
            <w:tcBorders>
              <w:top w:val="single" w:sz="6" w:space="0" w:color="auto"/>
              <w:left w:val="single" w:sz="6" w:space="0" w:color="auto"/>
              <w:bottom w:val="single" w:sz="6" w:space="0" w:color="auto"/>
              <w:right w:val="single" w:sz="6" w:space="0" w:color="auto"/>
            </w:tcBorders>
          </w:tcPr>
          <w:p w14:paraId="53AEF02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93ECFB1" w14:textId="77777777" w:rsidR="007F0AE0" w:rsidRPr="005762E6" w:rsidRDefault="007F0AE0" w:rsidP="00453DE3">
            <w:pPr>
              <w:spacing w:after="120" w:line="240" w:lineRule="auto"/>
              <w:contextualSpacing/>
              <w:rPr>
                <w:sz w:val="20"/>
                <w:szCs w:val="20"/>
              </w:rPr>
            </w:pPr>
            <w:r w:rsidRPr="005762E6">
              <w:rPr>
                <w:sz w:val="20"/>
                <w:szCs w:val="20"/>
              </w:rPr>
              <w:t>S Sidney,​ I S Tekawa,​ G D Friedman,​ M C Sadler,​ D P Tashkin Mentholated cigarette use and lung cancer.. Archives of internal medicine; 1995;155:727.</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Americans/sn [Statistics &amp; Numerical Data],​Aged,​Aged,​ 80 and over,​European Continental Ancestry Group/sn [Statistics &amp; Numerical Data],​Female,​Humans,​*Lung Neoplasms/eh [Ethnology],​*Lung Neoplasms/et [Etiology],​Lung Neoplasms/mo [Mortality],​Male,​*Menthol/ae [Adverse Effects],​Middle Aged,​Risk Factors,​*Smoking/ae [Adverse Effects]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Menthol combustion produces carcinogenic compounds such as benzo[a]pyrenes. Mentholated cigarettes are much more commonly smoked by black individuals than by white individuals. The incidence of lung cancer is much higher (60%) in black men than in white men,​ but it differs little by race in women. We examined the association of mentholated cigarette use with lung cancer in men and women because mentholated cigarette use could help to explain the higher incidence rate of lung cancer in black men than in white men.,​ METHODS: The study population consisted of 11,​761 members of the Northern California Kaiser Permanente Medical Care Program,​ Oakland (5771 men and 3990 women),​ aged 30 to 89 years,​ who underwent a multiphasic health checkup in 1979 through 1985 and reported that they were current cigarette smokers who had smoked for at least 20 years. Data were collected about current cigarette brand,​ duration of mentholated cigarette use,​ and other smoking characteristics. Follow-up for incident lung cancer cases (n = 318) was carried out through 1991.,​ RESULTS: The relative risk of lung cancer associated with mentholation compared with nonmentholated cigarettes was 1.45 in men (95% confidence interval,​ 1.03 to 2.02) and it was 0.75 in women (95% confidence interval,​ 0.51 to 1.11),​ adjusted for age,​ race,​ education,​ number of cigarettes smoked per day,​ and duration of smoking. Further adjustment for tar content and self-reported smoking intensity characteristics did not substantially alter the estimate of relative risk. A graded increase in risk of lung cancer with increasing duration of mentholated cigarette use was present in men.,​ CONCLUSION: This study suggests that there is an increased risk of lung cancer associated with mentholated cigarette use in male smokers but not in female smokers.</w:t>
            </w:r>
          </w:p>
        </w:tc>
      </w:tr>
      <w:tr w:rsidR="007F0AE0" w:rsidRPr="005762E6" w14:paraId="39FD927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5E28CD" w14:textId="77777777" w:rsidR="007F0AE0" w:rsidRPr="005762E6" w:rsidRDefault="007F0AE0" w:rsidP="00453DE3">
            <w:pPr>
              <w:spacing w:after="120" w:line="240" w:lineRule="auto"/>
              <w:contextualSpacing/>
              <w:rPr>
                <w:sz w:val="20"/>
                <w:szCs w:val="20"/>
              </w:rPr>
            </w:pPr>
            <w:r w:rsidRPr="005762E6">
              <w:rPr>
                <w:sz w:val="20"/>
                <w:szCs w:val="20"/>
              </w:rPr>
              <w:t>751</w:t>
            </w:r>
          </w:p>
        </w:tc>
        <w:tc>
          <w:tcPr>
            <w:tcW w:w="0" w:type="auto"/>
            <w:tcBorders>
              <w:top w:val="single" w:sz="6" w:space="0" w:color="auto"/>
              <w:left w:val="single" w:sz="6" w:space="0" w:color="auto"/>
              <w:bottom w:val="single" w:sz="6" w:space="0" w:color="auto"/>
              <w:right w:val="single" w:sz="6" w:space="0" w:color="auto"/>
            </w:tcBorders>
          </w:tcPr>
          <w:p w14:paraId="52501F4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CBF832" w14:textId="77777777" w:rsidR="007F0AE0" w:rsidRPr="005762E6" w:rsidRDefault="007F0AE0" w:rsidP="00453DE3">
            <w:pPr>
              <w:spacing w:after="120" w:line="240" w:lineRule="auto"/>
              <w:contextualSpacing/>
              <w:rPr>
                <w:sz w:val="20"/>
                <w:szCs w:val="20"/>
              </w:rPr>
            </w:pPr>
            <w:r w:rsidRPr="005762E6">
              <w:rPr>
                <w:sz w:val="20"/>
                <w:szCs w:val="20"/>
              </w:rPr>
              <w:t>M E Jarvik,​ D P Tashkin,​ N H Caskey,​ W J McCarthy,​ M R Rosenblatt Mentholated cigarettes decrease puff volume of smoke and increase carbon monoxide absorption.. Physiology &amp; behavior; 1994;56:563.</w:t>
            </w:r>
            <w:r w:rsidRPr="005762E6">
              <w:rPr>
                <w:sz w:val="20"/>
                <w:szCs w:val="20"/>
              </w:rPr>
              <w:br/>
            </w:r>
            <w:r w:rsidRPr="005762E6">
              <w:rPr>
                <w:sz w:val="20"/>
                <w:szCs w:val="20"/>
              </w:rPr>
              <w:br/>
            </w:r>
            <w:r w:rsidRPr="005762E6">
              <w:rPr>
                <w:b/>
                <w:bCs/>
                <w:sz w:val="20"/>
                <w:szCs w:val="20"/>
              </w:rPr>
              <w:t>Keywords:</w:t>
            </w:r>
            <w:r w:rsidRPr="005762E6">
              <w:rPr>
                <w:sz w:val="20"/>
                <w:szCs w:val="20"/>
              </w:rPr>
              <w:br/>
              <w:t>Adult,​*Carbon Monoxide/pk [Pharmacokinetics],​Carboxyhemoglobin/me [Metabolism],​Humans,​Male,​*Menthol/pd [Pharmacology],​Middle Aged,​*Smoking/pp [Physiopathology]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influence of mentholated vs. regular cigarettes on selected chemical and topographic parameters was measured in 20 smokers in a pulmonary function laboratory. Half the subjects were black and half were white; half were menthol and half regular smokers. All subjects smoked both types of cigarettes,​ one on each of 2 days. Compared to regular cigarettes,​ mentholated cigarettes produced a significantly greater boost in carbon monoxide measured as both blood carboxyhemoglobin and end-expired carbon monoxide,​ despite the fact that mentholated cigarettes decreased average and total cumulative puff volumes and increased mean puff flow rates of inhaled smoke. These chemical and topographic differences were independent of race. No significant differences in depth of inhalation of the smoke or in the amount of insoluble smoke particulates delivered to or retained in the respiratory tract were noted between the two types of cigarettes. Mentholation of cigarettes may </w:t>
            </w:r>
            <w:r w:rsidRPr="005762E6">
              <w:rPr>
                <w:sz w:val="20"/>
                <w:szCs w:val="20"/>
              </w:rPr>
              <w:lastRenderedPageBreak/>
              <w:t>decrease volume of smoke inhaled but appears to increase exposure of smokers to toxic effects of carbon monoxide.</w:t>
            </w:r>
          </w:p>
        </w:tc>
      </w:tr>
      <w:tr w:rsidR="007F0AE0" w:rsidRPr="005762E6" w14:paraId="71F0244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E8EC8B" w14:textId="77777777" w:rsidR="007F0AE0" w:rsidRPr="005762E6" w:rsidRDefault="007F0AE0" w:rsidP="00453DE3">
            <w:pPr>
              <w:spacing w:after="120" w:line="240" w:lineRule="auto"/>
              <w:contextualSpacing/>
              <w:rPr>
                <w:sz w:val="20"/>
                <w:szCs w:val="20"/>
              </w:rPr>
            </w:pPr>
            <w:r w:rsidRPr="005762E6">
              <w:rPr>
                <w:sz w:val="20"/>
                <w:szCs w:val="20"/>
              </w:rPr>
              <w:lastRenderedPageBreak/>
              <w:t>752</w:t>
            </w:r>
          </w:p>
        </w:tc>
        <w:tc>
          <w:tcPr>
            <w:tcW w:w="0" w:type="auto"/>
            <w:tcBorders>
              <w:top w:val="single" w:sz="6" w:space="0" w:color="auto"/>
              <w:left w:val="single" w:sz="6" w:space="0" w:color="auto"/>
              <w:bottom w:val="single" w:sz="6" w:space="0" w:color="auto"/>
              <w:right w:val="single" w:sz="6" w:space="0" w:color="auto"/>
            </w:tcBorders>
          </w:tcPr>
          <w:p w14:paraId="35C7805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19450E4" w14:textId="77777777" w:rsidR="007F0AE0" w:rsidRPr="005762E6" w:rsidRDefault="007F0AE0" w:rsidP="00453DE3">
            <w:pPr>
              <w:spacing w:after="120" w:line="240" w:lineRule="auto"/>
              <w:contextualSpacing/>
              <w:rPr>
                <w:sz w:val="20"/>
                <w:szCs w:val="20"/>
              </w:rPr>
            </w:pPr>
            <w:r w:rsidRPr="005762E6">
              <w:rPr>
                <w:sz w:val="20"/>
                <w:szCs w:val="20"/>
              </w:rPr>
              <w:t>J M Royce,​ N Hymowitz,​ K Corbett,​ T D Hartwell,​ M A Orlandi Smoking cessation factors among African Americans and whites. COMMIT Research Group.. American journal of public health; 1993;83:220.</w:t>
            </w:r>
            <w:r w:rsidRPr="005762E6">
              <w:rPr>
                <w:sz w:val="20"/>
                <w:szCs w:val="20"/>
              </w:rPr>
              <w:br/>
            </w:r>
            <w:r w:rsidRPr="005762E6">
              <w:rPr>
                <w:sz w:val="20"/>
                <w:szCs w:val="20"/>
              </w:rPr>
              <w:br/>
            </w:r>
            <w:r w:rsidRPr="005762E6">
              <w:rPr>
                <w:b/>
                <w:bCs/>
                <w:sz w:val="20"/>
                <w:szCs w:val="20"/>
              </w:rPr>
              <w:t>Keywords:</w:t>
            </w:r>
            <w:r w:rsidRPr="005762E6">
              <w:rPr>
                <w:sz w:val="20"/>
                <w:szCs w:val="20"/>
              </w:rPr>
              <w:br/>
              <w:t>Adult,​*African Americans/px [Psychology],​Attitude,​European Continental Ancestry Group/px [Psychology],​Female,​Humans,​Logistic Models,​Male,​Middle Aged,​Regression Analysis,​Smoking/eh [Ethnology],​Smoking/px [Psychology],​*Smoking Cessation/eh [Ethnology],​Smoking Cessation/px [Psychology],​Socioeconomic Factors,​Tobacco Use Disorder/eh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OBJECTIVES: This study was undertaken to explore smoking patterns and attitudes that influence smoking cessation and relapse among African Americans.,​ METHODS: Baseline data from eight Community Intervention Trial for Smoking Cessation (COMMIT) sites were analyzed.,​ RESULTS: Compared with Whites,​ African Americans who smoke less than 25 cigarettes per day were 1.6 times more likely to smoke within 10 minutes of awakening (a behavioral indicator of nicotine dependence),​ adjusting for education,​ age,​ and gender (OR = 1.2 for heavier smokers). African Americans reported a stronger desire to quit smoking and reported serious quit attempts in the past year. African Americans favored tobacco restrictions (they were 1.8 times more likely than Whites to view smoking as a serious community problem,​ 1.7 times more likely to favor restrictions on cigarette vending machines,​ and 2.1 times more likely to prohibit smoking in their car). African Americans were lighter/moderate,​ menthol smokers.,​ CONCLUSIONS: African Americans find smoking socially unacceptable and are strongly motivated to quit,​ but their "wake-up" smoking may indicate high nicotine dependence,​ making abstinence difficult even for lighter smokers.</w:t>
            </w:r>
          </w:p>
        </w:tc>
      </w:tr>
      <w:tr w:rsidR="007F0AE0" w:rsidRPr="005762E6" w14:paraId="6FC1CBD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4AB9AE5" w14:textId="77777777" w:rsidR="007F0AE0" w:rsidRPr="005762E6" w:rsidRDefault="007F0AE0" w:rsidP="00453DE3">
            <w:pPr>
              <w:spacing w:after="120" w:line="240" w:lineRule="auto"/>
              <w:contextualSpacing/>
              <w:rPr>
                <w:sz w:val="20"/>
                <w:szCs w:val="20"/>
              </w:rPr>
            </w:pPr>
            <w:r w:rsidRPr="005762E6">
              <w:rPr>
                <w:sz w:val="20"/>
                <w:szCs w:val="20"/>
              </w:rPr>
              <w:t>753</w:t>
            </w:r>
          </w:p>
        </w:tc>
        <w:tc>
          <w:tcPr>
            <w:tcW w:w="0" w:type="auto"/>
            <w:tcBorders>
              <w:top w:val="single" w:sz="6" w:space="0" w:color="auto"/>
              <w:left w:val="single" w:sz="6" w:space="0" w:color="auto"/>
              <w:bottom w:val="single" w:sz="6" w:space="0" w:color="auto"/>
              <w:right w:val="single" w:sz="6" w:space="0" w:color="auto"/>
            </w:tcBorders>
          </w:tcPr>
          <w:p w14:paraId="66620F8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AFB24DB" w14:textId="77777777" w:rsidR="007F0AE0" w:rsidRPr="005762E6" w:rsidRDefault="007F0AE0" w:rsidP="00453DE3">
            <w:pPr>
              <w:spacing w:after="120" w:line="240" w:lineRule="auto"/>
              <w:contextualSpacing/>
              <w:rPr>
                <w:sz w:val="20"/>
                <w:szCs w:val="20"/>
              </w:rPr>
            </w:pPr>
            <w:r w:rsidRPr="005762E6">
              <w:rPr>
                <w:sz w:val="20"/>
                <w:szCs w:val="20"/>
              </w:rPr>
              <w:t>K Ahijevych,​ M E Wewers Factors associated with nicotine dependence among African American women cigarette smokers.. Research in nursing &amp; health; 1993;16:283.</w:t>
            </w:r>
            <w:r w:rsidRPr="005762E6">
              <w:rPr>
                <w:sz w:val="20"/>
                <w:szCs w:val="20"/>
              </w:rPr>
              <w:br/>
            </w:r>
            <w:r w:rsidRPr="005762E6">
              <w:rPr>
                <w:sz w:val="20"/>
                <w:szCs w:val="20"/>
              </w:rPr>
              <w:br/>
            </w:r>
            <w:r w:rsidRPr="005762E6">
              <w:rPr>
                <w:b/>
                <w:bCs/>
                <w:sz w:val="20"/>
                <w:szCs w:val="20"/>
              </w:rPr>
              <w:t>Keywords:</w:t>
            </w:r>
            <w:r w:rsidRPr="005762E6">
              <w:rPr>
                <w:sz w:val="20"/>
                <w:szCs w:val="20"/>
              </w:rPr>
              <w:br/>
              <w:t>Adaptation,​ Psychological,​Adolescent,​Adult,​*African Americans/px [Psychology],​Aged,​Analysis of Variance,​Cognitive Therapy,​Cotinine/an [Analysis],​Educational Status,​Female,​Humans,​Middle Aged,​Models,​ Psychological,​Motivation,​*Nicotine,​Peer Group,​Poverty,​Predictive Value of Tests,​Regression Analysis,​Risk Factors,​Saliva/ch [Chemistry],​*Smoking/eh [Ethnology],​Smoking/mo [Mortality],​Smoking/px [Psychology],​Smoking Cessation/eh [Ethnology],​Smoking Cessation/mt [Methods],​Smoking Cessation/px [Psychology],​Smoking Prevention,​Socioeconomic Factors,​Substance-Related Disorders/di [Diagnosis],​*Substance-Related Disorders/eh [Ethnology],​Substance-Related Disorders/mo [Mortality],​Substance-Related Disorders/pc [Prevention &amp; Control],​Substance-Related Disorders/px [Psychology],​Surveys and Questionnaires,​*Women/px [Psychology]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Cigarette smoking contributes to disproportionate morbidity and mortality among African Americans. Purposes of the study were to describe smoking behavior and test a model of nicotine dependence among African American women. Participants (n = 187) smoked a low rate of high nicotine mentholated cigarettes and had a mean salivary cotinine of 402 ng/mL. The proposed model predicted 48% of variance in nicotine dependence with smoking to cope,​ number of cigarettes/day,​ positive outcome expectancies about smoking,​ and interest in quitting,​ as significant contributors. Suggested interventions include developing alternative coping skills,​ cognitive restructuring,​ and techniques focused on the precontemplation stage of smoking cessation.</w:t>
            </w:r>
          </w:p>
        </w:tc>
      </w:tr>
      <w:tr w:rsidR="007F0AE0" w:rsidRPr="005762E6" w14:paraId="4D92222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B5A841" w14:textId="77777777" w:rsidR="007F0AE0" w:rsidRPr="005762E6" w:rsidRDefault="007F0AE0" w:rsidP="00453DE3">
            <w:pPr>
              <w:spacing w:after="120" w:line="240" w:lineRule="auto"/>
              <w:contextualSpacing/>
              <w:rPr>
                <w:sz w:val="20"/>
                <w:szCs w:val="20"/>
              </w:rPr>
            </w:pPr>
            <w:r w:rsidRPr="005762E6">
              <w:rPr>
                <w:sz w:val="20"/>
                <w:szCs w:val="20"/>
              </w:rPr>
              <w:t>755</w:t>
            </w:r>
          </w:p>
        </w:tc>
        <w:tc>
          <w:tcPr>
            <w:tcW w:w="0" w:type="auto"/>
            <w:tcBorders>
              <w:top w:val="single" w:sz="6" w:space="0" w:color="auto"/>
              <w:left w:val="single" w:sz="6" w:space="0" w:color="auto"/>
              <w:bottom w:val="single" w:sz="6" w:space="0" w:color="auto"/>
              <w:right w:val="single" w:sz="6" w:space="0" w:color="auto"/>
            </w:tcBorders>
          </w:tcPr>
          <w:p w14:paraId="6C04CBC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F0BAA54" w14:textId="77777777" w:rsidR="007F0AE0" w:rsidRPr="005762E6" w:rsidRDefault="007F0AE0" w:rsidP="00453DE3">
            <w:pPr>
              <w:spacing w:after="120" w:line="240" w:lineRule="auto"/>
              <w:contextualSpacing/>
              <w:rPr>
                <w:sz w:val="20"/>
                <w:szCs w:val="20"/>
              </w:rPr>
            </w:pPr>
            <w:r w:rsidRPr="005762E6">
              <w:rPr>
                <w:sz w:val="20"/>
                <w:szCs w:val="20"/>
              </w:rPr>
              <w:t>G C Kabat,​ J R Hebert Use of mentholated cigarettes and lung cancer risk.. Cancer research; 1991;51:6510.</w:t>
            </w:r>
            <w:r w:rsidRPr="005762E6">
              <w:rPr>
                <w:sz w:val="20"/>
                <w:szCs w:val="20"/>
              </w:rPr>
              <w:br/>
            </w:r>
            <w:r w:rsidRPr="005762E6">
              <w:rPr>
                <w:sz w:val="20"/>
                <w:szCs w:val="20"/>
              </w:rPr>
              <w:br/>
            </w:r>
            <w:r w:rsidRPr="005762E6">
              <w:rPr>
                <w:b/>
                <w:bCs/>
                <w:sz w:val="20"/>
                <w:szCs w:val="20"/>
              </w:rPr>
              <w:t>Keywords:</w:t>
            </w:r>
            <w:r w:rsidRPr="005762E6">
              <w:rPr>
                <w:sz w:val="20"/>
                <w:szCs w:val="20"/>
              </w:rPr>
              <w:br/>
              <w:t>Adult,​Case-Control Studies,​Continental Population Groups,​Female,​Humans,​*Lung Neoplasms/et [Etiology],​Male,​Menthol,​Middle Aged,​Risk Factors,​*Smoking/ae [Adverse Effects]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Black males have higher age-adjusted lung cancer incidence rates compared to white males,​ and blacks of both sexes have higher rates of increase in lung cancer incidence over past decades. The majority of black smokers smoke mentholated cigarettes. These observations prompted us to assess the effect of smoking mentholated cigarettes on lung cancer risk,​ using data from a hospital-based case-control study of tobacco-related cancers. Analysis was restricted to current cigarette smokers and was carried out on 588 male lung </w:t>
            </w:r>
            <w:r w:rsidRPr="005762E6">
              <w:rPr>
                <w:sz w:val="20"/>
                <w:szCs w:val="20"/>
              </w:rPr>
              <w:lastRenderedPageBreak/>
              <w:t>cancer cases and 914 male control patients and on 456 female lung cancer cases and 410 female controls interviewed between 1985 and 1990. The prevalence of menthol usage did not differ between cases and controls of either sex. No significant association was observed between either short-term (1-14 years) or long-term (15+ years) menthol use and lung cancer in logistic regression analyses adjusting for covariates. For specific histological types of lung cancer there was no indication of an association with menthol usage.</w:t>
            </w:r>
          </w:p>
        </w:tc>
      </w:tr>
      <w:tr w:rsidR="007F0AE0" w:rsidRPr="005762E6" w14:paraId="301F303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35BAA9" w14:textId="77777777" w:rsidR="007F0AE0" w:rsidRPr="005762E6" w:rsidRDefault="007F0AE0" w:rsidP="00453DE3">
            <w:pPr>
              <w:spacing w:after="120" w:line="240" w:lineRule="auto"/>
              <w:contextualSpacing/>
              <w:rPr>
                <w:sz w:val="20"/>
                <w:szCs w:val="20"/>
              </w:rPr>
            </w:pPr>
            <w:r w:rsidRPr="005762E6">
              <w:rPr>
                <w:sz w:val="20"/>
                <w:szCs w:val="20"/>
              </w:rPr>
              <w:lastRenderedPageBreak/>
              <w:t>761</w:t>
            </w:r>
          </w:p>
        </w:tc>
        <w:tc>
          <w:tcPr>
            <w:tcW w:w="0" w:type="auto"/>
            <w:tcBorders>
              <w:top w:val="single" w:sz="6" w:space="0" w:color="auto"/>
              <w:left w:val="single" w:sz="6" w:space="0" w:color="auto"/>
              <w:bottom w:val="single" w:sz="6" w:space="0" w:color="auto"/>
              <w:right w:val="single" w:sz="6" w:space="0" w:color="auto"/>
            </w:tcBorders>
          </w:tcPr>
          <w:p w14:paraId="7A46ECF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DFCA3A9" w14:textId="77777777" w:rsidR="007F0AE0" w:rsidRPr="005762E6" w:rsidRDefault="007F0AE0" w:rsidP="00453DE3">
            <w:pPr>
              <w:spacing w:after="120" w:line="240" w:lineRule="auto"/>
              <w:contextualSpacing/>
              <w:rPr>
                <w:sz w:val="20"/>
                <w:szCs w:val="20"/>
              </w:rPr>
            </w:pPr>
            <w:r w:rsidRPr="005762E6">
              <w:rPr>
                <w:sz w:val="20"/>
                <w:szCs w:val="20"/>
              </w:rPr>
              <w:t>C T Orleans,​ V J Schoenbach,​ M A Salmon,​ V J Strecher,​ W Kalsbeek,​ D Quade,​ E F Brooks,​ T R Konrad,​ C Blackmon,​ C D Watts A survey of smoking and quitting patterns among black Americans.. American journal of public health; 1989;79:176.</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Americans,​Female,​Humans,​Male,​Smoking/ep [Epidemiology],​*Smoking/eh [Ethnology],​Smoking Prevention,​United States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A sample of adult Black policyholders of the nation's largest Black-owned life insurance company was surveyed in 1986 to add to limited data on smoking and quitting patterns among Black Americans,​ and to provide direction for cessation initiatives targeted to Black smokers. Forty per cent of 2,​958 age-eligible policyholders for whom current addresses were available returned a completed questionnaire. Population estimates for smoking status agree closely with national estimates for Blacks age 21-60 years: 50 per cent never-smokers; 36 per cent current smokers; 14 per cent ex-smokers. Current and ex-smokers reported a modal low-rate/high nicotine menthol smoking pattern. Current smokers reported a mean of 3.8 serious quit attempts,​ a strong desire and intention to quit smoking,​ and limited past use of effective quit smoking treatments and self-help resources. Correlates of motivation to quit smoking were similar to those found among smokers in the general population,​ including smoking-related illnesses and medical advice to quit smoking,​ previous quit attempts,​ beliefs in smoking-related health harms/quitting benefits,​ and expected social support for quitting. Methodological limitations and implications for the design of needed Black-focused quit smoking initiatives are discussed.</w:t>
            </w:r>
          </w:p>
        </w:tc>
      </w:tr>
      <w:tr w:rsidR="007F0AE0" w:rsidRPr="005762E6" w14:paraId="58C16D9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78A3D39" w14:textId="77777777" w:rsidR="007F0AE0" w:rsidRPr="005762E6" w:rsidRDefault="007F0AE0" w:rsidP="00453DE3">
            <w:pPr>
              <w:spacing w:after="120" w:line="240" w:lineRule="auto"/>
              <w:contextualSpacing/>
              <w:rPr>
                <w:sz w:val="20"/>
                <w:szCs w:val="20"/>
              </w:rPr>
            </w:pPr>
            <w:r w:rsidRPr="005762E6">
              <w:rPr>
                <w:sz w:val="20"/>
                <w:szCs w:val="20"/>
              </w:rPr>
              <w:t>762</w:t>
            </w:r>
          </w:p>
        </w:tc>
        <w:tc>
          <w:tcPr>
            <w:tcW w:w="0" w:type="auto"/>
            <w:tcBorders>
              <w:top w:val="single" w:sz="6" w:space="0" w:color="auto"/>
              <w:left w:val="single" w:sz="6" w:space="0" w:color="auto"/>
              <w:bottom w:val="single" w:sz="6" w:space="0" w:color="auto"/>
              <w:right w:val="single" w:sz="6" w:space="0" w:color="auto"/>
            </w:tcBorders>
          </w:tcPr>
          <w:p w14:paraId="4D5B7BD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9ABA40D" w14:textId="77777777" w:rsidR="007F0AE0" w:rsidRPr="005762E6" w:rsidRDefault="007F0AE0" w:rsidP="00453DE3">
            <w:pPr>
              <w:spacing w:after="120" w:line="240" w:lineRule="auto"/>
              <w:contextualSpacing/>
              <w:rPr>
                <w:sz w:val="20"/>
                <w:szCs w:val="20"/>
              </w:rPr>
            </w:pPr>
            <w:r w:rsidRPr="005762E6">
              <w:rPr>
                <w:sz w:val="20"/>
                <w:szCs w:val="20"/>
              </w:rPr>
              <w:t>S Sidney,​ I Tekawa,​ G D Friedman Mentholated cigarette use among multiphasic examinees,​ 1979-86.. American journal of public health; 1989;79:1415.</w:t>
            </w:r>
            <w:r w:rsidRPr="005762E6">
              <w:rPr>
                <w:sz w:val="20"/>
                <w:szCs w:val="20"/>
              </w:rPr>
              <w:br/>
            </w:r>
            <w:r w:rsidRPr="005762E6">
              <w:rPr>
                <w:sz w:val="20"/>
                <w:szCs w:val="20"/>
              </w:rPr>
              <w:br/>
            </w:r>
            <w:r w:rsidRPr="005762E6">
              <w:rPr>
                <w:b/>
                <w:bCs/>
                <w:sz w:val="20"/>
                <w:szCs w:val="20"/>
              </w:rPr>
              <w:t>Keywords:</w:t>
            </w:r>
            <w:r w:rsidRPr="005762E6">
              <w:rPr>
                <w:sz w:val="20"/>
                <w:szCs w:val="20"/>
              </w:rPr>
              <w:br/>
              <w:t>Adolescent,​Adult,​African Americans,​Age Factors,​Aged,​Asian Americans,​California,​European Continental Ancestry Group,​Female,​Humans,​Male,​*Menthol,​Middle Aged,​Prospective Studies,​Sex Factors,​Smoking/ep [Epidemiology],​*Smoking/eh [Ethnology]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Mentholated cigarette use was studied in relation to age and race in 29,​037 current smokers who were Kaiser Permanente Medical Care Program members. The percentages of mentholated cigarette users were much higher in Blacks and Asians than in Whites,​ especially in the younger age groups. A marked inverse relationship between mentholated cigarette use and age was present in Blacks and Asians; mentholated cigarette use showed little difference with age in Whites.</w:t>
            </w:r>
          </w:p>
        </w:tc>
      </w:tr>
      <w:tr w:rsidR="007F0AE0" w:rsidRPr="005762E6" w14:paraId="3F60767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F966F7C" w14:textId="77777777" w:rsidR="007F0AE0" w:rsidRPr="005762E6" w:rsidRDefault="007F0AE0" w:rsidP="00453DE3">
            <w:pPr>
              <w:spacing w:after="120" w:line="240" w:lineRule="auto"/>
              <w:contextualSpacing/>
              <w:rPr>
                <w:sz w:val="20"/>
                <w:szCs w:val="20"/>
              </w:rPr>
            </w:pPr>
            <w:r w:rsidRPr="005762E6">
              <w:rPr>
                <w:sz w:val="20"/>
                <w:szCs w:val="20"/>
              </w:rPr>
              <w:t>765</w:t>
            </w:r>
          </w:p>
        </w:tc>
        <w:tc>
          <w:tcPr>
            <w:tcW w:w="0" w:type="auto"/>
            <w:tcBorders>
              <w:top w:val="single" w:sz="6" w:space="0" w:color="auto"/>
              <w:left w:val="single" w:sz="6" w:space="0" w:color="auto"/>
              <w:bottom w:val="single" w:sz="6" w:space="0" w:color="auto"/>
              <w:right w:val="single" w:sz="6" w:space="0" w:color="auto"/>
            </w:tcBorders>
          </w:tcPr>
          <w:p w14:paraId="193FA6E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9F321B2" w14:textId="77777777" w:rsidR="007F0AE0" w:rsidRPr="005762E6" w:rsidRDefault="007F0AE0" w:rsidP="00453DE3">
            <w:pPr>
              <w:spacing w:after="120" w:line="240" w:lineRule="auto"/>
              <w:contextualSpacing/>
              <w:rPr>
                <w:sz w:val="20"/>
                <w:szCs w:val="20"/>
              </w:rPr>
            </w:pPr>
            <w:r w:rsidRPr="005762E6">
              <w:rPr>
                <w:sz w:val="20"/>
                <w:szCs w:val="20"/>
              </w:rPr>
              <w:t>J R Hebert,​ G C Kabat Menthol cigarettes and esophageal cancer.. American journal of public health; 1988;78:986.</w:t>
            </w:r>
            <w:r w:rsidRPr="005762E6">
              <w:rPr>
                <w:sz w:val="20"/>
                <w:szCs w:val="20"/>
              </w:rPr>
              <w:br/>
            </w:r>
            <w:r w:rsidRPr="005762E6">
              <w:rPr>
                <w:sz w:val="20"/>
                <w:szCs w:val="20"/>
              </w:rPr>
              <w:br/>
            </w:r>
            <w:r w:rsidRPr="005762E6">
              <w:rPr>
                <w:b/>
                <w:bCs/>
                <w:sz w:val="20"/>
                <w:szCs w:val="20"/>
              </w:rPr>
              <w:t>Keywords:</w:t>
            </w:r>
            <w:r w:rsidRPr="005762E6">
              <w:rPr>
                <w:sz w:val="20"/>
                <w:szCs w:val="20"/>
              </w:rPr>
              <w:br/>
              <w:t>African Americans,​African Continental Ancestry Group,​*Esophageal Neoplasms/mo [Mortality],​European Continental Ancestry Group,​Female,​Humans,​Male,​*Menthol/ae [Adverse Effects],​*Smoking/ae [Adverse Effects],​United States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A590FA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AD9409" w14:textId="77777777" w:rsidR="007F0AE0" w:rsidRPr="005762E6" w:rsidRDefault="007F0AE0" w:rsidP="00453DE3">
            <w:pPr>
              <w:spacing w:after="120" w:line="240" w:lineRule="auto"/>
              <w:contextualSpacing/>
              <w:rPr>
                <w:sz w:val="20"/>
                <w:szCs w:val="20"/>
              </w:rPr>
            </w:pPr>
            <w:r w:rsidRPr="005762E6">
              <w:rPr>
                <w:sz w:val="20"/>
                <w:szCs w:val="20"/>
              </w:rPr>
              <w:t>768</w:t>
            </w:r>
          </w:p>
        </w:tc>
        <w:tc>
          <w:tcPr>
            <w:tcW w:w="0" w:type="auto"/>
            <w:tcBorders>
              <w:top w:val="single" w:sz="6" w:space="0" w:color="auto"/>
              <w:left w:val="single" w:sz="6" w:space="0" w:color="auto"/>
              <w:bottom w:val="single" w:sz="6" w:space="0" w:color="auto"/>
              <w:right w:val="single" w:sz="6" w:space="0" w:color="auto"/>
            </w:tcBorders>
          </w:tcPr>
          <w:p w14:paraId="0815113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B4111EA" w14:textId="77777777" w:rsidR="007F0AE0" w:rsidRPr="005762E6" w:rsidRDefault="007F0AE0" w:rsidP="00453DE3">
            <w:pPr>
              <w:spacing w:after="120" w:line="240" w:lineRule="auto"/>
              <w:contextualSpacing/>
              <w:rPr>
                <w:sz w:val="20"/>
                <w:szCs w:val="20"/>
              </w:rPr>
            </w:pPr>
            <w:r w:rsidRPr="005762E6">
              <w:rPr>
                <w:sz w:val="20"/>
                <w:szCs w:val="20"/>
              </w:rPr>
              <w:t>G Camarasa,​ A Alomar Menthol dermatitis from cigarettes.. Contact dermatitis; 1978;4:169.</w:t>
            </w:r>
            <w:r w:rsidRPr="005762E6">
              <w:rPr>
                <w:sz w:val="20"/>
                <w:szCs w:val="20"/>
              </w:rPr>
              <w:br/>
            </w:r>
            <w:r w:rsidRPr="005762E6">
              <w:rPr>
                <w:sz w:val="20"/>
                <w:szCs w:val="20"/>
              </w:rPr>
              <w:br/>
            </w:r>
            <w:r w:rsidRPr="005762E6">
              <w:rPr>
                <w:b/>
                <w:bCs/>
                <w:sz w:val="20"/>
                <w:szCs w:val="20"/>
              </w:rPr>
              <w:t>Keywords:</w:t>
            </w:r>
            <w:r w:rsidRPr="005762E6">
              <w:rPr>
                <w:sz w:val="20"/>
                <w:szCs w:val="20"/>
              </w:rPr>
              <w:br/>
              <w:t>Adult,​*Dermatitis,​ Contact/et [Etiology],​Female,​Humans,​*Menthol/ae [Adverse Effects],​*Smoking/co [Complications]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713CC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BB5F9A" w14:textId="77777777" w:rsidR="007F0AE0" w:rsidRPr="005762E6" w:rsidRDefault="007F0AE0" w:rsidP="00453DE3">
            <w:pPr>
              <w:spacing w:after="120" w:line="240" w:lineRule="auto"/>
              <w:contextualSpacing/>
              <w:rPr>
                <w:sz w:val="20"/>
                <w:szCs w:val="20"/>
              </w:rPr>
            </w:pPr>
            <w:r w:rsidRPr="005762E6">
              <w:rPr>
                <w:sz w:val="20"/>
                <w:szCs w:val="20"/>
              </w:rPr>
              <w:lastRenderedPageBreak/>
              <w:t>769</w:t>
            </w:r>
          </w:p>
        </w:tc>
        <w:tc>
          <w:tcPr>
            <w:tcW w:w="0" w:type="auto"/>
            <w:tcBorders>
              <w:top w:val="single" w:sz="6" w:space="0" w:color="auto"/>
              <w:left w:val="single" w:sz="6" w:space="0" w:color="auto"/>
              <w:bottom w:val="single" w:sz="6" w:space="0" w:color="auto"/>
              <w:right w:val="single" w:sz="6" w:space="0" w:color="auto"/>
            </w:tcBorders>
          </w:tcPr>
          <w:p w14:paraId="404F653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0EBF49C" w14:textId="77777777" w:rsidR="007F0AE0" w:rsidRPr="005762E6" w:rsidRDefault="007F0AE0" w:rsidP="00453DE3">
            <w:pPr>
              <w:spacing w:after="120" w:line="240" w:lineRule="auto"/>
              <w:contextualSpacing/>
              <w:rPr>
                <w:sz w:val="20"/>
                <w:szCs w:val="20"/>
              </w:rPr>
            </w:pPr>
            <w:r w:rsidRPr="005762E6">
              <w:rPr>
                <w:sz w:val="20"/>
                <w:szCs w:val="20"/>
              </w:rPr>
              <w:t>B B Chrisman Menthol and dermatitis.. Archives of dermatology; 1978;114:286.</w:t>
            </w:r>
            <w:r w:rsidRPr="005762E6">
              <w:rPr>
                <w:sz w:val="20"/>
                <w:szCs w:val="20"/>
              </w:rPr>
              <w:br/>
            </w:r>
            <w:r w:rsidRPr="005762E6">
              <w:rPr>
                <w:sz w:val="20"/>
                <w:szCs w:val="20"/>
              </w:rPr>
              <w:br/>
            </w:r>
            <w:r w:rsidRPr="005762E6">
              <w:rPr>
                <w:b/>
                <w:bCs/>
                <w:sz w:val="20"/>
                <w:szCs w:val="20"/>
              </w:rPr>
              <w:t>Keywords:</w:t>
            </w:r>
            <w:r w:rsidRPr="005762E6">
              <w:rPr>
                <w:sz w:val="20"/>
                <w:szCs w:val="20"/>
              </w:rPr>
              <w:br/>
              <w:t>Adult,​*Dermatitis,​ Contact/et [Etiology],​Female,​Humans,​*Lip Diseases/ci [Chemically Induced],​*Menthol/ae [Adverse Effects],​*Smoking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929C41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9A384E" w14:textId="77777777" w:rsidR="007F0AE0" w:rsidRPr="005762E6" w:rsidRDefault="007F0AE0" w:rsidP="00453DE3">
            <w:pPr>
              <w:spacing w:after="120" w:line="240" w:lineRule="auto"/>
              <w:contextualSpacing/>
              <w:rPr>
                <w:sz w:val="20"/>
                <w:szCs w:val="20"/>
              </w:rPr>
            </w:pPr>
            <w:r w:rsidRPr="005762E6">
              <w:rPr>
                <w:sz w:val="20"/>
                <w:szCs w:val="20"/>
              </w:rPr>
              <w:t>770</w:t>
            </w:r>
          </w:p>
        </w:tc>
        <w:tc>
          <w:tcPr>
            <w:tcW w:w="0" w:type="auto"/>
            <w:tcBorders>
              <w:top w:val="single" w:sz="6" w:space="0" w:color="auto"/>
              <w:left w:val="single" w:sz="6" w:space="0" w:color="auto"/>
              <w:bottom w:val="single" w:sz="6" w:space="0" w:color="auto"/>
              <w:right w:val="single" w:sz="6" w:space="0" w:color="auto"/>
            </w:tcBorders>
          </w:tcPr>
          <w:p w14:paraId="706EB2F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D4BB7E" w14:textId="77777777" w:rsidR="007F0AE0" w:rsidRPr="005762E6" w:rsidRDefault="007F0AE0" w:rsidP="00453DE3">
            <w:pPr>
              <w:spacing w:after="120" w:line="240" w:lineRule="auto"/>
              <w:contextualSpacing/>
              <w:rPr>
                <w:sz w:val="20"/>
                <w:szCs w:val="20"/>
              </w:rPr>
            </w:pPr>
            <w:r w:rsidRPr="005762E6">
              <w:rPr>
                <w:sz w:val="20"/>
                <w:szCs w:val="20"/>
              </w:rPr>
              <w:t>P K Das,​ R S Rathor,​ P S Sinha,​ A K Sanyal Effect on ciliary movements of some agents which come in contact with the respiratory tract.. Indian journal of physiology and pharmacology; 1970;14:297.</w:t>
            </w:r>
            <w:r w:rsidRPr="005762E6">
              <w:rPr>
                <w:sz w:val="20"/>
                <w:szCs w:val="20"/>
              </w:rPr>
              <w:br/>
            </w:r>
            <w:r w:rsidRPr="005762E6">
              <w:rPr>
                <w:sz w:val="20"/>
                <w:szCs w:val="20"/>
              </w:rPr>
              <w:br/>
            </w:r>
            <w:r w:rsidRPr="005762E6">
              <w:rPr>
                <w:b/>
                <w:bCs/>
                <w:sz w:val="20"/>
                <w:szCs w:val="20"/>
              </w:rPr>
              <w:t>Keywords:</w:t>
            </w:r>
            <w:r w:rsidRPr="005762E6">
              <w:rPr>
                <w:sz w:val="20"/>
                <w:szCs w:val="20"/>
              </w:rPr>
              <w:br/>
              <w:t>Acetylcholine,​Animals,​Anura,​Bromides,​Carbon Dioxide,​Chloroform,​*Cilia/ph [Physiology],​Cresols,​Ethanol,​Ethyl Ethers,​Guaiacol,​In Vitro Techniques,​Menthol,​Oils,​Oxygen Consumption,​Paraldehyde,​Petroleum,​Plants,​ Toxic,​Potassium Chloride,​Potassium Iodide,​Respiratory Physiological Phenomena,​Smoke,​Thymol,​Tobacco</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6BBCD5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546EBD" w14:textId="77777777" w:rsidR="007F0AE0" w:rsidRPr="005762E6" w:rsidRDefault="007F0AE0" w:rsidP="00453DE3">
            <w:pPr>
              <w:spacing w:after="120" w:line="240" w:lineRule="auto"/>
              <w:contextualSpacing/>
              <w:rPr>
                <w:sz w:val="20"/>
                <w:szCs w:val="20"/>
              </w:rPr>
            </w:pPr>
            <w:r w:rsidRPr="005762E6">
              <w:rPr>
                <w:sz w:val="20"/>
                <w:szCs w:val="20"/>
              </w:rPr>
              <w:t>771</w:t>
            </w:r>
          </w:p>
        </w:tc>
        <w:tc>
          <w:tcPr>
            <w:tcW w:w="0" w:type="auto"/>
            <w:tcBorders>
              <w:top w:val="single" w:sz="6" w:space="0" w:color="auto"/>
              <w:left w:val="single" w:sz="6" w:space="0" w:color="auto"/>
              <w:bottom w:val="single" w:sz="6" w:space="0" w:color="auto"/>
              <w:right w:val="single" w:sz="6" w:space="0" w:color="auto"/>
            </w:tcBorders>
          </w:tcPr>
          <w:p w14:paraId="4C290DF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E09BD9B" w14:textId="77777777" w:rsidR="007F0AE0" w:rsidRPr="005762E6" w:rsidRDefault="007F0AE0" w:rsidP="00453DE3">
            <w:pPr>
              <w:spacing w:after="120" w:line="240" w:lineRule="auto"/>
              <w:contextualSpacing/>
              <w:rPr>
                <w:sz w:val="20"/>
                <w:szCs w:val="20"/>
              </w:rPr>
            </w:pPr>
            <w:r w:rsidRPr="005762E6">
              <w:rPr>
                <w:sz w:val="20"/>
                <w:szCs w:val="20"/>
              </w:rPr>
              <w:t>I Schmeltz,​ W S Schlotzhauer Benzo(a)pyrene,​ phenols and other products from pyrolysis of the cigarette additive,​ (d,​1)-menthol.. Nature; 1968;219:370.</w:t>
            </w:r>
            <w:r w:rsidRPr="005762E6">
              <w:rPr>
                <w:sz w:val="20"/>
                <w:szCs w:val="20"/>
              </w:rPr>
              <w:br/>
            </w:r>
            <w:r w:rsidRPr="005762E6">
              <w:rPr>
                <w:sz w:val="20"/>
                <w:szCs w:val="20"/>
              </w:rPr>
              <w:br/>
            </w:r>
            <w:r w:rsidRPr="005762E6">
              <w:rPr>
                <w:b/>
                <w:bCs/>
                <w:sz w:val="20"/>
                <w:szCs w:val="20"/>
              </w:rPr>
              <w:t>Keywords:</w:t>
            </w:r>
            <w:r w:rsidRPr="005762E6">
              <w:rPr>
                <w:sz w:val="20"/>
                <w:szCs w:val="20"/>
              </w:rPr>
              <w:br/>
              <w:t>Anthracenes/an [Analysis],​Benzene/an [Analysis],​Benzene Derivatives/an [Analysis],​*Benzopyrenes/an [Analysis],​Biphenyl Compounds/an [Analysis],​Carcinogens,​Chromatography,​ Gas,​Chromatography,​ Paper,​*Hot Temperature,​Ketones/an [Analysis],​*Menthol/an [Analysis],​Naphthalenes/an [Analysis],​Phenanthrenes/an [Analysis],​*Phenols/an [Analysis],​Smoking,​Styrenes/an [Analysis],​Toluene/an [Analysis]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829BC6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C1108A" w14:textId="77777777" w:rsidR="007F0AE0" w:rsidRPr="005762E6" w:rsidRDefault="007F0AE0" w:rsidP="00453DE3">
            <w:pPr>
              <w:spacing w:after="120" w:line="240" w:lineRule="auto"/>
              <w:contextualSpacing/>
              <w:rPr>
                <w:sz w:val="20"/>
                <w:szCs w:val="20"/>
              </w:rPr>
            </w:pPr>
            <w:r w:rsidRPr="005762E6">
              <w:rPr>
                <w:sz w:val="20"/>
                <w:szCs w:val="20"/>
              </w:rPr>
              <w:t>772</w:t>
            </w:r>
          </w:p>
        </w:tc>
        <w:tc>
          <w:tcPr>
            <w:tcW w:w="0" w:type="auto"/>
            <w:tcBorders>
              <w:top w:val="single" w:sz="6" w:space="0" w:color="auto"/>
              <w:left w:val="single" w:sz="6" w:space="0" w:color="auto"/>
              <w:bottom w:val="single" w:sz="6" w:space="0" w:color="auto"/>
              <w:right w:val="single" w:sz="6" w:space="0" w:color="auto"/>
            </w:tcBorders>
          </w:tcPr>
          <w:p w14:paraId="52A4761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A534925" w14:textId="77777777" w:rsidR="007F0AE0" w:rsidRPr="005762E6" w:rsidRDefault="007F0AE0" w:rsidP="00453DE3">
            <w:pPr>
              <w:spacing w:after="120" w:line="240" w:lineRule="auto"/>
              <w:contextualSpacing/>
              <w:rPr>
                <w:sz w:val="20"/>
                <w:szCs w:val="20"/>
              </w:rPr>
            </w:pPr>
            <w:r w:rsidRPr="005762E6">
              <w:rPr>
                <w:sz w:val="20"/>
                <w:szCs w:val="20"/>
              </w:rPr>
              <w:t>E M McGowan Menthol urticaria.. Archives of dermatology; 1966;94:62.</w:t>
            </w:r>
            <w:r w:rsidRPr="005762E6">
              <w:rPr>
                <w:sz w:val="20"/>
                <w:szCs w:val="20"/>
              </w:rPr>
              <w:br/>
            </w:r>
            <w:r w:rsidRPr="005762E6">
              <w:rPr>
                <w:sz w:val="20"/>
                <w:szCs w:val="20"/>
              </w:rPr>
              <w:br/>
            </w:r>
            <w:r w:rsidRPr="005762E6">
              <w:rPr>
                <w:b/>
                <w:bCs/>
                <w:sz w:val="20"/>
                <w:szCs w:val="20"/>
              </w:rPr>
              <w:t>Keywords:</w:t>
            </w:r>
            <w:r w:rsidRPr="005762E6">
              <w:rPr>
                <w:sz w:val="20"/>
                <w:szCs w:val="20"/>
              </w:rPr>
              <w:br/>
              <w:t>Adolescent,​Basophils,​*Expectorants/ae [Adverse Effects],​Female,​Humans,​Hypersensitivity,​*Menthol/ae [Adverse Effects],​Skin Tests,​*Smoking,​*Urticaria/et [Etiology]</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C4CADA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2E6CFA" w14:textId="77777777" w:rsidR="007F0AE0" w:rsidRPr="005762E6" w:rsidRDefault="007F0AE0" w:rsidP="00453DE3">
            <w:pPr>
              <w:spacing w:after="120" w:line="240" w:lineRule="auto"/>
              <w:contextualSpacing/>
              <w:rPr>
                <w:sz w:val="20"/>
                <w:szCs w:val="20"/>
              </w:rPr>
            </w:pPr>
            <w:r w:rsidRPr="005762E6">
              <w:rPr>
                <w:sz w:val="20"/>
                <w:szCs w:val="20"/>
              </w:rPr>
              <w:t>773</w:t>
            </w:r>
          </w:p>
        </w:tc>
        <w:tc>
          <w:tcPr>
            <w:tcW w:w="0" w:type="auto"/>
            <w:tcBorders>
              <w:top w:val="single" w:sz="6" w:space="0" w:color="auto"/>
              <w:left w:val="single" w:sz="6" w:space="0" w:color="auto"/>
              <w:bottom w:val="single" w:sz="6" w:space="0" w:color="auto"/>
              <w:right w:val="single" w:sz="6" w:space="0" w:color="auto"/>
            </w:tcBorders>
          </w:tcPr>
          <w:p w14:paraId="7417825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4EF52EA" w14:textId="77777777" w:rsidR="007F0AE0" w:rsidRPr="005762E6" w:rsidRDefault="007F0AE0" w:rsidP="00453DE3">
            <w:pPr>
              <w:spacing w:after="120" w:line="240" w:lineRule="auto"/>
              <w:contextualSpacing/>
              <w:rPr>
                <w:sz w:val="20"/>
                <w:szCs w:val="20"/>
              </w:rPr>
            </w:pPr>
            <w:r w:rsidRPr="005762E6">
              <w:rPr>
                <w:sz w:val="20"/>
                <w:szCs w:val="20"/>
              </w:rPr>
              <w:t>W SIMON,​ R J LUCERO Consumption of mentholated cigarettes by alcoholics.. Diseases of the nervous system; 1960;21:213.</w:t>
            </w:r>
            <w:r w:rsidRPr="005762E6">
              <w:rPr>
                <w:sz w:val="20"/>
                <w:szCs w:val="20"/>
              </w:rPr>
              <w:br/>
            </w:r>
            <w:r w:rsidRPr="005762E6">
              <w:rPr>
                <w:sz w:val="20"/>
                <w:szCs w:val="20"/>
              </w:rPr>
              <w:br/>
            </w:r>
            <w:r w:rsidRPr="005762E6">
              <w:rPr>
                <w:b/>
                <w:bCs/>
                <w:sz w:val="20"/>
                <w:szCs w:val="20"/>
              </w:rPr>
              <w:t>Keywords:</w:t>
            </w:r>
            <w:r w:rsidRPr="005762E6">
              <w:rPr>
                <w:sz w:val="20"/>
                <w:szCs w:val="20"/>
              </w:rPr>
              <w:br/>
              <w:t>*Alcoholics,​*Alcoholism/px [Psychology],​Humans,​*Smoking</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B067F7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AEC6EC" w14:textId="77777777" w:rsidR="007F0AE0" w:rsidRPr="005762E6" w:rsidRDefault="007F0AE0" w:rsidP="00453DE3">
            <w:pPr>
              <w:spacing w:after="120" w:line="240" w:lineRule="auto"/>
              <w:contextualSpacing/>
              <w:rPr>
                <w:sz w:val="20"/>
                <w:szCs w:val="20"/>
              </w:rPr>
            </w:pPr>
            <w:r w:rsidRPr="005762E6">
              <w:rPr>
                <w:sz w:val="20"/>
                <w:szCs w:val="20"/>
              </w:rPr>
              <w:t>774</w:t>
            </w:r>
          </w:p>
        </w:tc>
        <w:tc>
          <w:tcPr>
            <w:tcW w:w="0" w:type="auto"/>
            <w:tcBorders>
              <w:top w:val="single" w:sz="6" w:space="0" w:color="auto"/>
              <w:left w:val="single" w:sz="6" w:space="0" w:color="auto"/>
              <w:bottom w:val="single" w:sz="6" w:space="0" w:color="auto"/>
              <w:right w:val="single" w:sz="6" w:space="0" w:color="auto"/>
            </w:tcBorders>
          </w:tcPr>
          <w:p w14:paraId="10120AC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F333860" w14:textId="77777777" w:rsidR="007F0AE0" w:rsidRPr="005762E6" w:rsidRDefault="007F0AE0" w:rsidP="00453DE3">
            <w:pPr>
              <w:spacing w:after="120" w:line="240" w:lineRule="auto"/>
              <w:contextualSpacing/>
              <w:rPr>
                <w:sz w:val="20"/>
                <w:szCs w:val="20"/>
              </w:rPr>
            </w:pPr>
            <w:r w:rsidRPr="005762E6">
              <w:rPr>
                <w:sz w:val="20"/>
                <w:szCs w:val="20"/>
              </w:rPr>
              <w:t>N RAKIETEN,​ M L RAKIETEN,​ D FELDMAN,​ M J Jr BOYKIN Mammalian ciliated respiratory epithelium; studies with particular reference to effects of menthol,​ nicotine,​ and smoke of mentholated and nonmentholated cigarettes.. A.M.A. archives of otolaryngology; 1952;56:494.</w:t>
            </w:r>
            <w:r w:rsidRPr="005762E6">
              <w:rPr>
                <w:sz w:val="20"/>
                <w:szCs w:val="20"/>
              </w:rPr>
              <w:br/>
            </w:r>
            <w:r w:rsidRPr="005762E6">
              <w:rPr>
                <w:sz w:val="20"/>
                <w:szCs w:val="20"/>
              </w:rPr>
              <w:br/>
            </w:r>
            <w:r w:rsidRPr="005762E6">
              <w:rPr>
                <w:b/>
                <w:bCs/>
                <w:sz w:val="20"/>
                <w:szCs w:val="20"/>
              </w:rPr>
              <w:t>Keywords:</w:t>
            </w:r>
            <w:r w:rsidRPr="005762E6">
              <w:rPr>
                <w:sz w:val="20"/>
                <w:szCs w:val="20"/>
              </w:rPr>
              <w:br/>
              <w:t>Humans,​*Menthol,​*Nicotine/pd [Pharmacology],​*Respiratory Mucosa,​*Respiratory System,​*Smoke,​*Tobacco</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067A6C4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53A6E2" w14:textId="77777777" w:rsidR="007F0AE0" w:rsidRPr="005762E6" w:rsidRDefault="007F0AE0" w:rsidP="00453DE3">
            <w:pPr>
              <w:spacing w:after="120" w:line="240" w:lineRule="auto"/>
              <w:contextualSpacing/>
              <w:rPr>
                <w:sz w:val="20"/>
                <w:szCs w:val="20"/>
              </w:rPr>
            </w:pPr>
            <w:r w:rsidRPr="005762E6">
              <w:rPr>
                <w:sz w:val="20"/>
                <w:szCs w:val="20"/>
              </w:rPr>
              <w:t>775</w:t>
            </w:r>
          </w:p>
        </w:tc>
        <w:tc>
          <w:tcPr>
            <w:tcW w:w="0" w:type="auto"/>
            <w:tcBorders>
              <w:top w:val="single" w:sz="6" w:space="0" w:color="auto"/>
              <w:left w:val="single" w:sz="6" w:space="0" w:color="auto"/>
              <w:bottom w:val="single" w:sz="6" w:space="0" w:color="auto"/>
              <w:right w:val="single" w:sz="6" w:space="0" w:color="auto"/>
            </w:tcBorders>
          </w:tcPr>
          <w:p w14:paraId="0B35F29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FA92197" w14:textId="77777777" w:rsidR="007F0AE0" w:rsidRPr="005762E6" w:rsidRDefault="007F0AE0" w:rsidP="00453DE3">
            <w:pPr>
              <w:spacing w:after="120" w:line="240" w:lineRule="auto"/>
              <w:contextualSpacing/>
              <w:rPr>
                <w:sz w:val="20"/>
                <w:szCs w:val="20"/>
              </w:rPr>
            </w:pPr>
            <w:r w:rsidRPr="005762E6">
              <w:rPr>
                <w:sz w:val="20"/>
                <w:szCs w:val="20"/>
              </w:rPr>
              <w:t>B HIGHSTEIN,​ I ZELIGMAN Nonthrombocytopenic purpura caused by mentholated cigarettes.. Journal of the American Medical Association; 1951;146:816.</w:t>
            </w:r>
            <w:r w:rsidRPr="005762E6">
              <w:rPr>
                <w:sz w:val="20"/>
                <w:szCs w:val="20"/>
              </w:rPr>
              <w:br/>
            </w:r>
            <w:r w:rsidRPr="005762E6">
              <w:rPr>
                <w:sz w:val="20"/>
                <w:szCs w:val="20"/>
              </w:rPr>
              <w:br/>
            </w:r>
            <w:r w:rsidRPr="005762E6">
              <w:rPr>
                <w:b/>
                <w:bCs/>
                <w:sz w:val="20"/>
                <w:szCs w:val="20"/>
              </w:rPr>
              <w:t>Keywords:</w:t>
            </w:r>
            <w:r w:rsidRPr="005762E6">
              <w:rPr>
                <w:sz w:val="20"/>
                <w:szCs w:val="20"/>
              </w:rPr>
              <w:br/>
              <w:t>Humans,​*Menthol,​*Purpura,​*Purpura,​ Schoenlein-Henoch,​*Tobacco</w:t>
            </w:r>
            <w:r w:rsidRPr="005762E6">
              <w:rPr>
                <w:sz w:val="20"/>
                <w:szCs w:val="20"/>
              </w:rPr>
              <w:br/>
            </w:r>
            <w:r w:rsidRPr="005762E6">
              <w:rPr>
                <w:sz w:val="20"/>
                <w:szCs w:val="20"/>
              </w:rPr>
              <w:lastRenderedPageBreak/>
              <w:br/>
            </w:r>
            <w:r w:rsidRPr="005762E6">
              <w:rPr>
                <w:b/>
                <w:bCs/>
                <w:sz w:val="20"/>
                <w:szCs w:val="20"/>
              </w:rPr>
              <w:t xml:space="preserve">Abstract: </w:t>
            </w:r>
          </w:p>
        </w:tc>
      </w:tr>
      <w:tr w:rsidR="007F0AE0" w:rsidRPr="005762E6" w14:paraId="4038C4E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99CCFF" w14:textId="77777777" w:rsidR="007F0AE0" w:rsidRPr="005762E6" w:rsidRDefault="007F0AE0" w:rsidP="00453DE3">
            <w:pPr>
              <w:spacing w:after="120" w:line="240" w:lineRule="auto"/>
              <w:contextualSpacing/>
              <w:rPr>
                <w:sz w:val="20"/>
                <w:szCs w:val="20"/>
              </w:rPr>
            </w:pPr>
            <w:r w:rsidRPr="005762E6">
              <w:rPr>
                <w:sz w:val="20"/>
                <w:szCs w:val="20"/>
              </w:rPr>
              <w:lastRenderedPageBreak/>
              <w:t>776</w:t>
            </w:r>
          </w:p>
        </w:tc>
        <w:tc>
          <w:tcPr>
            <w:tcW w:w="0" w:type="auto"/>
            <w:tcBorders>
              <w:top w:val="single" w:sz="6" w:space="0" w:color="auto"/>
              <w:left w:val="single" w:sz="6" w:space="0" w:color="auto"/>
              <w:bottom w:val="single" w:sz="6" w:space="0" w:color="auto"/>
              <w:right w:val="single" w:sz="6" w:space="0" w:color="auto"/>
            </w:tcBorders>
          </w:tcPr>
          <w:p w14:paraId="245A124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7B0342" w14:textId="77777777" w:rsidR="007F0AE0" w:rsidRPr="005762E6" w:rsidRDefault="007F0AE0" w:rsidP="00453DE3">
            <w:pPr>
              <w:spacing w:after="120" w:line="240" w:lineRule="auto"/>
              <w:contextualSpacing/>
              <w:rPr>
                <w:sz w:val="20"/>
                <w:szCs w:val="20"/>
              </w:rPr>
            </w:pPr>
            <w:r w:rsidRPr="005762E6">
              <w:rPr>
                <w:sz w:val="20"/>
                <w:szCs w:val="20"/>
              </w:rPr>
              <w:t>Valeria Lallai,​ Christie D Fowler More than just chillin': Interactive effects of menthol and nicotine in drug reward.. Neuropsychopharmacology; 2017;42:2283.</w:t>
            </w:r>
            <w:r w:rsidRPr="005762E6">
              <w:rPr>
                <w:sz w:val="20"/>
                <w:szCs w:val="20"/>
              </w:rPr>
              <w:br/>
            </w:r>
            <w:r w:rsidRPr="005762E6">
              <w:rPr>
                <w:sz w:val="20"/>
                <w:szCs w:val="20"/>
              </w:rPr>
              <w:br/>
            </w:r>
            <w:r w:rsidRPr="005762E6">
              <w:rPr>
                <w:b/>
                <w:bCs/>
                <w:sz w:val="20"/>
                <w:szCs w:val="20"/>
              </w:rPr>
              <w:t>Keywords:</w:t>
            </w:r>
            <w:r w:rsidRPr="005762E6">
              <w:rPr>
                <w:sz w:val="20"/>
                <w:szCs w:val="20"/>
              </w:rPr>
              <w:br/>
              <w:t>*Behavior Analysis,​*Nicotine,​*Rewards,​*Tobacco Smoking,​Mice,​Neurons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Comments on an article by B. J. Henderson et al. (see record 2018-56499-002). Henderson et al. provided evidence to support the hypothesis that menthol and nicotine act synergistically to upregulate nAChR expression in dopaminergic neurons; effects that are proposed to mediate a functional enhancement in neuronal excitability. These findings represent a significant advance in our understanding of how both nicotine and menthol may act together to mediate nicotine addiction. In these studies,​ menthol and nicotine co-administration induced a conditioned place preference (CPP) for a subthreshold dose of nicotine and potentiated CPP expression for a rewarding dose of the drug. However,​ administration of menthol alone did not result in the development of a CPP. Thus,​ these data suggest that nicotine and menthol interact synergistically to drive reward-related behaviors. In the prior study,​ menthol was administered continuously in a minipump for 11 days and during CPP training. Thus,​ the continuous baseline level of menthol exposure may have altered circuit responsivity during both the nicotine and vehicle training sessions. In contrast,​ the current study co-administered nicotine and menthol acutely during CPP training,​ thus providing a more accurate assessment of co-exposure similar to that found with nicotine product consumption in humans. (PsycINFO Database Record (c) 2018 APA,​ all rights reserved)</w:t>
            </w:r>
          </w:p>
        </w:tc>
      </w:tr>
      <w:tr w:rsidR="007F0AE0" w:rsidRPr="005762E6" w14:paraId="09C7CA1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E7C303" w14:textId="77777777" w:rsidR="007F0AE0" w:rsidRPr="005762E6" w:rsidRDefault="007F0AE0" w:rsidP="00453DE3">
            <w:pPr>
              <w:spacing w:after="120" w:line="240" w:lineRule="auto"/>
              <w:contextualSpacing/>
              <w:rPr>
                <w:sz w:val="20"/>
                <w:szCs w:val="20"/>
              </w:rPr>
            </w:pPr>
            <w:r w:rsidRPr="005762E6">
              <w:rPr>
                <w:sz w:val="20"/>
                <w:szCs w:val="20"/>
              </w:rPr>
              <w:t>783</w:t>
            </w:r>
          </w:p>
        </w:tc>
        <w:tc>
          <w:tcPr>
            <w:tcW w:w="0" w:type="auto"/>
            <w:tcBorders>
              <w:top w:val="single" w:sz="6" w:space="0" w:color="auto"/>
              <w:left w:val="single" w:sz="6" w:space="0" w:color="auto"/>
              <w:bottom w:val="single" w:sz="6" w:space="0" w:color="auto"/>
              <w:right w:val="single" w:sz="6" w:space="0" w:color="auto"/>
            </w:tcBorders>
          </w:tcPr>
          <w:p w14:paraId="4231412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69D40B1" w14:textId="77777777" w:rsidR="007F0AE0" w:rsidRPr="005762E6" w:rsidRDefault="007F0AE0" w:rsidP="00453DE3">
            <w:pPr>
              <w:spacing w:after="120" w:line="240" w:lineRule="auto"/>
              <w:contextualSpacing/>
              <w:rPr>
                <w:sz w:val="20"/>
                <w:szCs w:val="20"/>
              </w:rPr>
            </w:pPr>
            <w:r w:rsidRPr="005762E6">
              <w:rPr>
                <w:sz w:val="20"/>
                <w:szCs w:val="20"/>
              </w:rPr>
              <w:t>Eniye Emmanuel Eguae Factors associated with menthol cigarettes smoking among youths ages 12 to 19.. Dissertation Abstracts International: Section B: The Sciences and Engineering; 2018;79:No.</w:t>
            </w:r>
            <w:r w:rsidRPr="005762E6">
              <w:rPr>
                <w:sz w:val="20"/>
                <w:szCs w:val="20"/>
              </w:rPr>
              <w:br/>
            </w:r>
            <w:r w:rsidRPr="005762E6">
              <w:rPr>
                <w:sz w:val="20"/>
                <w:szCs w:val="20"/>
              </w:rPr>
              <w:br/>
            </w:r>
            <w:r w:rsidRPr="005762E6">
              <w:rPr>
                <w:b/>
                <w:bCs/>
                <w:sz w:val="20"/>
                <w:szCs w:val="20"/>
              </w:rPr>
              <w:t>Keywords:</w:t>
            </w:r>
            <w:r w:rsidRPr="005762E6">
              <w:rPr>
                <w:sz w:val="20"/>
                <w:szCs w:val="20"/>
              </w:rPr>
              <w:br/>
              <w:t>*Addiction,​*Tobacco Smoking,​*Reasoned Action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Menthol is added to cigarettes to make smoking more convenient. Menthol is considered a contributing factor that makes smoking appealing to youths and their continuous smoking initiation,​ which progresses to regular cigarette smoking and addiction,​ especially among youths ages 12 to 19. Menthol encourages approximately 4,​000 youths to experiment with smoking daily in the United States,​ of which approximately 1,​000 become active smokers. Not enough is known regarding the influence of menthol on youth smoking initiation/smoking behavior. A quantitative analysis of data from the 2014 National Youth Tobacco Survey (NYTS) was used to explore the association between age,​ race/ethnicity,​ gender,​ grade (education level),​ and menthol cigarette smoking among youth ages 12 to 19. The sample size for this study consisted of 115 adolescents aged 12 to 19 years,​ in the United States taken from the 2014 NYTS data. The theoretical framework for this study was the theory of planned behavior (TPB). The independent variables were ethnicity/race,​ gender,​ age,​ and grades (education level),​ while the dependent variable is the type of smoking: menthol versus nonmenthol. Bivariate analysis revealed that there was a statistically significant relationship between age (p = &lt;.001),​ race/ethnicity ( p = &lt;.001),​ gender (p = &lt;.001),​ grade (education level) (p = &lt;.001),​ and menthol cigarette smoking; however,​ no statistically significant results were obtained in the multivariate regression analysis. Future research is needed to better determine and understand the factors associated with youth smoking initiation and behavior. The potential positive social change impact of this study is a better understanding of youth smoking behavior and the development of more effective prevention interventions to protect the health of this vulnerable population. (PsycINFO Database Record (c) 2018 APA,​ all rights reserved)</w:t>
            </w:r>
          </w:p>
        </w:tc>
      </w:tr>
      <w:tr w:rsidR="007F0AE0" w:rsidRPr="005762E6" w14:paraId="675FF6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0A10E67" w14:textId="77777777" w:rsidR="007F0AE0" w:rsidRPr="005762E6" w:rsidRDefault="007F0AE0" w:rsidP="00453DE3">
            <w:pPr>
              <w:spacing w:after="120" w:line="240" w:lineRule="auto"/>
              <w:contextualSpacing/>
              <w:rPr>
                <w:sz w:val="20"/>
                <w:szCs w:val="20"/>
              </w:rPr>
            </w:pPr>
            <w:r w:rsidRPr="005762E6">
              <w:rPr>
                <w:sz w:val="20"/>
                <w:szCs w:val="20"/>
              </w:rPr>
              <w:t>786</w:t>
            </w:r>
          </w:p>
        </w:tc>
        <w:tc>
          <w:tcPr>
            <w:tcW w:w="0" w:type="auto"/>
            <w:tcBorders>
              <w:top w:val="single" w:sz="6" w:space="0" w:color="auto"/>
              <w:left w:val="single" w:sz="6" w:space="0" w:color="auto"/>
              <w:bottom w:val="single" w:sz="6" w:space="0" w:color="auto"/>
              <w:right w:val="single" w:sz="6" w:space="0" w:color="auto"/>
            </w:tcBorders>
          </w:tcPr>
          <w:p w14:paraId="4DB25FC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F1157BE" w14:textId="77777777" w:rsidR="007F0AE0" w:rsidRPr="005762E6" w:rsidRDefault="007F0AE0" w:rsidP="00453DE3">
            <w:pPr>
              <w:spacing w:after="120" w:line="240" w:lineRule="auto"/>
              <w:contextualSpacing/>
              <w:rPr>
                <w:sz w:val="20"/>
                <w:szCs w:val="20"/>
              </w:rPr>
            </w:pPr>
            <w:r w:rsidRPr="005762E6">
              <w:rPr>
                <w:sz w:val="20"/>
                <w:szCs w:val="20"/>
              </w:rPr>
              <w:t>Davide Risso,​ Eduardo Sainz,​ Joanne Gutierrez,​ Thomas Kirchner,​ Raymond Niaura,​ Dennis Drayna Association of TAS2R38 haplotypes and menthol cigarette preference in an African American cohort.. Nicotine &amp; Tobacco Research; 2017;19:493.</w:t>
            </w:r>
            <w:r w:rsidRPr="005762E6">
              <w:rPr>
                <w:sz w:val="20"/>
                <w:szCs w:val="20"/>
              </w:rPr>
              <w:br/>
            </w:r>
            <w:r w:rsidRPr="005762E6">
              <w:rPr>
                <w:sz w:val="20"/>
                <w:szCs w:val="20"/>
              </w:rPr>
              <w:br/>
            </w:r>
            <w:r w:rsidRPr="005762E6">
              <w:rPr>
                <w:b/>
                <w:bCs/>
                <w:sz w:val="20"/>
                <w:szCs w:val="20"/>
              </w:rPr>
              <w:t>Keywords:</w:t>
            </w:r>
            <w:r w:rsidRPr="005762E6">
              <w:rPr>
                <w:sz w:val="20"/>
                <w:szCs w:val="20"/>
              </w:rPr>
              <w:br/>
              <w:t>*Genetics,​*Polymorphism,​*Pregnancy,​*Taste Perception,​*Haplotype,​Blacks,​DNA,​Preferences,​Tobacco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Comments on an article by C. Oncken et al. (see record 2015-51359-002). Oncken et al. examined 323 </w:t>
            </w:r>
            <w:r w:rsidRPr="005762E6">
              <w:rPr>
                <w:sz w:val="20"/>
                <w:szCs w:val="20"/>
              </w:rPr>
              <w:lastRenderedPageBreak/>
              <w:t>pregnant female Caucasian cigarette smokers,​ including menthol and nonmenthol users,​ and genotyped three TAS2R38 bitter taste receptor gene polymorphisms. Oncken et al. reported the frequency of the PAV taster haplotype to be greater in menthol smokers than in nonmenthol smokers in both non-Hispanic and Hispanic women,​ confirming this initial hypothesis. While this research reported an intriguing association between variations in a bitter taste receptor gene and preference for menthol cigarettes,​ the authors pointed out a number of weaknesses in their study,​ including the relatively small sample size and the fact that they only studied pregnant Caucasian women. The authors noted that it was not clear if these results generalize to other ethnicities,​ nonpregnant women or men. The present article describes a study of the association of TAS2R38 haplotypes and menthol cigarette preference in an African American cohort of smokers and nonsmokers. The results confirm the previous work by Oncken et al. Together,​ these data suggest that genetic variations that modify the ability of tasting bitter compounds could explain the observed differences and preference toward mentholated tobacco use. (PsycINFO Database Record (c) 2017 APA,​ all rights reserved)</w:t>
            </w:r>
          </w:p>
        </w:tc>
      </w:tr>
      <w:tr w:rsidR="007F0AE0" w:rsidRPr="005762E6" w14:paraId="227F36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790D94E" w14:textId="77777777" w:rsidR="007F0AE0" w:rsidRPr="005762E6" w:rsidRDefault="007F0AE0" w:rsidP="00453DE3">
            <w:pPr>
              <w:spacing w:after="120" w:line="240" w:lineRule="auto"/>
              <w:contextualSpacing/>
              <w:rPr>
                <w:sz w:val="20"/>
                <w:szCs w:val="20"/>
              </w:rPr>
            </w:pPr>
            <w:r w:rsidRPr="005762E6">
              <w:rPr>
                <w:sz w:val="20"/>
                <w:szCs w:val="20"/>
              </w:rPr>
              <w:lastRenderedPageBreak/>
              <w:t>787</w:t>
            </w:r>
          </w:p>
        </w:tc>
        <w:tc>
          <w:tcPr>
            <w:tcW w:w="0" w:type="auto"/>
            <w:tcBorders>
              <w:top w:val="single" w:sz="6" w:space="0" w:color="auto"/>
              <w:left w:val="single" w:sz="6" w:space="0" w:color="auto"/>
              <w:bottom w:val="single" w:sz="6" w:space="0" w:color="auto"/>
              <w:right w:val="single" w:sz="6" w:space="0" w:color="auto"/>
            </w:tcBorders>
          </w:tcPr>
          <w:p w14:paraId="3AED852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51A7174" w14:textId="77777777" w:rsidR="007F0AE0" w:rsidRPr="005762E6" w:rsidRDefault="007F0AE0" w:rsidP="00453DE3">
            <w:pPr>
              <w:spacing w:after="120" w:line="240" w:lineRule="auto"/>
              <w:contextualSpacing/>
              <w:rPr>
                <w:sz w:val="20"/>
                <w:szCs w:val="20"/>
              </w:rPr>
            </w:pPr>
            <w:r w:rsidRPr="005762E6">
              <w:rPr>
                <w:sz w:val="20"/>
                <w:szCs w:val="20"/>
              </w:rPr>
              <w:t>Ji-Yeun Park Tobacco use behaviors among vulnerable populations.. Dissertation Abstracts International: Section B: The Sciences and Engineering; 2017;77:No.</w:t>
            </w:r>
            <w:r w:rsidRPr="005762E6">
              <w:rPr>
                <w:sz w:val="20"/>
                <w:szCs w:val="20"/>
              </w:rPr>
              <w:br/>
            </w:r>
            <w:r w:rsidRPr="005762E6">
              <w:rPr>
                <w:sz w:val="20"/>
                <w:szCs w:val="20"/>
              </w:rPr>
              <w:br/>
            </w:r>
            <w:r w:rsidRPr="005762E6">
              <w:rPr>
                <w:b/>
                <w:bCs/>
                <w:sz w:val="20"/>
                <w:szCs w:val="20"/>
              </w:rPr>
              <w:t>Keywords:</w:t>
            </w:r>
            <w:r w:rsidRPr="005762E6">
              <w:rPr>
                <w:sz w:val="20"/>
                <w:szCs w:val="20"/>
              </w:rPr>
              <w:br/>
              <w:t>*Susceptibility (Disorders),​*Tobacco Smoking,​*Bullying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dissertation consists of two objectives. Objective 1 of this research was to explore whether bullying victimization in the past 12 months is associated with smoking uptake among Maryland high school students who started smoking in the past year. Data were derived from Maryland Youth Risk Behavior Survey (YRBS) 2013. Eligible study subjects from the Maryland YRBS (N=6,​457) were categorized into four groups based on their bullying victimization in the past 12 months: cyber victim only,​ school victim only,​ both cyber and school victim,​ and neither. For male students,​ 4.1% reported cyberbullying and 9.6% reported school bullying. A total of 11.2% of male students were victims of both cyber and school bullying in the past 12 months. For female students,​ 11.0% reported cyberbullying and 10.5% reported school bullying. A total of 19.5% of female students were victims of both cyber and school bullying in the past 12 months. Logistic regression analyses were conducted to examine the relationship between bullying victimization and current tobacco use,​ adjusting for demographic factors such as race/ethnicity,​ age,​ and gender. In fully adjusted model,​ victimization from both cyber and school bullying was statistically significantly related to current tobacco use (Adjusted Odds Ratio [AOR]=1.30,​ 95% Confidence Interval [CI]=1.13--1.50). However,​ victimization from either form of bullying alone was not statistically significantly related to current tobacco use,​ while controlling for demographic factors (cyber victim only; p=.998,​ school victim only; p=.701). These results indicate that victims of both cyber and school bullying are at greater risk for smoking uptake. Thus,​ prevention efforts aimed at reducing or preventing the uptake of smoking by victims of both cyber and school bullying are needed. Objective 2 of this research was to explore the relationships between sexual orientation,​ menthol smoking,​ and smoking cessation measured by past-year quit attempt and intention to quit smoking using a nationally representative sample of U.S. adults ages 18 years or older. Since sexual minorities disproportionately smoke menthol cigarettes,​ examining such relationships is warranted to reduce menthol cigarette use in this population. Data were obtained from the National Adult Tobacco Survey 2012--2013. Respondents who had smoked more than 100 cigarettes in their lifetime and currently smoke cigarettes every day or some days were included. Of 4,​245 respondents,​ 3,​999 were heterosexual,​ and 246 described themselves as sexual minorities (i.e.,​ Lesbian,​ Gay,​ or Bisexual). Eligible study subjects were then divided into two groups based on their use of menthol cigarettes: menthol smokers versus non-menthol smokers. Prevalence of menthol cigarette use was higher among sexual minorities than heterosexual individuals (37.8% vs. 30.6%,​ p=.018). Logistic regression analyses were conducted to examine the relationships between sexual orientation,​ menthol smoking,​ and cessation-related behavior and intention,​ adjusting for other factors. According to the research findings,​ the effects of menthol cigarette use on cessation-related behavior and intention did not differ depending on individual's sexual orientation. Smoking cessation treatments for menthol smokers based on sexual orientation may have little effects on smoking cessation outcomes. In light of high prevalence of menthol cigarette use in sexual minorities,​ future research is needed to suggest the most effective evidence-based smoking cessation treatment interventions for LGB menthol smokers. (PsycINFO Database Record (c) 2017 APA,​ all rights reserved)</w:t>
            </w:r>
          </w:p>
        </w:tc>
      </w:tr>
      <w:tr w:rsidR="007F0AE0" w:rsidRPr="005762E6" w14:paraId="5ACF71F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651649" w14:textId="77777777" w:rsidR="007F0AE0" w:rsidRPr="005762E6" w:rsidRDefault="007F0AE0" w:rsidP="00453DE3">
            <w:pPr>
              <w:spacing w:after="120" w:line="240" w:lineRule="auto"/>
              <w:contextualSpacing/>
              <w:rPr>
                <w:sz w:val="20"/>
                <w:szCs w:val="20"/>
              </w:rPr>
            </w:pPr>
            <w:r w:rsidRPr="005762E6">
              <w:rPr>
                <w:sz w:val="20"/>
                <w:szCs w:val="20"/>
              </w:rPr>
              <w:t>789</w:t>
            </w:r>
          </w:p>
        </w:tc>
        <w:tc>
          <w:tcPr>
            <w:tcW w:w="0" w:type="auto"/>
            <w:tcBorders>
              <w:top w:val="single" w:sz="6" w:space="0" w:color="auto"/>
              <w:left w:val="single" w:sz="6" w:space="0" w:color="auto"/>
              <w:bottom w:val="single" w:sz="6" w:space="0" w:color="auto"/>
              <w:right w:val="single" w:sz="6" w:space="0" w:color="auto"/>
            </w:tcBorders>
          </w:tcPr>
          <w:p w14:paraId="1214A58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3D1E9F3B" w14:textId="77777777" w:rsidR="007F0AE0" w:rsidRPr="005762E6" w:rsidRDefault="007F0AE0" w:rsidP="00453DE3">
            <w:pPr>
              <w:spacing w:after="120" w:line="240" w:lineRule="auto"/>
              <w:contextualSpacing/>
              <w:rPr>
                <w:sz w:val="20"/>
                <w:szCs w:val="20"/>
              </w:rPr>
            </w:pPr>
            <w:r w:rsidRPr="005762E6">
              <w:rPr>
                <w:sz w:val="20"/>
                <w:szCs w:val="20"/>
              </w:rPr>
              <w:t>Teagan Rose Wall Effects of TI-299423 on neuronal nicotinic acetylcholine receptors.. Dissertation Abstracts International: Section B: The Sciences and Engineering; 2016;76:No.</w:t>
            </w:r>
            <w:r w:rsidRPr="005762E6">
              <w:rPr>
                <w:sz w:val="20"/>
                <w:szCs w:val="20"/>
              </w:rPr>
              <w:br/>
            </w:r>
            <w:r w:rsidRPr="005762E6">
              <w:rPr>
                <w:sz w:val="20"/>
                <w:szCs w:val="20"/>
              </w:rPr>
              <w:lastRenderedPageBreak/>
              <w:br/>
            </w:r>
            <w:r w:rsidRPr="005762E6">
              <w:rPr>
                <w:b/>
                <w:bCs/>
                <w:sz w:val="20"/>
                <w:szCs w:val="20"/>
              </w:rPr>
              <w:t>Keywords:</w:t>
            </w:r>
            <w:r w:rsidRPr="005762E6">
              <w:rPr>
                <w:sz w:val="20"/>
                <w:szCs w:val="20"/>
              </w:rPr>
              <w:br/>
              <w:t>*Cholinergic Receptors,​*Mesencephalon,​*Neurons,​*Peripheral Nervous System</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Nicotinic acetylcholine receptors (nAChRs) are pentameric,​ ligand-gated,​ cation channels found throughout the central and peripheral nervous system,​ whose endogenous ligand is acetylcholine,​ but which can also be acted upon by nicotine. The subunit compositions of nAChR determine their physiological and pharmacological properties,​ with different subunits expressed in different combinations or areas throughout the brain. The behavioral and physiological effects of nicotine are elicited by its agonistic and desensitizing actions selectively on neuronal nAChRs. The midbrain is of particular interest due to its population of nAChRs expressed on dopaminergic neurons,​ which are important for reward and reinforcement,​ and possibly contribute to nicotine dependence. The alpha6-subunit is found on dopaminergic neurons but very few other regions of the brain,​ making it an interesting drug target. We assayed a novel nicotinic agonist,​ called TI-299423 or TC299,​ for its possible selectivity for alpha6-containing nAChRs. Our goal was to isolate the role of alpha6-containing nAChRs in nicotine reward and reinforcement,​ and provide insight into the search for more effective smoking cessation compounds. This was done using a variety of in vitro and behavioral assays,​ aimed dually at understanding TI-299423's exact mechanism of action and its downstream effects. Additionally,​ we looked at the effects of another compound,​ menthol,​ on nicotine reward. Understanding how reward is generated in the cholinergic system and how that is modulated by other compounds contributes to a better understand of our complex neural circuitry and provides insight for the future development of therapeutics. (PsycINFO Database Record (c) 2016 APA,​ all rights reserved)</w:t>
            </w:r>
          </w:p>
        </w:tc>
      </w:tr>
      <w:tr w:rsidR="007F0AE0" w:rsidRPr="005762E6" w14:paraId="29C0516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53571C" w14:textId="77777777" w:rsidR="007F0AE0" w:rsidRPr="005762E6" w:rsidRDefault="007F0AE0" w:rsidP="00453DE3">
            <w:pPr>
              <w:spacing w:after="120" w:line="240" w:lineRule="auto"/>
              <w:contextualSpacing/>
              <w:rPr>
                <w:sz w:val="20"/>
                <w:szCs w:val="20"/>
              </w:rPr>
            </w:pPr>
            <w:r w:rsidRPr="005762E6">
              <w:rPr>
                <w:sz w:val="20"/>
                <w:szCs w:val="20"/>
              </w:rPr>
              <w:lastRenderedPageBreak/>
              <w:t>791</w:t>
            </w:r>
          </w:p>
        </w:tc>
        <w:tc>
          <w:tcPr>
            <w:tcW w:w="0" w:type="auto"/>
            <w:tcBorders>
              <w:top w:val="single" w:sz="6" w:space="0" w:color="auto"/>
              <w:left w:val="single" w:sz="6" w:space="0" w:color="auto"/>
              <w:bottom w:val="single" w:sz="6" w:space="0" w:color="auto"/>
              <w:right w:val="single" w:sz="6" w:space="0" w:color="auto"/>
            </w:tcBorders>
          </w:tcPr>
          <w:p w14:paraId="0F41B33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6857AAE" w14:textId="77777777" w:rsidR="007F0AE0" w:rsidRPr="005762E6" w:rsidRDefault="007F0AE0" w:rsidP="00453DE3">
            <w:pPr>
              <w:spacing w:after="120" w:line="240" w:lineRule="auto"/>
              <w:contextualSpacing/>
              <w:rPr>
                <w:sz w:val="20"/>
                <w:szCs w:val="20"/>
              </w:rPr>
            </w:pPr>
            <w:r w:rsidRPr="005762E6">
              <w:rPr>
                <w:sz w:val="20"/>
                <w:szCs w:val="20"/>
              </w:rPr>
              <w:t>Esteban Petruzzello Studies in the economics of addiction.. Dissertation Abstracts International Section A: Humanities and Social Sciences; 2016;76:No.</w:t>
            </w:r>
            <w:r w:rsidRPr="005762E6">
              <w:rPr>
                <w:sz w:val="20"/>
                <w:szCs w:val="20"/>
              </w:rPr>
              <w:br/>
            </w:r>
            <w:r w:rsidRPr="005762E6">
              <w:rPr>
                <w:sz w:val="20"/>
                <w:szCs w:val="20"/>
              </w:rPr>
              <w:br/>
            </w:r>
            <w:r w:rsidRPr="005762E6">
              <w:rPr>
                <w:b/>
                <w:bCs/>
                <w:sz w:val="20"/>
                <w:szCs w:val="20"/>
              </w:rPr>
              <w:t>Keywords:</w:t>
            </w:r>
            <w:r w:rsidRPr="005762E6">
              <w:rPr>
                <w:sz w:val="20"/>
                <w:szCs w:val="20"/>
              </w:rPr>
              <w:br/>
              <w:t>*Addiction,​*Economics,​*Smoking Cessation,​*Taxation,​*Tobacco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 Chapter 1,​ I analyze the link between cigarette strength and smoking behavior. I estimate state dependence demand models that capture two main features of addiction: reinforcement and the existence of withdrawal costs. I find that demand for lights is more price sensitive than for regulars,​ and that lights are less addictive. Additionally,​ I find that while smoking restrictions are ineffective in reducing regular cigarette smoking,​ they reduce light cigarette purchases by about half a pack per month. I also find that the quitting behavior of regular and light smokers is similar,​ though there is some evidence that switching to lights contributes to quitting. These findings support the idea that an establishment of maximum nicotine levels could be helpful to curtail smoking. In Chapter 2,​ I investigate the potential impact of a ban on menthol cigarettes on smoking when compared to taxes and smoking restrictions,​ using similar methods to those employed in Chapter 1. I find that demand for menthols is less price sensitive than for non-menthols,​ and that menthols are less addictive both in terms of reinforcement and the effect of withdrawal costs. I also find that smoking restrictions are unsuccessful in reducing menthol smoking (both in terms of average cigarette consumption and smoking cessation),​ though restrictions reduce average non-menthol consumption by more than half a pack per month. Additionally,​ I find that higher prices do not increase the likelihood of quitting for menthol smokers. These findings indicate that current policies are ineffective in curbing menthol smoking and suggest that a complete ban might be required. In Chapter 3,​ I develop a new test for forward-looking behavior based on the establishment of smoking restrictions. Given that the announcement of these restrictions effectively increases the future cost of smoking,​ we should expect forward-looking smokers to curb their consumption before the restriction is effective,​ due to complementarity between present and future consumption. The results show that households do not reduce their purchases of cigarettes before smoking restrictions are established; they only do so once the restriction is in effect. This provides support for the empirical strategy employed in the previous chapters. (PsycINFO Database Record (c) 2016 APA,​ all rights reserved)</w:t>
            </w:r>
          </w:p>
        </w:tc>
      </w:tr>
      <w:tr w:rsidR="007F0AE0" w:rsidRPr="005762E6" w14:paraId="07B420B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FFE7B5" w14:textId="77777777" w:rsidR="007F0AE0" w:rsidRPr="005762E6" w:rsidRDefault="007F0AE0" w:rsidP="00453DE3">
            <w:pPr>
              <w:spacing w:after="120" w:line="240" w:lineRule="auto"/>
              <w:contextualSpacing/>
              <w:rPr>
                <w:sz w:val="20"/>
                <w:szCs w:val="20"/>
              </w:rPr>
            </w:pPr>
            <w:r w:rsidRPr="005762E6">
              <w:rPr>
                <w:sz w:val="20"/>
                <w:szCs w:val="20"/>
              </w:rPr>
              <w:t>794</w:t>
            </w:r>
          </w:p>
        </w:tc>
        <w:tc>
          <w:tcPr>
            <w:tcW w:w="0" w:type="auto"/>
            <w:tcBorders>
              <w:top w:val="single" w:sz="6" w:space="0" w:color="auto"/>
              <w:left w:val="single" w:sz="6" w:space="0" w:color="auto"/>
              <w:bottom w:val="single" w:sz="6" w:space="0" w:color="auto"/>
              <w:right w:val="single" w:sz="6" w:space="0" w:color="auto"/>
            </w:tcBorders>
          </w:tcPr>
          <w:p w14:paraId="6168FE4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3F06089" w14:textId="77777777" w:rsidR="007F0AE0" w:rsidRPr="005762E6" w:rsidRDefault="007F0AE0" w:rsidP="00453DE3">
            <w:pPr>
              <w:spacing w:after="120" w:line="240" w:lineRule="auto"/>
              <w:contextualSpacing/>
              <w:rPr>
                <w:sz w:val="20"/>
                <w:szCs w:val="20"/>
              </w:rPr>
            </w:pPr>
            <w:r w:rsidRPr="005762E6">
              <w:rPr>
                <w:sz w:val="20"/>
                <w:szCs w:val="20"/>
              </w:rPr>
              <w:t>R. F Gillum,​ B West Religion and menthol cigarette use in a US national sample.. Preventive Medicine: An International Journal Devoted to Practice and Theory; 2015;81:444.</w:t>
            </w:r>
            <w:r w:rsidRPr="005762E6">
              <w:rPr>
                <w:sz w:val="20"/>
                <w:szCs w:val="20"/>
              </w:rPr>
              <w:br/>
            </w:r>
            <w:r w:rsidRPr="005762E6">
              <w:rPr>
                <w:sz w:val="20"/>
                <w:szCs w:val="20"/>
              </w:rPr>
              <w:br/>
            </w:r>
            <w:r w:rsidRPr="005762E6">
              <w:rPr>
                <w:b/>
                <w:bCs/>
                <w:sz w:val="20"/>
                <w:szCs w:val="20"/>
              </w:rPr>
              <w:t>Keywords:</w:t>
            </w:r>
            <w:r w:rsidRPr="005762E6">
              <w:rPr>
                <w:sz w:val="20"/>
                <w:szCs w:val="20"/>
              </w:rPr>
              <w:br/>
              <w:t>*Religion,​*Tobacco Smoking</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The article discusses the relationship between religion and menthol cigarette use in a US national sample. Smoking menthol cigarettes has been found to be associated with risk of death from all causes,​ cardiovascular disease and cancer independent of other risk factors in the US. In a large,​ national sample,​ adult smokers 40 years and over who reported attending religious services &gt;= weekly were similar to others in use of menthol cigarettes regardless of gender or race/ethnicity,​ contrary to a previous report from 15 years earlier. (PsycINFO Database Record (c) 2016 APA,​ all rights reserved)</w:t>
            </w:r>
          </w:p>
        </w:tc>
      </w:tr>
      <w:tr w:rsidR="007F0AE0" w:rsidRPr="005762E6" w14:paraId="349250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457E81F" w14:textId="77777777" w:rsidR="007F0AE0" w:rsidRPr="005762E6" w:rsidRDefault="007F0AE0" w:rsidP="00453DE3">
            <w:pPr>
              <w:spacing w:after="120" w:line="240" w:lineRule="auto"/>
              <w:contextualSpacing/>
              <w:rPr>
                <w:sz w:val="20"/>
                <w:szCs w:val="20"/>
              </w:rPr>
            </w:pPr>
            <w:r w:rsidRPr="005762E6">
              <w:rPr>
                <w:sz w:val="20"/>
                <w:szCs w:val="20"/>
              </w:rPr>
              <w:lastRenderedPageBreak/>
              <w:t>795</w:t>
            </w:r>
          </w:p>
        </w:tc>
        <w:tc>
          <w:tcPr>
            <w:tcW w:w="0" w:type="auto"/>
            <w:tcBorders>
              <w:top w:val="single" w:sz="6" w:space="0" w:color="auto"/>
              <w:left w:val="single" w:sz="6" w:space="0" w:color="auto"/>
              <w:bottom w:val="single" w:sz="6" w:space="0" w:color="auto"/>
              <w:right w:val="single" w:sz="6" w:space="0" w:color="auto"/>
            </w:tcBorders>
          </w:tcPr>
          <w:p w14:paraId="5B70A65B"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BAADAA3" w14:textId="77777777" w:rsidR="007F0AE0" w:rsidRPr="005762E6" w:rsidRDefault="007F0AE0" w:rsidP="00453DE3">
            <w:pPr>
              <w:spacing w:after="120" w:line="240" w:lineRule="auto"/>
              <w:contextualSpacing/>
              <w:rPr>
                <w:sz w:val="20"/>
                <w:szCs w:val="20"/>
              </w:rPr>
            </w:pPr>
            <w:r w:rsidRPr="005762E6">
              <w:rPr>
                <w:sz w:val="20"/>
                <w:szCs w:val="20"/>
              </w:rPr>
              <w:t>Emily Brennan,​ Laura Gibson,​ Ani Momjian,​ Robert C Hornik "Are young people's beliefs about menthol cigarettes associated with smoking-related intentions and behaviors?": Erratum.. Nicotine &amp; Tobacco Research; 2015;17:1403.</w:t>
            </w:r>
            <w:r w:rsidRPr="005762E6">
              <w:rPr>
                <w:sz w:val="20"/>
                <w:szCs w:val="20"/>
              </w:rPr>
              <w:br/>
            </w:r>
            <w:r w:rsidRPr="005762E6">
              <w:rPr>
                <w:sz w:val="20"/>
                <w:szCs w:val="20"/>
              </w:rPr>
              <w:br/>
            </w:r>
            <w:r w:rsidRPr="005762E6">
              <w:rPr>
                <w:b/>
                <w:bCs/>
                <w:sz w:val="20"/>
                <w:szCs w:val="20"/>
              </w:rPr>
              <w:t>Keywords:</w:t>
            </w:r>
            <w:r w:rsidRPr="005762E6">
              <w:rPr>
                <w:sz w:val="20"/>
                <w:szCs w:val="20"/>
              </w:rPr>
              <w:br/>
              <w:t>*Smoking Cessation,​*Tobacco Smoking,​Attitudes,​Intention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Reports an error in "Are young people's beliefs about menthol cigarettes associated with smoking-related intentions and behaviors" by Emily Brennan,​ Laura Gibson,​ Ani Momjian and Robert C. Hornik (Nicotine &amp; Tobacco Research,​ 2015[Jan],​ Vol 17[1],​ 81-90). In the original article,​ on page 86,​ the second to last sentence of the Procedure paragraph under Methods included an incorrect age range. The sentence should read as: This data cleaning procedure excluded 6% of the recruited 13- to 17-year-olds and 8% of the recruited 18- to 25-year-olds. (The following abstract of the original article appeared in record 2015-00381-011). Introduction: Little is known about the beliefs that youth and young adults hold about menthol cigarettes or the influence of these beliefs on tobacco use initiation. Methods: Online cross-sectional surveys with 13- to 17-year-old current nonsmokers (n = 553) and 18- to 25-year-old never (n = 586) and current tobacco users (n = 307) in the United States assessed the association between endorsing each of 9 pro-menthol beliefs and (a) intentions to smoke menthol cigarettes over the next year,​ (b) current use of menthol cigarettes,​ (c) intentions to use tobacco in general over the next year,​ and (d) current use of tobacco products in general. Results: Menthols were perceived to be less harmful and addictive than nonmenthol cigarettes by between 13% and 23% of respondents. Between 20% and 58% believed that menthols had favorable sensory properties,​ and 7%-25% believed that menthol smokers were more popular and attractive than nonmenthol smokers. Logistic regression analyses (adjusting for confounders) indicated that,​ on the whole,​ those who endorsed pro-menthol beliefs were more likely to intend to use,​ and to currently use,​ both menthols and tobacco products in general. For example,​ respondents who believed that menthol cigarettes were more refreshing in sensation (one of the most frequently endorsed beliefs) were significantly more likely to (a) intend to smoke menthol cigarettes (13- to 17-year-olds,​ odds ratio [OR] = 2.12,​ 95% confidence interval [CI] = 1.03,​ 4.34; 18- to 25-year olds,​ OR = 2.62,​ 95% CI = 1.04,​ 6.60),​ (b) currently use menthol cigarettes (18- to 25-year olds,​ OR = 3.40,​ 95% CI = 2.20,​ 5.26),​ (c) intend to use tobacco (13- to 17-year-olds OR = 1.74,​ 95% CI = 1.14,​ 2.65),​ and (d) currently use tobacco (18- to 25-year olds,​ OR = 2.06,​ 95% CI = 1.44,​ 2.93). Conclusions: Youth and young adults who do not currently smoke and who hold favorable beliefs about menthol cigarettes are at greater risk for beginning to use tobacco products,​ indicating that the availability of menthol cigarettes may contribute to tobacco use initiation. These findings support recent claims that the elimination of menthol cigarettes would improve public health in the United States. (PsycINFO Database Record (c) 2016 APA,​ all rights reserved)</w:t>
            </w:r>
          </w:p>
        </w:tc>
      </w:tr>
      <w:tr w:rsidR="007F0AE0" w:rsidRPr="005762E6" w14:paraId="49B7560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C16867F" w14:textId="77777777" w:rsidR="007F0AE0" w:rsidRPr="005762E6" w:rsidRDefault="007F0AE0" w:rsidP="00453DE3">
            <w:pPr>
              <w:spacing w:after="120" w:line="240" w:lineRule="auto"/>
              <w:contextualSpacing/>
              <w:rPr>
                <w:sz w:val="20"/>
                <w:szCs w:val="20"/>
              </w:rPr>
            </w:pPr>
            <w:r w:rsidRPr="005762E6">
              <w:rPr>
                <w:sz w:val="20"/>
                <w:szCs w:val="20"/>
              </w:rPr>
              <w:t>796</w:t>
            </w:r>
          </w:p>
        </w:tc>
        <w:tc>
          <w:tcPr>
            <w:tcW w:w="0" w:type="auto"/>
            <w:tcBorders>
              <w:top w:val="single" w:sz="6" w:space="0" w:color="auto"/>
              <w:left w:val="single" w:sz="6" w:space="0" w:color="auto"/>
              <w:bottom w:val="single" w:sz="6" w:space="0" w:color="auto"/>
              <w:right w:val="single" w:sz="6" w:space="0" w:color="auto"/>
            </w:tcBorders>
          </w:tcPr>
          <w:p w14:paraId="3732ACA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172A1D" w14:textId="77777777" w:rsidR="007F0AE0" w:rsidRPr="005762E6" w:rsidRDefault="007F0AE0" w:rsidP="00453DE3">
            <w:pPr>
              <w:spacing w:after="120" w:line="240" w:lineRule="auto"/>
              <w:contextualSpacing/>
              <w:rPr>
                <w:sz w:val="20"/>
                <w:szCs w:val="20"/>
              </w:rPr>
            </w:pPr>
            <w:r w:rsidRPr="005762E6">
              <w:rPr>
                <w:sz w:val="20"/>
                <w:szCs w:val="20"/>
              </w:rPr>
              <w:t>Olivia A Wackowski,​ Cristine D Delnevo,​ Jennifer L Pearson Switching to E-cigarettes in the event of a menthol cigarette ban.. Nicotine &amp; Tobacco Research; 2015;17:1286.</w:t>
            </w:r>
            <w:r w:rsidRPr="005762E6">
              <w:rPr>
                <w:sz w:val="20"/>
                <w:szCs w:val="20"/>
              </w:rPr>
              <w:br/>
            </w:r>
            <w:r w:rsidRPr="005762E6">
              <w:rPr>
                <w:sz w:val="20"/>
                <w:szCs w:val="20"/>
              </w:rPr>
              <w:br/>
            </w:r>
            <w:r w:rsidRPr="005762E6">
              <w:rPr>
                <w:b/>
                <w:bCs/>
                <w:sz w:val="20"/>
                <w:szCs w:val="20"/>
              </w:rPr>
              <w:t>Keywords:</w:t>
            </w:r>
            <w:r w:rsidRPr="005762E6">
              <w:rPr>
                <w:sz w:val="20"/>
                <w:szCs w:val="20"/>
              </w:rPr>
              <w:br/>
              <w:t>*Public Health,​*Smoking Cessation,​*Tobacco Smoking,​Drug Therapy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letter discusses about the issues of switching to e-cigarettes in the event of a menthol cigarette ban. Three recent nationally representative survey studies have asked smokers what they might do if menthol cigarettes were banned,​ an action under consideration by the Food and Drug Administration. As with all these studies,​ it is not known to what extent smokers' responses might correlate with their actual behavior if menthol cigarettes were banned. However,​ if even a small percentage of menthol smokers were to truly quit,​ numerous lives could potentially be saved. Overall,​ in today's evolved tobacco environment,​ we continue to believe that </w:t>
            </w:r>
            <w:r w:rsidRPr="005762E6">
              <w:rPr>
                <w:sz w:val="20"/>
                <w:szCs w:val="20"/>
              </w:rPr>
              <w:lastRenderedPageBreak/>
              <w:t>regulation of menthol cigarettes could provide significant public health gains. (PsycINFO Database Record (c) 2016 APA,​ all rights reserved)</w:t>
            </w:r>
          </w:p>
        </w:tc>
      </w:tr>
      <w:tr w:rsidR="007F0AE0" w:rsidRPr="005762E6" w14:paraId="5E7838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96C2CED" w14:textId="77777777" w:rsidR="007F0AE0" w:rsidRPr="005762E6" w:rsidRDefault="007F0AE0" w:rsidP="00453DE3">
            <w:pPr>
              <w:spacing w:after="120" w:line="240" w:lineRule="auto"/>
              <w:contextualSpacing/>
              <w:rPr>
                <w:sz w:val="20"/>
                <w:szCs w:val="20"/>
              </w:rPr>
            </w:pPr>
            <w:r w:rsidRPr="005762E6">
              <w:rPr>
                <w:sz w:val="20"/>
                <w:szCs w:val="20"/>
              </w:rPr>
              <w:lastRenderedPageBreak/>
              <w:t>799</w:t>
            </w:r>
          </w:p>
        </w:tc>
        <w:tc>
          <w:tcPr>
            <w:tcW w:w="0" w:type="auto"/>
            <w:tcBorders>
              <w:top w:val="single" w:sz="6" w:space="0" w:color="auto"/>
              <w:left w:val="single" w:sz="6" w:space="0" w:color="auto"/>
              <w:bottom w:val="single" w:sz="6" w:space="0" w:color="auto"/>
              <w:right w:val="single" w:sz="6" w:space="0" w:color="auto"/>
            </w:tcBorders>
          </w:tcPr>
          <w:p w14:paraId="6604468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D129F5B" w14:textId="77777777" w:rsidR="007F0AE0" w:rsidRPr="005762E6" w:rsidRDefault="007F0AE0" w:rsidP="00453DE3">
            <w:pPr>
              <w:spacing w:after="120" w:line="240" w:lineRule="auto"/>
              <w:contextualSpacing/>
              <w:rPr>
                <w:sz w:val="20"/>
                <w:szCs w:val="20"/>
              </w:rPr>
            </w:pPr>
            <w:r w:rsidRPr="005762E6">
              <w:rPr>
                <w:sz w:val="20"/>
                <w:szCs w:val="20"/>
              </w:rPr>
              <w:t>Cristine D Delnevo,​ Andrea C Villanti,​ Gary A Giovino Trends in menthol and non-menthol cigarette consumption in the USA: 2000-2011.. Tobacco Control: An International Journal; 2014;23:e154.</w:t>
            </w:r>
            <w:r w:rsidRPr="005762E6">
              <w:rPr>
                <w:sz w:val="20"/>
                <w:szCs w:val="20"/>
              </w:rPr>
              <w:br/>
            </w:r>
            <w:r w:rsidRPr="005762E6">
              <w:rPr>
                <w:sz w:val="20"/>
                <w:szCs w:val="20"/>
              </w:rPr>
              <w:br/>
            </w:r>
            <w:r w:rsidRPr="005762E6">
              <w:rPr>
                <w:b/>
                <w:bCs/>
                <w:sz w:val="20"/>
                <w:szCs w:val="20"/>
              </w:rPr>
              <w:t>Keywords:</w:t>
            </w:r>
            <w:r w:rsidRPr="005762E6">
              <w:rPr>
                <w:sz w:val="20"/>
                <w:szCs w:val="20"/>
              </w:rPr>
              <w:br/>
              <w:t>*Tobacco Smoking,​*Trends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letter presents trends in menthol and non-menthol cigarette consumption in the United States between the year 2000 and 2011. Data show an increased menthol market share in the USA,​ despite declining cigarette consumption over the past decade. Moreover,​ the decline in cigarette consumption is overwhelmingly attributed to decreases in non-menthol cigarette use. While these ecological data cannot tell us who is smoking menthol cigarettes,​ the trend is consistent with population data showing stable or increased menthol cigarette use in youth,​ young adults and adults concurrent with significant decreases in non-menthol cigarette use. (PsycINFO Database Record (c) 2017 APA,​ all rights reserved)</w:t>
            </w:r>
          </w:p>
        </w:tc>
      </w:tr>
      <w:tr w:rsidR="007F0AE0" w:rsidRPr="005762E6" w14:paraId="1F0468A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2158C5" w14:textId="77777777" w:rsidR="007F0AE0" w:rsidRPr="005762E6" w:rsidRDefault="007F0AE0" w:rsidP="00453DE3">
            <w:pPr>
              <w:spacing w:after="120" w:line="240" w:lineRule="auto"/>
              <w:contextualSpacing/>
              <w:rPr>
                <w:sz w:val="20"/>
                <w:szCs w:val="20"/>
              </w:rPr>
            </w:pPr>
            <w:r w:rsidRPr="005762E6">
              <w:rPr>
                <w:sz w:val="20"/>
                <w:szCs w:val="20"/>
              </w:rPr>
              <w:t>801</w:t>
            </w:r>
          </w:p>
        </w:tc>
        <w:tc>
          <w:tcPr>
            <w:tcW w:w="0" w:type="auto"/>
            <w:tcBorders>
              <w:top w:val="single" w:sz="6" w:space="0" w:color="auto"/>
              <w:left w:val="single" w:sz="6" w:space="0" w:color="auto"/>
              <w:bottom w:val="single" w:sz="6" w:space="0" w:color="auto"/>
              <w:right w:val="single" w:sz="6" w:space="0" w:color="auto"/>
            </w:tcBorders>
          </w:tcPr>
          <w:p w14:paraId="2B57671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319C76C" w14:textId="77777777" w:rsidR="007F0AE0" w:rsidRPr="005762E6" w:rsidRDefault="007F0AE0" w:rsidP="00453DE3">
            <w:pPr>
              <w:spacing w:after="120" w:line="240" w:lineRule="auto"/>
              <w:contextualSpacing/>
              <w:rPr>
                <w:sz w:val="20"/>
                <w:szCs w:val="20"/>
              </w:rPr>
            </w:pPr>
            <w:r w:rsidRPr="005762E6">
              <w:rPr>
                <w:sz w:val="20"/>
                <w:szCs w:val="20"/>
              </w:rPr>
              <w:t>Man Ki Ho Impact of CYP2A6 genetic variation on nicotine metabolism and smoking behaviours in light smoking populations of Black-African descent.. Dissertation Abstracts International: Section B: The Sciences and Engineering; 2014;74:No.</w:t>
            </w:r>
            <w:r w:rsidRPr="005762E6">
              <w:rPr>
                <w:sz w:val="20"/>
                <w:szCs w:val="20"/>
              </w:rPr>
              <w:br/>
            </w:r>
            <w:r w:rsidRPr="005762E6">
              <w:rPr>
                <w:sz w:val="20"/>
                <w:szCs w:val="20"/>
              </w:rPr>
              <w:br/>
            </w:r>
            <w:r w:rsidRPr="005762E6">
              <w:rPr>
                <w:b/>
                <w:bCs/>
                <w:sz w:val="20"/>
                <w:szCs w:val="20"/>
              </w:rPr>
              <w:t>Keywords:</w:t>
            </w:r>
            <w:r w:rsidRPr="005762E6">
              <w:rPr>
                <w:sz w:val="20"/>
                <w:szCs w:val="20"/>
              </w:rPr>
              <w:br/>
              <w:t>*Blacks,​*Nicotine,​Genetics,​Metabolism,​Polymorphism,​Tobacco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Populations of Black-African descent have slower rates of nicotine and cotinine metabolism,​ smoke fewer cigarettes (~10 cigarettes/day),​ and have higher incidences of tobacco-related illnesses compared to Caucasians. Cytochrome P450 2A6 (CYP2A6) is the main enzyme involved in the metabolism of nicotine and its proximal metabolite cotinine,​ as well as tobacco-specific nitrosamines. Genetic polymorphisms in CYP2A6 contribute to the large variability observed in rates of nicotine metabolism. Reduced CYP2A6 activity has been associated with fewer cigarettes smoked,​ higher quit rates,​ and lower lung cancer risk in predominantly moderate to heavy-smoking (~20-30 cigarettes/day) Caucasians. CYP2A6 genetic variants and their impact on smoking behaviours have not been well studied among individuals of Black-African descent. The main objectives herein were to identify and characterize new CYP2A6 variants that may explain the slower rates of metabolism,​ and determine whether CYP2A6 variation is a predictor of smoking phenotypes in this population. Furthermore,​ we examined whether previously validated biomarkers of tobacco exposure have limitations among individuals of Black-African descent given their low and sporadic smoking patterns. A new CYP2A6 variant (CYP2A6*23) was found in individuals of Black-African descent recruited for a nicotine pharmacogenetic-pharmacokinetic study. CYP2A6*23 reduced activity towards nicotine and coumarin in vitro and was associated with slower rates of CYP2A6 kinetics in vivo. In a clinical trial of African-American light smokers,​ CYP2A6 slow metabolizers were more successful at smoking cessation compared to normal metabolizers,​ although no differences in cigarette consumption were found. Two common biochemical markers of tobacco smoke exposure,​ cotinine and exhaled carbon monoxide,​ were weakly correlated with self-reported cigarette consumption. These biomarkers were not substantially affected by variables previously shown to alter amount smoked and/or rates of cotinine metabolism such as gender,​ age,​ body mass index or smoking menthol cigarettes. However,​ CYP2A6 slow metabolizers had significantly higher cotinine without smoking more cigarettes. Identification and characterization of novel variants adds to our understanding of nicotine pharmacokinetic differences between racial/ethnic minority groups and improves accuracy of CYP2A6 genotype groupings for genetic association studies. Furthermore,​ better insight into the biological factors associated with smoking behaviours will aid in the development of more efficacious targeted treatments for this understudied population. (PsycINFO Database Record (c) 2016 APA,​ all rights reserved)</w:t>
            </w:r>
          </w:p>
        </w:tc>
      </w:tr>
      <w:tr w:rsidR="007F0AE0" w:rsidRPr="005762E6" w14:paraId="2357F1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730AB03" w14:textId="77777777" w:rsidR="007F0AE0" w:rsidRPr="005762E6" w:rsidRDefault="007F0AE0" w:rsidP="00453DE3">
            <w:pPr>
              <w:spacing w:after="120" w:line="240" w:lineRule="auto"/>
              <w:contextualSpacing/>
              <w:rPr>
                <w:sz w:val="20"/>
                <w:szCs w:val="20"/>
              </w:rPr>
            </w:pPr>
            <w:r w:rsidRPr="005762E6">
              <w:rPr>
                <w:sz w:val="20"/>
                <w:szCs w:val="20"/>
              </w:rPr>
              <w:t>803</w:t>
            </w:r>
          </w:p>
        </w:tc>
        <w:tc>
          <w:tcPr>
            <w:tcW w:w="0" w:type="auto"/>
            <w:tcBorders>
              <w:top w:val="single" w:sz="6" w:space="0" w:color="auto"/>
              <w:left w:val="single" w:sz="6" w:space="0" w:color="auto"/>
              <w:bottom w:val="single" w:sz="6" w:space="0" w:color="auto"/>
              <w:right w:val="single" w:sz="6" w:space="0" w:color="auto"/>
            </w:tcBorders>
          </w:tcPr>
          <w:p w14:paraId="711D56B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D94DFBC" w14:textId="77777777" w:rsidR="007F0AE0" w:rsidRPr="005762E6" w:rsidRDefault="007F0AE0" w:rsidP="00453DE3">
            <w:pPr>
              <w:spacing w:after="120" w:line="240" w:lineRule="auto"/>
              <w:contextualSpacing/>
              <w:rPr>
                <w:sz w:val="20"/>
                <w:szCs w:val="20"/>
              </w:rPr>
            </w:pPr>
            <w:r w:rsidRPr="005762E6">
              <w:rPr>
                <w:sz w:val="20"/>
                <w:szCs w:val="20"/>
              </w:rPr>
              <w:t>Sayone Thihalolipavan,​ Molly Jung,​ John Jasek,​ Shadi Chamany Menthol smokers in large-scale nicotine replacement therapy program.. American Journal of Public Health; 2014;104:e3.</w:t>
            </w:r>
            <w:r w:rsidRPr="005762E6">
              <w:rPr>
                <w:sz w:val="20"/>
                <w:szCs w:val="20"/>
              </w:rPr>
              <w:br/>
            </w:r>
            <w:r w:rsidRPr="005762E6">
              <w:rPr>
                <w:sz w:val="20"/>
                <w:szCs w:val="20"/>
              </w:rPr>
              <w:br/>
            </w:r>
            <w:r w:rsidRPr="005762E6">
              <w:rPr>
                <w:b/>
                <w:bCs/>
                <w:sz w:val="20"/>
                <w:szCs w:val="20"/>
              </w:rPr>
              <w:t>Keywords:</w:t>
            </w:r>
            <w:r w:rsidRPr="005762E6">
              <w:rPr>
                <w:sz w:val="20"/>
                <w:szCs w:val="20"/>
              </w:rPr>
              <w:br/>
              <w:t>*Drug Therapy,​*Nicotine,​*Program Evaluation,​*Smoking Cessation,​*Tobacco Smoking,​Blacks,​Health Disparities,​Latinos/Latinas</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Comments on an article,​ The debate on regulating menthol cigarettes: Closing a dangerous loophole vs removing freedom of choice by A. Cheyne et al. (2014). Cheyne et al. conducted a content analysis on the public debate surrounding a menthol-flavored cigarette ban. The current authors agree that health inequity should be a central and consistent component of the menthol discussion and want to extend the discussion to additional vulnerable populations. Data from New York City (NYC) 2012 large-scale,​ time-limited nicotine replacement therapy giveaway,​ the Nicotine Patch and Gum Program (NPGP),​ demonstrate higher menthol use among Blacks and lower quit rates among menthol smokers,​ consistent with epidemiological studies; additionally,​ the authors found other populations that are likely to smoke menthols and should be considered at risk for menthol use. Among the 13,​901 enrollees with short-term follow-up data,​ any nicotine replacement therapy use was higher and quit rate was lower among menthol users. No significant interaction between nicotine replacement therapy and menthol use on quit status was found. The findings corroborate very high menthol use among Blacks. Therefore in the continued absence of a menthol ban,​ groups like Blacks and Hispanics that report high menthol use may be disproportionately affected by having more difficulty achieving cessation. (PsycINFO Database Record (c) 2016 APA,​ all rights reserved)</w:t>
            </w:r>
          </w:p>
        </w:tc>
      </w:tr>
      <w:tr w:rsidR="007F0AE0" w:rsidRPr="005762E6" w14:paraId="50BD3E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E27DBC" w14:textId="77777777" w:rsidR="007F0AE0" w:rsidRPr="005762E6" w:rsidRDefault="007F0AE0" w:rsidP="00453DE3">
            <w:pPr>
              <w:spacing w:after="120" w:line="240" w:lineRule="auto"/>
              <w:contextualSpacing/>
              <w:rPr>
                <w:sz w:val="20"/>
                <w:szCs w:val="20"/>
              </w:rPr>
            </w:pPr>
            <w:r w:rsidRPr="005762E6">
              <w:rPr>
                <w:sz w:val="20"/>
                <w:szCs w:val="20"/>
              </w:rPr>
              <w:lastRenderedPageBreak/>
              <w:t>806</w:t>
            </w:r>
          </w:p>
        </w:tc>
        <w:tc>
          <w:tcPr>
            <w:tcW w:w="0" w:type="auto"/>
            <w:tcBorders>
              <w:top w:val="single" w:sz="6" w:space="0" w:color="auto"/>
              <w:left w:val="single" w:sz="6" w:space="0" w:color="auto"/>
              <w:bottom w:val="single" w:sz="6" w:space="0" w:color="auto"/>
              <w:right w:val="single" w:sz="6" w:space="0" w:color="auto"/>
            </w:tcBorders>
          </w:tcPr>
          <w:p w14:paraId="2EFE827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4E00218" w14:textId="77777777" w:rsidR="007F0AE0" w:rsidRPr="005762E6" w:rsidRDefault="007F0AE0" w:rsidP="00453DE3">
            <w:pPr>
              <w:spacing w:after="120" w:line="240" w:lineRule="auto"/>
              <w:contextualSpacing/>
              <w:rPr>
                <w:sz w:val="20"/>
                <w:szCs w:val="20"/>
              </w:rPr>
            </w:pPr>
            <w:r w:rsidRPr="005762E6">
              <w:rPr>
                <w:sz w:val="20"/>
                <w:szCs w:val="20"/>
              </w:rPr>
              <w:t>Matthew I Palmatier,​ Jaden E Lantz,​ Laura C O'Brien,​ Sarah P Metz Effects of nicotine on olfactogustatory incentives: Preference,​ palatability,​ and operant choice tests.. Nicotine &amp; Tobacco Research; 2013;15:1545.</w:t>
            </w:r>
            <w:r w:rsidRPr="005762E6">
              <w:rPr>
                <w:sz w:val="20"/>
                <w:szCs w:val="20"/>
              </w:rPr>
              <w:br/>
            </w:r>
            <w:r w:rsidRPr="005762E6">
              <w:rPr>
                <w:sz w:val="20"/>
                <w:szCs w:val="20"/>
              </w:rPr>
              <w:br/>
            </w:r>
            <w:r w:rsidRPr="005762E6">
              <w:rPr>
                <w:b/>
                <w:bCs/>
                <w:sz w:val="20"/>
                <w:szCs w:val="20"/>
              </w:rPr>
              <w:t>Keywords:</w:t>
            </w:r>
            <w:r w:rsidRPr="005762E6">
              <w:rPr>
                <w:sz w:val="20"/>
                <w:szCs w:val="20"/>
              </w:rPr>
              <w:br/>
              <w:t>*Food Additives,​*Nicotine,​*Olfactory Perception,​*Pharmacology,​*Tobacco Smoking,​Incentives,​Preferences,​Taste Perception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Introduction: The use of additives in tobacco may capitalize on the incentive motivational properties of tastes and scents such as mint (menthol),​ vanilla,​ and strawberry. These incentives are intended to increase tobacco experimentation,​ but their salience may also be enhanced by the incentive amplifying effects of nicotine (NIC). The goal of the present studies was to investigate the potential interaction between the incentive amplifying effects of NIC and gustatory incentives. Methods: One of two discriminable tastes (grape or cherry Kool-Aid; 0.05% wt/vol; unsweetened) was paired with sucrose (20% wt/vol; conditioned stimulus [CS+]) in deionized water,​ whereas the other taste (CS-) was presented in deionized water. Experiment 1 investigated the effects of NIC pretreatment on preference for the CS+ versus CS- in 2-bottle choice tests. Experiment 2 investigated the effects of NIC on palatability of the CS+ and CS- using orofacial taste reactions. Experiment 3 investigated the effects of NIC on reinforcement by the CS+ and CS- using a concurrent choice operant task. Results: NIC pretreatment robustly increased operant responding for the CS+ but did not alter responding for the CS- in the operant choice task (Experiment 3). However,​ NIC pretreatment did not alter intake or palatability of the CS+ or CS- (Experiments 1 and 2). Conclusions: NIC increases the reinforcing effects of gustatory incentive stimuli,​ even though these stimuli were not paired with NIC administration. The findings suggest that adding taste incentives to tobacco products may increase the attractiveness of these products to consumers and the probability of repeated use. (PsycINFO Database Record (c) 2017 APA,​ all rights reserved)</w:t>
            </w:r>
          </w:p>
        </w:tc>
      </w:tr>
      <w:tr w:rsidR="007F0AE0" w:rsidRPr="005762E6" w14:paraId="71773D6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700FD7E" w14:textId="77777777" w:rsidR="007F0AE0" w:rsidRPr="005762E6" w:rsidRDefault="007F0AE0" w:rsidP="00453DE3">
            <w:pPr>
              <w:spacing w:after="120" w:line="240" w:lineRule="auto"/>
              <w:contextualSpacing/>
              <w:rPr>
                <w:sz w:val="20"/>
                <w:szCs w:val="20"/>
              </w:rPr>
            </w:pPr>
            <w:r w:rsidRPr="005762E6">
              <w:rPr>
                <w:sz w:val="20"/>
                <w:szCs w:val="20"/>
              </w:rPr>
              <w:t>808</w:t>
            </w:r>
          </w:p>
        </w:tc>
        <w:tc>
          <w:tcPr>
            <w:tcW w:w="0" w:type="auto"/>
            <w:tcBorders>
              <w:top w:val="single" w:sz="6" w:space="0" w:color="auto"/>
              <w:left w:val="single" w:sz="6" w:space="0" w:color="auto"/>
              <w:bottom w:val="single" w:sz="6" w:space="0" w:color="auto"/>
              <w:right w:val="single" w:sz="6" w:space="0" w:color="auto"/>
            </w:tcBorders>
          </w:tcPr>
          <w:p w14:paraId="4C097CA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300D1A4" w14:textId="77777777" w:rsidR="007F0AE0" w:rsidRPr="005762E6" w:rsidRDefault="007F0AE0" w:rsidP="00453DE3">
            <w:pPr>
              <w:spacing w:after="120" w:line="240" w:lineRule="auto"/>
              <w:contextualSpacing/>
              <w:rPr>
                <w:sz w:val="20"/>
                <w:szCs w:val="20"/>
              </w:rPr>
            </w:pPr>
            <w:r w:rsidRPr="005762E6">
              <w:rPr>
                <w:sz w:val="20"/>
                <w:szCs w:val="20"/>
              </w:rPr>
              <w:t>Brian Rostron Methodology,​ menthol,​ and mortality.. Nicotine &amp; Tobacco Research; 2013;15:619.</w:t>
            </w:r>
            <w:r w:rsidRPr="005762E6">
              <w:rPr>
                <w:sz w:val="20"/>
                <w:szCs w:val="20"/>
              </w:rPr>
              <w:br/>
            </w:r>
            <w:r w:rsidRPr="005762E6">
              <w:rPr>
                <w:sz w:val="20"/>
                <w:szCs w:val="20"/>
              </w:rPr>
              <w:br/>
            </w:r>
            <w:r w:rsidRPr="005762E6">
              <w:rPr>
                <w:b/>
                <w:bCs/>
                <w:sz w:val="20"/>
                <w:szCs w:val="20"/>
              </w:rPr>
              <w:t>Keywords:</w:t>
            </w:r>
            <w:r w:rsidRPr="005762E6">
              <w:rPr>
                <w:sz w:val="20"/>
                <w:szCs w:val="20"/>
              </w:rPr>
              <w:br/>
              <w:t>*Lung Disorders,​*Neoplasms,​*Risk Factors,​*Tobacco Smoking,​Mortality Rate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Reply by the current author to the comments made by Andrea C. Villanti et al. (see record 2013-09891-043) on the original article (see record 2012-26461-002). Villanti et al. stated that previous studies,​ did not find difference in lung cancer risk for menthol and non-menthol smokers. Villanti et al. stated that this is the first article to find a protective effect of menthol smoking on lung cancer mortality,​ which raises concerns that require replication. Villanti et al. suggested that competing risks such as circulatory causes could account for the lower lung cancer mortality risk observed in the study. Villanti et al. also stated that the study argued that one possible reason for a reduced lung cancer mortality risk among menthol smokers may be that they have greater smoking cessation compared with nonmenthol smokers and noted that menthol cigarette usage was only reported at baseline. Villanti et al. also expressed concerns about the difficulty of accurately identifying the effects of race and menthol cigarette use on lung cancer risk and other issues such as the assessment of the public health impact of menthol cigarettes. (PsycINFO Database Record (c) 2016 APA,​ all rights reserved)</w:t>
            </w:r>
          </w:p>
        </w:tc>
      </w:tr>
      <w:tr w:rsidR="007F0AE0" w:rsidRPr="005762E6" w14:paraId="3C27032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7C1E99" w14:textId="77777777" w:rsidR="007F0AE0" w:rsidRPr="005762E6" w:rsidRDefault="007F0AE0" w:rsidP="00453DE3">
            <w:pPr>
              <w:spacing w:after="120" w:line="240" w:lineRule="auto"/>
              <w:contextualSpacing/>
              <w:rPr>
                <w:sz w:val="20"/>
                <w:szCs w:val="20"/>
              </w:rPr>
            </w:pPr>
            <w:r w:rsidRPr="005762E6">
              <w:rPr>
                <w:sz w:val="20"/>
                <w:szCs w:val="20"/>
              </w:rPr>
              <w:lastRenderedPageBreak/>
              <w:t>809</w:t>
            </w:r>
          </w:p>
        </w:tc>
        <w:tc>
          <w:tcPr>
            <w:tcW w:w="0" w:type="auto"/>
            <w:tcBorders>
              <w:top w:val="single" w:sz="6" w:space="0" w:color="auto"/>
              <w:left w:val="single" w:sz="6" w:space="0" w:color="auto"/>
              <w:bottom w:val="single" w:sz="6" w:space="0" w:color="auto"/>
              <w:right w:val="single" w:sz="6" w:space="0" w:color="auto"/>
            </w:tcBorders>
          </w:tcPr>
          <w:p w14:paraId="62AE764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9FC3917" w14:textId="77777777" w:rsidR="007F0AE0" w:rsidRPr="005762E6" w:rsidRDefault="007F0AE0" w:rsidP="00453DE3">
            <w:pPr>
              <w:spacing w:after="120" w:line="240" w:lineRule="auto"/>
              <w:contextualSpacing/>
              <w:rPr>
                <w:sz w:val="20"/>
                <w:szCs w:val="20"/>
              </w:rPr>
            </w:pPr>
            <w:r w:rsidRPr="005762E6">
              <w:rPr>
                <w:sz w:val="20"/>
                <w:szCs w:val="20"/>
              </w:rPr>
              <w:t>Andrea C Villanti,​ Gary A Giovino,​ David M Burns,​ David B Abrams Menthol cigarettes and mortality: Keeping focus on the public health standard.. Nicotine &amp; Tobacco Research; 2013;15:617.</w:t>
            </w:r>
            <w:r w:rsidRPr="005762E6">
              <w:rPr>
                <w:sz w:val="20"/>
                <w:szCs w:val="20"/>
              </w:rPr>
              <w:br/>
            </w:r>
            <w:r w:rsidRPr="005762E6">
              <w:rPr>
                <w:sz w:val="20"/>
                <w:szCs w:val="20"/>
              </w:rPr>
              <w:br/>
            </w:r>
            <w:r w:rsidRPr="005762E6">
              <w:rPr>
                <w:b/>
                <w:bCs/>
                <w:sz w:val="20"/>
                <w:szCs w:val="20"/>
              </w:rPr>
              <w:t>Keywords:</w:t>
            </w:r>
            <w:r w:rsidRPr="005762E6">
              <w:rPr>
                <w:sz w:val="20"/>
                <w:szCs w:val="20"/>
              </w:rPr>
              <w:br/>
              <w:t>*Lung Disorders,​*Neoplasms,​*Risk Factors,​*Tobacco Smoking,​Mortality Rate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Comments on an article by B. Rostron (see record 2012-26461-002). Rostron reported lower lung cancer mortality risk among menthol smokers compared with nonmenthol smokers at ages 50 and above. Rostron measured cigarette usage at baseline only,​ and cumulative exposure to cigarette smoking,​ but not specific brands,​ was assessed at that time. The overall results of the Rostron study indicated that there is no difference in all-cause mortality or in lung cancer mortality among menthol compared with nonmenthol smokers when all ages are considered,​ consistent with other studies. Rostron argued that one possible reason for a reduced lung cancer mortality risk among menthol smokers may be that they have greater smoking cessation compared with nonmenthol smokers. Rostron studied the health effects of menthol compared with nonmenthol cigarette exposure among individual users are only one line of evidence in the context of the public health mandate of considering the population level harms versus benefits of banning menthol in cigarettes. (PsycINFO Database Record (c) 2016 APA,​ all rights reserved)</w:t>
            </w:r>
          </w:p>
        </w:tc>
      </w:tr>
      <w:tr w:rsidR="007F0AE0" w:rsidRPr="005762E6" w14:paraId="093D46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FB06979" w14:textId="77777777" w:rsidR="007F0AE0" w:rsidRPr="005762E6" w:rsidRDefault="007F0AE0" w:rsidP="00453DE3">
            <w:pPr>
              <w:spacing w:after="120" w:line="240" w:lineRule="auto"/>
              <w:contextualSpacing/>
              <w:rPr>
                <w:sz w:val="20"/>
                <w:szCs w:val="20"/>
              </w:rPr>
            </w:pPr>
            <w:r w:rsidRPr="005762E6">
              <w:rPr>
                <w:sz w:val="20"/>
                <w:szCs w:val="20"/>
              </w:rPr>
              <w:t>810</w:t>
            </w:r>
          </w:p>
        </w:tc>
        <w:tc>
          <w:tcPr>
            <w:tcW w:w="0" w:type="auto"/>
            <w:tcBorders>
              <w:top w:val="single" w:sz="6" w:space="0" w:color="auto"/>
              <w:left w:val="single" w:sz="6" w:space="0" w:color="auto"/>
              <w:bottom w:val="single" w:sz="6" w:space="0" w:color="auto"/>
              <w:right w:val="single" w:sz="6" w:space="0" w:color="auto"/>
            </w:tcBorders>
          </w:tcPr>
          <w:p w14:paraId="6DCB284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5D576DA" w14:textId="77777777" w:rsidR="007F0AE0" w:rsidRPr="005762E6" w:rsidRDefault="007F0AE0" w:rsidP="00453DE3">
            <w:pPr>
              <w:spacing w:after="120" w:line="240" w:lineRule="auto"/>
              <w:contextualSpacing/>
              <w:rPr>
                <w:sz w:val="20"/>
                <w:szCs w:val="20"/>
              </w:rPr>
            </w:pPr>
            <w:r w:rsidRPr="005762E6">
              <w:rPr>
                <w:sz w:val="20"/>
                <w:szCs w:val="20"/>
              </w:rPr>
              <w:t>Lawrence Carter Commentary on nonnemaker et al. (2013): Banning menthol cigarettes-Is it time to conduct the experiment?. Addiction; 2013;108:179.</w:t>
            </w:r>
            <w:r w:rsidRPr="005762E6">
              <w:rPr>
                <w:sz w:val="20"/>
                <w:szCs w:val="20"/>
              </w:rPr>
              <w:br/>
            </w:r>
            <w:r w:rsidRPr="005762E6">
              <w:rPr>
                <w:sz w:val="20"/>
                <w:szCs w:val="20"/>
              </w:rPr>
              <w:br/>
            </w:r>
            <w:r w:rsidRPr="005762E6">
              <w:rPr>
                <w:b/>
                <w:bCs/>
                <w:sz w:val="20"/>
                <w:szCs w:val="20"/>
              </w:rPr>
              <w:t>Keywords:</w:t>
            </w:r>
            <w:r w:rsidRPr="005762E6">
              <w:rPr>
                <w:sz w:val="20"/>
                <w:szCs w:val="20"/>
              </w:rPr>
              <w:br/>
              <w:t>*At Risk Populations,​*Drug Dependency,​*Nicotine,​*Tobacco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Comments on an article by James Nonnemaker et al. (see record 2012-35058-027). The study by Nonnemaker et al. is important because it aims to answer a question with direct relevance to public health policy whether menthol cigarettes contribute to greater rates of nicotine dependence. The answer appears to be 'yes'. The findings by Nonnemaker et al. are consistent with the 2011 report of the Food and Drug Administration (FDA) Tobacco Products Scientific Advisory Committee (TPSAC),​ which concluded that there was sufficient evidence that menthol makes cigarette smoking more addictive. Of particular relevance for new smokers,​ menthol tends to make cigarette smoke less irritating by virtue of its cooling and anesthetic effects. Their paper is also impactful because it appears to have filled a meaningful gap in the scientific literature. Currently,​ no published studies report data on this issue or any other transition. The paper by Nonnemaker et al. describes such an assessment,​ and concludes that initiating smoking with menthol cigarettes increases the risk of becoming an established smoker. In light of the apparent increased risk associated with menthol cigarettes,​ one might ask whether manufacturers should be prohibited from adding menthol to cigarettes. (PsycINFO Database Record (c) 2016 APA,​ all rights reserved)</w:t>
            </w:r>
          </w:p>
        </w:tc>
      </w:tr>
      <w:tr w:rsidR="007F0AE0" w:rsidRPr="005762E6" w14:paraId="2AA7BA5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EBD539B" w14:textId="77777777" w:rsidR="007F0AE0" w:rsidRPr="005762E6" w:rsidRDefault="007F0AE0" w:rsidP="00453DE3">
            <w:pPr>
              <w:spacing w:after="120" w:line="240" w:lineRule="auto"/>
              <w:contextualSpacing/>
              <w:rPr>
                <w:sz w:val="20"/>
                <w:szCs w:val="20"/>
              </w:rPr>
            </w:pPr>
            <w:r w:rsidRPr="005762E6">
              <w:rPr>
                <w:sz w:val="20"/>
                <w:szCs w:val="20"/>
              </w:rPr>
              <w:t>811</w:t>
            </w:r>
          </w:p>
        </w:tc>
        <w:tc>
          <w:tcPr>
            <w:tcW w:w="0" w:type="auto"/>
            <w:tcBorders>
              <w:top w:val="single" w:sz="6" w:space="0" w:color="auto"/>
              <w:left w:val="single" w:sz="6" w:space="0" w:color="auto"/>
              <w:bottom w:val="single" w:sz="6" w:space="0" w:color="auto"/>
              <w:right w:val="single" w:sz="6" w:space="0" w:color="auto"/>
            </w:tcBorders>
          </w:tcPr>
          <w:p w14:paraId="103D1DE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3B1E4EB" w14:textId="77777777" w:rsidR="007F0AE0" w:rsidRPr="005762E6" w:rsidRDefault="007F0AE0" w:rsidP="00453DE3">
            <w:pPr>
              <w:spacing w:after="120" w:line="240" w:lineRule="auto"/>
              <w:contextualSpacing/>
              <w:rPr>
                <w:sz w:val="20"/>
                <w:szCs w:val="20"/>
              </w:rPr>
            </w:pPr>
            <w:r w:rsidRPr="005762E6">
              <w:rPr>
                <w:sz w:val="20"/>
                <w:szCs w:val="20"/>
              </w:rPr>
              <w:t>Jennifer Lynn Pearson Public reaction to potential food and drug administration actions under the Family Smoking Prevention and Tobacco Control Act: Regulating e-cigarettes,​ banning menthol,​ and reducing cigarette nicotine content.. Dissertation Abstracts International: Section B: The Sciences and Engineering; 2012;73:2156.</w:t>
            </w:r>
            <w:r w:rsidRPr="005762E6">
              <w:rPr>
                <w:sz w:val="20"/>
                <w:szCs w:val="20"/>
              </w:rPr>
              <w:br/>
            </w:r>
            <w:r w:rsidRPr="005762E6">
              <w:rPr>
                <w:sz w:val="20"/>
                <w:szCs w:val="20"/>
              </w:rPr>
              <w:br/>
            </w:r>
            <w:r w:rsidRPr="005762E6">
              <w:rPr>
                <w:b/>
                <w:bCs/>
                <w:sz w:val="20"/>
                <w:szCs w:val="20"/>
              </w:rPr>
              <w:t>Keywords:</w:t>
            </w:r>
            <w:r w:rsidRPr="005762E6">
              <w:rPr>
                <w:sz w:val="20"/>
                <w:szCs w:val="20"/>
              </w:rPr>
              <w:br/>
              <w:t>*Drug Therapy,​*Food,​*Public Opinion,​*Smoking Cessation,​*Tobacco Smoking,​Surveys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 To examine public opinion and potential reactions to new powers to regulate tobacco products conferred to the United States Food and Drug Administration by the 2009 Family Smoking Prevention and Tobacco Control Act (FSPTCA). Research methods: Analyses used unweighted and weighted survey data to obtain demographic and point estimates for indicators of interest. For manuscript one,​ multivariable models were used to examine awareness,​ use,​ and harm perceptions related to e-cigarettes. In the second manuscript,​ ordinal logistic regression was used to obtain predictors of support for a menthol ban. Additionally,​ logistic regression was used to understand how menthol smokers might react to a menthol ban. In the third manuscript,​ multinomial logistic regression was used to understand predictors of support for a mandated reduction of nicotine levels in cigarettes. Results: In manuscript one (e-cigarettes),​ 40.2% (95% CI: 37.3,​ 43.1) of Americans had heard of e-cigarettes in the online survey,​ with awareness highest among current smokers. Utilization was also higher among current smokers (11.4%; 95% CI: 9.3,​ 14.0) than in the overall population (3.4%; 95% CI: 2.6,​ </w:t>
            </w:r>
            <w:r w:rsidRPr="005762E6">
              <w:rPr>
                <w:sz w:val="20"/>
                <w:szCs w:val="20"/>
              </w:rPr>
              <w:lastRenderedPageBreak/>
              <w:t>4.2),​ but 2.0% (95% CI: 1.0,​ 3.8) of former smokers had also used e-cigarettes. Non-Hispanic whites,​ current smokers,​ young adults and those with at least a high school diploma were most likely to perceive e-cigarettes as less harmful than cigarettes. In manuscript two (menthol ban),​ about 70% of American adults do not oppose a ban,​ with 20.0% (95% CI: 18.0,​ 22.3) agreeing with a menthol ban,​ 51.9% neither agreeing nor disagreeing (38.9%; 95% CI: 36.3,​ 41.4) or without an opinion (13.0%; 95% CI: 11.4,​ 14.8),​ and 28.2% (95% CI: 25.9,​ 30.5) opposing a ban. Support was highest among Hispanics (36.4%; 95% CI: 27.1,​ 46.9),​ African Americans (29.0%; 95% CI: 19.9,​ 40.1),​ never-smokers (26.8%; 95% CI: 22.5,​ 31.7),​ and those with less than a high school diploma (28.8%; 95% CI: 20.5,​ 38.8). The greatest proportion (38.9%; 95% CI: 33.0,​ 45.2) of menthol smokers said that they would quit smoking altogether if menthol cigarettes were no longer available,​ while 12.5% (95% CI: 8.7,​ 17.7) would switch to a non-menthol brand and 25.2% (95% CI: 20.0,​ 31.3) would both switch and try to quit. In manuscript three (nicotine reduction),​ there is broad public support for mandated nicotine reduction in cigarettes across many subpopulations. Among all respondents,​ 84.5% do not object to reducing nicotine in cigarettes: 46.7% (95% CI: 43.6,​ 49.7) agreed that the FDA should mandate nicotine reduction; 27.8% (95% CI: 24.2,​ 29.5) neither agreed nor disagreed or stated they did not know; and only 16.5% (95% CI: 14.4,​ 18.6) disagreed. Hispanics (61.2%; 95% CI: 52.3,​ 70.0),​ African Americans (52.0%; 95% CI: 41.9,​ 62.2) and those with less than a high school education (62.1%; 95% CI: 54.3,​ 69.8) were especially supportive of nicotine reduction. Smokers intending to quit were 2.8 times (95% CI: 1.8,​ 4.3) more likely to support mandated nicotine reduction than smokers not intending to quit. Conclusions: FDA regulation of e-cigarettes is warranted,​ and a ban on menthol in cigarettes as well as mandated nicotine reduction is generally supported by the majority of the public. Information on the public's attitudes,​ beliefs,​ and behavior by demographics and other subgroup characteristics (i.e. smoking status) is important information to help inform the newly empowered Food and Drug Administration (FDA) under the Family Smoking Prevention and Tobacco Control Act (FSPTCA) to protect public health. Support for FDA regulation of nicotine and menthol is strongest among populations at disproportional risk for excess disease burden,​ such as African Americans,​ and a number of smokers and former smokers use e-cigarettes. This dissertation provides guidance on how FDA may use rapid surveys of public knowledge,​ attitudes,​ and beliefs to ga... (PsycINFO Database Record (c) 2016 APA,​ all rights reserved)</w:t>
            </w:r>
          </w:p>
        </w:tc>
      </w:tr>
      <w:tr w:rsidR="007F0AE0" w:rsidRPr="005762E6" w14:paraId="0300D2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A4E443" w14:textId="77777777" w:rsidR="007F0AE0" w:rsidRPr="005762E6" w:rsidRDefault="007F0AE0" w:rsidP="00453DE3">
            <w:pPr>
              <w:spacing w:after="120" w:line="240" w:lineRule="auto"/>
              <w:contextualSpacing/>
              <w:rPr>
                <w:sz w:val="20"/>
                <w:szCs w:val="20"/>
              </w:rPr>
            </w:pPr>
            <w:r w:rsidRPr="005762E6">
              <w:rPr>
                <w:sz w:val="20"/>
                <w:szCs w:val="20"/>
              </w:rPr>
              <w:lastRenderedPageBreak/>
              <w:t>812</w:t>
            </w:r>
          </w:p>
        </w:tc>
        <w:tc>
          <w:tcPr>
            <w:tcW w:w="0" w:type="auto"/>
            <w:tcBorders>
              <w:top w:val="single" w:sz="6" w:space="0" w:color="auto"/>
              <w:left w:val="single" w:sz="6" w:space="0" w:color="auto"/>
              <w:bottom w:val="single" w:sz="6" w:space="0" w:color="auto"/>
              <w:right w:val="single" w:sz="6" w:space="0" w:color="auto"/>
            </w:tcBorders>
          </w:tcPr>
          <w:p w14:paraId="73D5C8CF"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B85B1BF" w14:textId="77777777" w:rsidR="007F0AE0" w:rsidRPr="005762E6" w:rsidRDefault="007F0AE0" w:rsidP="00453DE3">
            <w:pPr>
              <w:spacing w:after="120" w:line="240" w:lineRule="auto"/>
              <w:contextualSpacing/>
              <w:rPr>
                <w:sz w:val="20"/>
                <w:szCs w:val="20"/>
              </w:rPr>
            </w:pPr>
            <w:r w:rsidRPr="005762E6">
              <w:rPr>
                <w:sz w:val="20"/>
                <w:szCs w:val="20"/>
              </w:rPr>
              <w:t>Brian Rostron Response to "Menthol cigarettes and lung cancer mortality".. Nicotine &amp; Tobacco Research; 2012;14:1248.</w:t>
            </w:r>
            <w:r w:rsidRPr="005762E6">
              <w:rPr>
                <w:sz w:val="20"/>
                <w:szCs w:val="20"/>
              </w:rPr>
              <w:br/>
            </w:r>
            <w:r w:rsidRPr="005762E6">
              <w:rPr>
                <w:sz w:val="20"/>
                <w:szCs w:val="20"/>
              </w:rPr>
              <w:br/>
            </w:r>
            <w:r w:rsidRPr="005762E6">
              <w:rPr>
                <w:b/>
                <w:bCs/>
                <w:sz w:val="20"/>
                <w:szCs w:val="20"/>
              </w:rPr>
              <w:t>Keywords:</w:t>
            </w:r>
            <w:r w:rsidRPr="005762E6">
              <w:rPr>
                <w:sz w:val="20"/>
                <w:szCs w:val="20"/>
              </w:rPr>
              <w:br/>
              <w:t>*Lung Disorders,​*Neoplasms,​*Risk Factors,​*Tobacco Smoking,​Mortality Rate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Reply by the current author to the comments made by Joshua E. Muscat (see record 2012-26461-016) on the original article (see record 2012-26461-002). Muscat makes the useful point that research has generally found that smokers of unfiltered cigarettes have higher lung cancer risk than smokers of filtered cigarettes. For example,​ smokers of unfiltered,​ high-tar cigarettes in the American Cancer Society's Cancer Prevention Study II subsequently had higher lung cancer mortality risk than smokers of filtered,​ medium-tar cigarettes,​ even though no difference in risk was observed for smokers of medium- and low-tar filtered cigarettes. Unfortunately,​ the 1987 National Health Interview Survey Cancer Control Supplement data that I used in my study do not provide much additional insight concerning this issue. Over 95% of smokers with identified filter preference at baseline usually smoked filtered cigarettes,​ and filter prevalence was comparable for menthol and non-menthol smokers. Even so,​ previous differences in filter use could have contributed to the lower lung cancer mortality risks for menthol smokers compared with non-menthol smokers that were observed in my study,​ in addition to other factors such as differences in filter ventilation that were mentioned in my paper. (PsycINFO Database Record (c) 2016 APA,​ all rights reserved)</w:t>
            </w:r>
          </w:p>
        </w:tc>
      </w:tr>
      <w:tr w:rsidR="007F0AE0" w:rsidRPr="005762E6" w14:paraId="0B01E9C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9E9B59" w14:textId="77777777" w:rsidR="007F0AE0" w:rsidRPr="005762E6" w:rsidRDefault="007F0AE0" w:rsidP="00453DE3">
            <w:pPr>
              <w:spacing w:after="120" w:line="240" w:lineRule="auto"/>
              <w:contextualSpacing/>
              <w:rPr>
                <w:sz w:val="20"/>
                <w:szCs w:val="20"/>
              </w:rPr>
            </w:pPr>
            <w:r w:rsidRPr="005762E6">
              <w:rPr>
                <w:sz w:val="20"/>
                <w:szCs w:val="20"/>
              </w:rPr>
              <w:t>813</w:t>
            </w:r>
          </w:p>
        </w:tc>
        <w:tc>
          <w:tcPr>
            <w:tcW w:w="0" w:type="auto"/>
            <w:tcBorders>
              <w:top w:val="single" w:sz="6" w:space="0" w:color="auto"/>
              <w:left w:val="single" w:sz="6" w:space="0" w:color="auto"/>
              <w:bottom w:val="single" w:sz="6" w:space="0" w:color="auto"/>
              <w:right w:val="single" w:sz="6" w:space="0" w:color="auto"/>
            </w:tcBorders>
          </w:tcPr>
          <w:p w14:paraId="4CBA8C2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B9EED4A" w14:textId="77777777" w:rsidR="007F0AE0" w:rsidRPr="005762E6" w:rsidRDefault="007F0AE0" w:rsidP="00453DE3">
            <w:pPr>
              <w:spacing w:after="120" w:line="240" w:lineRule="auto"/>
              <w:contextualSpacing/>
              <w:rPr>
                <w:sz w:val="20"/>
                <w:szCs w:val="20"/>
              </w:rPr>
            </w:pPr>
            <w:r w:rsidRPr="005762E6">
              <w:rPr>
                <w:sz w:val="20"/>
                <w:szCs w:val="20"/>
              </w:rPr>
              <w:t>Joshua E Muscat Menthol cigarettes and lung cancer mortality.. Nicotine &amp; Tobacco Research; 2012;14:1246.</w:t>
            </w:r>
            <w:r w:rsidRPr="005762E6">
              <w:rPr>
                <w:sz w:val="20"/>
                <w:szCs w:val="20"/>
              </w:rPr>
              <w:br/>
            </w:r>
            <w:r w:rsidRPr="005762E6">
              <w:rPr>
                <w:sz w:val="20"/>
                <w:szCs w:val="20"/>
              </w:rPr>
              <w:br/>
            </w:r>
            <w:r w:rsidRPr="005762E6">
              <w:rPr>
                <w:b/>
                <w:bCs/>
                <w:sz w:val="20"/>
                <w:szCs w:val="20"/>
              </w:rPr>
              <w:t>Keywords:</w:t>
            </w:r>
            <w:r w:rsidRPr="005762E6">
              <w:rPr>
                <w:sz w:val="20"/>
                <w:szCs w:val="20"/>
              </w:rPr>
              <w:br/>
              <w:t>*Lung Disorders,​*Neoplasms,​*Risk Factors,​*Tobacco Smoking,​Mortality Rate</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Comments on an article by Brian Rostron (see record 2012-26461-002). The article by Rostron on menthol smoking and mortality risk raises the possibility that menthol cigarettes reduce the risk of lung cancer in smokers relative to plain cigarettes. The lack of a difference in all-cause mortality would seem to rule out a systemic bias in the data. While most case-control findings have not shown increased mortality from lung cancer </w:t>
            </w:r>
            <w:r w:rsidRPr="005762E6">
              <w:rPr>
                <w:sz w:val="20"/>
                <w:szCs w:val="20"/>
              </w:rPr>
              <w:lastRenderedPageBreak/>
              <w:t>with menthol smoking,​ and perhaps a slightly lowered risk with menthol,​ the possibility that menthol substantially decreases the most common cause of cancer mortality must be considered from a public health perspective. More recently,​ there has been a cohort of smokers who smoked filtered cigarettes exclusively over their lifetime where the effects of cigarette filtration can be observed. The market share of menthol cigarettes was quite low until about 1970,​ reaching perhaps 25% of all smokers. In contrast to nonmenthol brands,​ menthol brands have been predominantly filtered cigarettes. These differences may very well explain the association observed by Rostron. The study by Rostron effectively compared smokers at a time when most nonmentholated smokers smoked exclusively or predominantly unfiltered nonmenthol cigarettes over their lifetime,​ to menthol smokers who smoked predominantly filtered menthol cigarettes. (PsycINFO Database Record (c) 2016 APA,​ all rights reserved)</w:t>
            </w:r>
          </w:p>
        </w:tc>
      </w:tr>
      <w:tr w:rsidR="007F0AE0" w:rsidRPr="005762E6" w14:paraId="52E14A8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7346F8" w14:textId="77777777" w:rsidR="007F0AE0" w:rsidRPr="005762E6" w:rsidRDefault="007F0AE0" w:rsidP="00453DE3">
            <w:pPr>
              <w:spacing w:after="120" w:line="240" w:lineRule="auto"/>
              <w:contextualSpacing/>
              <w:rPr>
                <w:sz w:val="20"/>
                <w:szCs w:val="20"/>
              </w:rPr>
            </w:pPr>
            <w:r w:rsidRPr="005762E6">
              <w:rPr>
                <w:sz w:val="20"/>
                <w:szCs w:val="20"/>
              </w:rPr>
              <w:lastRenderedPageBreak/>
              <w:t>815</w:t>
            </w:r>
          </w:p>
        </w:tc>
        <w:tc>
          <w:tcPr>
            <w:tcW w:w="0" w:type="auto"/>
            <w:tcBorders>
              <w:top w:val="single" w:sz="6" w:space="0" w:color="auto"/>
              <w:left w:val="single" w:sz="6" w:space="0" w:color="auto"/>
              <w:bottom w:val="single" w:sz="6" w:space="0" w:color="auto"/>
              <w:right w:val="single" w:sz="6" w:space="0" w:color="auto"/>
            </w:tcBorders>
          </w:tcPr>
          <w:p w14:paraId="58768EB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74D7DD5" w14:textId="77777777" w:rsidR="007F0AE0" w:rsidRPr="005762E6" w:rsidRDefault="007F0AE0" w:rsidP="00453DE3">
            <w:pPr>
              <w:spacing w:after="120" w:line="240" w:lineRule="auto"/>
              <w:contextualSpacing/>
              <w:rPr>
                <w:sz w:val="20"/>
                <w:szCs w:val="20"/>
              </w:rPr>
            </w:pPr>
            <w:r w:rsidRPr="005762E6">
              <w:rPr>
                <w:sz w:val="20"/>
                <w:szCs w:val="20"/>
              </w:rPr>
              <w:t>Valerie J Rock,​ Shane P Davis,​ Stacy L Thorne,​ Ralph S Caraballo Menthol cigarette use: The challenge to improve measurement and monitoring among adolescent smokers.. Nicotine &amp; Tobacco Research; 2012;14:251.</w:t>
            </w:r>
            <w:r w:rsidRPr="005762E6">
              <w:rPr>
                <w:sz w:val="20"/>
                <w:szCs w:val="20"/>
              </w:rPr>
              <w:br/>
            </w:r>
            <w:r w:rsidRPr="005762E6">
              <w:rPr>
                <w:sz w:val="20"/>
                <w:szCs w:val="20"/>
              </w:rPr>
              <w:br/>
            </w:r>
            <w:r w:rsidRPr="005762E6">
              <w:rPr>
                <w:b/>
                <w:bCs/>
                <w:sz w:val="20"/>
                <w:szCs w:val="20"/>
              </w:rPr>
              <w:t>Keywords:</w:t>
            </w:r>
            <w:r w:rsidRPr="005762E6">
              <w:rPr>
                <w:sz w:val="20"/>
                <w:szCs w:val="20"/>
              </w:rPr>
              <w:br/>
              <w:t>*Blacks,​*Racial and Ethnic Differences,​*Tobacco Smoking,​Drug Dependency,​Drug Rehabilitation,​Racial and Ethnic Groups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Reply by the current authors to the comments made by Anthony P. Polednak (see record 2012-02460-018) on the original article Menthol cigarette use among racial and ethnic groups in the United States,​ 2004-2008 (2010). We appreciate Dr. Polednak's interest in the article and his critical examination of the issue of misclassification and potential underreporting of menthol cigarette use in the U.S. population,​ particularly among African American youth. Specifically,​ Dr. Polednak highlights discrepancies in self-reported menthol cigarette use and self-reported cigarette brand smoked (i.e.,​ menthol/non-menthol) at the time of data collection. The scientific evidence indeed suggests that self-reports of type or brand of cigarette smoked are subject to bias. This may be especially true for menthol cigarette use among adolescents who are first trying or experimenting with smoking and among those who do not normally purchase their own cigarettes. That is why our study addressed the need to improve accurate monitoring of menthol cigarette smoking among youth and adults in order to improve the validity of self-reports. The purpose of our study was to identify the age and sex variations in menthol cigarette use by race/ethnicity. There is a need to improve our national surveillance systems to track the evolving regulatory and policy environment; changes in tobacco industry activities; and new and emerging tobacco product awareness,​ use,​ and behaviors. (PsycINFO Database Record (c) 2016 APA,​ all rights reserved)</w:t>
            </w:r>
          </w:p>
        </w:tc>
      </w:tr>
      <w:tr w:rsidR="007F0AE0" w:rsidRPr="005762E6" w14:paraId="504193E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F57B22" w14:textId="77777777" w:rsidR="007F0AE0" w:rsidRPr="005762E6" w:rsidRDefault="007F0AE0" w:rsidP="00453DE3">
            <w:pPr>
              <w:spacing w:after="120" w:line="240" w:lineRule="auto"/>
              <w:contextualSpacing/>
              <w:rPr>
                <w:sz w:val="20"/>
                <w:szCs w:val="20"/>
              </w:rPr>
            </w:pPr>
            <w:r w:rsidRPr="005762E6">
              <w:rPr>
                <w:sz w:val="20"/>
                <w:szCs w:val="20"/>
              </w:rPr>
              <w:t>817</w:t>
            </w:r>
          </w:p>
        </w:tc>
        <w:tc>
          <w:tcPr>
            <w:tcW w:w="0" w:type="auto"/>
            <w:tcBorders>
              <w:top w:val="single" w:sz="6" w:space="0" w:color="auto"/>
              <w:left w:val="single" w:sz="6" w:space="0" w:color="auto"/>
              <w:bottom w:val="single" w:sz="6" w:space="0" w:color="auto"/>
              <w:right w:val="single" w:sz="6" w:space="0" w:color="auto"/>
            </w:tcBorders>
          </w:tcPr>
          <w:p w14:paraId="0F81898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7854F56" w14:textId="77777777" w:rsidR="007F0AE0" w:rsidRPr="005762E6" w:rsidRDefault="007F0AE0" w:rsidP="00453DE3">
            <w:pPr>
              <w:spacing w:after="120" w:line="240" w:lineRule="auto"/>
              <w:contextualSpacing/>
              <w:rPr>
                <w:sz w:val="20"/>
                <w:szCs w:val="20"/>
              </w:rPr>
            </w:pPr>
            <w:r w:rsidRPr="005762E6">
              <w:rPr>
                <w:sz w:val="20"/>
                <w:szCs w:val="20"/>
              </w:rPr>
              <w:t>Neal L Benowitz,​ Jonathan M Samet The threat of menthol cigarettes to U.S. public health.. The New England Journal of Medicine; 2011;364:2179.</w:t>
            </w:r>
            <w:r w:rsidRPr="005762E6">
              <w:rPr>
                <w:sz w:val="20"/>
                <w:szCs w:val="20"/>
              </w:rPr>
              <w:br/>
            </w:r>
            <w:r w:rsidRPr="005762E6">
              <w:rPr>
                <w:sz w:val="20"/>
                <w:szCs w:val="20"/>
              </w:rPr>
              <w:br/>
            </w:r>
            <w:r w:rsidRPr="005762E6">
              <w:rPr>
                <w:b/>
                <w:bCs/>
                <w:sz w:val="20"/>
                <w:szCs w:val="20"/>
              </w:rPr>
              <w:t>Keywords:</w:t>
            </w:r>
            <w:r w:rsidRPr="005762E6">
              <w:rPr>
                <w:sz w:val="20"/>
                <w:szCs w:val="20"/>
              </w:rPr>
              <w:br/>
              <w:t>*Government Agencies,​*Policy Making,​*Public Health,​*Tobacco Smoking,​Smoking Cessation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The 2009 Family Smoking Prevention and Tobacco Control Act gave the Food and Drug Administration (FDA) authority to regulate certain tobacco products with the goal of protecting public health. The law provides the FDA with regulatory tools for reducing harm to health from products that cause nicotine addiction and disease. It specifically banned flavored cigarettes,​ except those containing menthol,​ which account for about 30% of the current U.S. cigarette market. Menthol,​ a naturally occurring monocyclic terpene alcohol,​ has long been used in consumer and medicinal products because of its minty taste and aroma and its cooling and analgesic properties. The Tobacco Products Scientific Advisory Committee (TPSAC),​ on which we serve,​ submitted its menthol report to the FDA on March 23,​ 2011,​ with a conclusion that menthol cigarettes damage public health and a general recommendation that "removal of menthol cigarettes would benefit public health in the United States." In assessing menthol cigarettes' effect on public health,​ the TPSAC considered whether their availability increased the number of smokers or the risk of cigarette-caused diseases as compared with a counterfactual scenario in which such cigarettes had never existed. We found convincing evidence that menthol cigarettes' availability increases the number of smokers by increasing the rate of smoking initiation and reducing the rate of cessation,​ particularly among black Americans. In answer to the Tobacco Act's overall charge,​ the committee concluded that menthol cigarettes adversely affect U.S. public health and that there are no public health benefits to menthol cigarettes as compared with nonmenthol cigarettes. The TPSAC's overall recommendation that "removal of menthol cigarettes from the marketplace would benefit public health in the United States" parallels </w:t>
            </w:r>
            <w:r w:rsidRPr="005762E6">
              <w:rPr>
                <w:sz w:val="20"/>
                <w:szCs w:val="20"/>
              </w:rPr>
              <w:lastRenderedPageBreak/>
              <w:t>the conclusion of the 1964 Surgeon General's report on smoking and health: "Cigarette smoking is a health hazard of sufficient importance in the United States to warrant appropriate remedial action." (PsycINFO Database Record (c) 2016 APA,​ all rights reserved)</w:t>
            </w:r>
          </w:p>
        </w:tc>
      </w:tr>
      <w:tr w:rsidR="007F0AE0" w:rsidRPr="005762E6" w14:paraId="6297B56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D3A98E" w14:textId="77777777" w:rsidR="007F0AE0" w:rsidRPr="005762E6" w:rsidRDefault="007F0AE0" w:rsidP="00453DE3">
            <w:pPr>
              <w:spacing w:after="120" w:line="240" w:lineRule="auto"/>
              <w:contextualSpacing/>
              <w:rPr>
                <w:sz w:val="20"/>
                <w:szCs w:val="20"/>
              </w:rPr>
            </w:pPr>
            <w:r w:rsidRPr="005762E6">
              <w:rPr>
                <w:sz w:val="20"/>
                <w:szCs w:val="20"/>
              </w:rPr>
              <w:lastRenderedPageBreak/>
              <w:t>818</w:t>
            </w:r>
          </w:p>
        </w:tc>
        <w:tc>
          <w:tcPr>
            <w:tcW w:w="0" w:type="auto"/>
            <w:tcBorders>
              <w:top w:val="single" w:sz="6" w:space="0" w:color="auto"/>
              <w:left w:val="single" w:sz="6" w:space="0" w:color="auto"/>
              <w:bottom w:val="single" w:sz="6" w:space="0" w:color="auto"/>
              <w:right w:val="single" w:sz="6" w:space="0" w:color="auto"/>
            </w:tcBorders>
          </w:tcPr>
          <w:p w14:paraId="191CA5F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B17FED2" w14:textId="77777777" w:rsidR="007F0AE0" w:rsidRPr="005762E6" w:rsidRDefault="007F0AE0" w:rsidP="00453DE3">
            <w:pPr>
              <w:spacing w:after="120" w:line="240" w:lineRule="auto"/>
              <w:contextualSpacing/>
              <w:rPr>
                <w:sz w:val="20"/>
                <w:szCs w:val="20"/>
              </w:rPr>
            </w:pPr>
            <w:r w:rsidRPr="005762E6">
              <w:rPr>
                <w:sz w:val="20"/>
                <w:szCs w:val="20"/>
              </w:rPr>
              <w:t>Michael Siegel A lost opportunity for public health - The FDA Advisory Committee Report on Menthol.. The New England Journal of Medicine; 2011;364:2177.</w:t>
            </w:r>
            <w:r w:rsidRPr="005762E6">
              <w:rPr>
                <w:sz w:val="20"/>
                <w:szCs w:val="20"/>
              </w:rPr>
              <w:br/>
            </w:r>
            <w:r w:rsidRPr="005762E6">
              <w:rPr>
                <w:sz w:val="20"/>
                <w:szCs w:val="20"/>
              </w:rPr>
              <w:br/>
            </w:r>
            <w:r w:rsidRPr="005762E6">
              <w:rPr>
                <w:b/>
                <w:bCs/>
                <w:sz w:val="20"/>
                <w:szCs w:val="20"/>
              </w:rPr>
              <w:t>Keywords:</w:t>
            </w:r>
            <w:r w:rsidRPr="005762E6">
              <w:rPr>
                <w:sz w:val="20"/>
                <w:szCs w:val="20"/>
              </w:rPr>
              <w:br/>
              <w:t>*Government Policy Making,​*Public Health,​*Tobacco Smoking,​Government Agencies,​Smoking Cessation</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Tobacco Products Scientific Advisory Committee (TPSAC) of the Food and Drug Administration (FDA) was created in 2009 by federal legislation,​ the Family Smoking Prevention and Tobacco Control Act,​ granting the FDA regulatory authority over tobacco products. The committee's mandate was to examine the effects of menthol cigarettes on the public's health and to issue a report and recommendations to the FDA. Although the report concluded that the addition of menthol to cigarettes does not increase their toxicity,​ it established unequivocally that menthol harms the public's health by enhancing smoking initiation and impeding smoking cessation,​ thus increasing smoking prevalence by affecting both ends of the smoking continuum. Citing abundant scientific evidence,​ the report concluded that menthol masks the harshness of tobacco,​ making cigarettes more appealing,​ especially to young people who might otherwise be deterred by irritation or an unpleasant taste. The report also concluded that smokers of menthol cigarettes have a more difficult time quitting than smokers of nonmenthol cigarettes. Despite these conclusions,​ the TPSAC did not recommend a ban on menthol cigarettes. Instead,​ the report simply stated,​ "Removal of menthol cigarettes from the marketplace would benefit public health in the United States." Thus,​ the committee's basic "recommendation" is not a recommendation at all,​ but a conclusion that doesn't suggest any particular action to the FDA. (PsycINFO Database Record (c) 2016 APA,​ all rights reserved)</w:t>
            </w:r>
          </w:p>
        </w:tc>
      </w:tr>
      <w:tr w:rsidR="007F0AE0" w:rsidRPr="005762E6" w14:paraId="3CD8BA7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17E93E" w14:textId="77777777" w:rsidR="007F0AE0" w:rsidRPr="005762E6" w:rsidRDefault="007F0AE0" w:rsidP="00453DE3">
            <w:pPr>
              <w:spacing w:after="120" w:line="240" w:lineRule="auto"/>
              <w:contextualSpacing/>
              <w:rPr>
                <w:sz w:val="20"/>
                <w:szCs w:val="20"/>
              </w:rPr>
            </w:pPr>
            <w:r w:rsidRPr="005762E6">
              <w:rPr>
                <w:sz w:val="20"/>
                <w:szCs w:val="20"/>
              </w:rPr>
              <w:t>819</w:t>
            </w:r>
          </w:p>
        </w:tc>
        <w:tc>
          <w:tcPr>
            <w:tcW w:w="0" w:type="auto"/>
            <w:tcBorders>
              <w:top w:val="single" w:sz="6" w:space="0" w:color="auto"/>
              <w:left w:val="single" w:sz="6" w:space="0" w:color="auto"/>
              <w:bottom w:val="single" w:sz="6" w:space="0" w:color="auto"/>
              <w:right w:val="single" w:sz="6" w:space="0" w:color="auto"/>
            </w:tcBorders>
          </w:tcPr>
          <w:p w14:paraId="3D5BD6C6"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4B4F76" w14:textId="77777777" w:rsidR="007F0AE0" w:rsidRPr="005762E6" w:rsidRDefault="007F0AE0" w:rsidP="00453DE3">
            <w:pPr>
              <w:spacing w:after="120" w:line="240" w:lineRule="auto"/>
              <w:contextualSpacing/>
              <w:rPr>
                <w:sz w:val="20"/>
                <w:szCs w:val="20"/>
              </w:rPr>
            </w:pPr>
            <w:r w:rsidRPr="005762E6">
              <w:rPr>
                <w:sz w:val="20"/>
                <w:szCs w:val="20"/>
              </w:rPr>
              <w:t>Richard F Gillum Effect of religion on use of menthol cigarettes in African American smokers.. Preventive Medicine: An International Journal Devoted to Practice and Theory; 2011;52:477.</w:t>
            </w:r>
          </w:p>
          <w:p w14:paraId="6F341A10" w14:textId="77777777" w:rsidR="007F0AE0" w:rsidRPr="005762E6" w:rsidRDefault="007F0AE0" w:rsidP="00453DE3">
            <w:pPr>
              <w:spacing w:after="120" w:line="240" w:lineRule="auto"/>
              <w:contextualSpacing/>
              <w:rPr>
                <w:sz w:val="20"/>
                <w:szCs w:val="20"/>
              </w:rPr>
            </w:pPr>
            <w:r w:rsidRPr="005762E6">
              <w:rPr>
                <w:b/>
                <w:bCs/>
                <w:sz w:val="20"/>
                <w:szCs w:val="20"/>
              </w:rPr>
              <w:t>Keywords:</w:t>
            </w:r>
            <w:r w:rsidRPr="005762E6">
              <w:rPr>
                <w:sz w:val="20"/>
                <w:szCs w:val="20"/>
              </w:rPr>
              <w:br/>
              <w:t>*Blacks,​*Religion,​*Religious Practices,​*Tobacco Smoking,​*Global Health,​Whites,​Latinos/Latinas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study determined the relationship of frequency of attendance at religious services (FARS) and smoking menthol cigarettes in non-Hispanic (NH) black,​ NH white and Mexican American smokers was examined in another national health survey performed in 2005-2006. Among smokers aged 40 years or over (n=166 NH black,​ 316 NH white,​ 89 Mexican Americans),​ the percents using menthol cigarettes by race/ethnicity were 71.2,​ 17.4,​ and 15.7,​ respectively. In all smokers,​ those with FARS &gt;=52 times/year (26.7%) did not differ from others (22.8%) in the use of menthol cigarettes (p=0.46). However,​ in NH blacks,​ those with FARS &gt;=52 (47.7%) were less likely than others (73.5%) to use menthol. In NH whites,​ percents were 21.4 and 14.3,​ respectively. Logistic regression analysis tested whether the association of FARS with use of menthol cigarettes among smokers varied significantly by race/ethnicity. There was a significant (p=0.03) interaction of NH black race/ethnicity (yes/no) with FARS indicating that FARS was related to menthol use in NH blacks but not in others,​ with NH black frequent church attenders less likely to use menthol than NH black less frequent attenders. These findings also suggest that blacks not be grouped with Hispanics. Further research in larger samples is needed to confirm and to explore the psychosocial and cultural basis for these findings and their implications for faith-based programs to prevent tobacco use. (PsycINFO Database Record (c) 2016 APA,​ all rights reserved)</w:t>
            </w:r>
          </w:p>
        </w:tc>
      </w:tr>
      <w:tr w:rsidR="007F0AE0" w:rsidRPr="005762E6" w14:paraId="3E871EC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775627" w14:textId="77777777" w:rsidR="007F0AE0" w:rsidRPr="005762E6" w:rsidRDefault="007F0AE0" w:rsidP="00453DE3">
            <w:pPr>
              <w:spacing w:after="120" w:line="240" w:lineRule="auto"/>
              <w:contextualSpacing/>
              <w:rPr>
                <w:sz w:val="20"/>
                <w:szCs w:val="20"/>
              </w:rPr>
            </w:pPr>
            <w:r w:rsidRPr="005762E6">
              <w:rPr>
                <w:sz w:val="20"/>
                <w:szCs w:val="20"/>
              </w:rPr>
              <w:t>820</w:t>
            </w:r>
          </w:p>
        </w:tc>
        <w:tc>
          <w:tcPr>
            <w:tcW w:w="0" w:type="auto"/>
            <w:tcBorders>
              <w:top w:val="single" w:sz="6" w:space="0" w:color="auto"/>
              <w:left w:val="single" w:sz="6" w:space="0" w:color="auto"/>
              <w:bottom w:val="single" w:sz="6" w:space="0" w:color="auto"/>
              <w:right w:val="single" w:sz="6" w:space="0" w:color="auto"/>
            </w:tcBorders>
          </w:tcPr>
          <w:p w14:paraId="3A3102F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54B8DAF" w14:textId="77777777" w:rsidR="007F0AE0" w:rsidRPr="005762E6" w:rsidRDefault="007F0AE0" w:rsidP="00453DE3">
            <w:pPr>
              <w:spacing w:after="120" w:line="240" w:lineRule="auto"/>
              <w:contextualSpacing/>
              <w:rPr>
                <w:sz w:val="20"/>
                <w:szCs w:val="20"/>
              </w:rPr>
            </w:pPr>
            <w:r w:rsidRPr="005762E6">
              <w:rPr>
                <w:sz w:val="20"/>
                <w:szCs w:val="20"/>
              </w:rPr>
              <w:t>Christian Andreas Arist Von Hehn TRPA1 as a sensory neuronal target of chemical irritants and counterirritants.. Dissertation Abstracts International: Section B: The Sciences and Engineering; 2010;71:129.</w:t>
            </w:r>
            <w:r w:rsidRPr="005762E6">
              <w:rPr>
                <w:sz w:val="20"/>
                <w:szCs w:val="20"/>
              </w:rPr>
              <w:br/>
            </w:r>
            <w:r w:rsidRPr="005762E6">
              <w:rPr>
                <w:sz w:val="20"/>
                <w:szCs w:val="20"/>
              </w:rPr>
              <w:br/>
            </w:r>
            <w:r w:rsidRPr="005762E6">
              <w:rPr>
                <w:b/>
                <w:bCs/>
                <w:sz w:val="20"/>
                <w:szCs w:val="20"/>
              </w:rPr>
              <w:t>Keywords:</w:t>
            </w:r>
            <w:r w:rsidRPr="005762E6">
              <w:rPr>
                <w:sz w:val="20"/>
                <w:szCs w:val="20"/>
              </w:rPr>
              <w:br/>
              <w:t>*Chemicals,​*Neural Receptors,​*Sensory Neurons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Nociceptive sensory neurons are depolarized by noxious mechanical,​ thermal,​ and chemical stimuli. There are countless chemical reagents that can activate polymodal C-fibers. How nociceptors are able to react to so many diverse chemicals is not very well understood. This dissertation provides evidence that the sensory neuronal non-selective ion channel TRPA1 can act as a broad-spectrum irritant receptor. TRPA1 can be activated by four different noxious chemicals that each belong to an important group of chemical irritants: (1) Isovelleral,​ a </w:t>
            </w:r>
            <w:r w:rsidRPr="005762E6">
              <w:rPr>
                <w:sz w:val="20"/>
                <w:szCs w:val="20"/>
              </w:rPr>
              <w:lastRenderedPageBreak/>
              <w:t>fungal defense and representative of the large class of the naturally occurring terpene irritants; (2) Hypochlorite,​ a simple strongly oxidizing chemical representative of other oxidants; (3) Isocyanates,​ basic industrial chemicals responsible for the worst chemical accidents in history; (4) Tear gas agents,​ a reactive group of chemicals specifically designed to inflict pain and irritation. Furthermore,​ this dissertation provides evidence that TRPA1 can be inhibited by menthol,​ a terpene alcohol used for centuries as an analgesic and counterirritant. The block of TRPA1 by menthol was put into the context of irritation caused by tobacco smoke,​ showing that menthol content in cigarettes influences markers of smoke inhalation and absorption. In conclusion,​ the results suggest that irritants and toxic constituents in cigarette smoke are inhaled at higher levels in the presence of menthol. (PsycINFO Database Record (c) 2016 APA,​ all rights reserved)</w:t>
            </w:r>
          </w:p>
        </w:tc>
      </w:tr>
      <w:tr w:rsidR="007F0AE0" w:rsidRPr="005762E6" w14:paraId="0A27FF8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B4BEF0" w14:textId="77777777" w:rsidR="007F0AE0" w:rsidRPr="005762E6" w:rsidRDefault="007F0AE0" w:rsidP="00453DE3">
            <w:pPr>
              <w:spacing w:after="120" w:line="240" w:lineRule="auto"/>
              <w:contextualSpacing/>
              <w:rPr>
                <w:sz w:val="20"/>
                <w:szCs w:val="20"/>
              </w:rPr>
            </w:pPr>
            <w:r w:rsidRPr="005762E6">
              <w:rPr>
                <w:sz w:val="20"/>
                <w:szCs w:val="20"/>
              </w:rPr>
              <w:lastRenderedPageBreak/>
              <w:t>821</w:t>
            </w:r>
          </w:p>
        </w:tc>
        <w:tc>
          <w:tcPr>
            <w:tcW w:w="0" w:type="auto"/>
            <w:tcBorders>
              <w:top w:val="single" w:sz="6" w:space="0" w:color="auto"/>
              <w:left w:val="single" w:sz="6" w:space="0" w:color="auto"/>
              <w:bottom w:val="single" w:sz="6" w:space="0" w:color="auto"/>
              <w:right w:val="single" w:sz="6" w:space="0" w:color="auto"/>
            </w:tcBorders>
          </w:tcPr>
          <w:p w14:paraId="110DE6B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D57BE2F" w14:textId="77777777" w:rsidR="007F0AE0" w:rsidRPr="005762E6" w:rsidRDefault="007F0AE0" w:rsidP="00453DE3">
            <w:pPr>
              <w:spacing w:after="120" w:line="240" w:lineRule="auto"/>
              <w:contextualSpacing/>
              <w:rPr>
                <w:sz w:val="20"/>
                <w:szCs w:val="20"/>
              </w:rPr>
            </w:pPr>
            <w:r w:rsidRPr="005762E6">
              <w:rPr>
                <w:sz w:val="20"/>
                <w:szCs w:val="20"/>
              </w:rPr>
              <w:t>Stacy L Thorne Association between nicotine dependence as measured by the Heaviness of Smoking Index and types of cigarettes among adults in the United States.. Dissertation Abstracts International: Section B: The Sciences and Engineering; 2010;70:7473.</w:t>
            </w:r>
            <w:r w:rsidRPr="005762E6">
              <w:rPr>
                <w:sz w:val="20"/>
                <w:szCs w:val="20"/>
              </w:rPr>
              <w:br/>
            </w:r>
            <w:r w:rsidRPr="005762E6">
              <w:rPr>
                <w:sz w:val="20"/>
                <w:szCs w:val="20"/>
              </w:rPr>
              <w:br/>
            </w:r>
            <w:r w:rsidRPr="005762E6">
              <w:rPr>
                <w:b/>
                <w:bCs/>
                <w:sz w:val="20"/>
                <w:szCs w:val="20"/>
              </w:rPr>
              <w:t>Keywords:</w:t>
            </w:r>
            <w:r w:rsidRPr="005762E6">
              <w:rPr>
                <w:sz w:val="20"/>
                <w:szCs w:val="20"/>
              </w:rPr>
              <w:br/>
              <w:t>*Nicotine,​*Risk Factors,​*Tobacco Smoking,​Drug Dependency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Over the last four decades,​ research has shown that cigarette smoking is a risk factor for several chronic diseases and that nicotine is one of many ingredients that make cigarettes addictive. Nicotine dependence has been applied to determine factors that are associated with the negative reinforcement theory,​ however limited studies have determined if the type of cigarette is a contributing factor. This quantitative study used data from the 2001-2004 National Health and Nutrition Examination Survey to examine the association between nicotine dependence,​ as measured by the Heaviness of Smoking index (time of first cigarette and number of cigarettes per day),​ and types of cigarettes as measured by tar,​ nicotine and carbon monoxide content in 2300 smokers. Bivariate analysis showed that a majority of current smokers (57%) were classified as having low nicotine dependence. Logistic regression analysis determined that a majority of the cigarette characteristics were not associated with high nicotine dependence; odds ratios ranged from 1.04 (cigarettes with nicotine levels &gt;=1 mg) to 1.4 (mentholated). However,​ non-Hispanic whites who smoked mentholated cigarettes were significantly more likely to have a high nicotine dependence versus those who did not smoke mentholated cigarettes (OR=1.66). This was also true among males (OR=1.77),​ non-Hispanic blacks (OR =1.84) and Mexican Americans (OR=2.44) who smoked cigarettes &gt;=100mm in length. Through understanding nicotine dependence and its potential variations by types of cigarettes smoked,​ this study provides the foundation for other studies to investigate specific factors related to nicotine dependence among adults. Monitoring of nicotine dependence may be the catalyst for social change in helping collect more precise epidemiological data,​ improve prevention and cessation programs,​ and establish policies for tobacco regulation. (PsycINFO Database Record (c) 2016 APA,​ all rights reserved)</w:t>
            </w:r>
          </w:p>
        </w:tc>
      </w:tr>
      <w:tr w:rsidR="007F0AE0" w:rsidRPr="005762E6" w14:paraId="5B76983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82611E" w14:textId="77777777" w:rsidR="007F0AE0" w:rsidRPr="005762E6" w:rsidRDefault="007F0AE0" w:rsidP="00453DE3">
            <w:pPr>
              <w:spacing w:after="120" w:line="240" w:lineRule="auto"/>
              <w:contextualSpacing/>
              <w:rPr>
                <w:sz w:val="20"/>
                <w:szCs w:val="20"/>
              </w:rPr>
            </w:pPr>
            <w:r w:rsidRPr="005762E6">
              <w:rPr>
                <w:sz w:val="20"/>
                <w:szCs w:val="20"/>
              </w:rPr>
              <w:t>822</w:t>
            </w:r>
          </w:p>
        </w:tc>
        <w:tc>
          <w:tcPr>
            <w:tcW w:w="0" w:type="auto"/>
            <w:tcBorders>
              <w:top w:val="single" w:sz="6" w:space="0" w:color="auto"/>
              <w:left w:val="single" w:sz="6" w:space="0" w:color="auto"/>
              <w:bottom w:val="single" w:sz="6" w:space="0" w:color="auto"/>
              <w:right w:val="single" w:sz="6" w:space="0" w:color="auto"/>
            </w:tcBorders>
          </w:tcPr>
          <w:p w14:paraId="13D4808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A53C9EE" w14:textId="77777777" w:rsidR="007F0AE0" w:rsidRPr="005762E6" w:rsidRDefault="007F0AE0" w:rsidP="00453DE3">
            <w:pPr>
              <w:spacing w:after="120" w:line="240" w:lineRule="auto"/>
              <w:contextualSpacing/>
              <w:rPr>
                <w:sz w:val="20"/>
                <w:szCs w:val="20"/>
              </w:rPr>
            </w:pPr>
            <w:r w:rsidRPr="005762E6">
              <w:rPr>
                <w:sz w:val="20"/>
                <w:szCs w:val="20"/>
              </w:rPr>
              <w:t>Brian P Flaherty Latent class and mixture models' potential contributions to understanding connections between menthol and other cigarette smoking characteristics.. Addiction; 2010;105:11.</w:t>
            </w:r>
            <w:r w:rsidRPr="005762E6">
              <w:rPr>
                <w:sz w:val="20"/>
                <w:szCs w:val="20"/>
              </w:rPr>
              <w:br/>
            </w:r>
            <w:r w:rsidRPr="005762E6">
              <w:rPr>
                <w:sz w:val="20"/>
                <w:szCs w:val="20"/>
              </w:rPr>
              <w:br/>
            </w:r>
            <w:r w:rsidRPr="005762E6">
              <w:rPr>
                <w:b/>
                <w:bCs/>
                <w:sz w:val="20"/>
                <w:szCs w:val="20"/>
              </w:rPr>
              <w:t>Keywords:</w:t>
            </w:r>
            <w:r w:rsidRPr="005762E6">
              <w:rPr>
                <w:sz w:val="20"/>
                <w:szCs w:val="20"/>
              </w:rPr>
              <w:br/>
              <w:t>*Addiction,​*Statistical Analysis,​*Tobacco Smoking,​Models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Recent advances in computation have greatly broadened the range of statistical models researchers may consider for their work. To the extent that a statistical model is a possible representation of phenomena of interest and a possible representation of the data-generating mechanism,​ this expansion of the range of specifiable models correspondingly opens new opportunities for theory development,​ modeling and testing. That is,​ new statistical models may lead to new research questions. Scientific areas that have proven difficult to clarify with standard approaches may be well suited for examination with new methodologies. Historically,​ this single population model assumption was untestable. However,​ a broad class of statistical models allowing one to examine this assumption has and continues to be developed. Tobacco researchers have long discussed different types of smokers. Class or categorical models of tobacco use progression are popular. In addition to these different types of smokers,​ group differences in smoking have been identified across demographic and other social categories. Latent Class (LC) models may provide a more refined characterization of tobacco use,​ empirically identifying common patterns between and within populations. If,​ in fact,​ associations between </w:t>
            </w:r>
            <w:r w:rsidRPr="005762E6">
              <w:rPr>
                <w:sz w:val="20"/>
                <w:szCs w:val="20"/>
              </w:rPr>
              <w:lastRenderedPageBreak/>
              <w:t>covariates and outcomes differ across demographic groups and/or smoking patterns,​ LC models are a natural step forward. (PsycINFO Database Record (c) 2016 APA,​ all rights reserved)</w:t>
            </w:r>
          </w:p>
        </w:tc>
      </w:tr>
      <w:tr w:rsidR="007F0AE0" w:rsidRPr="005762E6" w14:paraId="2C7FCBF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BA26E8" w14:textId="77777777" w:rsidR="007F0AE0" w:rsidRPr="005762E6" w:rsidRDefault="007F0AE0" w:rsidP="00453DE3">
            <w:pPr>
              <w:spacing w:after="120" w:line="240" w:lineRule="auto"/>
              <w:contextualSpacing/>
              <w:rPr>
                <w:sz w:val="20"/>
                <w:szCs w:val="20"/>
              </w:rPr>
            </w:pPr>
            <w:r w:rsidRPr="005762E6">
              <w:rPr>
                <w:sz w:val="20"/>
                <w:szCs w:val="20"/>
              </w:rPr>
              <w:lastRenderedPageBreak/>
              <w:t>825</w:t>
            </w:r>
          </w:p>
        </w:tc>
        <w:tc>
          <w:tcPr>
            <w:tcW w:w="0" w:type="auto"/>
            <w:tcBorders>
              <w:top w:val="single" w:sz="6" w:space="0" w:color="auto"/>
              <w:left w:val="single" w:sz="6" w:space="0" w:color="auto"/>
              <w:bottom w:val="single" w:sz="6" w:space="0" w:color="auto"/>
              <w:right w:val="single" w:sz="6" w:space="0" w:color="auto"/>
            </w:tcBorders>
          </w:tcPr>
          <w:p w14:paraId="53738392"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18B6A75" w14:textId="77777777" w:rsidR="007F0AE0" w:rsidRPr="005762E6" w:rsidRDefault="007F0AE0" w:rsidP="00453DE3">
            <w:pPr>
              <w:spacing w:after="120" w:line="240" w:lineRule="auto"/>
              <w:contextualSpacing/>
              <w:rPr>
                <w:sz w:val="20"/>
                <w:szCs w:val="20"/>
              </w:rPr>
            </w:pPr>
            <w:r w:rsidRPr="005762E6">
              <w:rPr>
                <w:sz w:val="20"/>
                <w:szCs w:val="20"/>
              </w:rPr>
              <w:t>Kolawole S Okuyemi,​ Deirdre Lawrence,​ George Hammons,​ Linda A Alexander Use of mentholated cigarettes: What can we learn from national data sets?. Addiction; 2010;105:1.</w:t>
            </w:r>
            <w:r w:rsidRPr="005762E6">
              <w:rPr>
                <w:sz w:val="20"/>
                <w:szCs w:val="20"/>
              </w:rPr>
              <w:br/>
            </w:r>
            <w:r w:rsidRPr="005762E6">
              <w:rPr>
                <w:sz w:val="20"/>
                <w:szCs w:val="20"/>
              </w:rPr>
              <w:br/>
            </w:r>
            <w:r w:rsidRPr="005762E6">
              <w:rPr>
                <w:b/>
                <w:bCs/>
                <w:sz w:val="20"/>
                <w:szCs w:val="20"/>
              </w:rPr>
              <w:t>Keywords:</w:t>
            </w:r>
            <w:r w:rsidRPr="005762E6">
              <w:rPr>
                <w:sz w:val="20"/>
                <w:szCs w:val="20"/>
              </w:rPr>
              <w:br/>
              <w:t>*Addiction,​*Health,​*Tobacco Smoking,​Policy Making,​Data Sets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This Supplement,​ entitled 'Mentholated cigarettes: usage patterns,​ cessation behaviors,​ policy protection and health profiles',​ marks the second Addiction supplement and fifth journal supplement and/or special journal issue published by the Tobacco Research Network on Disparities (TReND) with a focus on tobacco's detrimental influence on populations that experience tobacco-related inequalities. Approximately one-fourth of all cigarettes sold in the United States are mentholated. Menthol cigarettes are used commonly by new,​ young smokers of all racial/ethnic groups with the overwhelming majority of African American smokers (~80%) smoking mentholated cigarettes. In 2002,​ the National Cancer Institute (NCI) and Centers for Disease Control and Prevention (CDC) collaborated to host the First Conference on Menthol Cigarettes: Setting the Research Agenda. The 11 original papers in this supplemental issue of Addiction include quantitative secondary data analyses of national survey data in the United States. Taken together,​ the papers in this supplement present exciting findings,​ drawing on large national data sets to examine further the role of menthol smoking patterns,​ nicotine dependence,​ smoke-free policies,​ smoking cessation and short-term health effects. (PsycINFO Database Record (c) 2016 APA,​ all rights reserved)</w:t>
            </w:r>
          </w:p>
        </w:tc>
      </w:tr>
      <w:tr w:rsidR="007F0AE0" w:rsidRPr="005762E6" w14:paraId="766BB79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C19FAC" w14:textId="77777777" w:rsidR="007F0AE0" w:rsidRPr="005762E6" w:rsidRDefault="007F0AE0" w:rsidP="00453DE3">
            <w:pPr>
              <w:spacing w:after="120" w:line="240" w:lineRule="auto"/>
              <w:contextualSpacing/>
              <w:rPr>
                <w:sz w:val="20"/>
                <w:szCs w:val="20"/>
              </w:rPr>
            </w:pPr>
            <w:r w:rsidRPr="005762E6">
              <w:rPr>
                <w:sz w:val="20"/>
                <w:szCs w:val="20"/>
              </w:rPr>
              <w:t>826</w:t>
            </w:r>
          </w:p>
        </w:tc>
        <w:tc>
          <w:tcPr>
            <w:tcW w:w="0" w:type="auto"/>
            <w:tcBorders>
              <w:top w:val="single" w:sz="6" w:space="0" w:color="auto"/>
              <w:left w:val="single" w:sz="6" w:space="0" w:color="auto"/>
              <w:bottom w:val="single" w:sz="6" w:space="0" w:color="auto"/>
              <w:right w:val="single" w:sz="6" w:space="0" w:color="auto"/>
            </w:tcBorders>
          </w:tcPr>
          <w:p w14:paraId="48175F8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B79F6B" w14:textId="77777777" w:rsidR="007F0AE0" w:rsidRPr="005762E6" w:rsidRDefault="007F0AE0" w:rsidP="00453DE3">
            <w:pPr>
              <w:spacing w:after="120" w:line="240" w:lineRule="auto"/>
              <w:contextualSpacing/>
              <w:rPr>
                <w:sz w:val="20"/>
                <w:szCs w:val="20"/>
              </w:rPr>
            </w:pPr>
            <w:r w:rsidRPr="005762E6">
              <w:rPr>
                <w:sz w:val="20"/>
                <w:szCs w:val="20"/>
              </w:rPr>
              <w:t>William Anthony Garner The color of smoke: An examination of the relationship between menthol cigarettes and youth smoking.. Dissertation Abstracts International: Section B: The Sciences and Engineering; 2009;70:2243.</w:t>
            </w:r>
            <w:r w:rsidRPr="005762E6">
              <w:rPr>
                <w:sz w:val="20"/>
                <w:szCs w:val="20"/>
              </w:rPr>
              <w:br/>
            </w:r>
            <w:r w:rsidRPr="005762E6">
              <w:rPr>
                <w:sz w:val="20"/>
                <w:szCs w:val="20"/>
              </w:rPr>
              <w:br/>
            </w:r>
            <w:r w:rsidRPr="005762E6">
              <w:rPr>
                <w:b/>
                <w:bCs/>
                <w:sz w:val="20"/>
                <w:szCs w:val="20"/>
              </w:rPr>
              <w:t>Keywords:</w:t>
            </w:r>
            <w:r w:rsidRPr="005762E6">
              <w:rPr>
                <w:sz w:val="20"/>
                <w:szCs w:val="20"/>
              </w:rPr>
              <w:br/>
              <w:t>*Demographic Characteristics,​*Tobacco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Background. Research on the use and effect of menthol content in cigarettes is well established. More recent is research on the effect of menthol content on the smoking habits of school-aged youth. This study examined the relationship between menthol content and current cigarette use to test whether menthol content is predictive of current cigarette use among school-aged youth. Methods. This study included all respondents to the 2004 National Youth Tobacco Survey who were 17 years old and younger and who indicated they were current smokers. Ordinal and generalized logistic regressions were used to estimate the relationship between menthol content and current cigarette use,​ controlling for sociocontextual and demographic factors. All analyses were performed in STATA 10. Results. In general,​ menthol content has a positive but not statistically significant effect on current cigarette use,​ controlling for sociocontextual factors. However,​ menthol content has a positive and statistically significant effect on days smoked (OR=1.2; p=0.046),​ on current cigarette use,​ controlling for demographic factors (OR=1.3; p=0.011); and on current cigarette use for light smokers (OR=1.3; p&lt;0.001) and heavy smokers (OR=2.3; p&lt;0.001),​ controlling for demographic factors. Conclusion. More research is needed to understand the true effect of menthol content on the smoking habits of school-aged youth across the smoking continuum. (PsycINFO Database Record (c) 2016 APA,​ all rights reserved)</w:t>
            </w:r>
          </w:p>
        </w:tc>
      </w:tr>
      <w:tr w:rsidR="007F0AE0" w:rsidRPr="005762E6" w14:paraId="5E124D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7009E2" w14:textId="77777777" w:rsidR="007F0AE0" w:rsidRPr="005762E6" w:rsidRDefault="007F0AE0" w:rsidP="00453DE3">
            <w:pPr>
              <w:spacing w:after="120" w:line="240" w:lineRule="auto"/>
              <w:contextualSpacing/>
              <w:rPr>
                <w:sz w:val="20"/>
                <w:szCs w:val="20"/>
              </w:rPr>
            </w:pPr>
            <w:r w:rsidRPr="005762E6">
              <w:rPr>
                <w:sz w:val="20"/>
                <w:szCs w:val="20"/>
              </w:rPr>
              <w:t>832</w:t>
            </w:r>
          </w:p>
        </w:tc>
        <w:tc>
          <w:tcPr>
            <w:tcW w:w="0" w:type="auto"/>
            <w:tcBorders>
              <w:top w:val="single" w:sz="6" w:space="0" w:color="auto"/>
              <w:left w:val="single" w:sz="6" w:space="0" w:color="auto"/>
              <w:bottom w:val="single" w:sz="6" w:space="0" w:color="auto"/>
              <w:right w:val="single" w:sz="6" w:space="0" w:color="auto"/>
            </w:tcBorders>
          </w:tcPr>
          <w:p w14:paraId="6E37E2B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101687C" w14:textId="77777777" w:rsidR="007F0AE0" w:rsidRPr="005762E6" w:rsidRDefault="007F0AE0" w:rsidP="00453DE3">
            <w:pPr>
              <w:spacing w:after="120" w:line="240" w:lineRule="auto"/>
              <w:contextualSpacing/>
              <w:rPr>
                <w:sz w:val="20"/>
                <w:szCs w:val="20"/>
              </w:rPr>
            </w:pPr>
            <w:r w:rsidRPr="005762E6">
              <w:rPr>
                <w:sz w:val="20"/>
                <w:szCs w:val="20"/>
              </w:rPr>
              <w:t>Richard Hebert What's New in Nicotine &amp; Tobacco Research?. Nicotine &amp; Tobacco Research; 2004;6:S1.</w:t>
            </w:r>
            <w:r w:rsidRPr="005762E6">
              <w:rPr>
                <w:sz w:val="20"/>
                <w:szCs w:val="20"/>
              </w:rPr>
              <w:br/>
            </w:r>
            <w:r w:rsidRPr="005762E6">
              <w:rPr>
                <w:sz w:val="20"/>
                <w:szCs w:val="20"/>
              </w:rPr>
              <w:br/>
            </w:r>
            <w:r w:rsidRPr="005762E6">
              <w:rPr>
                <w:b/>
                <w:bCs/>
                <w:sz w:val="20"/>
                <w:szCs w:val="20"/>
              </w:rPr>
              <w:t>Keywords:</w:t>
            </w:r>
            <w:r w:rsidRPr="005762E6">
              <w:rPr>
                <w:sz w:val="20"/>
                <w:szCs w:val="20"/>
              </w:rPr>
              <w:br/>
              <w:t>*Drug Addiction,​*Nicotine,​*Pharmacology,​*Tobacco Smoking,​*Toxicity</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Cigarettes have about 600 ingredients,​ but menthol is the only one the tobacco industry advertises and about which consumers make conscious buying choice. Adding menthol to cigarettes may contribute to tobacco-related disease and death in many ways. It is important to address not only the pharmacology of menthol inhaled by way of cigarette smoke,​ but also to address how the pharmacology of the smoke is changed by the addition of menthol. A strong science base will be essential for informing public health and regulatory policies. This can be achieved only by harnessing the resources of a broad range of government and nongovernment research agencies. It is known that menthol smokers have higher nicotine dependence,​ and that African American smokers are both three times more likely than Whites to prefer mentholated cigarettes and have lower quit rates. Might </w:t>
            </w:r>
            <w:r w:rsidRPr="005762E6">
              <w:rPr>
                <w:sz w:val="20"/>
                <w:szCs w:val="20"/>
              </w:rPr>
              <w:lastRenderedPageBreak/>
              <w:t>menthol be playing a part in their addiction. Preliminary findings suggest that adolescents who smoke mentholated brands get more enjoyment and make fewer quit attempts than do young nonmenthol smokers. Given the relationship between daily smoking during youth and later difficulty quitting,​ it's possible that smoking menthols makes it even harder for them to quit and increases the adverse health effects (PsycINFO Database Record (c) 2016 APA,​ all rights reserved)</w:t>
            </w:r>
          </w:p>
        </w:tc>
      </w:tr>
      <w:tr w:rsidR="007F0AE0" w:rsidRPr="005762E6" w14:paraId="1EF6E5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2ECD69" w14:textId="77777777" w:rsidR="007F0AE0" w:rsidRPr="005762E6" w:rsidRDefault="007F0AE0" w:rsidP="00453DE3">
            <w:pPr>
              <w:spacing w:after="120" w:line="240" w:lineRule="auto"/>
              <w:contextualSpacing/>
              <w:rPr>
                <w:sz w:val="20"/>
                <w:szCs w:val="20"/>
              </w:rPr>
            </w:pPr>
            <w:r w:rsidRPr="005762E6">
              <w:rPr>
                <w:sz w:val="20"/>
                <w:szCs w:val="20"/>
              </w:rPr>
              <w:lastRenderedPageBreak/>
              <w:t>836</w:t>
            </w:r>
          </w:p>
        </w:tc>
        <w:tc>
          <w:tcPr>
            <w:tcW w:w="0" w:type="auto"/>
            <w:tcBorders>
              <w:top w:val="single" w:sz="6" w:space="0" w:color="auto"/>
              <w:left w:val="single" w:sz="6" w:space="0" w:color="auto"/>
              <w:bottom w:val="single" w:sz="6" w:space="0" w:color="auto"/>
              <w:right w:val="single" w:sz="6" w:space="0" w:color="auto"/>
            </w:tcBorders>
          </w:tcPr>
          <w:p w14:paraId="418B332D"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14370CE8" w14:textId="77777777" w:rsidR="007F0AE0" w:rsidRPr="005762E6" w:rsidRDefault="007F0AE0" w:rsidP="00453DE3">
            <w:pPr>
              <w:spacing w:after="120" w:line="240" w:lineRule="auto"/>
              <w:contextualSpacing/>
              <w:rPr>
                <w:sz w:val="20"/>
                <w:szCs w:val="20"/>
              </w:rPr>
            </w:pPr>
            <w:r w:rsidRPr="005762E6">
              <w:rPr>
                <w:sz w:val="20"/>
                <w:szCs w:val="20"/>
              </w:rPr>
              <w:t>Wallace B Pickworth,​ Reginald V Fant,​ Richard A Nelson,​ Melissa S Rohrer,​ Jack E Henningfield Pharmacodynamic effects of new de-nicotinized cigarettes.. Nicotine &amp; Tobacco Research; 1999;1:357.</w:t>
            </w:r>
            <w:r w:rsidRPr="005762E6">
              <w:rPr>
                <w:sz w:val="20"/>
                <w:szCs w:val="20"/>
              </w:rPr>
              <w:br/>
            </w:r>
            <w:r w:rsidRPr="005762E6">
              <w:rPr>
                <w:sz w:val="20"/>
                <w:szCs w:val="20"/>
              </w:rPr>
              <w:br/>
            </w:r>
            <w:r w:rsidRPr="005762E6">
              <w:rPr>
                <w:b/>
                <w:bCs/>
                <w:sz w:val="20"/>
                <w:szCs w:val="20"/>
              </w:rPr>
              <w:t>Keywords:</w:t>
            </w:r>
            <w:r w:rsidRPr="005762E6">
              <w:rPr>
                <w:sz w:val="20"/>
                <w:szCs w:val="20"/>
              </w:rPr>
              <w:br/>
              <w:t>*Experimentation,​*Nicotine,​*Pharmacology,​*Tobacco Smoking,​Brand Preferences,​Choice Behavior</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The effects of cigarette smoking result from the delivery of nicotine,​ other components of smoke,​ and sensory stimulation. In the present study,​ pharmacological effects of new tobacco-derived de-nicotinized cigarettes (controls) were compared with standard cigarettes. The de-nicotinized cigarettes had the appearance,​ draw and taste of standard cigarettes but contained and delivered virtually no nicotine,​ but delivered tar and carbon monoxide (CO). They were compared with cigarettes that delivered nicotine,​ CO and tar. 20 Ss (10 men,​ 10 women; aged 23-41 yrs) participated in 4 experimental sessions in which they smoked either a standard cigarette or a de-nicotinized cigarette after either 3 or 12 h of tobacco deprivation. Heart rate,​ blood pressure,​ and EEG were recorded before,​ and for 1 h after,​ ad lib smoking. Plasma nicotine concentrations verified that de-nicotinized cigarettes did not deliver nicotine. The de-nicotinized cigarettes did not increase heart rate or activate the EEG. The Ss preferred the cigarettes that delivered nicotine compared to the de-nicotinized cigarettes. However,​ both types of cigarettes reduced subjective measures of tobacco craving and withdrawal. (PsycINFO Database Record (c) 2016 APA,​ all rights reserved)</w:t>
            </w:r>
          </w:p>
        </w:tc>
      </w:tr>
      <w:tr w:rsidR="007F0AE0" w:rsidRPr="005762E6" w14:paraId="70735AC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0D58C3E" w14:textId="77777777" w:rsidR="007F0AE0" w:rsidRPr="005762E6" w:rsidRDefault="007F0AE0" w:rsidP="00453DE3">
            <w:pPr>
              <w:spacing w:after="120" w:line="240" w:lineRule="auto"/>
              <w:contextualSpacing/>
              <w:rPr>
                <w:sz w:val="20"/>
                <w:szCs w:val="20"/>
              </w:rPr>
            </w:pPr>
            <w:r w:rsidRPr="005762E6">
              <w:rPr>
                <w:sz w:val="20"/>
                <w:szCs w:val="20"/>
              </w:rPr>
              <w:t>837</w:t>
            </w:r>
          </w:p>
        </w:tc>
        <w:tc>
          <w:tcPr>
            <w:tcW w:w="0" w:type="auto"/>
            <w:tcBorders>
              <w:top w:val="single" w:sz="6" w:space="0" w:color="auto"/>
              <w:left w:val="single" w:sz="6" w:space="0" w:color="auto"/>
              <w:bottom w:val="single" w:sz="6" w:space="0" w:color="auto"/>
              <w:right w:val="single" w:sz="6" w:space="0" w:color="auto"/>
            </w:tcBorders>
          </w:tcPr>
          <w:p w14:paraId="1B71E61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B93CED9" w14:textId="77777777" w:rsidR="007F0AE0" w:rsidRPr="005762E6" w:rsidRDefault="007F0AE0" w:rsidP="00453DE3">
            <w:pPr>
              <w:spacing w:after="120" w:line="240" w:lineRule="auto"/>
              <w:contextualSpacing/>
              <w:rPr>
                <w:sz w:val="20"/>
                <w:szCs w:val="20"/>
              </w:rPr>
            </w:pPr>
            <w:r w:rsidRPr="005762E6">
              <w:rPr>
                <w:sz w:val="20"/>
                <w:szCs w:val="20"/>
              </w:rPr>
              <w:t>Gregory E Miller,​ Murray E Jarvik,​ Nicholas H Caskey,​ Suzanne C Segerstrom,​ Martin R Rosenblatt,​ William J McCarthy Cigarette mentholation increases smokers' exhaled carbon monoxide levels.. Experimental and Clinical Psychopharmacology; 1994;2:154.</w:t>
            </w:r>
            <w:r w:rsidRPr="005762E6">
              <w:rPr>
                <w:sz w:val="20"/>
                <w:szCs w:val="20"/>
              </w:rPr>
              <w:br/>
            </w:r>
            <w:r w:rsidRPr="005762E6">
              <w:rPr>
                <w:sz w:val="20"/>
                <w:szCs w:val="20"/>
              </w:rPr>
              <w:br/>
            </w:r>
            <w:r w:rsidRPr="005762E6">
              <w:rPr>
                <w:b/>
                <w:bCs/>
                <w:sz w:val="20"/>
                <w:szCs w:val="20"/>
              </w:rPr>
              <w:t>Keywords:</w:t>
            </w:r>
            <w:r w:rsidRPr="005762E6">
              <w:rPr>
                <w:sz w:val="20"/>
                <w:szCs w:val="20"/>
              </w:rPr>
              <w:br/>
              <w:t>*Alcohols,​*Carbon Monoxide,​*Respiration,​*Tobacco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12 male smokers participated in 3 controlled-dose smoking sessions spaced 1 wk apart. In each session,​ Ss inhaled 1,​200 cc of cigarette smoke. Menthol dosage varied across sessions,​ such that Ss smoked experimental cigarettes that had been injected with 0,​ 4,​ or 8 mg of menthol. Exhaled CO levels increased concomitantly with menthol dosage. There were no differences in smoking topography across the 3 conditions. The ability of menthol to increase the toxicity of cigarette smoke by raising CO levels is discussed. Results suggest that menthol cigarette preference may account for some of the racial differences in smoking behavior and smoking-related outcomes found in past literature. (PsycINFO Database Record (c) 2016 APA,​ all rights reserved)</w:t>
            </w:r>
          </w:p>
        </w:tc>
      </w:tr>
      <w:tr w:rsidR="007F0AE0" w:rsidRPr="005762E6" w14:paraId="2E7BE03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6E2A6F" w14:textId="77777777" w:rsidR="007F0AE0" w:rsidRPr="005762E6" w:rsidRDefault="007F0AE0" w:rsidP="00453DE3">
            <w:pPr>
              <w:spacing w:after="120" w:line="240" w:lineRule="auto"/>
              <w:contextualSpacing/>
              <w:rPr>
                <w:sz w:val="20"/>
                <w:szCs w:val="20"/>
              </w:rPr>
            </w:pPr>
            <w:r w:rsidRPr="005762E6">
              <w:rPr>
                <w:sz w:val="20"/>
                <w:szCs w:val="20"/>
              </w:rPr>
              <w:t>838</w:t>
            </w:r>
          </w:p>
        </w:tc>
        <w:tc>
          <w:tcPr>
            <w:tcW w:w="0" w:type="auto"/>
            <w:tcBorders>
              <w:top w:val="single" w:sz="6" w:space="0" w:color="auto"/>
              <w:left w:val="single" w:sz="6" w:space="0" w:color="auto"/>
              <w:bottom w:val="single" w:sz="6" w:space="0" w:color="auto"/>
              <w:right w:val="single" w:sz="6" w:space="0" w:color="auto"/>
            </w:tcBorders>
          </w:tcPr>
          <w:p w14:paraId="615EA955"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9306E3" w14:textId="77777777" w:rsidR="007F0AE0" w:rsidRPr="005762E6" w:rsidRDefault="007F0AE0" w:rsidP="00453DE3">
            <w:pPr>
              <w:spacing w:after="120" w:line="240" w:lineRule="auto"/>
              <w:contextualSpacing/>
              <w:rPr>
                <w:sz w:val="20"/>
                <w:szCs w:val="20"/>
              </w:rPr>
            </w:pPr>
            <w:r w:rsidRPr="005762E6">
              <w:rPr>
                <w:sz w:val="20"/>
                <w:szCs w:val="20"/>
              </w:rPr>
              <w:t>David P Schmahl,​ Edward Lichtenstein,​ Darrel E Harris Successful treatment of habitual smokers with warm,​ smoky air and rapid smoking.. Journal of Consulting and Clinical Psychology; 1972;38:105.</w:t>
            </w:r>
            <w:r w:rsidRPr="005762E6">
              <w:rPr>
                <w:sz w:val="20"/>
                <w:szCs w:val="20"/>
              </w:rPr>
              <w:br/>
            </w:r>
            <w:r w:rsidRPr="005762E6">
              <w:rPr>
                <w:sz w:val="20"/>
                <w:szCs w:val="20"/>
              </w:rPr>
              <w:br/>
            </w:r>
            <w:r w:rsidRPr="005762E6">
              <w:rPr>
                <w:b/>
                <w:bCs/>
                <w:sz w:val="20"/>
                <w:szCs w:val="20"/>
              </w:rPr>
              <w:t>Keywords:</w:t>
            </w:r>
            <w:r w:rsidRPr="005762E6">
              <w:rPr>
                <w:sz w:val="20"/>
                <w:szCs w:val="20"/>
              </w:rPr>
              <w:br/>
              <w:t>*Behavior Therapy,​*Expectations,​*Social Reinforcement,​*Tobacco Smoking</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Presented either warm smoky air or warm mentholated air to 28 undergraduate habituated smokers and required them to smoke until they could tolerate no further cigarettes. Both groups smoked at a rapid rate,​ received considerable social reinforcement,​ and were given comparable expectation of success. All Ss were abstinent at termination after an average of 8 sessions,​ and 16 of 25 Ss followed up for 6 mo. remained abstinent. The warm smoky air and menthol air groups did not differ,​ but paradoxically,​ Ss followed up at 4-wk intervals were more successful than Ss contacted every 2 wk. (24 ref.) (PsycINFO Database Record (c) 2016 APA,​ all rights reserved)</w:t>
            </w:r>
          </w:p>
        </w:tc>
      </w:tr>
      <w:tr w:rsidR="007F0AE0" w:rsidRPr="005762E6" w14:paraId="43DF0F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56AA0D" w14:textId="77777777" w:rsidR="007F0AE0" w:rsidRPr="005762E6" w:rsidRDefault="007F0AE0" w:rsidP="00453DE3">
            <w:pPr>
              <w:spacing w:after="120" w:line="240" w:lineRule="auto"/>
              <w:contextualSpacing/>
              <w:rPr>
                <w:sz w:val="20"/>
                <w:szCs w:val="20"/>
              </w:rPr>
            </w:pPr>
            <w:r w:rsidRPr="005762E6">
              <w:rPr>
                <w:sz w:val="20"/>
                <w:szCs w:val="20"/>
              </w:rPr>
              <w:t>839</w:t>
            </w:r>
          </w:p>
        </w:tc>
        <w:tc>
          <w:tcPr>
            <w:tcW w:w="0" w:type="auto"/>
            <w:tcBorders>
              <w:top w:val="single" w:sz="6" w:space="0" w:color="auto"/>
              <w:left w:val="single" w:sz="6" w:space="0" w:color="auto"/>
              <w:bottom w:val="single" w:sz="6" w:space="0" w:color="auto"/>
              <w:right w:val="single" w:sz="6" w:space="0" w:color="auto"/>
            </w:tcBorders>
          </w:tcPr>
          <w:p w14:paraId="54C6946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13831E5" w14:textId="77777777" w:rsidR="007F0AE0" w:rsidRPr="005762E6" w:rsidRDefault="007F0AE0" w:rsidP="00453DE3">
            <w:pPr>
              <w:spacing w:after="120" w:line="240" w:lineRule="auto"/>
              <w:contextualSpacing/>
              <w:rPr>
                <w:sz w:val="20"/>
                <w:szCs w:val="20"/>
              </w:rPr>
            </w:pPr>
            <w:r w:rsidRPr="005762E6">
              <w:rPr>
                <w:sz w:val="20"/>
                <w:szCs w:val="20"/>
              </w:rPr>
              <w:t>KL Ahijevych,​ ME Wewers Patterns of cigarette consumption and cotinine levels among African American women smokers.. American journal of respiratory and critical care medicine; 1994;150: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br/>
            </w:r>
            <w:r w:rsidRPr="005762E6">
              <w:rPr>
                <w:b/>
                <w:bCs/>
                <w:sz w:val="20"/>
                <w:szCs w:val="20"/>
              </w:rPr>
              <w:t xml:space="preserve">Abstract: </w:t>
            </w:r>
            <w:r w:rsidRPr="005762E6">
              <w:rPr>
                <w:sz w:val="20"/>
                <w:szCs w:val="20"/>
              </w:rPr>
              <w:t xml:space="preserve">Cigarette smoking intensifies a number of serious health problems,​ including lung cancer,​ hypertension,​ low birth weight,​ and infant mortality,​ that disproportionately affect black Americans. Cotinine,​ a major nicotine metabolite,​ is one indicator of smoke exposure. It has been reported that black women have higher mean cotinine levels than white women. This divergence may be attributed to biologic factors or to inaccuracy in reporting cigarette use. The purpose of this study was to characterize nicotine dependence and the relationship between self-reported cigarette use and cotinine levels among black women smokers. The sample consisted of 142 black women cigarette smokers recruited individually at urban health centers and worksites. A cotinine/cigarette ratio was determined for light,​ moderate,​ and heavy smokers. Underreporting of cigarette consumption,​ previously defined as cotinine value &gt; 25 ng/ml/cigarette,​ ranged from 86% among light smokers to 70% among moderate smokers and 21% among heavy smokers. There were significant differences in cotinine/cigarette and nicotine dependence scores across levels of smoking. Average cotinine/cigarette values were higher in black women compared with previous reports for Mexican American women smokers. No comparable values are available for white women. Additional study is needed to begin to explain variations in levels of cotinine,​ as well as perceived nicotine dependence among black women. </w:t>
            </w:r>
          </w:p>
        </w:tc>
      </w:tr>
      <w:tr w:rsidR="007F0AE0" w:rsidRPr="005762E6" w14:paraId="182E805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5EF43A" w14:textId="77777777" w:rsidR="007F0AE0" w:rsidRPr="005762E6" w:rsidRDefault="007F0AE0" w:rsidP="00453DE3">
            <w:pPr>
              <w:spacing w:after="120" w:line="240" w:lineRule="auto"/>
              <w:contextualSpacing/>
              <w:rPr>
                <w:sz w:val="20"/>
                <w:szCs w:val="20"/>
              </w:rPr>
            </w:pPr>
            <w:r w:rsidRPr="005762E6">
              <w:rPr>
                <w:sz w:val="20"/>
                <w:szCs w:val="20"/>
              </w:rPr>
              <w:lastRenderedPageBreak/>
              <w:t>840</w:t>
            </w:r>
          </w:p>
        </w:tc>
        <w:tc>
          <w:tcPr>
            <w:tcW w:w="0" w:type="auto"/>
            <w:tcBorders>
              <w:top w:val="single" w:sz="6" w:space="0" w:color="auto"/>
              <w:left w:val="single" w:sz="6" w:space="0" w:color="auto"/>
              <w:bottom w:val="single" w:sz="6" w:space="0" w:color="auto"/>
              <w:right w:val="single" w:sz="6" w:space="0" w:color="auto"/>
            </w:tcBorders>
          </w:tcPr>
          <w:p w14:paraId="58CC410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EE81305" w14:textId="77777777" w:rsidR="007F0AE0" w:rsidRPr="005762E6" w:rsidRDefault="007F0AE0" w:rsidP="00453DE3">
            <w:pPr>
              <w:spacing w:after="120" w:line="240" w:lineRule="auto"/>
              <w:contextualSpacing/>
              <w:rPr>
                <w:sz w:val="20"/>
                <w:szCs w:val="20"/>
              </w:rPr>
            </w:pPr>
            <w:r w:rsidRPr="005762E6">
              <w:rPr>
                <w:sz w:val="20"/>
                <w:szCs w:val="20"/>
              </w:rPr>
              <w:t>CJ Berg,​ JL Thomas,​ H Guo,​ LC An,​ KS Okuyemi,​ TC Collins,​ JS Ahluwalia Predictors of smoking reduction among Blacks.. Nicotine &amp; tobacco research : official journal of the Society for Research on Nicotine and Tobacco; 2010;12:</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INTRODUCTION: Blacks who smoke have increased tobacco-related health risks. Cessation decreases the likelihood of many health problems. Smoking reduction may be important in the cessation process and potentially reduce health risks. METHODS: Because little is known about specific predictors of smoking reduction,​ we investigated factors predicting reduction among Black light smokers enrolled in a 26-week cessation trial. Specifically,​ we compared (a) reducers (reduced cigarettes per day [cpd] &gt;or=50%) with nonreducers and (b) reducers with quitters. Baseline demographic,​ smoking-related,​ and psychosocial variables were collected,​ and Week 26 smoking status was assessed. RESULTS: Among 539 participants,​ 41.0% (n = 221) reduced their smoking,​ 17.6% (n = 95) quit,​ and 41.4% (n = 223) did not reduce their smoking by &gt;or=50%. In comparison with reducers,​ nonreducers were more likely to have their first cigarette within 30 min of waking (odds ratio [OR] = 2.4,​ 95% CI = 1.47-3.93),​ lower baseline cpd (OR = 0.84,​ 95% CI = 0.77-0.93),​ higher baseline cotinine levels (OR = 1.002,​ 95% CI = 1.000-1.003),​ lower perceived stress (OR = 0.86,​ 95% CI = 0.78-0.95),​ and higher Smoking Consequences Questionnaire (SCQ) negative social impression scores (OR = 1.04,​ 95% CI = 1.01-1.06),​ after controlling for treatment arm,​ gender,​ and age. Significant predictors of smoking cessation versus reduction included lower baseline cpd (OR = 0.85,​ 95% CI = 0.75-0.95),​ higher nicotine dependence (OR = 1.47,​ 95% CI = 1.09-1.98),​ lower baseline cotinine levels (OR = 0.996,​ 95% CI = 0.994-0.998),​ higher body mass index (OR = 1.05,​ 95% CI = 1.01-1.08),​ lower perceived stress (OR = 0.82,​ 95% CI = 0.72-0.95),​ and higher SCQ negative social impression scores (OR = 1.05,​ 95% CI = 1.01-1.08). DISCUSSION: Distinct predictors are associated with different trajectories of smoking behavior change (i.e.,​ reduction vs. cessation vs. no change). </w:t>
            </w:r>
          </w:p>
        </w:tc>
      </w:tr>
      <w:tr w:rsidR="007F0AE0" w:rsidRPr="005762E6" w14:paraId="228B92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FEFF38" w14:textId="77777777" w:rsidR="007F0AE0" w:rsidRPr="005762E6" w:rsidRDefault="007F0AE0" w:rsidP="00453DE3">
            <w:pPr>
              <w:spacing w:after="120" w:line="240" w:lineRule="auto"/>
              <w:contextualSpacing/>
              <w:rPr>
                <w:sz w:val="20"/>
                <w:szCs w:val="20"/>
              </w:rPr>
            </w:pPr>
            <w:r w:rsidRPr="005762E6">
              <w:rPr>
                <w:sz w:val="20"/>
                <w:szCs w:val="20"/>
              </w:rPr>
              <w:t>841</w:t>
            </w:r>
          </w:p>
        </w:tc>
        <w:tc>
          <w:tcPr>
            <w:tcW w:w="0" w:type="auto"/>
            <w:tcBorders>
              <w:top w:val="single" w:sz="6" w:space="0" w:color="auto"/>
              <w:left w:val="single" w:sz="6" w:space="0" w:color="auto"/>
              <w:bottom w:val="single" w:sz="6" w:space="0" w:color="auto"/>
              <w:right w:val="single" w:sz="6" w:space="0" w:color="auto"/>
            </w:tcBorders>
          </w:tcPr>
          <w:p w14:paraId="3391F138"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0DFBE13" w14:textId="77777777" w:rsidR="007F0AE0" w:rsidRPr="005762E6" w:rsidRDefault="007F0AE0" w:rsidP="00453DE3">
            <w:pPr>
              <w:spacing w:after="120" w:line="240" w:lineRule="auto"/>
              <w:contextualSpacing/>
              <w:rPr>
                <w:sz w:val="20"/>
                <w:szCs w:val="20"/>
              </w:rPr>
            </w:pPr>
            <w:r w:rsidRPr="005762E6">
              <w:rPr>
                <w:sz w:val="20"/>
                <w:szCs w:val="20"/>
              </w:rPr>
              <w:t>P Fagan,​ E Augustson,​ CL Backinger,​ ME O'Connell,​ RE Vollinger,​ A Kaufman,​ JT Gibson Quit attempts and intention to quit cigarette smoking among young adults in the United States.. American journal of public health; 2007;97:</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OBJECTIVES: We investigated variables associated with quitting behaviors among current,​ daily,​ and nondaily young adult smokers in the United States. METHODS: Data from the national 2003 Tobacco Use Special Cessation Supplement to the Current Population Survey were analyzed to identify factors associated with quit attempts and serious intention to quit among young adult smokers aged 18 to 30 years (n=7912). RESULTS: Daily smokers who smoked 20 or more cigarettes per day,​ had their first cigarette within 30 minutes of waking,​ and smoked no usual type were less likely than were their comparison groups to have 1 more or quit attempts. Nondaily smokers who were male,​ Hispanic,​ and smoked no usual type of cigarette were also less likely than were their comparison groups to report 1 or more quit attempts. Although unemployed nondaily smokers were more likely than were the employed to report intention to quit,​ nondaily smokers with an annual family income </w:t>
            </w:r>
            <w:r w:rsidRPr="005762E6">
              <w:rPr>
                <w:sz w:val="20"/>
                <w:szCs w:val="20"/>
              </w:rPr>
              <w:lastRenderedPageBreak/>
              <w:t xml:space="preserve">of ,​000 to ,​000 were less likely than were higher-income families to report intention to quit. CONCLUSIONS: Nicotine dependence measures were significantly associated with quitting and intention to quit among daily smokers,​ but sociodemographics were associated with quitting and intention to quit among nondaily smokers. </w:t>
            </w:r>
          </w:p>
        </w:tc>
      </w:tr>
      <w:tr w:rsidR="007F0AE0" w:rsidRPr="005762E6" w14:paraId="3005C50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7B64E9" w14:textId="77777777" w:rsidR="007F0AE0" w:rsidRPr="005762E6" w:rsidRDefault="007F0AE0" w:rsidP="00453DE3">
            <w:pPr>
              <w:spacing w:after="120" w:line="240" w:lineRule="auto"/>
              <w:contextualSpacing/>
              <w:rPr>
                <w:sz w:val="20"/>
                <w:szCs w:val="20"/>
              </w:rPr>
            </w:pPr>
            <w:r w:rsidRPr="005762E6">
              <w:rPr>
                <w:sz w:val="20"/>
                <w:szCs w:val="20"/>
              </w:rPr>
              <w:lastRenderedPageBreak/>
              <w:t>842</w:t>
            </w:r>
          </w:p>
        </w:tc>
        <w:tc>
          <w:tcPr>
            <w:tcW w:w="0" w:type="auto"/>
            <w:tcBorders>
              <w:top w:val="single" w:sz="6" w:space="0" w:color="auto"/>
              <w:left w:val="single" w:sz="6" w:space="0" w:color="auto"/>
              <w:bottom w:val="single" w:sz="6" w:space="0" w:color="auto"/>
              <w:right w:val="single" w:sz="6" w:space="0" w:color="auto"/>
            </w:tcBorders>
          </w:tcPr>
          <w:p w14:paraId="1BDB238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0EF1BAE" w14:textId="77777777" w:rsidR="007F0AE0" w:rsidRPr="005762E6" w:rsidRDefault="007F0AE0" w:rsidP="00453DE3">
            <w:pPr>
              <w:spacing w:after="120" w:line="240" w:lineRule="auto"/>
              <w:contextualSpacing/>
              <w:rPr>
                <w:sz w:val="20"/>
                <w:szCs w:val="20"/>
              </w:rPr>
            </w:pPr>
            <w:r w:rsidRPr="005762E6">
              <w:rPr>
                <w:sz w:val="20"/>
                <w:szCs w:val="20"/>
              </w:rPr>
              <w:t>J Foulds,​ KK Gandhi,​ MB Steinberg,​ DL Richardson,​ JM Williams,​ MV Burke,​ GG Rhoads Factors associated with quitting smoking at a tobacco dependence treatment clinic.. American journal of health behavior; ;30: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r w:rsidRPr="005762E6">
              <w:rPr>
                <w:sz w:val="20"/>
                <w:szCs w:val="20"/>
              </w:rPr>
              <w:t xml:space="preserve">OBJECTIVE: To identify factors associated with successful quitting at a free tobacco treatment clinic. METHODS: A cohort study of the first 1021 patients who made a quit attempt. Baseline and treatment variables were recorded,​ and logistic regression was used to identify factors associated with abstinence at 4-week and 6-month follow-up. RESULTS: Three hundred twenty (31.3%) patients reported tobacco abstinence at 6 months. Several markers of low socioeconomic status and high nicotine dependence were predictive of poorer smoking cessation outcomes. Compliance with evidence-based treatment was associated with improved treatment outcome,​ as was older age and having more than 2 children. CONCLUSIONS: Efforts should be made to enhance treatment compliance among smokers with indicators of high nicotine dependence and low socioeconomic status. </w:t>
            </w:r>
          </w:p>
        </w:tc>
      </w:tr>
      <w:tr w:rsidR="007F0AE0" w:rsidRPr="005762E6" w14:paraId="7F31049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6500E0" w14:textId="77777777" w:rsidR="007F0AE0" w:rsidRPr="005762E6" w:rsidRDefault="007F0AE0" w:rsidP="00453DE3">
            <w:pPr>
              <w:spacing w:after="120" w:line="240" w:lineRule="auto"/>
              <w:contextualSpacing/>
              <w:rPr>
                <w:sz w:val="20"/>
                <w:szCs w:val="20"/>
              </w:rPr>
            </w:pPr>
            <w:r w:rsidRPr="005762E6">
              <w:rPr>
                <w:sz w:val="20"/>
                <w:szCs w:val="20"/>
              </w:rPr>
              <w:t>843</w:t>
            </w:r>
          </w:p>
        </w:tc>
        <w:tc>
          <w:tcPr>
            <w:tcW w:w="0" w:type="auto"/>
            <w:tcBorders>
              <w:top w:val="single" w:sz="6" w:space="0" w:color="auto"/>
              <w:left w:val="single" w:sz="6" w:space="0" w:color="auto"/>
              <w:bottom w:val="single" w:sz="6" w:space="0" w:color="auto"/>
              <w:right w:val="single" w:sz="6" w:space="0" w:color="auto"/>
            </w:tcBorders>
          </w:tcPr>
          <w:p w14:paraId="05DF6EF7"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67B0A82F" w14:textId="77777777" w:rsidR="007F0AE0" w:rsidRPr="005762E6" w:rsidRDefault="007F0AE0" w:rsidP="00453DE3">
            <w:pPr>
              <w:spacing w:after="120" w:line="240" w:lineRule="auto"/>
              <w:contextualSpacing/>
              <w:rPr>
                <w:sz w:val="20"/>
                <w:szCs w:val="20"/>
              </w:rPr>
            </w:pPr>
            <w:r w:rsidRPr="005762E6">
              <w:rPr>
                <w:sz w:val="20"/>
                <w:szCs w:val="20"/>
              </w:rPr>
              <w:t>Delnevo CD,​ Gunderson DA,​ Hrwyna M Examining the relationship between menthol smoking and cessation using data from the 2003 and 2006/7 Tobacco Use Supplement.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3EE8C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89F5D1" w14:textId="77777777" w:rsidR="007F0AE0" w:rsidRPr="005762E6" w:rsidRDefault="007F0AE0" w:rsidP="00453DE3">
            <w:pPr>
              <w:spacing w:after="120" w:line="240" w:lineRule="auto"/>
              <w:contextualSpacing/>
              <w:rPr>
                <w:sz w:val="20"/>
                <w:szCs w:val="20"/>
              </w:rPr>
            </w:pPr>
            <w:r w:rsidRPr="005762E6">
              <w:rPr>
                <w:sz w:val="20"/>
                <w:szCs w:val="20"/>
              </w:rPr>
              <w:t>844</w:t>
            </w:r>
          </w:p>
        </w:tc>
        <w:tc>
          <w:tcPr>
            <w:tcW w:w="0" w:type="auto"/>
            <w:tcBorders>
              <w:top w:val="single" w:sz="6" w:space="0" w:color="auto"/>
              <w:left w:val="single" w:sz="6" w:space="0" w:color="auto"/>
              <w:bottom w:val="single" w:sz="6" w:space="0" w:color="auto"/>
              <w:right w:val="single" w:sz="6" w:space="0" w:color="auto"/>
            </w:tcBorders>
          </w:tcPr>
          <w:p w14:paraId="45A80833"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5A4F6BFC" w14:textId="77777777" w:rsidR="007F0AE0" w:rsidRPr="005762E6" w:rsidRDefault="007F0AE0" w:rsidP="00453DE3">
            <w:pPr>
              <w:spacing w:after="120" w:line="240" w:lineRule="auto"/>
              <w:contextualSpacing/>
              <w:rPr>
                <w:sz w:val="20"/>
                <w:szCs w:val="20"/>
              </w:rPr>
            </w:pPr>
            <w:r w:rsidRPr="005762E6">
              <w:rPr>
                <w:sz w:val="20"/>
                <w:szCs w:val="20"/>
              </w:rPr>
              <w:t>Hersey JC,​ Nonnemaker J,​ Homsi G,​ Allen J Menthol cigarettes,​ saliva cotinine,​ and nicotine dependence in adolescents.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26AAB30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82587A" w14:textId="77777777" w:rsidR="007F0AE0" w:rsidRPr="005762E6" w:rsidRDefault="007F0AE0" w:rsidP="00453DE3">
            <w:pPr>
              <w:spacing w:after="120" w:line="240" w:lineRule="auto"/>
              <w:contextualSpacing/>
              <w:rPr>
                <w:sz w:val="20"/>
                <w:szCs w:val="20"/>
              </w:rPr>
            </w:pPr>
            <w:r w:rsidRPr="005762E6">
              <w:rPr>
                <w:sz w:val="20"/>
                <w:szCs w:val="20"/>
              </w:rPr>
              <w:t>845</w:t>
            </w:r>
          </w:p>
        </w:tc>
        <w:tc>
          <w:tcPr>
            <w:tcW w:w="0" w:type="auto"/>
            <w:tcBorders>
              <w:top w:val="single" w:sz="6" w:space="0" w:color="auto"/>
              <w:left w:val="single" w:sz="6" w:space="0" w:color="auto"/>
              <w:bottom w:val="single" w:sz="6" w:space="0" w:color="auto"/>
              <w:right w:val="single" w:sz="6" w:space="0" w:color="auto"/>
            </w:tcBorders>
          </w:tcPr>
          <w:p w14:paraId="60892AA4"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935CC1E" w14:textId="77777777" w:rsidR="007F0AE0" w:rsidRPr="005762E6" w:rsidRDefault="007F0AE0" w:rsidP="00453DE3">
            <w:pPr>
              <w:spacing w:after="120" w:line="240" w:lineRule="auto"/>
              <w:contextualSpacing/>
              <w:rPr>
                <w:b/>
                <w:bCs/>
                <w:sz w:val="20"/>
                <w:szCs w:val="20"/>
              </w:rPr>
            </w:pPr>
            <w:r w:rsidRPr="005762E6">
              <w:rPr>
                <w:sz w:val="20"/>
                <w:szCs w:val="20"/>
              </w:rPr>
              <w:t>Hyland A,​ Rivard C Analysis of mentholated cigarettes using the COMMIT Data. Paper presented to: TPSAC,​ 10-11 Jan 2011.. #journal#; 2011;:</w:t>
            </w:r>
            <w:r w:rsidRPr="005762E6">
              <w:rPr>
                <w:sz w:val="20"/>
                <w:szCs w:val="20"/>
              </w:rPr>
              <w:br/>
            </w:r>
          </w:p>
          <w:p w14:paraId="6FE45C02" w14:textId="77777777" w:rsidR="007F0AE0" w:rsidRPr="005762E6" w:rsidRDefault="007F0AE0" w:rsidP="00453DE3">
            <w:pPr>
              <w:spacing w:after="120" w:line="240" w:lineRule="auto"/>
              <w:contextualSpacing/>
              <w:rPr>
                <w:sz w:val="20"/>
                <w:szCs w:val="20"/>
              </w:rPr>
            </w:pP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3B40549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A23E59" w14:textId="77777777" w:rsidR="007F0AE0" w:rsidRPr="005762E6" w:rsidRDefault="007F0AE0" w:rsidP="00453DE3">
            <w:pPr>
              <w:spacing w:after="120" w:line="240" w:lineRule="auto"/>
              <w:contextualSpacing/>
              <w:rPr>
                <w:sz w:val="20"/>
                <w:szCs w:val="20"/>
              </w:rPr>
            </w:pPr>
            <w:r w:rsidRPr="005762E6">
              <w:rPr>
                <w:sz w:val="20"/>
                <w:szCs w:val="20"/>
              </w:rPr>
              <w:t>846</w:t>
            </w:r>
          </w:p>
        </w:tc>
        <w:tc>
          <w:tcPr>
            <w:tcW w:w="0" w:type="auto"/>
            <w:tcBorders>
              <w:top w:val="single" w:sz="6" w:space="0" w:color="auto"/>
              <w:left w:val="single" w:sz="6" w:space="0" w:color="auto"/>
              <w:bottom w:val="single" w:sz="6" w:space="0" w:color="auto"/>
              <w:right w:val="single" w:sz="6" w:space="0" w:color="auto"/>
            </w:tcBorders>
          </w:tcPr>
          <w:p w14:paraId="543EC861"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79A0862" w14:textId="77777777" w:rsidR="007F0AE0" w:rsidRPr="005762E6" w:rsidRDefault="007F0AE0" w:rsidP="00453DE3">
            <w:pPr>
              <w:spacing w:after="120" w:line="240" w:lineRule="auto"/>
              <w:contextualSpacing/>
              <w:rPr>
                <w:sz w:val="20"/>
                <w:szCs w:val="20"/>
              </w:rPr>
            </w:pPr>
            <w:r w:rsidRPr="005762E6">
              <w:rPr>
                <w:sz w:val="20"/>
                <w:szCs w:val="20"/>
              </w:rPr>
              <w:t>King A,​ Cao D,​ Matthews A Influence of menthol use on smoking cessation outcomes in a smoking cessation treatment program.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4517DF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FA1F84" w14:textId="77777777" w:rsidR="007F0AE0" w:rsidRPr="005762E6" w:rsidRDefault="007F0AE0" w:rsidP="00453DE3">
            <w:pPr>
              <w:spacing w:after="120" w:line="240" w:lineRule="auto"/>
              <w:contextualSpacing/>
              <w:rPr>
                <w:sz w:val="20"/>
                <w:szCs w:val="20"/>
              </w:rPr>
            </w:pPr>
            <w:r w:rsidRPr="005762E6">
              <w:rPr>
                <w:sz w:val="20"/>
                <w:szCs w:val="20"/>
              </w:rPr>
              <w:t>847</w:t>
            </w:r>
          </w:p>
        </w:tc>
        <w:tc>
          <w:tcPr>
            <w:tcW w:w="0" w:type="auto"/>
            <w:tcBorders>
              <w:top w:val="single" w:sz="6" w:space="0" w:color="auto"/>
              <w:left w:val="single" w:sz="6" w:space="0" w:color="auto"/>
              <w:bottom w:val="single" w:sz="6" w:space="0" w:color="auto"/>
              <w:right w:val="single" w:sz="6" w:space="0" w:color="auto"/>
            </w:tcBorders>
          </w:tcPr>
          <w:p w14:paraId="6F97CBB0"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D6E1CBE" w14:textId="77777777" w:rsidR="007F0AE0" w:rsidRPr="005762E6" w:rsidRDefault="007F0AE0" w:rsidP="00453DE3">
            <w:pPr>
              <w:spacing w:after="120" w:line="240" w:lineRule="auto"/>
              <w:contextualSpacing/>
              <w:rPr>
                <w:sz w:val="20"/>
                <w:szCs w:val="20"/>
              </w:rPr>
            </w:pPr>
            <w:r w:rsidRPr="005762E6">
              <w:rPr>
                <w:sz w:val="20"/>
                <w:szCs w:val="20"/>
              </w:rPr>
              <w:t>Reitzel L Menthol cigarettes,​ tobacco dependence,​ and smoking cessation: Project CARE.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700D675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5A3782" w14:textId="77777777" w:rsidR="007F0AE0" w:rsidRPr="005762E6" w:rsidRDefault="007F0AE0" w:rsidP="00453DE3">
            <w:pPr>
              <w:spacing w:after="120" w:line="240" w:lineRule="auto"/>
              <w:contextualSpacing/>
              <w:rPr>
                <w:sz w:val="20"/>
                <w:szCs w:val="20"/>
              </w:rPr>
            </w:pPr>
            <w:r w:rsidRPr="005762E6">
              <w:rPr>
                <w:sz w:val="20"/>
                <w:szCs w:val="20"/>
              </w:rPr>
              <w:t>848</w:t>
            </w:r>
          </w:p>
        </w:tc>
        <w:tc>
          <w:tcPr>
            <w:tcW w:w="0" w:type="auto"/>
            <w:tcBorders>
              <w:top w:val="single" w:sz="6" w:space="0" w:color="auto"/>
              <w:left w:val="single" w:sz="6" w:space="0" w:color="auto"/>
              <w:bottom w:val="single" w:sz="6" w:space="0" w:color="auto"/>
              <w:right w:val="single" w:sz="6" w:space="0" w:color="auto"/>
            </w:tcBorders>
          </w:tcPr>
          <w:p w14:paraId="21105ADC"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0B7A5B4E" w14:textId="77777777" w:rsidR="007F0AE0" w:rsidRPr="005762E6" w:rsidRDefault="007F0AE0" w:rsidP="00453DE3">
            <w:pPr>
              <w:spacing w:after="120" w:line="240" w:lineRule="auto"/>
              <w:contextualSpacing/>
              <w:rPr>
                <w:sz w:val="20"/>
                <w:szCs w:val="20"/>
              </w:rPr>
            </w:pPr>
            <w:r w:rsidRPr="005762E6">
              <w:rPr>
                <w:sz w:val="20"/>
                <w:szCs w:val="20"/>
              </w:rPr>
              <w:t>Reitzel LA Menthol cigarettes,​ tobacco dependence,​ and smoking cessations: Project BREAK FREE.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lastRenderedPageBreak/>
              <w:br/>
            </w:r>
            <w:r w:rsidRPr="005762E6">
              <w:rPr>
                <w:b/>
                <w:bCs/>
                <w:sz w:val="20"/>
                <w:szCs w:val="20"/>
              </w:rPr>
              <w:t xml:space="preserve">Abstract: </w:t>
            </w:r>
          </w:p>
        </w:tc>
      </w:tr>
      <w:tr w:rsidR="007F0AE0" w:rsidRPr="005762E6" w14:paraId="3EA66CF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D429B05" w14:textId="77777777" w:rsidR="007F0AE0" w:rsidRPr="005762E6" w:rsidRDefault="007F0AE0" w:rsidP="00453DE3">
            <w:pPr>
              <w:spacing w:after="120" w:line="240" w:lineRule="auto"/>
              <w:contextualSpacing/>
              <w:rPr>
                <w:sz w:val="20"/>
                <w:szCs w:val="20"/>
              </w:rPr>
            </w:pPr>
            <w:r w:rsidRPr="005762E6">
              <w:rPr>
                <w:sz w:val="20"/>
                <w:szCs w:val="20"/>
              </w:rPr>
              <w:lastRenderedPageBreak/>
              <w:t>849</w:t>
            </w:r>
          </w:p>
        </w:tc>
        <w:tc>
          <w:tcPr>
            <w:tcW w:w="0" w:type="auto"/>
            <w:tcBorders>
              <w:top w:val="single" w:sz="6" w:space="0" w:color="auto"/>
              <w:left w:val="single" w:sz="6" w:space="0" w:color="auto"/>
              <w:bottom w:val="single" w:sz="6" w:space="0" w:color="auto"/>
              <w:right w:val="single" w:sz="6" w:space="0" w:color="auto"/>
            </w:tcBorders>
          </w:tcPr>
          <w:p w14:paraId="0F41F8FE"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70F9EA82" w14:textId="77777777" w:rsidR="007F0AE0" w:rsidRPr="005762E6" w:rsidRDefault="007F0AE0" w:rsidP="00453DE3">
            <w:pPr>
              <w:spacing w:after="120" w:line="240" w:lineRule="auto"/>
              <w:contextualSpacing/>
              <w:rPr>
                <w:sz w:val="20"/>
                <w:szCs w:val="20"/>
              </w:rPr>
            </w:pPr>
            <w:r w:rsidRPr="005762E6">
              <w:rPr>
                <w:sz w:val="20"/>
                <w:szCs w:val="20"/>
              </w:rPr>
              <w:t>Reitzel LA Menthol cigarettes,​ tobacco dependence,​ and smoking cessations: Project MOM.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488B32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AE532A" w14:textId="77777777" w:rsidR="007F0AE0" w:rsidRPr="005762E6" w:rsidRDefault="007F0AE0" w:rsidP="00453DE3">
            <w:pPr>
              <w:spacing w:after="120" w:line="240" w:lineRule="auto"/>
              <w:contextualSpacing/>
              <w:rPr>
                <w:sz w:val="20"/>
                <w:szCs w:val="20"/>
              </w:rPr>
            </w:pPr>
            <w:r w:rsidRPr="005762E6">
              <w:rPr>
                <w:sz w:val="20"/>
                <w:szCs w:val="20"/>
              </w:rPr>
              <w:t>850</w:t>
            </w:r>
          </w:p>
        </w:tc>
        <w:tc>
          <w:tcPr>
            <w:tcW w:w="0" w:type="auto"/>
            <w:tcBorders>
              <w:top w:val="single" w:sz="6" w:space="0" w:color="auto"/>
              <w:left w:val="single" w:sz="6" w:space="0" w:color="auto"/>
              <w:bottom w:val="single" w:sz="6" w:space="0" w:color="auto"/>
              <w:right w:val="single" w:sz="6" w:space="0" w:color="auto"/>
            </w:tcBorders>
          </w:tcPr>
          <w:p w14:paraId="67B91E2A"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43C71C08" w14:textId="77777777" w:rsidR="007F0AE0" w:rsidRPr="005762E6" w:rsidRDefault="007F0AE0" w:rsidP="00453DE3">
            <w:pPr>
              <w:spacing w:after="120" w:line="240" w:lineRule="auto"/>
              <w:contextualSpacing/>
              <w:rPr>
                <w:sz w:val="20"/>
                <w:szCs w:val="20"/>
              </w:rPr>
            </w:pPr>
            <w:r w:rsidRPr="005762E6">
              <w:rPr>
                <w:sz w:val="20"/>
                <w:szCs w:val="20"/>
              </w:rPr>
              <w:t>Unger JB,​ Cruz TB,​ Allen B Jr Nicotine dependence and intentions to quit among a community-based sample of African American menthol and non-menthol smokers in Los Angeles. Paper presented to: TPSAC,​ 10-11 Jan 2011.. #journal#; 2011;:</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r w:rsidR="007F0AE0" w:rsidRPr="005762E6" w14:paraId="170CA80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1E33CC" w14:textId="77777777" w:rsidR="007F0AE0" w:rsidRPr="005762E6" w:rsidRDefault="007F0AE0" w:rsidP="00453DE3">
            <w:pPr>
              <w:spacing w:after="120" w:line="240" w:lineRule="auto"/>
              <w:contextualSpacing/>
              <w:rPr>
                <w:sz w:val="20"/>
                <w:szCs w:val="20"/>
              </w:rPr>
            </w:pPr>
            <w:r w:rsidRPr="005762E6">
              <w:rPr>
                <w:sz w:val="20"/>
                <w:szCs w:val="20"/>
              </w:rPr>
              <w:t>851</w:t>
            </w:r>
          </w:p>
        </w:tc>
        <w:tc>
          <w:tcPr>
            <w:tcW w:w="0" w:type="auto"/>
            <w:tcBorders>
              <w:top w:val="single" w:sz="6" w:space="0" w:color="auto"/>
              <w:left w:val="single" w:sz="6" w:space="0" w:color="auto"/>
              <w:bottom w:val="single" w:sz="6" w:space="0" w:color="auto"/>
              <w:right w:val="single" w:sz="6" w:space="0" w:color="auto"/>
            </w:tcBorders>
          </w:tcPr>
          <w:p w14:paraId="64B5C8E9" w14:textId="77777777" w:rsidR="007F0AE0" w:rsidRPr="005762E6" w:rsidRDefault="007F0AE0" w:rsidP="00453DE3">
            <w:pPr>
              <w:spacing w:after="120" w:line="240" w:lineRule="auto"/>
              <w:contextualSpacing/>
              <w:rPr>
                <w:sz w:val="20"/>
                <w:szCs w:val="20"/>
              </w:rPr>
            </w:pPr>
          </w:p>
        </w:tc>
        <w:tc>
          <w:tcPr>
            <w:tcW w:w="0" w:type="auto"/>
            <w:tcBorders>
              <w:top w:val="single" w:sz="6" w:space="0" w:color="auto"/>
              <w:left w:val="single" w:sz="6" w:space="0" w:color="auto"/>
              <w:bottom w:val="single" w:sz="6" w:space="0" w:color="auto"/>
              <w:right w:val="single" w:sz="6" w:space="0" w:color="auto"/>
            </w:tcBorders>
            <w:hideMark/>
          </w:tcPr>
          <w:p w14:paraId="2CE98E81" w14:textId="77777777" w:rsidR="007F0AE0" w:rsidRPr="005762E6" w:rsidRDefault="007F0AE0" w:rsidP="00453DE3">
            <w:pPr>
              <w:spacing w:after="120" w:line="240" w:lineRule="auto"/>
              <w:contextualSpacing/>
              <w:rPr>
                <w:sz w:val="20"/>
                <w:szCs w:val="20"/>
              </w:rPr>
            </w:pPr>
            <w:r w:rsidRPr="005762E6">
              <w:rPr>
                <w:sz w:val="20"/>
                <w:szCs w:val="20"/>
              </w:rPr>
              <w:t>Thorne S,​ Davis S,​ Caraballo RS Menthol use and nicotine dependence among US adults,​ 2001-2006. #journal#; 2010;:</w:t>
            </w:r>
            <w:r w:rsidRPr="005762E6">
              <w:rPr>
                <w:sz w:val="20"/>
                <w:szCs w:val="20"/>
              </w:rPr>
              <w:br/>
            </w:r>
            <w:r w:rsidRPr="005762E6">
              <w:rPr>
                <w:sz w:val="20"/>
                <w:szCs w:val="20"/>
              </w:rPr>
              <w:br/>
            </w:r>
            <w:r w:rsidRPr="005762E6">
              <w:rPr>
                <w:b/>
                <w:bCs/>
                <w:sz w:val="20"/>
                <w:szCs w:val="20"/>
              </w:rPr>
              <w:t>Keywords:</w:t>
            </w:r>
            <w:r w:rsidRPr="005762E6">
              <w:rPr>
                <w:sz w:val="20"/>
                <w:szCs w:val="20"/>
              </w:rPr>
              <w:br/>
            </w:r>
            <w:r w:rsidRPr="005762E6">
              <w:rPr>
                <w:sz w:val="20"/>
                <w:szCs w:val="20"/>
              </w:rPr>
              <w:br/>
            </w:r>
            <w:r w:rsidRPr="005762E6">
              <w:rPr>
                <w:b/>
                <w:bCs/>
                <w:sz w:val="20"/>
                <w:szCs w:val="20"/>
              </w:rPr>
              <w:t xml:space="preserve">Abstract: </w:t>
            </w:r>
          </w:p>
        </w:tc>
      </w:tr>
    </w:tbl>
    <w:p w14:paraId="5B961098" w14:textId="77777777" w:rsidR="007F0AE0" w:rsidRDefault="007F0AE0" w:rsidP="007F0AE0">
      <w:pPr>
        <w:rPr>
          <w:rFonts w:cstheme="minorHAnsi"/>
          <w:b/>
        </w:rPr>
      </w:pPr>
    </w:p>
    <w:p w14:paraId="27077614" w14:textId="77777777" w:rsidR="007F0AE0" w:rsidRDefault="007F0AE0" w:rsidP="007F0AE0">
      <w:pPr>
        <w:rPr>
          <w:rFonts w:cstheme="minorHAnsi"/>
          <w:b/>
        </w:rPr>
      </w:pPr>
    </w:p>
    <w:p w14:paraId="6449B574" w14:textId="77777777" w:rsidR="007F0AE0" w:rsidRDefault="007F0AE0" w:rsidP="007F0AE0">
      <w:pPr>
        <w:rPr>
          <w:rFonts w:cstheme="minorHAnsi"/>
          <w:b/>
        </w:rPr>
      </w:pPr>
    </w:p>
    <w:p w14:paraId="7AC31B53" w14:textId="77777777" w:rsidR="007F0AE0" w:rsidRDefault="007F0AE0" w:rsidP="007F0AE0">
      <w:pPr>
        <w:rPr>
          <w:rFonts w:cstheme="minorHAnsi"/>
          <w:b/>
        </w:rPr>
      </w:pPr>
      <w:r>
        <w:rPr>
          <w:rFonts w:cstheme="minorHAnsi"/>
          <w:b/>
        </w:rPr>
        <w:br w:type="page"/>
      </w:r>
    </w:p>
    <w:p w14:paraId="29FC267B" w14:textId="77777777" w:rsidR="007F0AE0" w:rsidRPr="00494051" w:rsidRDefault="007F0AE0" w:rsidP="007F0AE0">
      <w:pPr>
        <w:rPr>
          <w:rFonts w:cstheme="minorHAnsi"/>
          <w:b/>
        </w:rPr>
        <w:sectPr w:rsidR="007F0AE0" w:rsidRPr="00494051" w:rsidSect="00025AEF">
          <w:pgSz w:w="12240" w:h="15840"/>
          <w:pgMar w:top="1152" w:right="1296" w:bottom="1152" w:left="1296" w:header="720" w:footer="720" w:gutter="0"/>
          <w:cols w:space="720"/>
          <w:docGrid w:linePitch="360"/>
        </w:sectPr>
      </w:pPr>
    </w:p>
    <w:p w14:paraId="495D02BE" w14:textId="77777777" w:rsidR="007F0AE0" w:rsidRPr="00B44564" w:rsidRDefault="007F0AE0" w:rsidP="007F0AE0">
      <w:pPr>
        <w:outlineLvl w:val="0"/>
        <w:rPr>
          <w:b/>
        </w:rPr>
      </w:pPr>
      <w:bookmarkStart w:id="0" w:name="Supp1"/>
      <w:r>
        <w:rPr>
          <w:b/>
        </w:rPr>
        <w:lastRenderedPageBreak/>
        <w:t>SUPPLEMENTAL SECTION</w:t>
      </w:r>
      <w:r w:rsidRPr="00781F59">
        <w:rPr>
          <w:b/>
        </w:rPr>
        <w:t xml:space="preserve"> </w:t>
      </w:r>
      <w:r>
        <w:rPr>
          <w:b/>
        </w:rPr>
        <w:t>2</w:t>
      </w:r>
      <w:r w:rsidRPr="00781F59">
        <w:rPr>
          <w:b/>
        </w:rPr>
        <w:t>: Excluded Studies Table (studies excluded at level 2 with reason for exclusion)</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486"/>
        <w:gridCol w:w="7687"/>
        <w:gridCol w:w="1459"/>
      </w:tblGrid>
      <w:tr w:rsidR="007F0AE0" w:rsidRPr="00781F59" w14:paraId="474582AE" w14:textId="77777777" w:rsidTr="00453DE3">
        <w:trPr>
          <w:cantSplit/>
          <w:tblHeader/>
        </w:trPr>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vAlign w:val="bottom"/>
            <w:hideMark/>
          </w:tcPr>
          <w:p w14:paraId="103F067F" w14:textId="77777777" w:rsidR="007F0AE0" w:rsidRPr="00781F59" w:rsidRDefault="007F0AE0" w:rsidP="00453DE3">
            <w:pPr>
              <w:contextualSpacing/>
              <w:rPr>
                <w:b/>
                <w:sz w:val="20"/>
                <w:szCs w:val="20"/>
              </w:rPr>
            </w:pPr>
            <w:r w:rsidRPr="00781F59">
              <w:rPr>
                <w:b/>
                <w:sz w:val="20"/>
                <w:szCs w:val="20"/>
              </w:rPr>
              <w:t>RefID</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vAlign w:val="bottom"/>
            <w:hideMark/>
          </w:tcPr>
          <w:p w14:paraId="5CE8F6F3" w14:textId="77777777" w:rsidR="007F0AE0" w:rsidRPr="00781F59" w:rsidRDefault="007F0AE0" w:rsidP="00453DE3">
            <w:pPr>
              <w:contextualSpacing/>
              <w:rPr>
                <w:b/>
                <w:sz w:val="20"/>
                <w:szCs w:val="20"/>
              </w:rPr>
            </w:pPr>
            <w:r w:rsidRPr="00781F59">
              <w:rPr>
                <w:b/>
                <w:sz w:val="20"/>
                <w:szCs w:val="20"/>
              </w:rPr>
              <w:t>Reference</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vAlign w:val="bottom"/>
            <w:hideMark/>
          </w:tcPr>
          <w:p w14:paraId="7056A6AF" w14:textId="77777777" w:rsidR="007F0AE0" w:rsidRPr="00781F59" w:rsidRDefault="007F0AE0" w:rsidP="00453DE3">
            <w:pPr>
              <w:contextualSpacing/>
              <w:rPr>
                <w:b/>
                <w:sz w:val="20"/>
                <w:szCs w:val="20"/>
              </w:rPr>
            </w:pPr>
            <w:r w:rsidRPr="00781F59">
              <w:rPr>
                <w:b/>
                <w:sz w:val="20"/>
                <w:szCs w:val="20"/>
              </w:rPr>
              <w:t>Exclusion Criteria</w:t>
            </w:r>
          </w:p>
        </w:tc>
      </w:tr>
      <w:tr w:rsidR="007F0AE0" w:rsidRPr="00781F59" w14:paraId="0EAC544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0B337D5" w14:textId="77777777" w:rsidR="007F0AE0" w:rsidRPr="00781F59" w:rsidRDefault="007F0AE0" w:rsidP="00453DE3">
            <w:pPr>
              <w:contextualSpacing/>
              <w:rPr>
                <w:sz w:val="20"/>
                <w:szCs w:val="20"/>
              </w:rPr>
            </w:pPr>
            <w:r w:rsidRPr="00781F59">
              <w:rPr>
                <w:sz w:val="20"/>
                <w:szCs w:val="20"/>
              </w:rPr>
              <w:t>11</w:t>
            </w:r>
          </w:p>
        </w:tc>
        <w:tc>
          <w:tcPr>
            <w:tcW w:w="0" w:type="auto"/>
            <w:tcBorders>
              <w:top w:val="single" w:sz="6" w:space="0" w:color="auto"/>
              <w:left w:val="single" w:sz="6" w:space="0" w:color="auto"/>
              <w:bottom w:val="single" w:sz="6" w:space="0" w:color="auto"/>
              <w:right w:val="single" w:sz="6" w:space="0" w:color="auto"/>
            </w:tcBorders>
            <w:hideMark/>
          </w:tcPr>
          <w:p w14:paraId="0671D26E" w14:textId="77777777" w:rsidR="007F0AE0" w:rsidRPr="00781F59" w:rsidRDefault="007F0AE0" w:rsidP="00453DE3">
            <w:pPr>
              <w:contextualSpacing/>
              <w:rPr>
                <w:sz w:val="20"/>
                <w:szCs w:val="20"/>
              </w:rPr>
            </w:pPr>
            <w:r w:rsidRPr="00781F59">
              <w:rPr>
                <w:sz w:val="20"/>
                <w:szCs w:val="20"/>
              </w:rPr>
              <w:t>Centre for Reviews and Dissemination 2015 Aromatherapy: a systematic review (Structured abstract).. Database of Abstracts of Reviews of Effects; .</w:t>
            </w:r>
          </w:p>
        </w:tc>
        <w:tc>
          <w:tcPr>
            <w:tcW w:w="0" w:type="auto"/>
            <w:tcBorders>
              <w:top w:val="single" w:sz="6" w:space="0" w:color="auto"/>
              <w:left w:val="single" w:sz="6" w:space="0" w:color="auto"/>
              <w:bottom w:val="single" w:sz="6" w:space="0" w:color="auto"/>
              <w:right w:val="single" w:sz="6" w:space="0" w:color="auto"/>
            </w:tcBorders>
            <w:hideMark/>
          </w:tcPr>
          <w:p w14:paraId="57A2769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AE6B34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29DDF8" w14:textId="77777777" w:rsidR="007F0AE0" w:rsidRPr="00781F59" w:rsidRDefault="007F0AE0" w:rsidP="00453DE3">
            <w:pPr>
              <w:contextualSpacing/>
              <w:rPr>
                <w:sz w:val="20"/>
                <w:szCs w:val="20"/>
              </w:rPr>
            </w:pPr>
            <w:r w:rsidRPr="00781F59">
              <w:rPr>
                <w:sz w:val="20"/>
                <w:szCs w:val="20"/>
              </w:rPr>
              <w:t>13</w:t>
            </w:r>
          </w:p>
        </w:tc>
        <w:tc>
          <w:tcPr>
            <w:tcW w:w="0" w:type="auto"/>
            <w:tcBorders>
              <w:top w:val="single" w:sz="6" w:space="0" w:color="auto"/>
              <w:left w:val="single" w:sz="6" w:space="0" w:color="auto"/>
              <w:bottom w:val="single" w:sz="6" w:space="0" w:color="auto"/>
              <w:right w:val="single" w:sz="6" w:space="0" w:color="auto"/>
            </w:tcBorders>
            <w:hideMark/>
          </w:tcPr>
          <w:p w14:paraId="55353315" w14:textId="77777777" w:rsidR="007F0AE0" w:rsidRPr="00781F59" w:rsidRDefault="007F0AE0" w:rsidP="00453DE3">
            <w:pPr>
              <w:contextualSpacing/>
              <w:rPr>
                <w:sz w:val="20"/>
                <w:szCs w:val="20"/>
              </w:rPr>
            </w:pPr>
            <w:r w:rsidRPr="00781F59">
              <w:rPr>
                <w:sz w:val="20"/>
                <w:szCs w:val="20"/>
              </w:rPr>
              <w:t>Glantz S.A.,Gardiner P. 2018 Local movement to ban menthol tobacco products as a result of federal inaction. JAMA Internal Medicine; 178.711.</w:t>
            </w:r>
          </w:p>
        </w:tc>
        <w:tc>
          <w:tcPr>
            <w:tcW w:w="0" w:type="auto"/>
            <w:tcBorders>
              <w:top w:val="single" w:sz="6" w:space="0" w:color="auto"/>
              <w:left w:val="single" w:sz="6" w:space="0" w:color="auto"/>
              <w:bottom w:val="single" w:sz="6" w:space="0" w:color="auto"/>
              <w:right w:val="single" w:sz="6" w:space="0" w:color="auto"/>
            </w:tcBorders>
            <w:hideMark/>
          </w:tcPr>
          <w:p w14:paraId="74F58B1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9BDC6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775E50" w14:textId="77777777" w:rsidR="007F0AE0" w:rsidRPr="00781F59" w:rsidRDefault="007F0AE0" w:rsidP="00453DE3">
            <w:pPr>
              <w:contextualSpacing/>
              <w:rPr>
                <w:sz w:val="20"/>
                <w:szCs w:val="20"/>
              </w:rPr>
            </w:pPr>
            <w:r w:rsidRPr="00781F59">
              <w:rPr>
                <w:sz w:val="20"/>
                <w:szCs w:val="20"/>
              </w:rPr>
              <w:t>14</w:t>
            </w:r>
          </w:p>
        </w:tc>
        <w:tc>
          <w:tcPr>
            <w:tcW w:w="0" w:type="auto"/>
            <w:tcBorders>
              <w:top w:val="single" w:sz="6" w:space="0" w:color="auto"/>
              <w:left w:val="single" w:sz="6" w:space="0" w:color="auto"/>
              <w:bottom w:val="single" w:sz="6" w:space="0" w:color="auto"/>
              <w:right w:val="single" w:sz="6" w:space="0" w:color="auto"/>
            </w:tcBorders>
            <w:hideMark/>
          </w:tcPr>
          <w:p w14:paraId="316A0884" w14:textId="77777777" w:rsidR="007F0AE0" w:rsidRPr="00781F59" w:rsidRDefault="007F0AE0" w:rsidP="00453DE3">
            <w:pPr>
              <w:contextualSpacing/>
              <w:rPr>
                <w:sz w:val="20"/>
                <w:szCs w:val="20"/>
              </w:rPr>
            </w:pPr>
            <w:r w:rsidRPr="00781F59">
              <w:rPr>
                <w:sz w:val="20"/>
                <w:szCs w:val="20"/>
              </w:rPr>
              <w:t>Printz C. 2018 US Food and Drug Administration considers comments on proposed nicotine product regulations: Some criticize the agency for not moving fast enough to stop youth e-cigarette use. Cancer; 124.3959.</w:t>
            </w:r>
          </w:p>
        </w:tc>
        <w:tc>
          <w:tcPr>
            <w:tcW w:w="0" w:type="auto"/>
            <w:tcBorders>
              <w:top w:val="single" w:sz="6" w:space="0" w:color="auto"/>
              <w:left w:val="single" w:sz="6" w:space="0" w:color="auto"/>
              <w:bottom w:val="single" w:sz="6" w:space="0" w:color="auto"/>
              <w:right w:val="single" w:sz="6" w:space="0" w:color="auto"/>
            </w:tcBorders>
            <w:hideMark/>
          </w:tcPr>
          <w:p w14:paraId="4BD5878B" w14:textId="77777777" w:rsidR="007F0AE0" w:rsidRPr="00781F59" w:rsidRDefault="007F0AE0" w:rsidP="00453DE3">
            <w:pPr>
              <w:contextualSpacing/>
              <w:rPr>
                <w:sz w:val="20"/>
                <w:szCs w:val="20"/>
              </w:rPr>
            </w:pPr>
            <w:r w:rsidRPr="00781F59">
              <w:rPr>
                <w:sz w:val="20"/>
                <w:szCs w:val="20"/>
              </w:rPr>
              <w:t>Ineligible exposure (e-cigarettes)</w:t>
            </w:r>
          </w:p>
        </w:tc>
      </w:tr>
      <w:tr w:rsidR="007F0AE0" w:rsidRPr="00781F59" w14:paraId="1A3BC2B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6D338A" w14:textId="77777777" w:rsidR="007F0AE0" w:rsidRPr="00781F59" w:rsidRDefault="007F0AE0" w:rsidP="00453DE3">
            <w:pPr>
              <w:contextualSpacing/>
              <w:rPr>
                <w:sz w:val="20"/>
                <w:szCs w:val="20"/>
              </w:rPr>
            </w:pPr>
            <w:r w:rsidRPr="00781F59">
              <w:rPr>
                <w:sz w:val="20"/>
                <w:szCs w:val="20"/>
              </w:rPr>
              <w:t>17</w:t>
            </w:r>
          </w:p>
        </w:tc>
        <w:tc>
          <w:tcPr>
            <w:tcW w:w="0" w:type="auto"/>
            <w:tcBorders>
              <w:top w:val="single" w:sz="6" w:space="0" w:color="auto"/>
              <w:left w:val="single" w:sz="6" w:space="0" w:color="auto"/>
              <w:bottom w:val="single" w:sz="6" w:space="0" w:color="auto"/>
              <w:right w:val="single" w:sz="6" w:space="0" w:color="auto"/>
            </w:tcBorders>
            <w:hideMark/>
          </w:tcPr>
          <w:p w14:paraId="585F1E7B" w14:textId="77777777" w:rsidR="007F0AE0" w:rsidRPr="00781F59" w:rsidRDefault="007F0AE0" w:rsidP="00453DE3">
            <w:pPr>
              <w:contextualSpacing/>
              <w:rPr>
                <w:sz w:val="20"/>
                <w:szCs w:val="20"/>
              </w:rPr>
            </w:pPr>
            <w:r w:rsidRPr="00781F59">
              <w:rPr>
                <w:sz w:val="20"/>
                <w:szCs w:val="20"/>
              </w:rPr>
              <w:t>Stanfill S.B.,Croucher R.E.,Gupta P.C.,Lisko J.G.,Lawler T.S.,Kuklenyik P.,Dahiya M.,Duncan B.,Kimbrell J.B.,Peuchen E.H.,Watson C.H. 2018 Chemical characterization of smokeless tobacco products from South Asia: Nicotine, unprotonated nicotine, tobacco-specific N'-Nitrosamines, and flavor compounds. Food and Chemical Toxicology; 118.626.</w:t>
            </w:r>
          </w:p>
        </w:tc>
        <w:tc>
          <w:tcPr>
            <w:tcW w:w="0" w:type="auto"/>
            <w:tcBorders>
              <w:top w:val="single" w:sz="6" w:space="0" w:color="auto"/>
              <w:left w:val="single" w:sz="6" w:space="0" w:color="auto"/>
              <w:bottom w:val="single" w:sz="6" w:space="0" w:color="auto"/>
              <w:right w:val="single" w:sz="6" w:space="0" w:color="auto"/>
            </w:tcBorders>
            <w:hideMark/>
          </w:tcPr>
          <w:p w14:paraId="54213D5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26A458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AAE871" w14:textId="77777777" w:rsidR="007F0AE0" w:rsidRPr="00781F59" w:rsidRDefault="007F0AE0" w:rsidP="00453DE3">
            <w:pPr>
              <w:contextualSpacing/>
              <w:rPr>
                <w:sz w:val="20"/>
                <w:szCs w:val="20"/>
              </w:rPr>
            </w:pPr>
            <w:r w:rsidRPr="00781F59">
              <w:rPr>
                <w:sz w:val="20"/>
                <w:szCs w:val="20"/>
              </w:rPr>
              <w:t>20</w:t>
            </w:r>
          </w:p>
        </w:tc>
        <w:tc>
          <w:tcPr>
            <w:tcW w:w="0" w:type="auto"/>
            <w:tcBorders>
              <w:top w:val="single" w:sz="6" w:space="0" w:color="auto"/>
              <w:left w:val="single" w:sz="6" w:space="0" w:color="auto"/>
              <w:bottom w:val="single" w:sz="6" w:space="0" w:color="auto"/>
              <w:right w:val="single" w:sz="6" w:space="0" w:color="auto"/>
            </w:tcBorders>
            <w:hideMark/>
          </w:tcPr>
          <w:p w14:paraId="14A3DC5E" w14:textId="77777777" w:rsidR="007F0AE0" w:rsidRPr="00781F59" w:rsidRDefault="007F0AE0" w:rsidP="00453DE3">
            <w:pPr>
              <w:contextualSpacing/>
              <w:rPr>
                <w:sz w:val="20"/>
                <w:szCs w:val="20"/>
              </w:rPr>
            </w:pPr>
            <w:r w:rsidRPr="00781F59">
              <w:rPr>
                <w:sz w:val="20"/>
                <w:szCs w:val="20"/>
              </w:rPr>
              <w:t>Schneller L.M.,McIntosh S.,Li D.,Rahman I.,Ossip D.,Goniewicz M.,O'Connor R.J. 2018 Tobacco use and chemosensory impairments among current adult tobacco users in the US: Data from NHANES 2013-2014. Tobacco Induced Diseases; 16.94202.</w:t>
            </w:r>
          </w:p>
        </w:tc>
        <w:tc>
          <w:tcPr>
            <w:tcW w:w="0" w:type="auto"/>
            <w:tcBorders>
              <w:top w:val="single" w:sz="6" w:space="0" w:color="auto"/>
              <w:left w:val="single" w:sz="6" w:space="0" w:color="auto"/>
              <w:bottom w:val="single" w:sz="6" w:space="0" w:color="auto"/>
              <w:right w:val="single" w:sz="6" w:space="0" w:color="auto"/>
            </w:tcBorders>
            <w:hideMark/>
          </w:tcPr>
          <w:p w14:paraId="6D49C72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2626FB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FA8A4A" w14:textId="77777777" w:rsidR="007F0AE0" w:rsidRPr="00781F59" w:rsidRDefault="007F0AE0" w:rsidP="00453DE3">
            <w:pPr>
              <w:contextualSpacing/>
              <w:rPr>
                <w:sz w:val="20"/>
                <w:szCs w:val="20"/>
              </w:rPr>
            </w:pPr>
            <w:r w:rsidRPr="00781F59">
              <w:rPr>
                <w:sz w:val="20"/>
                <w:szCs w:val="20"/>
              </w:rPr>
              <w:t>25</w:t>
            </w:r>
          </w:p>
        </w:tc>
        <w:tc>
          <w:tcPr>
            <w:tcW w:w="0" w:type="auto"/>
            <w:tcBorders>
              <w:top w:val="single" w:sz="6" w:space="0" w:color="auto"/>
              <w:left w:val="single" w:sz="6" w:space="0" w:color="auto"/>
              <w:bottom w:val="single" w:sz="6" w:space="0" w:color="auto"/>
              <w:right w:val="single" w:sz="6" w:space="0" w:color="auto"/>
            </w:tcBorders>
            <w:hideMark/>
          </w:tcPr>
          <w:p w14:paraId="0397F37B" w14:textId="77777777" w:rsidR="007F0AE0" w:rsidRPr="00781F59" w:rsidRDefault="007F0AE0" w:rsidP="00453DE3">
            <w:pPr>
              <w:contextualSpacing/>
              <w:rPr>
                <w:sz w:val="20"/>
                <w:szCs w:val="20"/>
              </w:rPr>
            </w:pPr>
            <w:r w:rsidRPr="00781F59">
              <w:rPr>
                <w:sz w:val="20"/>
                <w:szCs w:val="20"/>
              </w:rPr>
              <w:t>Kong A.Y.,Golden S.D.,Berger M.T. 2018 An intersectional approach to the menthol cigarette problem: what's race(ism) got to do with it?. Critical Public Health; .1.</w:t>
            </w:r>
          </w:p>
        </w:tc>
        <w:tc>
          <w:tcPr>
            <w:tcW w:w="0" w:type="auto"/>
            <w:tcBorders>
              <w:top w:val="single" w:sz="6" w:space="0" w:color="auto"/>
              <w:left w:val="single" w:sz="6" w:space="0" w:color="auto"/>
              <w:bottom w:val="single" w:sz="6" w:space="0" w:color="auto"/>
              <w:right w:val="single" w:sz="6" w:space="0" w:color="auto"/>
            </w:tcBorders>
            <w:hideMark/>
          </w:tcPr>
          <w:p w14:paraId="77646AC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256C92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649904" w14:textId="77777777" w:rsidR="007F0AE0" w:rsidRPr="00781F59" w:rsidRDefault="007F0AE0" w:rsidP="00453DE3">
            <w:pPr>
              <w:contextualSpacing/>
              <w:rPr>
                <w:sz w:val="20"/>
                <w:szCs w:val="20"/>
              </w:rPr>
            </w:pPr>
            <w:r w:rsidRPr="00781F59">
              <w:rPr>
                <w:sz w:val="20"/>
                <w:szCs w:val="20"/>
              </w:rPr>
              <w:t>27</w:t>
            </w:r>
          </w:p>
        </w:tc>
        <w:tc>
          <w:tcPr>
            <w:tcW w:w="0" w:type="auto"/>
            <w:tcBorders>
              <w:top w:val="single" w:sz="6" w:space="0" w:color="auto"/>
              <w:left w:val="single" w:sz="6" w:space="0" w:color="auto"/>
              <w:bottom w:val="single" w:sz="6" w:space="0" w:color="auto"/>
              <w:right w:val="single" w:sz="6" w:space="0" w:color="auto"/>
            </w:tcBorders>
            <w:hideMark/>
          </w:tcPr>
          <w:p w14:paraId="2F4F30FB" w14:textId="77777777" w:rsidR="007F0AE0" w:rsidRPr="00781F59" w:rsidRDefault="007F0AE0" w:rsidP="00453DE3">
            <w:pPr>
              <w:contextualSpacing/>
              <w:rPr>
                <w:sz w:val="20"/>
                <w:szCs w:val="20"/>
              </w:rPr>
            </w:pPr>
            <w:r w:rsidRPr="00781F59">
              <w:rPr>
                <w:sz w:val="20"/>
                <w:szCs w:val="20"/>
              </w:rPr>
              <w:t>Rath J.M.,Greenberg M.,Pitzer L.,Emelle B.,Green M.,Liu S.,Willett J.,Rose S.W.,Hair E.C.,Vallone D. 2018 The association between menthol perceptions and support for a policy ban among US smokers. Ethnicity and Disease; 28.177.</w:t>
            </w:r>
          </w:p>
        </w:tc>
        <w:tc>
          <w:tcPr>
            <w:tcW w:w="0" w:type="auto"/>
            <w:tcBorders>
              <w:top w:val="single" w:sz="6" w:space="0" w:color="auto"/>
              <w:left w:val="single" w:sz="6" w:space="0" w:color="auto"/>
              <w:bottom w:val="single" w:sz="6" w:space="0" w:color="auto"/>
              <w:right w:val="single" w:sz="6" w:space="0" w:color="auto"/>
            </w:tcBorders>
            <w:hideMark/>
          </w:tcPr>
          <w:p w14:paraId="0C16D0D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60EE14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6EEEF3" w14:textId="77777777" w:rsidR="007F0AE0" w:rsidRPr="00781F59" w:rsidRDefault="007F0AE0" w:rsidP="00453DE3">
            <w:pPr>
              <w:contextualSpacing/>
              <w:rPr>
                <w:sz w:val="20"/>
                <w:szCs w:val="20"/>
              </w:rPr>
            </w:pPr>
            <w:r w:rsidRPr="00781F59">
              <w:rPr>
                <w:sz w:val="20"/>
                <w:szCs w:val="20"/>
              </w:rPr>
              <w:t>36</w:t>
            </w:r>
          </w:p>
        </w:tc>
        <w:tc>
          <w:tcPr>
            <w:tcW w:w="0" w:type="auto"/>
            <w:tcBorders>
              <w:top w:val="single" w:sz="6" w:space="0" w:color="auto"/>
              <w:left w:val="single" w:sz="6" w:space="0" w:color="auto"/>
              <w:bottom w:val="single" w:sz="6" w:space="0" w:color="auto"/>
              <w:right w:val="single" w:sz="6" w:space="0" w:color="auto"/>
            </w:tcBorders>
            <w:hideMark/>
          </w:tcPr>
          <w:p w14:paraId="58D1B2B3" w14:textId="77777777" w:rsidR="007F0AE0" w:rsidRPr="00781F59" w:rsidRDefault="007F0AE0" w:rsidP="00453DE3">
            <w:pPr>
              <w:contextualSpacing/>
              <w:rPr>
                <w:sz w:val="20"/>
                <w:szCs w:val="20"/>
              </w:rPr>
            </w:pPr>
            <w:r w:rsidRPr="00781F59">
              <w:rPr>
                <w:sz w:val="20"/>
                <w:szCs w:val="20"/>
              </w:rPr>
              <w:t>White W.B. 2018 Menthol cigarette use and subclinical cardiovascular disease in african americans in the jackson heart study. Circulation; 137.</w:t>
            </w:r>
          </w:p>
        </w:tc>
        <w:tc>
          <w:tcPr>
            <w:tcW w:w="0" w:type="auto"/>
            <w:tcBorders>
              <w:top w:val="single" w:sz="6" w:space="0" w:color="auto"/>
              <w:left w:val="single" w:sz="6" w:space="0" w:color="auto"/>
              <w:bottom w:val="single" w:sz="6" w:space="0" w:color="auto"/>
              <w:right w:val="single" w:sz="6" w:space="0" w:color="auto"/>
            </w:tcBorders>
            <w:hideMark/>
          </w:tcPr>
          <w:p w14:paraId="7FC14F5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6B4A60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E44A42" w14:textId="77777777" w:rsidR="007F0AE0" w:rsidRPr="00781F59" w:rsidRDefault="007F0AE0" w:rsidP="00453DE3">
            <w:pPr>
              <w:contextualSpacing/>
              <w:rPr>
                <w:sz w:val="20"/>
                <w:szCs w:val="20"/>
              </w:rPr>
            </w:pPr>
            <w:r w:rsidRPr="00781F59">
              <w:rPr>
                <w:sz w:val="20"/>
                <w:szCs w:val="20"/>
              </w:rPr>
              <w:t>37</w:t>
            </w:r>
          </w:p>
        </w:tc>
        <w:tc>
          <w:tcPr>
            <w:tcW w:w="0" w:type="auto"/>
            <w:tcBorders>
              <w:top w:val="single" w:sz="6" w:space="0" w:color="auto"/>
              <w:left w:val="single" w:sz="6" w:space="0" w:color="auto"/>
              <w:bottom w:val="single" w:sz="6" w:space="0" w:color="auto"/>
              <w:right w:val="single" w:sz="6" w:space="0" w:color="auto"/>
            </w:tcBorders>
            <w:hideMark/>
          </w:tcPr>
          <w:p w14:paraId="1801C967" w14:textId="77777777" w:rsidR="007F0AE0" w:rsidRPr="00781F59" w:rsidRDefault="007F0AE0" w:rsidP="00453DE3">
            <w:pPr>
              <w:contextualSpacing/>
              <w:rPr>
                <w:sz w:val="20"/>
                <w:szCs w:val="20"/>
              </w:rPr>
            </w:pPr>
            <w:r w:rsidRPr="00781F59">
              <w:rPr>
                <w:sz w:val="20"/>
                <w:szCs w:val="20"/>
              </w:rPr>
              <w:t>McKelvey K.,Halpern-Felsher B.,Lazaro A. 2018 Youth-ascribed cigarette pack color meaning: Correct perceptions of green menthol flavor color, yet confusion over other colors. Journal of Adolescent Health; 62.S137.</w:t>
            </w:r>
          </w:p>
        </w:tc>
        <w:tc>
          <w:tcPr>
            <w:tcW w:w="0" w:type="auto"/>
            <w:tcBorders>
              <w:top w:val="single" w:sz="6" w:space="0" w:color="auto"/>
              <w:left w:val="single" w:sz="6" w:space="0" w:color="auto"/>
              <w:bottom w:val="single" w:sz="6" w:space="0" w:color="auto"/>
              <w:right w:val="single" w:sz="6" w:space="0" w:color="auto"/>
            </w:tcBorders>
            <w:hideMark/>
          </w:tcPr>
          <w:p w14:paraId="17983EF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0338F3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525700" w14:textId="77777777" w:rsidR="007F0AE0" w:rsidRPr="00781F59" w:rsidRDefault="007F0AE0" w:rsidP="00453DE3">
            <w:pPr>
              <w:contextualSpacing/>
              <w:rPr>
                <w:sz w:val="20"/>
                <w:szCs w:val="20"/>
              </w:rPr>
            </w:pPr>
            <w:r w:rsidRPr="00781F59">
              <w:rPr>
                <w:sz w:val="20"/>
                <w:szCs w:val="20"/>
              </w:rPr>
              <w:t>42</w:t>
            </w:r>
          </w:p>
        </w:tc>
        <w:tc>
          <w:tcPr>
            <w:tcW w:w="0" w:type="auto"/>
            <w:tcBorders>
              <w:top w:val="single" w:sz="6" w:space="0" w:color="auto"/>
              <w:left w:val="single" w:sz="6" w:space="0" w:color="auto"/>
              <w:bottom w:val="single" w:sz="6" w:space="0" w:color="auto"/>
              <w:right w:val="single" w:sz="6" w:space="0" w:color="auto"/>
            </w:tcBorders>
            <w:hideMark/>
          </w:tcPr>
          <w:p w14:paraId="40E06986" w14:textId="77777777" w:rsidR="007F0AE0" w:rsidRPr="00781F59" w:rsidRDefault="007F0AE0" w:rsidP="00453DE3">
            <w:pPr>
              <w:contextualSpacing/>
              <w:rPr>
                <w:sz w:val="20"/>
                <w:szCs w:val="20"/>
              </w:rPr>
            </w:pPr>
            <w:r w:rsidRPr="00781F59">
              <w:rPr>
                <w:sz w:val="20"/>
                <w:szCs w:val="20"/>
              </w:rPr>
              <w:t>Folan P.,Abramova R.,Fardellone C.,Neptune E.,Soc</w:t>
            </w:r>
            <w:r>
              <w:rPr>
                <w:sz w:val="20"/>
                <w:szCs w:val="20"/>
              </w:rPr>
              <w:t>krider M. 2017 Atient education</w:t>
            </w:r>
            <w:r w:rsidRPr="00781F59">
              <w:rPr>
                <w:sz w:val="20"/>
                <w:szCs w:val="20"/>
              </w:rPr>
              <w:t>, Information series: What is menthol?. American Journal of Respiratory and Critical Care Medicine; 196.P9.</w:t>
            </w:r>
          </w:p>
        </w:tc>
        <w:tc>
          <w:tcPr>
            <w:tcW w:w="0" w:type="auto"/>
            <w:tcBorders>
              <w:top w:val="single" w:sz="6" w:space="0" w:color="auto"/>
              <w:left w:val="single" w:sz="6" w:space="0" w:color="auto"/>
              <w:bottom w:val="single" w:sz="6" w:space="0" w:color="auto"/>
              <w:right w:val="single" w:sz="6" w:space="0" w:color="auto"/>
            </w:tcBorders>
            <w:hideMark/>
          </w:tcPr>
          <w:p w14:paraId="7C3D214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5BB6A5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092D54" w14:textId="77777777" w:rsidR="007F0AE0" w:rsidRPr="00781F59" w:rsidRDefault="007F0AE0" w:rsidP="00453DE3">
            <w:pPr>
              <w:contextualSpacing/>
              <w:rPr>
                <w:sz w:val="20"/>
                <w:szCs w:val="20"/>
              </w:rPr>
            </w:pPr>
            <w:r w:rsidRPr="00781F59">
              <w:rPr>
                <w:sz w:val="20"/>
                <w:szCs w:val="20"/>
              </w:rPr>
              <w:t>43</w:t>
            </w:r>
          </w:p>
        </w:tc>
        <w:tc>
          <w:tcPr>
            <w:tcW w:w="0" w:type="auto"/>
            <w:tcBorders>
              <w:top w:val="single" w:sz="6" w:space="0" w:color="auto"/>
              <w:left w:val="single" w:sz="6" w:space="0" w:color="auto"/>
              <w:bottom w:val="single" w:sz="6" w:space="0" w:color="auto"/>
              <w:right w:val="single" w:sz="6" w:space="0" w:color="auto"/>
            </w:tcBorders>
            <w:hideMark/>
          </w:tcPr>
          <w:p w14:paraId="2C1CEA40" w14:textId="77777777" w:rsidR="007F0AE0" w:rsidRPr="00781F59" w:rsidRDefault="007F0AE0" w:rsidP="00453DE3">
            <w:pPr>
              <w:contextualSpacing/>
              <w:rPr>
                <w:sz w:val="20"/>
                <w:szCs w:val="20"/>
              </w:rPr>
            </w:pPr>
            <w:r w:rsidRPr="00781F59">
              <w:rPr>
                <w:sz w:val="20"/>
                <w:szCs w:val="20"/>
              </w:rPr>
              <w:t>Farber H.J.,Folan P. 2017 The tobacco industry targets youth. American Journal of Respiratory and Critical Care Medicine; 196.11.</w:t>
            </w:r>
          </w:p>
        </w:tc>
        <w:tc>
          <w:tcPr>
            <w:tcW w:w="0" w:type="auto"/>
            <w:tcBorders>
              <w:top w:val="single" w:sz="6" w:space="0" w:color="auto"/>
              <w:left w:val="single" w:sz="6" w:space="0" w:color="auto"/>
              <w:bottom w:val="single" w:sz="6" w:space="0" w:color="auto"/>
              <w:right w:val="single" w:sz="6" w:space="0" w:color="auto"/>
            </w:tcBorders>
            <w:hideMark/>
          </w:tcPr>
          <w:p w14:paraId="6C5360F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F1926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EACB65" w14:textId="77777777" w:rsidR="007F0AE0" w:rsidRPr="00781F59" w:rsidRDefault="007F0AE0" w:rsidP="00453DE3">
            <w:pPr>
              <w:contextualSpacing/>
              <w:rPr>
                <w:sz w:val="20"/>
                <w:szCs w:val="20"/>
              </w:rPr>
            </w:pPr>
            <w:r w:rsidRPr="00781F59">
              <w:rPr>
                <w:sz w:val="20"/>
                <w:szCs w:val="20"/>
              </w:rPr>
              <w:t>44</w:t>
            </w:r>
          </w:p>
        </w:tc>
        <w:tc>
          <w:tcPr>
            <w:tcW w:w="0" w:type="auto"/>
            <w:tcBorders>
              <w:top w:val="single" w:sz="6" w:space="0" w:color="auto"/>
              <w:left w:val="single" w:sz="6" w:space="0" w:color="auto"/>
              <w:bottom w:val="single" w:sz="6" w:space="0" w:color="auto"/>
              <w:right w:val="single" w:sz="6" w:space="0" w:color="auto"/>
            </w:tcBorders>
            <w:hideMark/>
          </w:tcPr>
          <w:p w14:paraId="7789A1FA" w14:textId="77777777" w:rsidR="007F0AE0" w:rsidRPr="00781F59" w:rsidRDefault="007F0AE0" w:rsidP="00453DE3">
            <w:pPr>
              <w:contextualSpacing/>
              <w:rPr>
                <w:sz w:val="20"/>
                <w:szCs w:val="20"/>
              </w:rPr>
            </w:pPr>
            <w:r w:rsidRPr="00781F59">
              <w:rPr>
                <w:sz w:val="20"/>
                <w:szCs w:val="20"/>
              </w:rPr>
              <w:t>Munafo M. 2016 Understanding the role of additives in tobacco products. Nicotine and Tobacco Research; 18.1545.</w:t>
            </w:r>
          </w:p>
        </w:tc>
        <w:tc>
          <w:tcPr>
            <w:tcW w:w="0" w:type="auto"/>
            <w:tcBorders>
              <w:top w:val="single" w:sz="6" w:space="0" w:color="auto"/>
              <w:left w:val="single" w:sz="6" w:space="0" w:color="auto"/>
              <w:bottom w:val="single" w:sz="6" w:space="0" w:color="auto"/>
              <w:right w:val="single" w:sz="6" w:space="0" w:color="auto"/>
            </w:tcBorders>
            <w:hideMark/>
          </w:tcPr>
          <w:p w14:paraId="7617EE2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5960B6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D4300F" w14:textId="77777777" w:rsidR="007F0AE0" w:rsidRPr="00781F59" w:rsidRDefault="007F0AE0" w:rsidP="00453DE3">
            <w:pPr>
              <w:contextualSpacing/>
              <w:rPr>
                <w:sz w:val="20"/>
                <w:szCs w:val="20"/>
              </w:rPr>
            </w:pPr>
            <w:r w:rsidRPr="00781F59">
              <w:rPr>
                <w:sz w:val="20"/>
                <w:szCs w:val="20"/>
              </w:rPr>
              <w:t>45</w:t>
            </w:r>
          </w:p>
        </w:tc>
        <w:tc>
          <w:tcPr>
            <w:tcW w:w="0" w:type="auto"/>
            <w:tcBorders>
              <w:top w:val="single" w:sz="6" w:space="0" w:color="auto"/>
              <w:left w:val="single" w:sz="6" w:space="0" w:color="auto"/>
              <w:bottom w:val="single" w:sz="6" w:space="0" w:color="auto"/>
              <w:right w:val="single" w:sz="6" w:space="0" w:color="auto"/>
            </w:tcBorders>
            <w:hideMark/>
          </w:tcPr>
          <w:p w14:paraId="314489AA" w14:textId="77777777" w:rsidR="007F0AE0" w:rsidRPr="00781F59" w:rsidRDefault="007F0AE0" w:rsidP="00453DE3">
            <w:pPr>
              <w:contextualSpacing/>
              <w:rPr>
                <w:sz w:val="20"/>
                <w:szCs w:val="20"/>
              </w:rPr>
            </w:pPr>
            <w:r w:rsidRPr="00781F59">
              <w:rPr>
                <w:sz w:val="20"/>
                <w:szCs w:val="20"/>
              </w:rPr>
              <w:t>Warner K.E.,Schroeder S.A. 2017 FDA's innovative plan to address the enormous toll of smoking. JAMA - Journal of the American Medical Association; 318.1755.</w:t>
            </w:r>
          </w:p>
        </w:tc>
        <w:tc>
          <w:tcPr>
            <w:tcW w:w="0" w:type="auto"/>
            <w:tcBorders>
              <w:top w:val="single" w:sz="6" w:space="0" w:color="auto"/>
              <w:left w:val="single" w:sz="6" w:space="0" w:color="auto"/>
              <w:bottom w:val="single" w:sz="6" w:space="0" w:color="auto"/>
              <w:right w:val="single" w:sz="6" w:space="0" w:color="auto"/>
            </w:tcBorders>
            <w:hideMark/>
          </w:tcPr>
          <w:p w14:paraId="2D620CE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DEA51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414B10" w14:textId="77777777" w:rsidR="007F0AE0" w:rsidRPr="00781F59" w:rsidRDefault="007F0AE0" w:rsidP="00453DE3">
            <w:pPr>
              <w:contextualSpacing/>
              <w:rPr>
                <w:sz w:val="20"/>
                <w:szCs w:val="20"/>
              </w:rPr>
            </w:pPr>
            <w:r w:rsidRPr="00781F59">
              <w:rPr>
                <w:sz w:val="20"/>
                <w:szCs w:val="20"/>
              </w:rPr>
              <w:t>49</w:t>
            </w:r>
          </w:p>
        </w:tc>
        <w:tc>
          <w:tcPr>
            <w:tcW w:w="0" w:type="auto"/>
            <w:tcBorders>
              <w:top w:val="single" w:sz="6" w:space="0" w:color="auto"/>
              <w:left w:val="single" w:sz="6" w:space="0" w:color="auto"/>
              <w:bottom w:val="single" w:sz="6" w:space="0" w:color="auto"/>
              <w:right w:val="single" w:sz="6" w:space="0" w:color="auto"/>
            </w:tcBorders>
            <w:hideMark/>
          </w:tcPr>
          <w:p w14:paraId="4BE95EF5" w14:textId="77777777" w:rsidR="007F0AE0" w:rsidRPr="00781F59" w:rsidRDefault="007F0AE0" w:rsidP="00453DE3">
            <w:pPr>
              <w:contextualSpacing/>
              <w:rPr>
                <w:sz w:val="20"/>
                <w:szCs w:val="20"/>
              </w:rPr>
            </w:pPr>
            <w:r w:rsidRPr="00781F59">
              <w:rPr>
                <w:sz w:val="20"/>
                <w:szCs w:val="20"/>
              </w:rPr>
              <w:t>Montgomery L.T. 2017 Mentholated cigarette use among African American women and men: What's blunt smoking got to do with it?. Drug and Alcohol Dependence; 171.e148.</w:t>
            </w:r>
          </w:p>
        </w:tc>
        <w:tc>
          <w:tcPr>
            <w:tcW w:w="0" w:type="auto"/>
            <w:tcBorders>
              <w:top w:val="single" w:sz="6" w:space="0" w:color="auto"/>
              <w:left w:val="single" w:sz="6" w:space="0" w:color="auto"/>
              <w:bottom w:val="single" w:sz="6" w:space="0" w:color="auto"/>
              <w:right w:val="single" w:sz="6" w:space="0" w:color="auto"/>
            </w:tcBorders>
            <w:hideMark/>
          </w:tcPr>
          <w:p w14:paraId="52ECB50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E01A0A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3BA719" w14:textId="77777777" w:rsidR="007F0AE0" w:rsidRPr="00781F59" w:rsidRDefault="007F0AE0" w:rsidP="00453DE3">
            <w:pPr>
              <w:contextualSpacing/>
              <w:rPr>
                <w:sz w:val="20"/>
                <w:szCs w:val="20"/>
              </w:rPr>
            </w:pPr>
            <w:r w:rsidRPr="00781F59">
              <w:rPr>
                <w:sz w:val="20"/>
                <w:szCs w:val="20"/>
              </w:rPr>
              <w:t>59</w:t>
            </w:r>
          </w:p>
        </w:tc>
        <w:tc>
          <w:tcPr>
            <w:tcW w:w="0" w:type="auto"/>
            <w:tcBorders>
              <w:top w:val="single" w:sz="6" w:space="0" w:color="auto"/>
              <w:left w:val="single" w:sz="6" w:space="0" w:color="auto"/>
              <w:bottom w:val="single" w:sz="6" w:space="0" w:color="auto"/>
              <w:right w:val="single" w:sz="6" w:space="0" w:color="auto"/>
            </w:tcBorders>
            <w:hideMark/>
          </w:tcPr>
          <w:p w14:paraId="688608F3" w14:textId="77777777" w:rsidR="007F0AE0" w:rsidRPr="00781F59" w:rsidRDefault="007F0AE0" w:rsidP="00453DE3">
            <w:pPr>
              <w:contextualSpacing/>
              <w:rPr>
                <w:sz w:val="20"/>
                <w:szCs w:val="20"/>
              </w:rPr>
            </w:pPr>
            <w:r w:rsidRPr="00781F59">
              <w:rPr>
                <w:sz w:val="20"/>
                <w:szCs w:val="20"/>
              </w:rPr>
              <w:t>Anonymous. 2016 A growing gulf in the terrain of tobacco control. The Lancet; 387.2163.</w:t>
            </w:r>
          </w:p>
        </w:tc>
        <w:tc>
          <w:tcPr>
            <w:tcW w:w="0" w:type="auto"/>
            <w:tcBorders>
              <w:top w:val="single" w:sz="6" w:space="0" w:color="auto"/>
              <w:left w:val="single" w:sz="6" w:space="0" w:color="auto"/>
              <w:bottom w:val="single" w:sz="6" w:space="0" w:color="auto"/>
              <w:right w:val="single" w:sz="6" w:space="0" w:color="auto"/>
            </w:tcBorders>
            <w:hideMark/>
          </w:tcPr>
          <w:p w14:paraId="79124C2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A5DB8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F7E2BEC" w14:textId="77777777" w:rsidR="007F0AE0" w:rsidRPr="00781F59" w:rsidRDefault="007F0AE0" w:rsidP="00453DE3">
            <w:pPr>
              <w:contextualSpacing/>
              <w:rPr>
                <w:sz w:val="20"/>
                <w:szCs w:val="20"/>
              </w:rPr>
            </w:pPr>
            <w:r w:rsidRPr="00781F59">
              <w:rPr>
                <w:sz w:val="20"/>
                <w:szCs w:val="20"/>
              </w:rPr>
              <w:t>60</w:t>
            </w:r>
          </w:p>
        </w:tc>
        <w:tc>
          <w:tcPr>
            <w:tcW w:w="0" w:type="auto"/>
            <w:tcBorders>
              <w:top w:val="single" w:sz="6" w:space="0" w:color="auto"/>
              <w:left w:val="single" w:sz="6" w:space="0" w:color="auto"/>
              <w:bottom w:val="single" w:sz="6" w:space="0" w:color="auto"/>
              <w:right w:val="single" w:sz="6" w:space="0" w:color="auto"/>
            </w:tcBorders>
            <w:hideMark/>
          </w:tcPr>
          <w:p w14:paraId="1667C81D" w14:textId="77777777" w:rsidR="007F0AE0" w:rsidRPr="00781F59" w:rsidRDefault="007F0AE0" w:rsidP="00453DE3">
            <w:pPr>
              <w:contextualSpacing/>
              <w:rPr>
                <w:sz w:val="20"/>
                <w:szCs w:val="20"/>
              </w:rPr>
            </w:pPr>
            <w:r w:rsidRPr="00781F59">
              <w:rPr>
                <w:sz w:val="20"/>
                <w:szCs w:val="20"/>
              </w:rPr>
              <w:t>Meier E.,Vogel R.I.,O'Connor R.J.,Severson H.H.,Shields P.G.,Hatsukami D.K. 2016 Preference for flavored noncombustible nicotine products among smokers motivated to switch from cigarettes. Nicotine and Tobacco Research; 18.892.</w:t>
            </w:r>
          </w:p>
        </w:tc>
        <w:tc>
          <w:tcPr>
            <w:tcW w:w="0" w:type="auto"/>
            <w:tcBorders>
              <w:top w:val="single" w:sz="6" w:space="0" w:color="auto"/>
              <w:left w:val="single" w:sz="6" w:space="0" w:color="auto"/>
              <w:bottom w:val="single" w:sz="6" w:space="0" w:color="auto"/>
              <w:right w:val="single" w:sz="6" w:space="0" w:color="auto"/>
            </w:tcBorders>
            <w:hideMark/>
          </w:tcPr>
          <w:p w14:paraId="2674D00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E088EC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77CD57" w14:textId="77777777" w:rsidR="007F0AE0" w:rsidRPr="00781F59" w:rsidRDefault="007F0AE0" w:rsidP="00453DE3">
            <w:pPr>
              <w:contextualSpacing/>
              <w:rPr>
                <w:sz w:val="20"/>
                <w:szCs w:val="20"/>
              </w:rPr>
            </w:pPr>
            <w:r w:rsidRPr="00781F59">
              <w:rPr>
                <w:sz w:val="20"/>
                <w:szCs w:val="20"/>
              </w:rPr>
              <w:t>62</w:t>
            </w:r>
          </w:p>
        </w:tc>
        <w:tc>
          <w:tcPr>
            <w:tcW w:w="0" w:type="auto"/>
            <w:tcBorders>
              <w:top w:val="single" w:sz="6" w:space="0" w:color="auto"/>
              <w:left w:val="single" w:sz="6" w:space="0" w:color="auto"/>
              <w:bottom w:val="single" w:sz="6" w:space="0" w:color="auto"/>
              <w:right w:val="single" w:sz="6" w:space="0" w:color="auto"/>
            </w:tcBorders>
            <w:hideMark/>
          </w:tcPr>
          <w:p w14:paraId="170D437F" w14:textId="77777777" w:rsidR="007F0AE0" w:rsidRPr="00781F59" w:rsidRDefault="007F0AE0" w:rsidP="00453DE3">
            <w:pPr>
              <w:contextualSpacing/>
              <w:rPr>
                <w:sz w:val="20"/>
                <w:szCs w:val="20"/>
              </w:rPr>
            </w:pPr>
            <w:r w:rsidRPr="00781F59">
              <w:rPr>
                <w:sz w:val="20"/>
                <w:szCs w:val="20"/>
              </w:rPr>
              <w:t>Munro H.M.,Tarone R.E.,Wang T.J.,Blot W.J. 2016 Menthol and nonmenthol cigarette smoking. Circulation; 133.1861.</w:t>
            </w:r>
          </w:p>
        </w:tc>
        <w:tc>
          <w:tcPr>
            <w:tcW w:w="0" w:type="auto"/>
            <w:tcBorders>
              <w:top w:val="single" w:sz="6" w:space="0" w:color="auto"/>
              <w:left w:val="single" w:sz="6" w:space="0" w:color="auto"/>
              <w:bottom w:val="single" w:sz="6" w:space="0" w:color="auto"/>
              <w:right w:val="single" w:sz="6" w:space="0" w:color="auto"/>
            </w:tcBorders>
            <w:hideMark/>
          </w:tcPr>
          <w:p w14:paraId="72E31E2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C7F7B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95AC64D" w14:textId="77777777" w:rsidR="007F0AE0" w:rsidRPr="00781F59" w:rsidRDefault="007F0AE0" w:rsidP="00453DE3">
            <w:pPr>
              <w:contextualSpacing/>
              <w:rPr>
                <w:sz w:val="20"/>
                <w:szCs w:val="20"/>
              </w:rPr>
            </w:pPr>
            <w:r w:rsidRPr="00781F59">
              <w:rPr>
                <w:sz w:val="20"/>
                <w:szCs w:val="20"/>
              </w:rPr>
              <w:lastRenderedPageBreak/>
              <w:t>69</w:t>
            </w:r>
          </w:p>
        </w:tc>
        <w:tc>
          <w:tcPr>
            <w:tcW w:w="0" w:type="auto"/>
            <w:tcBorders>
              <w:top w:val="single" w:sz="6" w:space="0" w:color="auto"/>
              <w:left w:val="single" w:sz="6" w:space="0" w:color="auto"/>
              <w:bottom w:val="single" w:sz="6" w:space="0" w:color="auto"/>
              <w:right w:val="single" w:sz="6" w:space="0" w:color="auto"/>
            </w:tcBorders>
            <w:hideMark/>
          </w:tcPr>
          <w:p w14:paraId="2A767FE5" w14:textId="77777777" w:rsidR="007F0AE0" w:rsidRPr="00781F59" w:rsidRDefault="007F0AE0" w:rsidP="00453DE3">
            <w:pPr>
              <w:contextualSpacing/>
              <w:rPr>
                <w:sz w:val="20"/>
                <w:szCs w:val="20"/>
              </w:rPr>
            </w:pPr>
            <w:r w:rsidRPr="00781F59">
              <w:rPr>
                <w:sz w:val="20"/>
                <w:szCs w:val="20"/>
              </w:rPr>
              <w:t>Mitchell K.A.,Zingone A.,Ryan B. 2016 Lung cancer in African Americans is characterized by histone modifying enzyme gene signatures. Cancer Epidemiology Biomarkers and Prevention; 25.</w:t>
            </w:r>
          </w:p>
        </w:tc>
        <w:tc>
          <w:tcPr>
            <w:tcW w:w="0" w:type="auto"/>
            <w:tcBorders>
              <w:top w:val="single" w:sz="6" w:space="0" w:color="auto"/>
              <w:left w:val="single" w:sz="6" w:space="0" w:color="auto"/>
              <w:bottom w:val="single" w:sz="6" w:space="0" w:color="auto"/>
              <w:right w:val="single" w:sz="6" w:space="0" w:color="auto"/>
            </w:tcBorders>
            <w:hideMark/>
          </w:tcPr>
          <w:p w14:paraId="1F153AD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4902A6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B8D526" w14:textId="77777777" w:rsidR="007F0AE0" w:rsidRPr="00781F59" w:rsidRDefault="007F0AE0" w:rsidP="00453DE3">
            <w:pPr>
              <w:contextualSpacing/>
              <w:rPr>
                <w:sz w:val="20"/>
                <w:szCs w:val="20"/>
              </w:rPr>
            </w:pPr>
            <w:r w:rsidRPr="00781F59">
              <w:rPr>
                <w:sz w:val="20"/>
                <w:szCs w:val="20"/>
              </w:rPr>
              <w:t>72</w:t>
            </w:r>
          </w:p>
        </w:tc>
        <w:tc>
          <w:tcPr>
            <w:tcW w:w="0" w:type="auto"/>
            <w:tcBorders>
              <w:top w:val="single" w:sz="6" w:space="0" w:color="auto"/>
              <w:left w:val="single" w:sz="6" w:space="0" w:color="auto"/>
              <w:bottom w:val="single" w:sz="6" w:space="0" w:color="auto"/>
              <w:right w:val="single" w:sz="6" w:space="0" w:color="auto"/>
            </w:tcBorders>
            <w:hideMark/>
          </w:tcPr>
          <w:p w14:paraId="7AD5CDD8" w14:textId="77777777" w:rsidR="007F0AE0" w:rsidRPr="00781F59" w:rsidRDefault="007F0AE0" w:rsidP="00453DE3">
            <w:pPr>
              <w:contextualSpacing/>
              <w:rPr>
                <w:sz w:val="20"/>
                <w:szCs w:val="20"/>
              </w:rPr>
            </w:pPr>
            <w:r w:rsidRPr="00781F59">
              <w:rPr>
                <w:sz w:val="20"/>
                <w:szCs w:val="20"/>
              </w:rPr>
              <w:t>Azagba S.,Minaker L.M.,Hammond D.,Manske S. 2015 Tobacco industry sponsored advocates have a different interpretation of science: a response to: Even anti-tobacco studies must be held to basic scientific standards. Cancer Causes and Control; 26.1363.</w:t>
            </w:r>
          </w:p>
        </w:tc>
        <w:tc>
          <w:tcPr>
            <w:tcW w:w="0" w:type="auto"/>
            <w:tcBorders>
              <w:top w:val="single" w:sz="6" w:space="0" w:color="auto"/>
              <w:left w:val="single" w:sz="6" w:space="0" w:color="auto"/>
              <w:bottom w:val="single" w:sz="6" w:space="0" w:color="auto"/>
              <w:right w:val="single" w:sz="6" w:space="0" w:color="auto"/>
            </w:tcBorders>
            <w:hideMark/>
          </w:tcPr>
          <w:p w14:paraId="7746DCC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699465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B8DF6E" w14:textId="77777777" w:rsidR="007F0AE0" w:rsidRPr="00781F59" w:rsidRDefault="007F0AE0" w:rsidP="00453DE3">
            <w:pPr>
              <w:contextualSpacing/>
              <w:rPr>
                <w:sz w:val="20"/>
                <w:szCs w:val="20"/>
              </w:rPr>
            </w:pPr>
            <w:r w:rsidRPr="00781F59">
              <w:rPr>
                <w:sz w:val="20"/>
                <w:szCs w:val="20"/>
              </w:rPr>
              <w:t>85</w:t>
            </w:r>
          </w:p>
        </w:tc>
        <w:tc>
          <w:tcPr>
            <w:tcW w:w="0" w:type="auto"/>
            <w:tcBorders>
              <w:top w:val="single" w:sz="6" w:space="0" w:color="auto"/>
              <w:left w:val="single" w:sz="6" w:space="0" w:color="auto"/>
              <w:bottom w:val="single" w:sz="6" w:space="0" w:color="auto"/>
              <w:right w:val="single" w:sz="6" w:space="0" w:color="auto"/>
            </w:tcBorders>
            <w:hideMark/>
          </w:tcPr>
          <w:p w14:paraId="24606996" w14:textId="77777777" w:rsidR="007F0AE0" w:rsidRPr="00781F59" w:rsidRDefault="007F0AE0" w:rsidP="00453DE3">
            <w:pPr>
              <w:contextualSpacing/>
              <w:rPr>
                <w:sz w:val="20"/>
                <w:szCs w:val="20"/>
              </w:rPr>
            </w:pPr>
            <w:r w:rsidRPr="00781F59">
              <w:rPr>
                <w:sz w:val="20"/>
                <w:szCs w:val="20"/>
              </w:rPr>
              <w:t>Chirila C.,Trofor L.,Frunza A.,Albu A.M.,Gherghesanu R.,Trofor A.C. 2015 The problem of low rate-smokers: Smoking pattern and cessation outcomes. European Respiratory Journal; 46.</w:t>
            </w:r>
          </w:p>
        </w:tc>
        <w:tc>
          <w:tcPr>
            <w:tcW w:w="0" w:type="auto"/>
            <w:tcBorders>
              <w:top w:val="single" w:sz="6" w:space="0" w:color="auto"/>
              <w:left w:val="single" w:sz="6" w:space="0" w:color="auto"/>
              <w:bottom w:val="single" w:sz="6" w:space="0" w:color="auto"/>
              <w:right w:val="single" w:sz="6" w:space="0" w:color="auto"/>
            </w:tcBorders>
            <w:hideMark/>
          </w:tcPr>
          <w:p w14:paraId="21BF652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20B725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2C4D07" w14:textId="77777777" w:rsidR="007F0AE0" w:rsidRPr="00781F59" w:rsidRDefault="007F0AE0" w:rsidP="00453DE3">
            <w:pPr>
              <w:contextualSpacing/>
              <w:rPr>
                <w:sz w:val="20"/>
                <w:szCs w:val="20"/>
              </w:rPr>
            </w:pPr>
            <w:r w:rsidRPr="00781F59">
              <w:rPr>
                <w:sz w:val="20"/>
                <w:szCs w:val="20"/>
              </w:rPr>
              <w:t>93</w:t>
            </w:r>
          </w:p>
        </w:tc>
        <w:tc>
          <w:tcPr>
            <w:tcW w:w="0" w:type="auto"/>
            <w:tcBorders>
              <w:top w:val="single" w:sz="6" w:space="0" w:color="auto"/>
              <w:left w:val="single" w:sz="6" w:space="0" w:color="auto"/>
              <w:bottom w:val="single" w:sz="6" w:space="0" w:color="auto"/>
              <w:right w:val="single" w:sz="6" w:space="0" w:color="auto"/>
            </w:tcBorders>
            <w:hideMark/>
          </w:tcPr>
          <w:p w14:paraId="1B93BBB8" w14:textId="77777777" w:rsidR="007F0AE0" w:rsidRPr="00781F59" w:rsidRDefault="007F0AE0" w:rsidP="00453DE3">
            <w:pPr>
              <w:contextualSpacing/>
              <w:rPr>
                <w:sz w:val="20"/>
                <w:szCs w:val="20"/>
              </w:rPr>
            </w:pPr>
            <w:r w:rsidRPr="00781F59">
              <w:rPr>
                <w:sz w:val="20"/>
                <w:szCs w:val="20"/>
              </w:rPr>
              <w:t>Suh Y.,Lee Y.,Lee H.,Kim S.,Choe Y.,Park S.,Bowler R.P. 2015 Relationship of menthol cigarett smoking with COPD, comorbidities, and CT metrics. American Journal of Respiratory and Critical Care Medicine; 191.</w:t>
            </w:r>
          </w:p>
        </w:tc>
        <w:tc>
          <w:tcPr>
            <w:tcW w:w="0" w:type="auto"/>
            <w:tcBorders>
              <w:top w:val="single" w:sz="6" w:space="0" w:color="auto"/>
              <w:left w:val="single" w:sz="6" w:space="0" w:color="auto"/>
              <w:bottom w:val="single" w:sz="6" w:space="0" w:color="auto"/>
              <w:right w:val="single" w:sz="6" w:space="0" w:color="auto"/>
            </w:tcBorders>
            <w:hideMark/>
          </w:tcPr>
          <w:p w14:paraId="0D9541D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8DA2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C2F4424" w14:textId="77777777" w:rsidR="007F0AE0" w:rsidRPr="00781F59" w:rsidRDefault="007F0AE0" w:rsidP="00453DE3">
            <w:pPr>
              <w:contextualSpacing/>
              <w:rPr>
                <w:sz w:val="20"/>
                <w:szCs w:val="20"/>
              </w:rPr>
            </w:pPr>
            <w:r w:rsidRPr="00781F59">
              <w:rPr>
                <w:sz w:val="20"/>
                <w:szCs w:val="20"/>
              </w:rPr>
              <w:t>94</w:t>
            </w:r>
          </w:p>
        </w:tc>
        <w:tc>
          <w:tcPr>
            <w:tcW w:w="0" w:type="auto"/>
            <w:tcBorders>
              <w:top w:val="single" w:sz="6" w:space="0" w:color="auto"/>
              <w:left w:val="single" w:sz="6" w:space="0" w:color="auto"/>
              <w:bottom w:val="single" w:sz="6" w:space="0" w:color="auto"/>
              <w:right w:val="single" w:sz="6" w:space="0" w:color="auto"/>
            </w:tcBorders>
            <w:hideMark/>
          </w:tcPr>
          <w:p w14:paraId="3C562648" w14:textId="77777777" w:rsidR="007F0AE0" w:rsidRPr="00781F59" w:rsidRDefault="007F0AE0" w:rsidP="00453DE3">
            <w:pPr>
              <w:contextualSpacing/>
              <w:rPr>
                <w:sz w:val="20"/>
                <w:szCs w:val="20"/>
              </w:rPr>
            </w:pPr>
            <w:r w:rsidRPr="00781F59">
              <w:rPr>
                <w:sz w:val="20"/>
                <w:szCs w:val="20"/>
              </w:rPr>
              <w:t>Pratt-Chapman M.,Hatcher E.,Brooks J.,Davies M. 2015 Tailoring tobacco cessation interventions for special populations served by federally qualified health centers. Psycho-Oncology; 24.50.</w:t>
            </w:r>
          </w:p>
        </w:tc>
        <w:tc>
          <w:tcPr>
            <w:tcW w:w="0" w:type="auto"/>
            <w:tcBorders>
              <w:top w:val="single" w:sz="6" w:space="0" w:color="auto"/>
              <w:left w:val="single" w:sz="6" w:space="0" w:color="auto"/>
              <w:bottom w:val="single" w:sz="6" w:space="0" w:color="auto"/>
              <w:right w:val="single" w:sz="6" w:space="0" w:color="auto"/>
            </w:tcBorders>
            <w:hideMark/>
          </w:tcPr>
          <w:p w14:paraId="50076A8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E579F6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95F406" w14:textId="77777777" w:rsidR="007F0AE0" w:rsidRPr="00781F59" w:rsidRDefault="007F0AE0" w:rsidP="00453DE3">
            <w:pPr>
              <w:contextualSpacing/>
              <w:rPr>
                <w:sz w:val="20"/>
                <w:szCs w:val="20"/>
              </w:rPr>
            </w:pPr>
            <w:r w:rsidRPr="00781F59">
              <w:rPr>
                <w:sz w:val="20"/>
                <w:szCs w:val="20"/>
              </w:rPr>
              <w:t>95</w:t>
            </w:r>
          </w:p>
        </w:tc>
        <w:tc>
          <w:tcPr>
            <w:tcW w:w="0" w:type="auto"/>
            <w:tcBorders>
              <w:top w:val="single" w:sz="6" w:space="0" w:color="auto"/>
              <w:left w:val="single" w:sz="6" w:space="0" w:color="auto"/>
              <w:bottom w:val="single" w:sz="6" w:space="0" w:color="auto"/>
              <w:right w:val="single" w:sz="6" w:space="0" w:color="auto"/>
            </w:tcBorders>
            <w:hideMark/>
          </w:tcPr>
          <w:p w14:paraId="56BF594E" w14:textId="77777777" w:rsidR="007F0AE0" w:rsidRPr="00781F59" w:rsidRDefault="007F0AE0" w:rsidP="00453DE3">
            <w:pPr>
              <w:contextualSpacing/>
              <w:rPr>
                <w:sz w:val="20"/>
                <w:szCs w:val="20"/>
              </w:rPr>
            </w:pPr>
            <w:r w:rsidRPr="00781F59">
              <w:rPr>
                <w:sz w:val="20"/>
                <w:szCs w:val="20"/>
              </w:rPr>
              <w:t>Paschke M.,Hutzler C.,Tkachenko A.,Henkler F.,Luch A. 2015 Effect of the menthol content of cigarettes on the cold-menthol receptor TRPM8. Naunyn-Schmiedeberg's Archives of Pharmacology; 388.S78.</w:t>
            </w:r>
          </w:p>
        </w:tc>
        <w:tc>
          <w:tcPr>
            <w:tcW w:w="0" w:type="auto"/>
            <w:tcBorders>
              <w:top w:val="single" w:sz="6" w:space="0" w:color="auto"/>
              <w:left w:val="single" w:sz="6" w:space="0" w:color="auto"/>
              <w:bottom w:val="single" w:sz="6" w:space="0" w:color="auto"/>
              <w:right w:val="single" w:sz="6" w:space="0" w:color="auto"/>
            </w:tcBorders>
            <w:hideMark/>
          </w:tcPr>
          <w:p w14:paraId="05D1D7F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7C986A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8C4AB3" w14:textId="77777777" w:rsidR="007F0AE0" w:rsidRPr="00781F59" w:rsidRDefault="007F0AE0" w:rsidP="00453DE3">
            <w:pPr>
              <w:contextualSpacing/>
              <w:rPr>
                <w:sz w:val="20"/>
                <w:szCs w:val="20"/>
              </w:rPr>
            </w:pPr>
            <w:r w:rsidRPr="00781F59">
              <w:rPr>
                <w:sz w:val="20"/>
                <w:szCs w:val="20"/>
              </w:rPr>
              <w:t>101</w:t>
            </w:r>
          </w:p>
        </w:tc>
        <w:tc>
          <w:tcPr>
            <w:tcW w:w="0" w:type="auto"/>
            <w:tcBorders>
              <w:top w:val="single" w:sz="6" w:space="0" w:color="auto"/>
              <w:left w:val="single" w:sz="6" w:space="0" w:color="auto"/>
              <w:bottom w:val="single" w:sz="6" w:space="0" w:color="auto"/>
              <w:right w:val="single" w:sz="6" w:space="0" w:color="auto"/>
            </w:tcBorders>
            <w:hideMark/>
          </w:tcPr>
          <w:p w14:paraId="3B1AAC04" w14:textId="77777777" w:rsidR="007F0AE0" w:rsidRPr="00781F59" w:rsidRDefault="007F0AE0" w:rsidP="00453DE3">
            <w:pPr>
              <w:contextualSpacing/>
              <w:rPr>
                <w:sz w:val="20"/>
                <w:szCs w:val="20"/>
              </w:rPr>
            </w:pPr>
            <w:r w:rsidRPr="00781F59">
              <w:rPr>
                <w:sz w:val="20"/>
                <w:szCs w:val="20"/>
              </w:rPr>
              <w:t>Cunningham R. 2014 Prohibitions/restrictions on flavoured tobacco products: Updated overview of international developments. Asia-Pacific Journal of Clinical Oncology; 10.182.</w:t>
            </w:r>
          </w:p>
        </w:tc>
        <w:tc>
          <w:tcPr>
            <w:tcW w:w="0" w:type="auto"/>
            <w:tcBorders>
              <w:top w:val="single" w:sz="6" w:space="0" w:color="auto"/>
              <w:left w:val="single" w:sz="6" w:space="0" w:color="auto"/>
              <w:bottom w:val="single" w:sz="6" w:space="0" w:color="auto"/>
              <w:right w:val="single" w:sz="6" w:space="0" w:color="auto"/>
            </w:tcBorders>
            <w:hideMark/>
          </w:tcPr>
          <w:p w14:paraId="0945DA0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D5D580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3F54CF" w14:textId="77777777" w:rsidR="007F0AE0" w:rsidRPr="00781F59" w:rsidRDefault="007F0AE0" w:rsidP="00453DE3">
            <w:pPr>
              <w:contextualSpacing/>
              <w:rPr>
                <w:sz w:val="20"/>
                <w:szCs w:val="20"/>
              </w:rPr>
            </w:pPr>
            <w:r w:rsidRPr="00781F59">
              <w:rPr>
                <w:sz w:val="20"/>
                <w:szCs w:val="20"/>
              </w:rPr>
              <w:t>110</w:t>
            </w:r>
          </w:p>
        </w:tc>
        <w:tc>
          <w:tcPr>
            <w:tcW w:w="0" w:type="auto"/>
            <w:tcBorders>
              <w:top w:val="single" w:sz="6" w:space="0" w:color="auto"/>
              <w:left w:val="single" w:sz="6" w:space="0" w:color="auto"/>
              <w:bottom w:val="single" w:sz="6" w:space="0" w:color="auto"/>
              <w:right w:val="single" w:sz="6" w:space="0" w:color="auto"/>
            </w:tcBorders>
            <w:hideMark/>
          </w:tcPr>
          <w:p w14:paraId="3DA5867B" w14:textId="77777777" w:rsidR="007F0AE0" w:rsidRPr="00781F59" w:rsidRDefault="007F0AE0" w:rsidP="00453DE3">
            <w:pPr>
              <w:contextualSpacing/>
              <w:rPr>
                <w:sz w:val="20"/>
                <w:szCs w:val="20"/>
              </w:rPr>
            </w:pPr>
            <w:r w:rsidRPr="00781F59">
              <w:rPr>
                <w:sz w:val="20"/>
                <w:szCs w:val="20"/>
              </w:rPr>
              <w:t>Schneider M.E. 2013 ASCO issues to-do list on initiatives for tobacco control. Oncology Report; .15.</w:t>
            </w:r>
          </w:p>
        </w:tc>
        <w:tc>
          <w:tcPr>
            <w:tcW w:w="0" w:type="auto"/>
            <w:tcBorders>
              <w:top w:val="single" w:sz="6" w:space="0" w:color="auto"/>
              <w:left w:val="single" w:sz="6" w:space="0" w:color="auto"/>
              <w:bottom w:val="single" w:sz="6" w:space="0" w:color="auto"/>
              <w:right w:val="single" w:sz="6" w:space="0" w:color="auto"/>
            </w:tcBorders>
            <w:hideMark/>
          </w:tcPr>
          <w:p w14:paraId="1224EB2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6FADD4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062AB4" w14:textId="77777777" w:rsidR="007F0AE0" w:rsidRPr="00781F59" w:rsidRDefault="007F0AE0" w:rsidP="00453DE3">
            <w:pPr>
              <w:contextualSpacing/>
              <w:rPr>
                <w:sz w:val="20"/>
                <w:szCs w:val="20"/>
              </w:rPr>
            </w:pPr>
            <w:r w:rsidRPr="00781F59">
              <w:rPr>
                <w:sz w:val="20"/>
                <w:szCs w:val="20"/>
              </w:rPr>
              <w:t>113</w:t>
            </w:r>
          </w:p>
        </w:tc>
        <w:tc>
          <w:tcPr>
            <w:tcW w:w="0" w:type="auto"/>
            <w:tcBorders>
              <w:top w:val="single" w:sz="6" w:space="0" w:color="auto"/>
              <w:left w:val="single" w:sz="6" w:space="0" w:color="auto"/>
              <w:bottom w:val="single" w:sz="6" w:space="0" w:color="auto"/>
              <w:right w:val="single" w:sz="6" w:space="0" w:color="auto"/>
            </w:tcBorders>
            <w:hideMark/>
          </w:tcPr>
          <w:p w14:paraId="14A11D66" w14:textId="77777777" w:rsidR="007F0AE0" w:rsidRPr="00781F59" w:rsidRDefault="007F0AE0" w:rsidP="00453DE3">
            <w:pPr>
              <w:contextualSpacing/>
              <w:rPr>
                <w:sz w:val="20"/>
                <w:szCs w:val="20"/>
              </w:rPr>
            </w:pPr>
            <w:r w:rsidRPr="00781F59">
              <w:rPr>
                <w:sz w:val="20"/>
                <w:szCs w:val="20"/>
              </w:rPr>
              <w:t>Alabi T. 2013 Menthol cigarette use among African Americans. Drug Topics; .4.</w:t>
            </w:r>
          </w:p>
        </w:tc>
        <w:tc>
          <w:tcPr>
            <w:tcW w:w="0" w:type="auto"/>
            <w:tcBorders>
              <w:top w:val="single" w:sz="6" w:space="0" w:color="auto"/>
              <w:left w:val="single" w:sz="6" w:space="0" w:color="auto"/>
              <w:bottom w:val="single" w:sz="6" w:space="0" w:color="auto"/>
              <w:right w:val="single" w:sz="6" w:space="0" w:color="auto"/>
            </w:tcBorders>
            <w:hideMark/>
          </w:tcPr>
          <w:p w14:paraId="03F19C03"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44ADBD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07E3DB" w14:textId="77777777" w:rsidR="007F0AE0" w:rsidRPr="00781F59" w:rsidRDefault="007F0AE0" w:rsidP="00453DE3">
            <w:pPr>
              <w:contextualSpacing/>
              <w:rPr>
                <w:sz w:val="20"/>
                <w:szCs w:val="20"/>
              </w:rPr>
            </w:pPr>
            <w:r w:rsidRPr="00781F59">
              <w:rPr>
                <w:sz w:val="20"/>
                <w:szCs w:val="20"/>
              </w:rPr>
              <w:t>114</w:t>
            </w:r>
          </w:p>
        </w:tc>
        <w:tc>
          <w:tcPr>
            <w:tcW w:w="0" w:type="auto"/>
            <w:tcBorders>
              <w:top w:val="single" w:sz="6" w:space="0" w:color="auto"/>
              <w:left w:val="single" w:sz="6" w:space="0" w:color="auto"/>
              <w:bottom w:val="single" w:sz="6" w:space="0" w:color="auto"/>
              <w:right w:val="single" w:sz="6" w:space="0" w:color="auto"/>
            </w:tcBorders>
            <w:hideMark/>
          </w:tcPr>
          <w:p w14:paraId="66BD1416" w14:textId="77777777" w:rsidR="007F0AE0" w:rsidRPr="00781F59" w:rsidRDefault="007F0AE0" w:rsidP="00453DE3">
            <w:pPr>
              <w:contextualSpacing/>
              <w:rPr>
                <w:sz w:val="20"/>
                <w:szCs w:val="20"/>
              </w:rPr>
            </w:pPr>
            <w:r w:rsidRPr="00781F59">
              <w:rPr>
                <w:sz w:val="20"/>
                <w:szCs w:val="20"/>
              </w:rPr>
              <w:t>McKee M. 2013 European Union's tobacco products directive: Many questions remain about the influence of industry. BMJ (Online); 347.f6196.</w:t>
            </w:r>
          </w:p>
        </w:tc>
        <w:tc>
          <w:tcPr>
            <w:tcW w:w="0" w:type="auto"/>
            <w:tcBorders>
              <w:top w:val="single" w:sz="6" w:space="0" w:color="auto"/>
              <w:left w:val="single" w:sz="6" w:space="0" w:color="auto"/>
              <w:bottom w:val="single" w:sz="6" w:space="0" w:color="auto"/>
              <w:right w:val="single" w:sz="6" w:space="0" w:color="auto"/>
            </w:tcBorders>
            <w:hideMark/>
          </w:tcPr>
          <w:p w14:paraId="7EB86D6D"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3959871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6E0C104" w14:textId="77777777" w:rsidR="007F0AE0" w:rsidRPr="00781F59" w:rsidRDefault="007F0AE0" w:rsidP="00453DE3">
            <w:pPr>
              <w:contextualSpacing/>
              <w:rPr>
                <w:sz w:val="20"/>
                <w:szCs w:val="20"/>
              </w:rPr>
            </w:pPr>
            <w:r w:rsidRPr="00781F59">
              <w:rPr>
                <w:sz w:val="20"/>
                <w:szCs w:val="20"/>
              </w:rPr>
              <w:t>122</w:t>
            </w:r>
          </w:p>
        </w:tc>
        <w:tc>
          <w:tcPr>
            <w:tcW w:w="0" w:type="auto"/>
            <w:tcBorders>
              <w:top w:val="single" w:sz="6" w:space="0" w:color="auto"/>
              <w:left w:val="single" w:sz="6" w:space="0" w:color="auto"/>
              <w:bottom w:val="single" w:sz="6" w:space="0" w:color="auto"/>
              <w:right w:val="single" w:sz="6" w:space="0" w:color="auto"/>
            </w:tcBorders>
            <w:hideMark/>
          </w:tcPr>
          <w:p w14:paraId="37597E3C" w14:textId="77777777" w:rsidR="007F0AE0" w:rsidRPr="00781F59" w:rsidRDefault="007F0AE0" w:rsidP="00453DE3">
            <w:pPr>
              <w:contextualSpacing/>
              <w:rPr>
                <w:sz w:val="20"/>
                <w:szCs w:val="20"/>
              </w:rPr>
            </w:pPr>
            <w:r w:rsidRPr="00781F59">
              <w:rPr>
                <w:sz w:val="20"/>
                <w:szCs w:val="20"/>
              </w:rPr>
              <w:t>King A.,Zhang L.,Roche D.,Cao D.,Tyndale R. 2012 Nicotine metabolism: Sex differences in African-American and Caucasian smokers. Neuropsychopharmacology; 38.S419.</w:t>
            </w:r>
          </w:p>
        </w:tc>
        <w:tc>
          <w:tcPr>
            <w:tcW w:w="0" w:type="auto"/>
            <w:tcBorders>
              <w:top w:val="single" w:sz="6" w:space="0" w:color="auto"/>
              <w:left w:val="single" w:sz="6" w:space="0" w:color="auto"/>
              <w:bottom w:val="single" w:sz="6" w:space="0" w:color="auto"/>
              <w:right w:val="single" w:sz="6" w:space="0" w:color="auto"/>
            </w:tcBorders>
            <w:hideMark/>
          </w:tcPr>
          <w:p w14:paraId="7F4C9E1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53D2A5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A12433" w14:textId="77777777" w:rsidR="007F0AE0" w:rsidRPr="00781F59" w:rsidRDefault="007F0AE0" w:rsidP="00453DE3">
            <w:pPr>
              <w:contextualSpacing/>
              <w:rPr>
                <w:sz w:val="20"/>
                <w:szCs w:val="20"/>
              </w:rPr>
            </w:pPr>
            <w:r w:rsidRPr="00781F59">
              <w:rPr>
                <w:sz w:val="20"/>
                <w:szCs w:val="20"/>
              </w:rPr>
              <w:t>123</w:t>
            </w:r>
          </w:p>
        </w:tc>
        <w:tc>
          <w:tcPr>
            <w:tcW w:w="0" w:type="auto"/>
            <w:tcBorders>
              <w:top w:val="single" w:sz="6" w:space="0" w:color="auto"/>
              <w:left w:val="single" w:sz="6" w:space="0" w:color="auto"/>
              <w:bottom w:val="single" w:sz="6" w:space="0" w:color="auto"/>
              <w:right w:val="single" w:sz="6" w:space="0" w:color="auto"/>
            </w:tcBorders>
            <w:hideMark/>
          </w:tcPr>
          <w:p w14:paraId="52F68900" w14:textId="77777777" w:rsidR="007F0AE0" w:rsidRPr="00781F59" w:rsidRDefault="007F0AE0" w:rsidP="00453DE3">
            <w:pPr>
              <w:contextualSpacing/>
              <w:rPr>
                <w:sz w:val="20"/>
                <w:szCs w:val="20"/>
              </w:rPr>
            </w:pPr>
            <w:r w:rsidRPr="00781F59">
              <w:rPr>
                <w:sz w:val="20"/>
                <w:szCs w:val="20"/>
              </w:rPr>
              <w:t>Uhl G.,Walther D.,Behm F.,Rose J. 2012 Trpa1 ''menthol preference'' haplotypes are associated with levels of trpa1 expression and smoking cessation success. Neuropsychopharmacology; 38.S212.</w:t>
            </w:r>
          </w:p>
        </w:tc>
        <w:tc>
          <w:tcPr>
            <w:tcW w:w="0" w:type="auto"/>
            <w:tcBorders>
              <w:top w:val="single" w:sz="6" w:space="0" w:color="auto"/>
              <w:left w:val="single" w:sz="6" w:space="0" w:color="auto"/>
              <w:bottom w:val="single" w:sz="6" w:space="0" w:color="auto"/>
              <w:right w:val="single" w:sz="6" w:space="0" w:color="auto"/>
            </w:tcBorders>
            <w:hideMark/>
          </w:tcPr>
          <w:p w14:paraId="56F2A1F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687E01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8E5E18" w14:textId="77777777" w:rsidR="007F0AE0" w:rsidRPr="00781F59" w:rsidRDefault="007F0AE0" w:rsidP="00453DE3">
            <w:pPr>
              <w:contextualSpacing/>
              <w:rPr>
                <w:sz w:val="20"/>
                <w:szCs w:val="20"/>
              </w:rPr>
            </w:pPr>
            <w:r w:rsidRPr="00781F59">
              <w:rPr>
                <w:sz w:val="20"/>
                <w:szCs w:val="20"/>
              </w:rPr>
              <w:t>125</w:t>
            </w:r>
          </w:p>
        </w:tc>
        <w:tc>
          <w:tcPr>
            <w:tcW w:w="0" w:type="auto"/>
            <w:tcBorders>
              <w:top w:val="single" w:sz="6" w:space="0" w:color="auto"/>
              <w:left w:val="single" w:sz="6" w:space="0" w:color="auto"/>
              <w:bottom w:val="single" w:sz="6" w:space="0" w:color="auto"/>
              <w:right w:val="single" w:sz="6" w:space="0" w:color="auto"/>
            </w:tcBorders>
            <w:hideMark/>
          </w:tcPr>
          <w:p w14:paraId="1EBC7651" w14:textId="77777777" w:rsidR="007F0AE0" w:rsidRPr="00781F59" w:rsidRDefault="007F0AE0" w:rsidP="00453DE3">
            <w:pPr>
              <w:contextualSpacing/>
              <w:rPr>
                <w:sz w:val="20"/>
                <w:szCs w:val="20"/>
              </w:rPr>
            </w:pPr>
            <w:r w:rsidRPr="00781F59">
              <w:rPr>
                <w:sz w:val="20"/>
                <w:szCs w:val="20"/>
              </w:rPr>
              <w:t>Vozoris N.T. 2012 The association between mentholated cigarettes and cardiovascular and pulmonary diseases in the United States population. American Journal of Respiratory and Critical Care Medicine; 185.</w:t>
            </w:r>
          </w:p>
        </w:tc>
        <w:tc>
          <w:tcPr>
            <w:tcW w:w="0" w:type="auto"/>
            <w:tcBorders>
              <w:top w:val="single" w:sz="6" w:space="0" w:color="auto"/>
              <w:left w:val="single" w:sz="6" w:space="0" w:color="auto"/>
              <w:bottom w:val="single" w:sz="6" w:space="0" w:color="auto"/>
              <w:right w:val="single" w:sz="6" w:space="0" w:color="auto"/>
            </w:tcBorders>
            <w:hideMark/>
          </w:tcPr>
          <w:p w14:paraId="3F13D2B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4B8818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ADC1BA" w14:textId="77777777" w:rsidR="007F0AE0" w:rsidRPr="00781F59" w:rsidRDefault="007F0AE0" w:rsidP="00453DE3">
            <w:pPr>
              <w:contextualSpacing/>
              <w:rPr>
                <w:sz w:val="20"/>
                <w:szCs w:val="20"/>
              </w:rPr>
            </w:pPr>
            <w:r w:rsidRPr="00781F59">
              <w:rPr>
                <w:sz w:val="20"/>
                <w:szCs w:val="20"/>
              </w:rPr>
              <w:t>128</w:t>
            </w:r>
          </w:p>
        </w:tc>
        <w:tc>
          <w:tcPr>
            <w:tcW w:w="0" w:type="auto"/>
            <w:tcBorders>
              <w:top w:val="single" w:sz="6" w:space="0" w:color="auto"/>
              <w:left w:val="single" w:sz="6" w:space="0" w:color="auto"/>
              <w:bottom w:val="single" w:sz="6" w:space="0" w:color="auto"/>
              <w:right w:val="single" w:sz="6" w:space="0" w:color="auto"/>
            </w:tcBorders>
            <w:hideMark/>
          </w:tcPr>
          <w:p w14:paraId="05EDECE4" w14:textId="77777777" w:rsidR="007F0AE0" w:rsidRPr="00781F59" w:rsidRDefault="007F0AE0" w:rsidP="00453DE3">
            <w:pPr>
              <w:contextualSpacing/>
              <w:rPr>
                <w:sz w:val="20"/>
                <w:szCs w:val="20"/>
              </w:rPr>
            </w:pPr>
            <w:r w:rsidRPr="00781F59">
              <w:rPr>
                <w:sz w:val="20"/>
                <w:szCs w:val="20"/>
              </w:rPr>
              <w:t>Bethea T.N.,Rosenberg L.,Boggs D.A.,Palmer J.R. 2012 Menthol cigarettes in relation to breast cancer incidence in African American women. Cancer Research; 72.</w:t>
            </w:r>
          </w:p>
        </w:tc>
        <w:tc>
          <w:tcPr>
            <w:tcW w:w="0" w:type="auto"/>
            <w:tcBorders>
              <w:top w:val="single" w:sz="6" w:space="0" w:color="auto"/>
              <w:left w:val="single" w:sz="6" w:space="0" w:color="auto"/>
              <w:bottom w:val="single" w:sz="6" w:space="0" w:color="auto"/>
              <w:right w:val="single" w:sz="6" w:space="0" w:color="auto"/>
            </w:tcBorders>
            <w:hideMark/>
          </w:tcPr>
          <w:p w14:paraId="13A5A50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B2076D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4D707B" w14:textId="77777777" w:rsidR="007F0AE0" w:rsidRPr="00781F59" w:rsidRDefault="007F0AE0" w:rsidP="00453DE3">
            <w:pPr>
              <w:contextualSpacing/>
              <w:rPr>
                <w:sz w:val="20"/>
                <w:szCs w:val="20"/>
              </w:rPr>
            </w:pPr>
            <w:r w:rsidRPr="00781F59">
              <w:rPr>
                <w:sz w:val="20"/>
                <w:szCs w:val="20"/>
              </w:rPr>
              <w:t>129</w:t>
            </w:r>
          </w:p>
        </w:tc>
        <w:tc>
          <w:tcPr>
            <w:tcW w:w="0" w:type="auto"/>
            <w:tcBorders>
              <w:top w:val="single" w:sz="6" w:space="0" w:color="auto"/>
              <w:left w:val="single" w:sz="6" w:space="0" w:color="auto"/>
              <w:bottom w:val="single" w:sz="6" w:space="0" w:color="auto"/>
              <w:right w:val="single" w:sz="6" w:space="0" w:color="auto"/>
            </w:tcBorders>
            <w:hideMark/>
          </w:tcPr>
          <w:p w14:paraId="46E0FC1E" w14:textId="77777777" w:rsidR="007F0AE0" w:rsidRPr="00781F59" w:rsidRDefault="007F0AE0" w:rsidP="00453DE3">
            <w:pPr>
              <w:contextualSpacing/>
              <w:rPr>
                <w:sz w:val="20"/>
                <w:szCs w:val="20"/>
              </w:rPr>
            </w:pPr>
            <w:r w:rsidRPr="00781F59">
              <w:rPr>
                <w:sz w:val="20"/>
                <w:szCs w:val="20"/>
              </w:rPr>
              <w:t>Jones M.R.,Apelberg B.J.,Navas-Acien A. 2012 Smoking, menthol cigarettes and peripheral arterial disease in the 1999- 2004 national health and nutrition examination survey (nhanes). Circulation; 125.</w:t>
            </w:r>
          </w:p>
        </w:tc>
        <w:tc>
          <w:tcPr>
            <w:tcW w:w="0" w:type="auto"/>
            <w:tcBorders>
              <w:top w:val="single" w:sz="6" w:space="0" w:color="auto"/>
              <w:left w:val="single" w:sz="6" w:space="0" w:color="auto"/>
              <w:bottom w:val="single" w:sz="6" w:space="0" w:color="auto"/>
              <w:right w:val="single" w:sz="6" w:space="0" w:color="auto"/>
            </w:tcBorders>
            <w:hideMark/>
          </w:tcPr>
          <w:p w14:paraId="4034F82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B3A34B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77BCFF3" w14:textId="77777777" w:rsidR="007F0AE0" w:rsidRPr="00781F59" w:rsidRDefault="007F0AE0" w:rsidP="00453DE3">
            <w:pPr>
              <w:contextualSpacing/>
              <w:rPr>
                <w:sz w:val="20"/>
                <w:szCs w:val="20"/>
              </w:rPr>
            </w:pPr>
            <w:r w:rsidRPr="00781F59">
              <w:rPr>
                <w:sz w:val="20"/>
                <w:szCs w:val="20"/>
              </w:rPr>
              <w:t>134</w:t>
            </w:r>
          </w:p>
        </w:tc>
        <w:tc>
          <w:tcPr>
            <w:tcW w:w="0" w:type="auto"/>
            <w:tcBorders>
              <w:top w:val="single" w:sz="6" w:space="0" w:color="auto"/>
              <w:left w:val="single" w:sz="6" w:space="0" w:color="auto"/>
              <w:bottom w:val="single" w:sz="6" w:space="0" w:color="auto"/>
              <w:right w:val="single" w:sz="6" w:space="0" w:color="auto"/>
            </w:tcBorders>
            <w:hideMark/>
          </w:tcPr>
          <w:p w14:paraId="23E57FCF" w14:textId="77777777" w:rsidR="007F0AE0" w:rsidRPr="00781F59" w:rsidRDefault="007F0AE0" w:rsidP="00453DE3">
            <w:pPr>
              <w:contextualSpacing/>
              <w:rPr>
                <w:sz w:val="20"/>
                <w:szCs w:val="20"/>
              </w:rPr>
            </w:pPr>
            <w:r w:rsidRPr="00781F59">
              <w:rPr>
                <w:sz w:val="20"/>
                <w:szCs w:val="20"/>
              </w:rPr>
              <w:t>Thomas K.V.,Reid M.J. 2011 What else can the analysis of sewage for urinary biomarkers reveal about communities?. Environmental Science and Technology; 45.7611.</w:t>
            </w:r>
          </w:p>
        </w:tc>
        <w:tc>
          <w:tcPr>
            <w:tcW w:w="0" w:type="auto"/>
            <w:tcBorders>
              <w:top w:val="single" w:sz="6" w:space="0" w:color="auto"/>
              <w:left w:val="single" w:sz="6" w:space="0" w:color="auto"/>
              <w:bottom w:val="single" w:sz="6" w:space="0" w:color="auto"/>
              <w:right w:val="single" w:sz="6" w:space="0" w:color="auto"/>
            </w:tcBorders>
            <w:hideMark/>
          </w:tcPr>
          <w:p w14:paraId="3664FC9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E011C1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0656B5" w14:textId="77777777" w:rsidR="007F0AE0" w:rsidRPr="00781F59" w:rsidRDefault="007F0AE0" w:rsidP="00453DE3">
            <w:pPr>
              <w:contextualSpacing/>
              <w:rPr>
                <w:sz w:val="20"/>
                <w:szCs w:val="20"/>
              </w:rPr>
            </w:pPr>
            <w:r w:rsidRPr="00781F59">
              <w:rPr>
                <w:sz w:val="20"/>
                <w:szCs w:val="20"/>
              </w:rPr>
              <w:t>140</w:t>
            </w:r>
          </w:p>
        </w:tc>
        <w:tc>
          <w:tcPr>
            <w:tcW w:w="0" w:type="auto"/>
            <w:tcBorders>
              <w:top w:val="single" w:sz="6" w:space="0" w:color="auto"/>
              <w:left w:val="single" w:sz="6" w:space="0" w:color="auto"/>
              <w:bottom w:val="single" w:sz="6" w:space="0" w:color="auto"/>
              <w:right w:val="single" w:sz="6" w:space="0" w:color="auto"/>
            </w:tcBorders>
            <w:hideMark/>
          </w:tcPr>
          <w:p w14:paraId="053936FF" w14:textId="77777777" w:rsidR="007F0AE0" w:rsidRPr="00781F59" w:rsidRDefault="007F0AE0" w:rsidP="00453DE3">
            <w:pPr>
              <w:contextualSpacing/>
              <w:rPr>
                <w:sz w:val="20"/>
                <w:szCs w:val="20"/>
              </w:rPr>
            </w:pPr>
            <w:r w:rsidRPr="00781F59">
              <w:rPr>
                <w:sz w:val="20"/>
                <w:szCs w:val="20"/>
              </w:rPr>
              <w:t>Backinger C.L. 2011 Tobacco-related disparities and the Family Smoking Prevention and Tobacco Control Act. Cancer Epidemiology Biomarkers and Prevention; 20.</w:t>
            </w:r>
          </w:p>
        </w:tc>
        <w:tc>
          <w:tcPr>
            <w:tcW w:w="0" w:type="auto"/>
            <w:tcBorders>
              <w:top w:val="single" w:sz="6" w:space="0" w:color="auto"/>
              <w:left w:val="single" w:sz="6" w:space="0" w:color="auto"/>
              <w:bottom w:val="single" w:sz="6" w:space="0" w:color="auto"/>
              <w:right w:val="single" w:sz="6" w:space="0" w:color="auto"/>
            </w:tcBorders>
            <w:hideMark/>
          </w:tcPr>
          <w:p w14:paraId="7EFF94E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833450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B9F9005" w14:textId="77777777" w:rsidR="007F0AE0" w:rsidRPr="00781F59" w:rsidRDefault="007F0AE0" w:rsidP="00453DE3">
            <w:pPr>
              <w:contextualSpacing/>
              <w:rPr>
                <w:sz w:val="20"/>
                <w:szCs w:val="20"/>
              </w:rPr>
            </w:pPr>
            <w:r w:rsidRPr="00781F59">
              <w:rPr>
                <w:sz w:val="20"/>
                <w:szCs w:val="20"/>
              </w:rPr>
              <w:lastRenderedPageBreak/>
              <w:t>143</w:t>
            </w:r>
          </w:p>
        </w:tc>
        <w:tc>
          <w:tcPr>
            <w:tcW w:w="0" w:type="auto"/>
            <w:tcBorders>
              <w:top w:val="single" w:sz="6" w:space="0" w:color="auto"/>
              <w:left w:val="single" w:sz="6" w:space="0" w:color="auto"/>
              <w:bottom w:val="single" w:sz="6" w:space="0" w:color="auto"/>
              <w:right w:val="single" w:sz="6" w:space="0" w:color="auto"/>
            </w:tcBorders>
            <w:hideMark/>
          </w:tcPr>
          <w:p w14:paraId="3364FEB6" w14:textId="77777777" w:rsidR="007F0AE0" w:rsidRPr="00781F59" w:rsidRDefault="007F0AE0" w:rsidP="00453DE3">
            <w:pPr>
              <w:contextualSpacing/>
              <w:rPr>
                <w:sz w:val="20"/>
                <w:szCs w:val="20"/>
              </w:rPr>
            </w:pPr>
            <w:r w:rsidRPr="00781F59">
              <w:rPr>
                <w:sz w:val="20"/>
                <w:szCs w:val="20"/>
              </w:rPr>
              <w:t>Brody A.L.,Mukhin A.G.,La Charite J.,Ta K.,Farahi J.,Sugar C.A.,Vellios E.,Archie M.,Kozman M.,Mandelkern M.A. 2011 Up-regulation of nicotinic acetylcholine receptors in menthol cigarette smokers. Neuropsychopharmacology; 36.S402.</w:t>
            </w:r>
          </w:p>
        </w:tc>
        <w:tc>
          <w:tcPr>
            <w:tcW w:w="0" w:type="auto"/>
            <w:tcBorders>
              <w:top w:val="single" w:sz="6" w:space="0" w:color="auto"/>
              <w:left w:val="single" w:sz="6" w:space="0" w:color="auto"/>
              <w:bottom w:val="single" w:sz="6" w:space="0" w:color="auto"/>
              <w:right w:val="single" w:sz="6" w:space="0" w:color="auto"/>
            </w:tcBorders>
            <w:hideMark/>
          </w:tcPr>
          <w:p w14:paraId="448C5F5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C9545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ED14DC" w14:textId="77777777" w:rsidR="007F0AE0" w:rsidRPr="00781F59" w:rsidRDefault="007F0AE0" w:rsidP="00453DE3">
            <w:pPr>
              <w:contextualSpacing/>
              <w:rPr>
                <w:sz w:val="20"/>
                <w:szCs w:val="20"/>
              </w:rPr>
            </w:pPr>
            <w:r w:rsidRPr="00781F59">
              <w:rPr>
                <w:sz w:val="20"/>
                <w:szCs w:val="20"/>
              </w:rPr>
              <w:t>144</w:t>
            </w:r>
          </w:p>
        </w:tc>
        <w:tc>
          <w:tcPr>
            <w:tcW w:w="0" w:type="auto"/>
            <w:tcBorders>
              <w:top w:val="single" w:sz="6" w:space="0" w:color="auto"/>
              <w:left w:val="single" w:sz="6" w:space="0" w:color="auto"/>
              <w:bottom w:val="single" w:sz="6" w:space="0" w:color="auto"/>
              <w:right w:val="single" w:sz="6" w:space="0" w:color="auto"/>
            </w:tcBorders>
            <w:hideMark/>
          </w:tcPr>
          <w:p w14:paraId="3F460F8B" w14:textId="77777777" w:rsidR="007F0AE0" w:rsidRPr="00781F59" w:rsidRDefault="007F0AE0" w:rsidP="00453DE3">
            <w:pPr>
              <w:contextualSpacing/>
              <w:rPr>
                <w:sz w:val="20"/>
                <w:szCs w:val="20"/>
              </w:rPr>
            </w:pPr>
            <w:r w:rsidRPr="00781F59">
              <w:rPr>
                <w:sz w:val="20"/>
                <w:szCs w:val="20"/>
              </w:rPr>
              <w:t>Buchanan T.S.,Cox L.S.,Nollen N.L.,Thomas J.L.,Berg C.J.,Mayo M.S.,Ahluwalia J.S. 2011 Perceived treatment assignment and smoking cessation in a clinical trial of bupropion. Cancer Epidemiology Biomarkers and Prevention; 20.721.</w:t>
            </w:r>
          </w:p>
        </w:tc>
        <w:tc>
          <w:tcPr>
            <w:tcW w:w="0" w:type="auto"/>
            <w:tcBorders>
              <w:top w:val="single" w:sz="6" w:space="0" w:color="auto"/>
              <w:left w:val="single" w:sz="6" w:space="0" w:color="auto"/>
              <w:bottom w:val="single" w:sz="6" w:space="0" w:color="auto"/>
              <w:right w:val="single" w:sz="6" w:space="0" w:color="auto"/>
            </w:tcBorders>
            <w:hideMark/>
          </w:tcPr>
          <w:p w14:paraId="7DCF163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C86EBE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86FFBA" w14:textId="77777777" w:rsidR="007F0AE0" w:rsidRPr="00781F59" w:rsidRDefault="007F0AE0" w:rsidP="00453DE3">
            <w:pPr>
              <w:contextualSpacing/>
              <w:rPr>
                <w:sz w:val="20"/>
                <w:szCs w:val="20"/>
              </w:rPr>
            </w:pPr>
            <w:r w:rsidRPr="00781F59">
              <w:rPr>
                <w:sz w:val="20"/>
                <w:szCs w:val="20"/>
              </w:rPr>
              <w:t>146</w:t>
            </w:r>
          </w:p>
        </w:tc>
        <w:tc>
          <w:tcPr>
            <w:tcW w:w="0" w:type="auto"/>
            <w:tcBorders>
              <w:top w:val="single" w:sz="6" w:space="0" w:color="auto"/>
              <w:left w:val="single" w:sz="6" w:space="0" w:color="auto"/>
              <w:bottom w:val="single" w:sz="6" w:space="0" w:color="auto"/>
              <w:right w:val="single" w:sz="6" w:space="0" w:color="auto"/>
            </w:tcBorders>
            <w:hideMark/>
          </w:tcPr>
          <w:p w14:paraId="370D7403" w14:textId="77777777" w:rsidR="007F0AE0" w:rsidRPr="00781F59" w:rsidRDefault="007F0AE0" w:rsidP="00453DE3">
            <w:pPr>
              <w:contextualSpacing/>
              <w:rPr>
                <w:sz w:val="20"/>
                <w:szCs w:val="20"/>
              </w:rPr>
            </w:pPr>
            <w:r w:rsidRPr="00781F59">
              <w:rPr>
                <w:sz w:val="20"/>
                <w:szCs w:val="20"/>
              </w:rPr>
              <w:t>Mickens L.,Ameringer K.,Brightman M.,Leventhal A.M. 2010 Epidemiology, determinants, and consequences of cigarette smoking in African American women: An integrative review. Addictive Behaviors; 35.383.</w:t>
            </w:r>
          </w:p>
        </w:tc>
        <w:tc>
          <w:tcPr>
            <w:tcW w:w="0" w:type="auto"/>
            <w:tcBorders>
              <w:top w:val="single" w:sz="6" w:space="0" w:color="auto"/>
              <w:left w:val="single" w:sz="6" w:space="0" w:color="auto"/>
              <w:bottom w:val="single" w:sz="6" w:space="0" w:color="auto"/>
              <w:right w:val="single" w:sz="6" w:space="0" w:color="auto"/>
            </w:tcBorders>
            <w:hideMark/>
          </w:tcPr>
          <w:p w14:paraId="1A28711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8518EE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13C185" w14:textId="77777777" w:rsidR="007F0AE0" w:rsidRPr="00781F59" w:rsidRDefault="007F0AE0" w:rsidP="00453DE3">
            <w:pPr>
              <w:contextualSpacing/>
              <w:rPr>
                <w:sz w:val="20"/>
                <w:szCs w:val="20"/>
              </w:rPr>
            </w:pPr>
            <w:r w:rsidRPr="00781F59">
              <w:rPr>
                <w:sz w:val="20"/>
                <w:szCs w:val="20"/>
              </w:rPr>
              <w:t>148</w:t>
            </w:r>
          </w:p>
        </w:tc>
        <w:tc>
          <w:tcPr>
            <w:tcW w:w="0" w:type="auto"/>
            <w:tcBorders>
              <w:top w:val="single" w:sz="6" w:space="0" w:color="auto"/>
              <w:left w:val="single" w:sz="6" w:space="0" w:color="auto"/>
              <w:bottom w:val="single" w:sz="6" w:space="0" w:color="auto"/>
              <w:right w:val="single" w:sz="6" w:space="0" w:color="auto"/>
            </w:tcBorders>
            <w:hideMark/>
          </w:tcPr>
          <w:p w14:paraId="33F400A8" w14:textId="77777777" w:rsidR="007F0AE0" w:rsidRPr="00781F59" w:rsidRDefault="007F0AE0" w:rsidP="00453DE3">
            <w:pPr>
              <w:contextualSpacing/>
              <w:rPr>
                <w:sz w:val="20"/>
                <w:szCs w:val="20"/>
              </w:rPr>
            </w:pPr>
            <w:r w:rsidRPr="00781F59">
              <w:rPr>
                <w:sz w:val="20"/>
                <w:szCs w:val="20"/>
              </w:rPr>
              <w:t>Shah L.,Press V.,Arora V.,King A.,Meltzer D.,Suresh K.,Krishnan J. 2010 Assessing impact of usual care on quit rates 4 weeks postdischarge among hospitalized smokers. Journal of Hospital Medicine; 5.71.</w:t>
            </w:r>
          </w:p>
        </w:tc>
        <w:tc>
          <w:tcPr>
            <w:tcW w:w="0" w:type="auto"/>
            <w:tcBorders>
              <w:top w:val="single" w:sz="6" w:space="0" w:color="auto"/>
              <w:left w:val="single" w:sz="6" w:space="0" w:color="auto"/>
              <w:bottom w:val="single" w:sz="6" w:space="0" w:color="auto"/>
              <w:right w:val="single" w:sz="6" w:space="0" w:color="auto"/>
            </w:tcBorders>
            <w:hideMark/>
          </w:tcPr>
          <w:p w14:paraId="32C9F1E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A28E7A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E3C394" w14:textId="77777777" w:rsidR="007F0AE0" w:rsidRPr="00781F59" w:rsidRDefault="007F0AE0" w:rsidP="00453DE3">
            <w:pPr>
              <w:contextualSpacing/>
              <w:rPr>
                <w:sz w:val="20"/>
                <w:szCs w:val="20"/>
              </w:rPr>
            </w:pPr>
            <w:r w:rsidRPr="00781F59">
              <w:rPr>
                <w:sz w:val="20"/>
                <w:szCs w:val="20"/>
              </w:rPr>
              <w:t>149</w:t>
            </w:r>
          </w:p>
        </w:tc>
        <w:tc>
          <w:tcPr>
            <w:tcW w:w="0" w:type="auto"/>
            <w:tcBorders>
              <w:top w:val="single" w:sz="6" w:space="0" w:color="auto"/>
              <w:left w:val="single" w:sz="6" w:space="0" w:color="auto"/>
              <w:bottom w:val="single" w:sz="6" w:space="0" w:color="auto"/>
              <w:right w:val="single" w:sz="6" w:space="0" w:color="auto"/>
            </w:tcBorders>
            <w:hideMark/>
          </w:tcPr>
          <w:p w14:paraId="2BD2DD2F" w14:textId="77777777" w:rsidR="007F0AE0" w:rsidRPr="00781F59" w:rsidRDefault="007F0AE0" w:rsidP="00453DE3">
            <w:pPr>
              <w:contextualSpacing/>
              <w:rPr>
                <w:sz w:val="20"/>
                <w:szCs w:val="20"/>
              </w:rPr>
            </w:pPr>
            <w:r w:rsidRPr="00781F59">
              <w:rPr>
                <w:sz w:val="20"/>
                <w:szCs w:val="20"/>
              </w:rPr>
              <w:t>Fu S.,Stahre M.,Okuyemi K.,Joseph A. 2010 Racial/ethnic differences in menthol cigarette smoking, prevalence of smoking cessation, and utilization of evidence-based tobacco cessation treatments. Journal of General Internal Medicine; 25.S377.</w:t>
            </w:r>
          </w:p>
        </w:tc>
        <w:tc>
          <w:tcPr>
            <w:tcW w:w="0" w:type="auto"/>
            <w:tcBorders>
              <w:top w:val="single" w:sz="6" w:space="0" w:color="auto"/>
              <w:left w:val="single" w:sz="6" w:space="0" w:color="auto"/>
              <w:bottom w:val="single" w:sz="6" w:space="0" w:color="auto"/>
              <w:right w:val="single" w:sz="6" w:space="0" w:color="auto"/>
            </w:tcBorders>
            <w:hideMark/>
          </w:tcPr>
          <w:p w14:paraId="537C1470" w14:textId="77777777" w:rsidR="007F0AE0" w:rsidRPr="00781F59" w:rsidRDefault="007F0AE0" w:rsidP="00453DE3">
            <w:pPr>
              <w:contextualSpacing/>
              <w:rPr>
                <w:sz w:val="20"/>
                <w:szCs w:val="20"/>
              </w:rPr>
            </w:pPr>
            <w:r w:rsidRPr="00781F59">
              <w:rPr>
                <w:sz w:val="20"/>
                <w:szCs w:val="20"/>
              </w:rPr>
              <w:t>Duplicate article</w:t>
            </w:r>
          </w:p>
        </w:tc>
      </w:tr>
      <w:tr w:rsidR="007F0AE0" w:rsidRPr="00781F59" w14:paraId="5045727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4BB8C6" w14:textId="77777777" w:rsidR="007F0AE0" w:rsidRPr="00781F59" w:rsidRDefault="007F0AE0" w:rsidP="00453DE3">
            <w:pPr>
              <w:contextualSpacing/>
              <w:rPr>
                <w:sz w:val="20"/>
                <w:szCs w:val="20"/>
              </w:rPr>
            </w:pPr>
            <w:r w:rsidRPr="00781F59">
              <w:rPr>
                <w:sz w:val="20"/>
                <w:szCs w:val="20"/>
              </w:rPr>
              <w:t>151</w:t>
            </w:r>
          </w:p>
        </w:tc>
        <w:tc>
          <w:tcPr>
            <w:tcW w:w="0" w:type="auto"/>
            <w:tcBorders>
              <w:top w:val="single" w:sz="6" w:space="0" w:color="auto"/>
              <w:left w:val="single" w:sz="6" w:space="0" w:color="auto"/>
              <w:bottom w:val="single" w:sz="6" w:space="0" w:color="auto"/>
              <w:right w:val="single" w:sz="6" w:space="0" w:color="auto"/>
            </w:tcBorders>
            <w:hideMark/>
          </w:tcPr>
          <w:p w14:paraId="69FC6C3A" w14:textId="77777777" w:rsidR="007F0AE0" w:rsidRPr="00781F59" w:rsidRDefault="007F0AE0" w:rsidP="00453DE3">
            <w:pPr>
              <w:contextualSpacing/>
              <w:rPr>
                <w:sz w:val="20"/>
                <w:szCs w:val="20"/>
              </w:rPr>
            </w:pPr>
            <w:r w:rsidRPr="00781F59">
              <w:rPr>
                <w:sz w:val="20"/>
                <w:szCs w:val="20"/>
              </w:rPr>
              <w:t>Wigand J. 2009 Smoking and mental illness: A commentary and counterpoint. Journal of Dual Diagnosis; 5.219.</w:t>
            </w:r>
          </w:p>
        </w:tc>
        <w:tc>
          <w:tcPr>
            <w:tcW w:w="0" w:type="auto"/>
            <w:tcBorders>
              <w:top w:val="single" w:sz="6" w:space="0" w:color="auto"/>
              <w:left w:val="single" w:sz="6" w:space="0" w:color="auto"/>
              <w:bottom w:val="single" w:sz="6" w:space="0" w:color="auto"/>
              <w:right w:val="single" w:sz="6" w:space="0" w:color="auto"/>
            </w:tcBorders>
            <w:hideMark/>
          </w:tcPr>
          <w:p w14:paraId="13D0E74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FA61E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446F96" w14:textId="77777777" w:rsidR="007F0AE0" w:rsidRPr="00781F59" w:rsidRDefault="007F0AE0" w:rsidP="00453DE3">
            <w:pPr>
              <w:contextualSpacing/>
              <w:rPr>
                <w:sz w:val="20"/>
                <w:szCs w:val="20"/>
              </w:rPr>
            </w:pPr>
            <w:r w:rsidRPr="00781F59">
              <w:rPr>
                <w:sz w:val="20"/>
                <w:szCs w:val="20"/>
              </w:rPr>
              <w:t>152</w:t>
            </w:r>
          </w:p>
        </w:tc>
        <w:tc>
          <w:tcPr>
            <w:tcW w:w="0" w:type="auto"/>
            <w:tcBorders>
              <w:top w:val="single" w:sz="6" w:space="0" w:color="auto"/>
              <w:left w:val="single" w:sz="6" w:space="0" w:color="auto"/>
              <w:bottom w:val="single" w:sz="6" w:space="0" w:color="auto"/>
              <w:right w:val="single" w:sz="6" w:space="0" w:color="auto"/>
            </w:tcBorders>
            <w:hideMark/>
          </w:tcPr>
          <w:p w14:paraId="43797DBF" w14:textId="77777777" w:rsidR="007F0AE0" w:rsidRPr="00781F59" w:rsidRDefault="007F0AE0" w:rsidP="00453DE3">
            <w:pPr>
              <w:contextualSpacing/>
              <w:rPr>
                <w:sz w:val="20"/>
                <w:szCs w:val="20"/>
              </w:rPr>
            </w:pPr>
            <w:r w:rsidRPr="00781F59">
              <w:rPr>
                <w:sz w:val="20"/>
                <w:szCs w:val="20"/>
              </w:rPr>
              <w:t>Gough N.R. 2009 Nicotine irritation. Science Signaling; 2.ec324.</w:t>
            </w:r>
          </w:p>
        </w:tc>
        <w:tc>
          <w:tcPr>
            <w:tcW w:w="0" w:type="auto"/>
            <w:tcBorders>
              <w:top w:val="single" w:sz="6" w:space="0" w:color="auto"/>
              <w:left w:val="single" w:sz="6" w:space="0" w:color="auto"/>
              <w:bottom w:val="single" w:sz="6" w:space="0" w:color="auto"/>
              <w:right w:val="single" w:sz="6" w:space="0" w:color="auto"/>
            </w:tcBorders>
            <w:hideMark/>
          </w:tcPr>
          <w:p w14:paraId="26D9E15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FD5D9D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E507B9" w14:textId="77777777" w:rsidR="007F0AE0" w:rsidRPr="00781F59" w:rsidRDefault="007F0AE0" w:rsidP="00453DE3">
            <w:pPr>
              <w:contextualSpacing/>
              <w:rPr>
                <w:sz w:val="20"/>
                <w:szCs w:val="20"/>
              </w:rPr>
            </w:pPr>
            <w:r w:rsidRPr="00781F59">
              <w:rPr>
                <w:sz w:val="20"/>
                <w:szCs w:val="20"/>
              </w:rPr>
              <w:t>153</w:t>
            </w:r>
          </w:p>
        </w:tc>
        <w:tc>
          <w:tcPr>
            <w:tcW w:w="0" w:type="auto"/>
            <w:tcBorders>
              <w:top w:val="single" w:sz="6" w:space="0" w:color="auto"/>
              <w:left w:val="single" w:sz="6" w:space="0" w:color="auto"/>
              <w:bottom w:val="single" w:sz="6" w:space="0" w:color="auto"/>
              <w:right w:val="single" w:sz="6" w:space="0" w:color="auto"/>
            </w:tcBorders>
            <w:hideMark/>
          </w:tcPr>
          <w:p w14:paraId="5766344C" w14:textId="77777777" w:rsidR="007F0AE0" w:rsidRPr="00781F59" w:rsidRDefault="007F0AE0" w:rsidP="00453DE3">
            <w:pPr>
              <w:contextualSpacing/>
              <w:rPr>
                <w:sz w:val="20"/>
                <w:szCs w:val="20"/>
              </w:rPr>
            </w:pPr>
            <w:r w:rsidRPr="00781F59">
              <w:rPr>
                <w:sz w:val="20"/>
                <w:szCs w:val="20"/>
              </w:rPr>
              <w:t>Anonymous. 2009 Correction: Article on exposure biomarkers of menthol and nonmenthol smoking (Cancer Epidemiology, Biomarkers and Prevention (2009)). Cancer Epidemiology Biomarkers and Prevention; 18.2155.</w:t>
            </w:r>
          </w:p>
        </w:tc>
        <w:tc>
          <w:tcPr>
            <w:tcW w:w="0" w:type="auto"/>
            <w:tcBorders>
              <w:top w:val="single" w:sz="6" w:space="0" w:color="auto"/>
              <w:left w:val="single" w:sz="6" w:space="0" w:color="auto"/>
              <w:bottom w:val="single" w:sz="6" w:space="0" w:color="auto"/>
              <w:right w:val="single" w:sz="6" w:space="0" w:color="auto"/>
            </w:tcBorders>
            <w:hideMark/>
          </w:tcPr>
          <w:p w14:paraId="06F13DA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12CDEF0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123E0E" w14:textId="77777777" w:rsidR="007F0AE0" w:rsidRPr="00781F59" w:rsidRDefault="007F0AE0" w:rsidP="00453DE3">
            <w:pPr>
              <w:contextualSpacing/>
              <w:rPr>
                <w:sz w:val="20"/>
                <w:szCs w:val="20"/>
              </w:rPr>
            </w:pPr>
            <w:r w:rsidRPr="00781F59">
              <w:rPr>
                <w:sz w:val="20"/>
                <w:szCs w:val="20"/>
              </w:rPr>
              <w:t>155</w:t>
            </w:r>
          </w:p>
        </w:tc>
        <w:tc>
          <w:tcPr>
            <w:tcW w:w="0" w:type="auto"/>
            <w:tcBorders>
              <w:top w:val="single" w:sz="6" w:space="0" w:color="auto"/>
              <w:left w:val="single" w:sz="6" w:space="0" w:color="auto"/>
              <w:bottom w:val="single" w:sz="6" w:space="0" w:color="auto"/>
              <w:right w:val="single" w:sz="6" w:space="0" w:color="auto"/>
            </w:tcBorders>
            <w:hideMark/>
          </w:tcPr>
          <w:p w14:paraId="28E3872A" w14:textId="77777777" w:rsidR="007F0AE0" w:rsidRPr="00781F59" w:rsidRDefault="007F0AE0" w:rsidP="00453DE3">
            <w:pPr>
              <w:contextualSpacing/>
              <w:rPr>
                <w:sz w:val="20"/>
                <w:szCs w:val="20"/>
              </w:rPr>
            </w:pPr>
            <w:r w:rsidRPr="00781F59">
              <w:rPr>
                <w:sz w:val="20"/>
                <w:szCs w:val="20"/>
              </w:rPr>
              <w:t>Peace J.,Wilson N.,Thomson G.,Edwards R. 2008 Recent changes in cigarette packaging in New Zealand may continue to mislead smokers [9]. New Zealand Medical Journal; 121.</w:t>
            </w:r>
          </w:p>
        </w:tc>
        <w:tc>
          <w:tcPr>
            <w:tcW w:w="0" w:type="auto"/>
            <w:tcBorders>
              <w:top w:val="single" w:sz="6" w:space="0" w:color="auto"/>
              <w:left w:val="single" w:sz="6" w:space="0" w:color="auto"/>
              <w:bottom w:val="single" w:sz="6" w:space="0" w:color="auto"/>
              <w:right w:val="single" w:sz="6" w:space="0" w:color="auto"/>
            </w:tcBorders>
            <w:hideMark/>
          </w:tcPr>
          <w:p w14:paraId="3BC51546"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4D38531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58B0A6" w14:textId="77777777" w:rsidR="007F0AE0" w:rsidRPr="00781F59" w:rsidRDefault="007F0AE0" w:rsidP="00453DE3">
            <w:pPr>
              <w:contextualSpacing/>
              <w:rPr>
                <w:sz w:val="20"/>
                <w:szCs w:val="20"/>
              </w:rPr>
            </w:pPr>
            <w:r w:rsidRPr="00781F59">
              <w:rPr>
                <w:sz w:val="20"/>
                <w:szCs w:val="20"/>
              </w:rPr>
              <w:t>158</w:t>
            </w:r>
          </w:p>
        </w:tc>
        <w:tc>
          <w:tcPr>
            <w:tcW w:w="0" w:type="auto"/>
            <w:tcBorders>
              <w:top w:val="single" w:sz="6" w:space="0" w:color="auto"/>
              <w:left w:val="single" w:sz="6" w:space="0" w:color="auto"/>
              <w:bottom w:val="single" w:sz="6" w:space="0" w:color="auto"/>
              <w:right w:val="single" w:sz="6" w:space="0" w:color="auto"/>
            </w:tcBorders>
            <w:hideMark/>
          </w:tcPr>
          <w:p w14:paraId="427D8B80" w14:textId="77777777" w:rsidR="007F0AE0" w:rsidRPr="00781F59" w:rsidRDefault="007F0AE0" w:rsidP="00453DE3">
            <w:pPr>
              <w:contextualSpacing/>
              <w:rPr>
                <w:sz w:val="20"/>
                <w:szCs w:val="20"/>
              </w:rPr>
            </w:pPr>
            <w:r w:rsidRPr="00781F59">
              <w:rPr>
                <w:sz w:val="20"/>
                <w:szCs w:val="20"/>
              </w:rPr>
              <w:t>Hebert R. 2008 What's new in nicotine &amp; tobacco research?. Nicotine and Tobacco Research; 10.559.</w:t>
            </w:r>
          </w:p>
        </w:tc>
        <w:tc>
          <w:tcPr>
            <w:tcW w:w="0" w:type="auto"/>
            <w:tcBorders>
              <w:top w:val="single" w:sz="6" w:space="0" w:color="auto"/>
              <w:left w:val="single" w:sz="6" w:space="0" w:color="auto"/>
              <w:bottom w:val="single" w:sz="6" w:space="0" w:color="auto"/>
              <w:right w:val="single" w:sz="6" w:space="0" w:color="auto"/>
            </w:tcBorders>
            <w:hideMark/>
          </w:tcPr>
          <w:p w14:paraId="655D7402"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77896E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D91F9C" w14:textId="77777777" w:rsidR="007F0AE0" w:rsidRPr="00781F59" w:rsidRDefault="007F0AE0" w:rsidP="00453DE3">
            <w:pPr>
              <w:contextualSpacing/>
              <w:rPr>
                <w:sz w:val="20"/>
                <w:szCs w:val="20"/>
              </w:rPr>
            </w:pPr>
            <w:r w:rsidRPr="00781F59">
              <w:rPr>
                <w:sz w:val="20"/>
                <w:szCs w:val="20"/>
              </w:rPr>
              <w:t>159</w:t>
            </w:r>
          </w:p>
        </w:tc>
        <w:tc>
          <w:tcPr>
            <w:tcW w:w="0" w:type="auto"/>
            <w:tcBorders>
              <w:top w:val="single" w:sz="6" w:space="0" w:color="auto"/>
              <w:left w:val="single" w:sz="6" w:space="0" w:color="auto"/>
              <w:bottom w:val="single" w:sz="6" w:space="0" w:color="auto"/>
              <w:right w:val="single" w:sz="6" w:space="0" w:color="auto"/>
            </w:tcBorders>
            <w:hideMark/>
          </w:tcPr>
          <w:p w14:paraId="189E4D43" w14:textId="77777777" w:rsidR="007F0AE0" w:rsidRPr="00781F59" w:rsidRDefault="007F0AE0" w:rsidP="00453DE3">
            <w:pPr>
              <w:contextualSpacing/>
              <w:rPr>
                <w:sz w:val="20"/>
                <w:szCs w:val="20"/>
              </w:rPr>
            </w:pPr>
            <w:r w:rsidRPr="00781F59">
              <w:rPr>
                <w:sz w:val="20"/>
                <w:szCs w:val="20"/>
              </w:rPr>
              <w:t>Marshall S. 2008 Giving advice on sore throats. Pharmaceutical Journal; 280.127.</w:t>
            </w:r>
          </w:p>
        </w:tc>
        <w:tc>
          <w:tcPr>
            <w:tcW w:w="0" w:type="auto"/>
            <w:tcBorders>
              <w:top w:val="single" w:sz="6" w:space="0" w:color="auto"/>
              <w:left w:val="single" w:sz="6" w:space="0" w:color="auto"/>
              <w:bottom w:val="single" w:sz="6" w:space="0" w:color="auto"/>
              <w:right w:val="single" w:sz="6" w:space="0" w:color="auto"/>
            </w:tcBorders>
            <w:hideMark/>
          </w:tcPr>
          <w:p w14:paraId="0C06AF8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226367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534493" w14:textId="77777777" w:rsidR="007F0AE0" w:rsidRPr="00781F59" w:rsidRDefault="007F0AE0" w:rsidP="00453DE3">
            <w:pPr>
              <w:contextualSpacing/>
              <w:rPr>
                <w:sz w:val="20"/>
                <w:szCs w:val="20"/>
              </w:rPr>
            </w:pPr>
            <w:r w:rsidRPr="00781F59">
              <w:rPr>
                <w:sz w:val="20"/>
                <w:szCs w:val="20"/>
              </w:rPr>
              <w:t>161</w:t>
            </w:r>
          </w:p>
        </w:tc>
        <w:tc>
          <w:tcPr>
            <w:tcW w:w="0" w:type="auto"/>
            <w:tcBorders>
              <w:top w:val="single" w:sz="6" w:space="0" w:color="auto"/>
              <w:left w:val="single" w:sz="6" w:space="0" w:color="auto"/>
              <w:bottom w:val="single" w:sz="6" w:space="0" w:color="auto"/>
              <w:right w:val="single" w:sz="6" w:space="0" w:color="auto"/>
            </w:tcBorders>
            <w:hideMark/>
          </w:tcPr>
          <w:p w14:paraId="0B7AB204" w14:textId="77777777" w:rsidR="007F0AE0" w:rsidRPr="00781F59" w:rsidRDefault="007F0AE0" w:rsidP="00453DE3">
            <w:pPr>
              <w:contextualSpacing/>
              <w:rPr>
                <w:sz w:val="20"/>
                <w:szCs w:val="20"/>
              </w:rPr>
            </w:pPr>
            <w:r w:rsidRPr="00781F59">
              <w:rPr>
                <w:sz w:val="20"/>
                <w:szCs w:val="20"/>
              </w:rPr>
              <w:t>Hebert R. 2008 What's new in nicotine &amp; tobacco research?. Nicotine and Tobacco Research; 10.1671.</w:t>
            </w:r>
          </w:p>
        </w:tc>
        <w:tc>
          <w:tcPr>
            <w:tcW w:w="0" w:type="auto"/>
            <w:tcBorders>
              <w:top w:val="single" w:sz="6" w:space="0" w:color="auto"/>
              <w:left w:val="single" w:sz="6" w:space="0" w:color="auto"/>
              <w:bottom w:val="single" w:sz="6" w:space="0" w:color="auto"/>
              <w:right w:val="single" w:sz="6" w:space="0" w:color="auto"/>
            </w:tcBorders>
            <w:hideMark/>
          </w:tcPr>
          <w:p w14:paraId="7D0C0B9B" w14:textId="77777777" w:rsidR="007F0AE0" w:rsidRPr="00781F59" w:rsidRDefault="007F0AE0" w:rsidP="00453DE3">
            <w:pPr>
              <w:contextualSpacing/>
              <w:rPr>
                <w:sz w:val="20"/>
                <w:szCs w:val="20"/>
              </w:rPr>
            </w:pPr>
            <w:r w:rsidRPr="00781F59">
              <w:rPr>
                <w:sz w:val="20"/>
                <w:szCs w:val="20"/>
              </w:rPr>
              <w:t>Duplicate article</w:t>
            </w:r>
          </w:p>
        </w:tc>
      </w:tr>
      <w:tr w:rsidR="007F0AE0" w:rsidRPr="00781F59" w14:paraId="436319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034DB7" w14:textId="77777777" w:rsidR="007F0AE0" w:rsidRPr="00781F59" w:rsidRDefault="007F0AE0" w:rsidP="00453DE3">
            <w:pPr>
              <w:contextualSpacing/>
              <w:rPr>
                <w:sz w:val="20"/>
                <w:szCs w:val="20"/>
              </w:rPr>
            </w:pPr>
            <w:r w:rsidRPr="00781F59">
              <w:rPr>
                <w:sz w:val="20"/>
                <w:szCs w:val="20"/>
              </w:rPr>
              <w:t>162</w:t>
            </w:r>
          </w:p>
        </w:tc>
        <w:tc>
          <w:tcPr>
            <w:tcW w:w="0" w:type="auto"/>
            <w:tcBorders>
              <w:top w:val="single" w:sz="6" w:space="0" w:color="auto"/>
              <w:left w:val="single" w:sz="6" w:space="0" w:color="auto"/>
              <w:bottom w:val="single" w:sz="6" w:space="0" w:color="auto"/>
              <w:right w:val="single" w:sz="6" w:space="0" w:color="auto"/>
            </w:tcBorders>
            <w:hideMark/>
          </w:tcPr>
          <w:p w14:paraId="5CC935F4" w14:textId="77777777" w:rsidR="007F0AE0" w:rsidRPr="00781F59" w:rsidRDefault="007F0AE0" w:rsidP="00453DE3">
            <w:pPr>
              <w:contextualSpacing/>
              <w:rPr>
                <w:sz w:val="20"/>
                <w:szCs w:val="20"/>
              </w:rPr>
            </w:pPr>
            <w:r w:rsidRPr="00781F59">
              <w:rPr>
                <w:sz w:val="20"/>
                <w:szCs w:val="20"/>
              </w:rPr>
              <w:t>Marshall S. 2007 Over-the-counter advice for coughs. Pharmaceutical Journal; 278.85.</w:t>
            </w:r>
          </w:p>
        </w:tc>
        <w:tc>
          <w:tcPr>
            <w:tcW w:w="0" w:type="auto"/>
            <w:tcBorders>
              <w:top w:val="single" w:sz="6" w:space="0" w:color="auto"/>
              <w:left w:val="single" w:sz="6" w:space="0" w:color="auto"/>
              <w:bottom w:val="single" w:sz="6" w:space="0" w:color="auto"/>
              <w:right w:val="single" w:sz="6" w:space="0" w:color="auto"/>
            </w:tcBorders>
            <w:hideMark/>
          </w:tcPr>
          <w:p w14:paraId="2E27AEA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36503F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E65EDB" w14:textId="77777777" w:rsidR="007F0AE0" w:rsidRPr="00781F59" w:rsidRDefault="007F0AE0" w:rsidP="00453DE3">
            <w:pPr>
              <w:contextualSpacing/>
              <w:rPr>
                <w:sz w:val="20"/>
                <w:szCs w:val="20"/>
              </w:rPr>
            </w:pPr>
            <w:r w:rsidRPr="00781F59">
              <w:rPr>
                <w:sz w:val="20"/>
                <w:szCs w:val="20"/>
              </w:rPr>
              <w:t>163</w:t>
            </w:r>
          </w:p>
        </w:tc>
        <w:tc>
          <w:tcPr>
            <w:tcW w:w="0" w:type="auto"/>
            <w:tcBorders>
              <w:top w:val="single" w:sz="6" w:space="0" w:color="auto"/>
              <w:left w:val="single" w:sz="6" w:space="0" w:color="auto"/>
              <w:bottom w:val="single" w:sz="6" w:space="0" w:color="auto"/>
              <w:right w:val="single" w:sz="6" w:space="0" w:color="auto"/>
            </w:tcBorders>
            <w:hideMark/>
          </w:tcPr>
          <w:p w14:paraId="5FD1D584" w14:textId="77777777" w:rsidR="007F0AE0" w:rsidRPr="00781F59" w:rsidRDefault="007F0AE0" w:rsidP="00453DE3">
            <w:pPr>
              <w:contextualSpacing/>
              <w:rPr>
                <w:sz w:val="20"/>
                <w:szCs w:val="20"/>
              </w:rPr>
            </w:pPr>
            <w:r w:rsidRPr="00781F59">
              <w:rPr>
                <w:sz w:val="20"/>
                <w:szCs w:val="20"/>
              </w:rPr>
              <w:t>Anonymous. 2007 Contents and design features of tobacco products: Their relationship to dependence potential and consumer appeal. The Scientific Basis of Tobacco Product Regulation,World Health Organization - Technical Report Series; .7.</w:t>
            </w:r>
          </w:p>
        </w:tc>
        <w:tc>
          <w:tcPr>
            <w:tcW w:w="0" w:type="auto"/>
            <w:tcBorders>
              <w:top w:val="single" w:sz="6" w:space="0" w:color="auto"/>
              <w:left w:val="single" w:sz="6" w:space="0" w:color="auto"/>
              <w:bottom w:val="single" w:sz="6" w:space="0" w:color="auto"/>
              <w:right w:val="single" w:sz="6" w:space="0" w:color="auto"/>
            </w:tcBorders>
            <w:hideMark/>
          </w:tcPr>
          <w:p w14:paraId="0FF9209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4E6A3B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553DBF" w14:textId="77777777" w:rsidR="007F0AE0" w:rsidRPr="00781F59" w:rsidRDefault="007F0AE0" w:rsidP="00453DE3">
            <w:pPr>
              <w:contextualSpacing/>
              <w:rPr>
                <w:sz w:val="20"/>
                <w:szCs w:val="20"/>
              </w:rPr>
            </w:pPr>
            <w:r w:rsidRPr="00781F59">
              <w:rPr>
                <w:sz w:val="20"/>
                <w:szCs w:val="20"/>
              </w:rPr>
              <w:t>164</w:t>
            </w:r>
          </w:p>
        </w:tc>
        <w:tc>
          <w:tcPr>
            <w:tcW w:w="0" w:type="auto"/>
            <w:tcBorders>
              <w:top w:val="single" w:sz="6" w:space="0" w:color="auto"/>
              <w:left w:val="single" w:sz="6" w:space="0" w:color="auto"/>
              <w:bottom w:val="single" w:sz="6" w:space="0" w:color="auto"/>
              <w:right w:val="single" w:sz="6" w:space="0" w:color="auto"/>
            </w:tcBorders>
            <w:hideMark/>
          </w:tcPr>
          <w:p w14:paraId="222E9245" w14:textId="77777777" w:rsidR="007F0AE0" w:rsidRPr="00781F59" w:rsidRDefault="007F0AE0" w:rsidP="00453DE3">
            <w:pPr>
              <w:contextualSpacing/>
              <w:rPr>
                <w:sz w:val="20"/>
                <w:szCs w:val="20"/>
              </w:rPr>
            </w:pPr>
            <w:r w:rsidRPr="00781F59">
              <w:rPr>
                <w:sz w:val="20"/>
                <w:szCs w:val="20"/>
              </w:rPr>
              <w:t>Hebert R. 2007 What's new in Nicotine &amp; Tobacco Research?. Nicotine and Tobacco Research; 9.787.</w:t>
            </w:r>
          </w:p>
        </w:tc>
        <w:tc>
          <w:tcPr>
            <w:tcW w:w="0" w:type="auto"/>
            <w:tcBorders>
              <w:top w:val="single" w:sz="6" w:space="0" w:color="auto"/>
              <w:left w:val="single" w:sz="6" w:space="0" w:color="auto"/>
              <w:bottom w:val="single" w:sz="6" w:space="0" w:color="auto"/>
              <w:right w:val="single" w:sz="6" w:space="0" w:color="auto"/>
            </w:tcBorders>
            <w:hideMark/>
          </w:tcPr>
          <w:p w14:paraId="6FAE1849"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7E0E1F0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22FB8C" w14:textId="77777777" w:rsidR="007F0AE0" w:rsidRPr="00781F59" w:rsidRDefault="007F0AE0" w:rsidP="00453DE3">
            <w:pPr>
              <w:contextualSpacing/>
              <w:rPr>
                <w:sz w:val="20"/>
                <w:szCs w:val="20"/>
              </w:rPr>
            </w:pPr>
            <w:r w:rsidRPr="00781F59">
              <w:rPr>
                <w:sz w:val="20"/>
                <w:szCs w:val="20"/>
              </w:rPr>
              <w:t>165</w:t>
            </w:r>
          </w:p>
        </w:tc>
        <w:tc>
          <w:tcPr>
            <w:tcW w:w="0" w:type="auto"/>
            <w:tcBorders>
              <w:top w:val="single" w:sz="6" w:space="0" w:color="auto"/>
              <w:left w:val="single" w:sz="6" w:space="0" w:color="auto"/>
              <w:bottom w:val="single" w:sz="6" w:space="0" w:color="auto"/>
              <w:right w:val="single" w:sz="6" w:space="0" w:color="auto"/>
            </w:tcBorders>
            <w:hideMark/>
          </w:tcPr>
          <w:p w14:paraId="1C18E475" w14:textId="77777777" w:rsidR="007F0AE0" w:rsidRPr="00781F59" w:rsidRDefault="007F0AE0" w:rsidP="00453DE3">
            <w:pPr>
              <w:contextualSpacing/>
              <w:rPr>
                <w:sz w:val="20"/>
                <w:szCs w:val="20"/>
              </w:rPr>
            </w:pPr>
            <w:r w:rsidRPr="00781F59">
              <w:rPr>
                <w:sz w:val="20"/>
                <w:szCs w:val="20"/>
              </w:rPr>
              <w:t>Tidey J.W.,Williams J. 2007 Clinical indices of tobacco use in people with schizophrenia. Journal of Dual Diagnosis; 3.79.</w:t>
            </w:r>
          </w:p>
        </w:tc>
        <w:tc>
          <w:tcPr>
            <w:tcW w:w="0" w:type="auto"/>
            <w:tcBorders>
              <w:top w:val="single" w:sz="6" w:space="0" w:color="auto"/>
              <w:left w:val="single" w:sz="6" w:space="0" w:color="auto"/>
              <w:bottom w:val="single" w:sz="6" w:space="0" w:color="auto"/>
              <w:right w:val="single" w:sz="6" w:space="0" w:color="auto"/>
            </w:tcBorders>
            <w:hideMark/>
          </w:tcPr>
          <w:p w14:paraId="020111A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EEBB0B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C8818B" w14:textId="77777777" w:rsidR="007F0AE0" w:rsidRPr="00781F59" w:rsidRDefault="007F0AE0" w:rsidP="00453DE3">
            <w:pPr>
              <w:contextualSpacing/>
              <w:rPr>
                <w:sz w:val="20"/>
                <w:szCs w:val="20"/>
              </w:rPr>
            </w:pPr>
            <w:r w:rsidRPr="00781F59">
              <w:rPr>
                <w:sz w:val="20"/>
                <w:szCs w:val="20"/>
              </w:rPr>
              <w:t>166</w:t>
            </w:r>
          </w:p>
        </w:tc>
        <w:tc>
          <w:tcPr>
            <w:tcW w:w="0" w:type="auto"/>
            <w:tcBorders>
              <w:top w:val="single" w:sz="6" w:space="0" w:color="auto"/>
              <w:left w:val="single" w:sz="6" w:space="0" w:color="auto"/>
              <w:bottom w:val="single" w:sz="6" w:space="0" w:color="auto"/>
              <w:right w:val="single" w:sz="6" w:space="0" w:color="auto"/>
            </w:tcBorders>
            <w:hideMark/>
          </w:tcPr>
          <w:p w14:paraId="6D1E9EF7" w14:textId="77777777" w:rsidR="007F0AE0" w:rsidRPr="00781F59" w:rsidRDefault="007F0AE0" w:rsidP="00453DE3">
            <w:pPr>
              <w:contextualSpacing/>
              <w:rPr>
                <w:sz w:val="20"/>
                <w:szCs w:val="20"/>
              </w:rPr>
            </w:pPr>
            <w:r w:rsidRPr="00781F59">
              <w:rPr>
                <w:sz w:val="20"/>
                <w:szCs w:val="20"/>
              </w:rPr>
              <w:t>Foulds J.,Williams J.M.,Gandhi K.K. 2006 To the editor [5]. New England Journal of Medicine; 354.1952.</w:t>
            </w:r>
          </w:p>
        </w:tc>
        <w:tc>
          <w:tcPr>
            <w:tcW w:w="0" w:type="auto"/>
            <w:tcBorders>
              <w:top w:val="single" w:sz="6" w:space="0" w:color="auto"/>
              <w:left w:val="single" w:sz="6" w:space="0" w:color="auto"/>
              <w:bottom w:val="single" w:sz="6" w:space="0" w:color="auto"/>
              <w:right w:val="single" w:sz="6" w:space="0" w:color="auto"/>
            </w:tcBorders>
            <w:hideMark/>
          </w:tcPr>
          <w:p w14:paraId="4AC5521B"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56F65D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E6832C" w14:textId="77777777" w:rsidR="007F0AE0" w:rsidRPr="00781F59" w:rsidRDefault="007F0AE0" w:rsidP="00453DE3">
            <w:pPr>
              <w:contextualSpacing/>
              <w:rPr>
                <w:sz w:val="20"/>
                <w:szCs w:val="20"/>
              </w:rPr>
            </w:pPr>
            <w:r w:rsidRPr="00781F59">
              <w:rPr>
                <w:sz w:val="20"/>
                <w:szCs w:val="20"/>
              </w:rPr>
              <w:t>167</w:t>
            </w:r>
          </w:p>
        </w:tc>
        <w:tc>
          <w:tcPr>
            <w:tcW w:w="0" w:type="auto"/>
            <w:tcBorders>
              <w:top w:val="single" w:sz="6" w:space="0" w:color="auto"/>
              <w:left w:val="single" w:sz="6" w:space="0" w:color="auto"/>
              <w:bottom w:val="single" w:sz="6" w:space="0" w:color="auto"/>
              <w:right w:val="single" w:sz="6" w:space="0" w:color="auto"/>
            </w:tcBorders>
            <w:hideMark/>
          </w:tcPr>
          <w:p w14:paraId="6042CEAD" w14:textId="77777777" w:rsidR="007F0AE0" w:rsidRPr="00781F59" w:rsidRDefault="007F0AE0" w:rsidP="00453DE3">
            <w:pPr>
              <w:contextualSpacing/>
              <w:rPr>
                <w:sz w:val="20"/>
                <w:szCs w:val="20"/>
              </w:rPr>
            </w:pPr>
            <w:r w:rsidRPr="00781F59">
              <w:rPr>
                <w:sz w:val="20"/>
                <w:szCs w:val="20"/>
              </w:rPr>
              <w:t>Morice A.H.,McGarvey L.,Pavord I. 2006 Recommendations for the management of cough in adults. Thorax; 61.</w:t>
            </w:r>
          </w:p>
        </w:tc>
        <w:tc>
          <w:tcPr>
            <w:tcW w:w="0" w:type="auto"/>
            <w:tcBorders>
              <w:top w:val="single" w:sz="6" w:space="0" w:color="auto"/>
              <w:left w:val="single" w:sz="6" w:space="0" w:color="auto"/>
              <w:bottom w:val="single" w:sz="6" w:space="0" w:color="auto"/>
              <w:right w:val="single" w:sz="6" w:space="0" w:color="auto"/>
            </w:tcBorders>
            <w:hideMark/>
          </w:tcPr>
          <w:p w14:paraId="7DFFBCA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F25234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699AAC" w14:textId="77777777" w:rsidR="007F0AE0" w:rsidRPr="00781F59" w:rsidRDefault="007F0AE0" w:rsidP="00453DE3">
            <w:pPr>
              <w:contextualSpacing/>
              <w:rPr>
                <w:sz w:val="20"/>
                <w:szCs w:val="20"/>
              </w:rPr>
            </w:pPr>
            <w:r w:rsidRPr="00781F59">
              <w:rPr>
                <w:sz w:val="20"/>
                <w:szCs w:val="20"/>
              </w:rPr>
              <w:lastRenderedPageBreak/>
              <w:t>168</w:t>
            </w:r>
          </w:p>
        </w:tc>
        <w:tc>
          <w:tcPr>
            <w:tcW w:w="0" w:type="auto"/>
            <w:tcBorders>
              <w:top w:val="single" w:sz="6" w:space="0" w:color="auto"/>
              <w:left w:val="single" w:sz="6" w:space="0" w:color="auto"/>
              <w:bottom w:val="single" w:sz="6" w:space="0" w:color="auto"/>
              <w:right w:val="single" w:sz="6" w:space="0" w:color="auto"/>
            </w:tcBorders>
            <w:hideMark/>
          </w:tcPr>
          <w:p w14:paraId="225F8E0E" w14:textId="77777777" w:rsidR="007F0AE0" w:rsidRPr="00781F59" w:rsidRDefault="007F0AE0" w:rsidP="00453DE3">
            <w:pPr>
              <w:contextualSpacing/>
              <w:rPr>
                <w:sz w:val="20"/>
                <w:szCs w:val="20"/>
              </w:rPr>
            </w:pPr>
            <w:r w:rsidRPr="00781F59">
              <w:rPr>
                <w:sz w:val="20"/>
                <w:szCs w:val="20"/>
              </w:rPr>
              <w:t>Hebert R. 2005 What's new in nicotine &amp; tobacco research?. Nicotine and Tobacco Research; 7.485.</w:t>
            </w:r>
          </w:p>
        </w:tc>
        <w:tc>
          <w:tcPr>
            <w:tcW w:w="0" w:type="auto"/>
            <w:tcBorders>
              <w:top w:val="single" w:sz="6" w:space="0" w:color="auto"/>
              <w:left w:val="single" w:sz="6" w:space="0" w:color="auto"/>
              <w:bottom w:val="single" w:sz="6" w:space="0" w:color="auto"/>
              <w:right w:val="single" w:sz="6" w:space="0" w:color="auto"/>
            </w:tcBorders>
            <w:hideMark/>
          </w:tcPr>
          <w:p w14:paraId="46D97332"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F91B9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C713A9" w14:textId="77777777" w:rsidR="007F0AE0" w:rsidRPr="00781F59" w:rsidRDefault="007F0AE0" w:rsidP="00453DE3">
            <w:pPr>
              <w:contextualSpacing/>
              <w:rPr>
                <w:sz w:val="20"/>
                <w:szCs w:val="20"/>
              </w:rPr>
            </w:pPr>
            <w:r w:rsidRPr="00781F59">
              <w:rPr>
                <w:sz w:val="20"/>
                <w:szCs w:val="20"/>
              </w:rPr>
              <w:t>170</w:t>
            </w:r>
          </w:p>
        </w:tc>
        <w:tc>
          <w:tcPr>
            <w:tcW w:w="0" w:type="auto"/>
            <w:tcBorders>
              <w:top w:val="single" w:sz="6" w:space="0" w:color="auto"/>
              <w:left w:val="single" w:sz="6" w:space="0" w:color="auto"/>
              <w:bottom w:val="single" w:sz="6" w:space="0" w:color="auto"/>
              <w:right w:val="single" w:sz="6" w:space="0" w:color="auto"/>
            </w:tcBorders>
            <w:hideMark/>
          </w:tcPr>
          <w:p w14:paraId="664A356D" w14:textId="77777777" w:rsidR="007F0AE0" w:rsidRPr="00781F59" w:rsidRDefault="007F0AE0" w:rsidP="00453DE3">
            <w:pPr>
              <w:contextualSpacing/>
              <w:rPr>
                <w:sz w:val="20"/>
                <w:szCs w:val="20"/>
              </w:rPr>
            </w:pPr>
            <w:r w:rsidRPr="00781F59">
              <w:rPr>
                <w:sz w:val="20"/>
                <w:szCs w:val="20"/>
              </w:rPr>
              <w:t>Hebert R. 2004 What's new in Nicotine &amp; Tobacco Research?. Nicotine and Tobacco Research; 6.S279.</w:t>
            </w:r>
          </w:p>
        </w:tc>
        <w:tc>
          <w:tcPr>
            <w:tcW w:w="0" w:type="auto"/>
            <w:tcBorders>
              <w:top w:val="single" w:sz="6" w:space="0" w:color="auto"/>
              <w:left w:val="single" w:sz="6" w:space="0" w:color="auto"/>
              <w:bottom w:val="single" w:sz="6" w:space="0" w:color="auto"/>
              <w:right w:val="single" w:sz="6" w:space="0" w:color="auto"/>
            </w:tcBorders>
            <w:hideMark/>
          </w:tcPr>
          <w:p w14:paraId="47F07A54"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28A7363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7E1E61" w14:textId="77777777" w:rsidR="007F0AE0" w:rsidRPr="00781F59" w:rsidRDefault="007F0AE0" w:rsidP="00453DE3">
            <w:pPr>
              <w:contextualSpacing/>
              <w:rPr>
                <w:sz w:val="20"/>
                <w:szCs w:val="20"/>
              </w:rPr>
            </w:pPr>
            <w:r w:rsidRPr="00781F59">
              <w:rPr>
                <w:sz w:val="20"/>
                <w:szCs w:val="20"/>
              </w:rPr>
              <w:t>171</w:t>
            </w:r>
          </w:p>
        </w:tc>
        <w:tc>
          <w:tcPr>
            <w:tcW w:w="0" w:type="auto"/>
            <w:tcBorders>
              <w:top w:val="single" w:sz="6" w:space="0" w:color="auto"/>
              <w:left w:val="single" w:sz="6" w:space="0" w:color="auto"/>
              <w:bottom w:val="single" w:sz="6" w:space="0" w:color="auto"/>
              <w:right w:val="single" w:sz="6" w:space="0" w:color="auto"/>
            </w:tcBorders>
            <w:hideMark/>
          </w:tcPr>
          <w:p w14:paraId="356048A1" w14:textId="77777777" w:rsidR="007F0AE0" w:rsidRPr="00781F59" w:rsidRDefault="007F0AE0" w:rsidP="00453DE3">
            <w:pPr>
              <w:contextualSpacing/>
              <w:rPr>
                <w:sz w:val="20"/>
                <w:szCs w:val="20"/>
              </w:rPr>
            </w:pPr>
            <w:r w:rsidRPr="00781F59">
              <w:rPr>
                <w:sz w:val="20"/>
                <w:szCs w:val="20"/>
              </w:rPr>
              <w:t>Castro F.G. 2004 Erratum: "Physiological, psychological, social, and cultural influences on the use of menthol cigarettes among Blacks and Hispanics" (Nicotine &amp; Tobacco Research (2004) (S30-S43)). Nicotine and Tobacco Research; 6.575.</w:t>
            </w:r>
          </w:p>
        </w:tc>
        <w:tc>
          <w:tcPr>
            <w:tcW w:w="0" w:type="auto"/>
            <w:tcBorders>
              <w:top w:val="single" w:sz="6" w:space="0" w:color="auto"/>
              <w:left w:val="single" w:sz="6" w:space="0" w:color="auto"/>
              <w:bottom w:val="single" w:sz="6" w:space="0" w:color="auto"/>
              <w:right w:val="single" w:sz="6" w:space="0" w:color="auto"/>
            </w:tcBorders>
            <w:hideMark/>
          </w:tcPr>
          <w:p w14:paraId="49CF16B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281EA4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D867C6" w14:textId="77777777" w:rsidR="007F0AE0" w:rsidRPr="00781F59" w:rsidRDefault="007F0AE0" w:rsidP="00453DE3">
            <w:pPr>
              <w:contextualSpacing/>
              <w:rPr>
                <w:sz w:val="20"/>
                <w:szCs w:val="20"/>
              </w:rPr>
            </w:pPr>
            <w:r w:rsidRPr="00781F59">
              <w:rPr>
                <w:sz w:val="20"/>
                <w:szCs w:val="20"/>
              </w:rPr>
              <w:t>173</w:t>
            </w:r>
          </w:p>
        </w:tc>
        <w:tc>
          <w:tcPr>
            <w:tcW w:w="0" w:type="auto"/>
            <w:tcBorders>
              <w:top w:val="single" w:sz="6" w:space="0" w:color="auto"/>
              <w:left w:val="single" w:sz="6" w:space="0" w:color="auto"/>
              <w:bottom w:val="single" w:sz="6" w:space="0" w:color="auto"/>
              <w:right w:val="single" w:sz="6" w:space="0" w:color="auto"/>
            </w:tcBorders>
            <w:hideMark/>
          </w:tcPr>
          <w:p w14:paraId="5611F7D0" w14:textId="77777777" w:rsidR="007F0AE0" w:rsidRPr="00781F59" w:rsidRDefault="007F0AE0" w:rsidP="00453DE3">
            <w:pPr>
              <w:contextualSpacing/>
              <w:rPr>
                <w:sz w:val="20"/>
                <w:szCs w:val="20"/>
              </w:rPr>
            </w:pPr>
            <w:r w:rsidRPr="00781F59">
              <w:rPr>
                <w:sz w:val="20"/>
                <w:szCs w:val="20"/>
              </w:rPr>
              <w:t>Gonzalez Castro F. 2004 Physiological, psychological, social, and cultural influences on the use of menthol cigarettes among Blacks and Hispanics. Nicotine and Tobacco Research; 6.S29.</w:t>
            </w:r>
          </w:p>
        </w:tc>
        <w:tc>
          <w:tcPr>
            <w:tcW w:w="0" w:type="auto"/>
            <w:tcBorders>
              <w:top w:val="single" w:sz="6" w:space="0" w:color="auto"/>
              <w:left w:val="single" w:sz="6" w:space="0" w:color="auto"/>
              <w:bottom w:val="single" w:sz="6" w:space="0" w:color="auto"/>
              <w:right w:val="single" w:sz="6" w:space="0" w:color="auto"/>
            </w:tcBorders>
            <w:hideMark/>
          </w:tcPr>
          <w:p w14:paraId="0A5CBB16"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B2E09F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D054A81" w14:textId="77777777" w:rsidR="007F0AE0" w:rsidRPr="00781F59" w:rsidRDefault="007F0AE0" w:rsidP="00453DE3">
            <w:pPr>
              <w:contextualSpacing/>
              <w:rPr>
                <w:sz w:val="20"/>
                <w:szCs w:val="20"/>
              </w:rPr>
            </w:pPr>
            <w:r w:rsidRPr="00781F59">
              <w:rPr>
                <w:sz w:val="20"/>
                <w:szCs w:val="20"/>
              </w:rPr>
              <w:t>174</w:t>
            </w:r>
          </w:p>
        </w:tc>
        <w:tc>
          <w:tcPr>
            <w:tcW w:w="0" w:type="auto"/>
            <w:tcBorders>
              <w:top w:val="single" w:sz="6" w:space="0" w:color="auto"/>
              <w:left w:val="single" w:sz="6" w:space="0" w:color="auto"/>
              <w:bottom w:val="single" w:sz="6" w:space="0" w:color="auto"/>
              <w:right w:val="single" w:sz="6" w:space="0" w:color="auto"/>
            </w:tcBorders>
            <w:hideMark/>
          </w:tcPr>
          <w:p w14:paraId="7F083736" w14:textId="77777777" w:rsidR="007F0AE0" w:rsidRPr="00781F59" w:rsidRDefault="007F0AE0" w:rsidP="00453DE3">
            <w:pPr>
              <w:contextualSpacing/>
              <w:rPr>
                <w:sz w:val="20"/>
                <w:szCs w:val="20"/>
              </w:rPr>
            </w:pPr>
            <w:r w:rsidRPr="00781F59">
              <w:rPr>
                <w:sz w:val="20"/>
                <w:szCs w:val="20"/>
              </w:rPr>
              <w:t>Sutton C.D.,Robinson R.G. 2004 The marketing of menthol cigarettes in the United States: Population, messages, and channels. Nicotine and Tobacco Research; 6.S83.</w:t>
            </w:r>
          </w:p>
        </w:tc>
        <w:tc>
          <w:tcPr>
            <w:tcW w:w="0" w:type="auto"/>
            <w:tcBorders>
              <w:top w:val="single" w:sz="6" w:space="0" w:color="auto"/>
              <w:left w:val="single" w:sz="6" w:space="0" w:color="auto"/>
              <w:bottom w:val="single" w:sz="6" w:space="0" w:color="auto"/>
              <w:right w:val="single" w:sz="6" w:space="0" w:color="auto"/>
            </w:tcBorders>
            <w:hideMark/>
          </w:tcPr>
          <w:p w14:paraId="793B18A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EF68D9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40812C" w14:textId="77777777" w:rsidR="007F0AE0" w:rsidRPr="00781F59" w:rsidRDefault="007F0AE0" w:rsidP="00453DE3">
            <w:pPr>
              <w:contextualSpacing/>
              <w:rPr>
                <w:sz w:val="20"/>
                <w:szCs w:val="20"/>
              </w:rPr>
            </w:pPr>
            <w:r w:rsidRPr="00781F59">
              <w:rPr>
                <w:sz w:val="20"/>
                <w:szCs w:val="20"/>
              </w:rPr>
              <w:t>176</w:t>
            </w:r>
          </w:p>
        </w:tc>
        <w:tc>
          <w:tcPr>
            <w:tcW w:w="0" w:type="auto"/>
            <w:tcBorders>
              <w:top w:val="single" w:sz="6" w:space="0" w:color="auto"/>
              <w:left w:val="single" w:sz="6" w:space="0" w:color="auto"/>
              <w:bottom w:val="single" w:sz="6" w:space="0" w:color="auto"/>
              <w:right w:val="single" w:sz="6" w:space="0" w:color="auto"/>
            </w:tcBorders>
            <w:hideMark/>
          </w:tcPr>
          <w:p w14:paraId="25A8635B" w14:textId="77777777" w:rsidR="007F0AE0" w:rsidRPr="00781F59" w:rsidRDefault="007F0AE0" w:rsidP="00453DE3">
            <w:pPr>
              <w:contextualSpacing/>
              <w:rPr>
                <w:sz w:val="20"/>
                <w:szCs w:val="20"/>
              </w:rPr>
            </w:pPr>
            <w:r w:rsidRPr="00781F59">
              <w:rPr>
                <w:sz w:val="20"/>
                <w:szCs w:val="20"/>
              </w:rPr>
              <w:t>Brandwein-Gensler M.,Hille J.J. 2003 Behind the cover: The guthka story. Archives of Otolaryngology - Head and Neck Surgery; 129.699.</w:t>
            </w:r>
          </w:p>
        </w:tc>
        <w:tc>
          <w:tcPr>
            <w:tcW w:w="0" w:type="auto"/>
            <w:tcBorders>
              <w:top w:val="single" w:sz="6" w:space="0" w:color="auto"/>
              <w:left w:val="single" w:sz="6" w:space="0" w:color="auto"/>
              <w:bottom w:val="single" w:sz="6" w:space="0" w:color="auto"/>
              <w:right w:val="single" w:sz="6" w:space="0" w:color="auto"/>
            </w:tcBorders>
            <w:hideMark/>
          </w:tcPr>
          <w:p w14:paraId="47F862E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D25B50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A27547" w14:textId="77777777" w:rsidR="007F0AE0" w:rsidRPr="00781F59" w:rsidRDefault="007F0AE0" w:rsidP="00453DE3">
            <w:pPr>
              <w:contextualSpacing/>
              <w:rPr>
                <w:sz w:val="20"/>
                <w:szCs w:val="20"/>
              </w:rPr>
            </w:pPr>
            <w:r w:rsidRPr="00781F59">
              <w:rPr>
                <w:sz w:val="20"/>
                <w:szCs w:val="20"/>
              </w:rPr>
              <w:t>177</w:t>
            </w:r>
          </w:p>
        </w:tc>
        <w:tc>
          <w:tcPr>
            <w:tcW w:w="0" w:type="auto"/>
            <w:tcBorders>
              <w:top w:val="single" w:sz="6" w:space="0" w:color="auto"/>
              <w:left w:val="single" w:sz="6" w:space="0" w:color="auto"/>
              <w:bottom w:val="single" w:sz="6" w:space="0" w:color="auto"/>
              <w:right w:val="single" w:sz="6" w:space="0" w:color="auto"/>
            </w:tcBorders>
            <w:hideMark/>
          </w:tcPr>
          <w:p w14:paraId="3A7A1111" w14:textId="77777777" w:rsidR="007F0AE0" w:rsidRPr="00781F59" w:rsidRDefault="007F0AE0" w:rsidP="00453DE3">
            <w:pPr>
              <w:contextualSpacing/>
              <w:rPr>
                <w:sz w:val="20"/>
                <w:szCs w:val="20"/>
              </w:rPr>
            </w:pPr>
            <w:r w:rsidRPr="00781F59">
              <w:rPr>
                <w:sz w:val="20"/>
                <w:szCs w:val="20"/>
              </w:rPr>
              <w:t>Hebert J.R. 2003 Invited commentary: Menthol cigarettes and risk of lung cancer. American Journal of Epidemiology; 158.617.</w:t>
            </w:r>
          </w:p>
        </w:tc>
        <w:tc>
          <w:tcPr>
            <w:tcW w:w="0" w:type="auto"/>
            <w:tcBorders>
              <w:top w:val="single" w:sz="6" w:space="0" w:color="auto"/>
              <w:left w:val="single" w:sz="6" w:space="0" w:color="auto"/>
              <w:bottom w:val="single" w:sz="6" w:space="0" w:color="auto"/>
              <w:right w:val="single" w:sz="6" w:space="0" w:color="auto"/>
            </w:tcBorders>
            <w:hideMark/>
          </w:tcPr>
          <w:p w14:paraId="77ED7EC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F67D8D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9F4089" w14:textId="77777777" w:rsidR="007F0AE0" w:rsidRPr="00781F59" w:rsidRDefault="007F0AE0" w:rsidP="00453DE3">
            <w:pPr>
              <w:contextualSpacing/>
              <w:rPr>
                <w:sz w:val="20"/>
                <w:szCs w:val="20"/>
              </w:rPr>
            </w:pPr>
            <w:r w:rsidRPr="00781F59">
              <w:rPr>
                <w:sz w:val="20"/>
                <w:szCs w:val="20"/>
              </w:rPr>
              <w:t>181</w:t>
            </w:r>
          </w:p>
        </w:tc>
        <w:tc>
          <w:tcPr>
            <w:tcW w:w="0" w:type="auto"/>
            <w:tcBorders>
              <w:top w:val="single" w:sz="6" w:space="0" w:color="auto"/>
              <w:left w:val="single" w:sz="6" w:space="0" w:color="auto"/>
              <w:bottom w:val="single" w:sz="6" w:space="0" w:color="auto"/>
              <w:right w:val="single" w:sz="6" w:space="0" w:color="auto"/>
            </w:tcBorders>
            <w:hideMark/>
          </w:tcPr>
          <w:p w14:paraId="2A7BA402" w14:textId="77777777" w:rsidR="007F0AE0" w:rsidRPr="00781F59" w:rsidRDefault="007F0AE0" w:rsidP="00453DE3">
            <w:pPr>
              <w:contextualSpacing/>
              <w:rPr>
                <w:sz w:val="20"/>
                <w:szCs w:val="20"/>
              </w:rPr>
            </w:pPr>
            <w:r w:rsidRPr="00781F59">
              <w:rPr>
                <w:sz w:val="20"/>
                <w:szCs w:val="20"/>
              </w:rPr>
              <w:t>Pickworth W.B.,Moolchan E.T.,Berlin I.,Murty R. 2002 Sensory and physiologic effects of menthol and nonmenthol cigarettes with differing nicotine delivery. Pharmacology Biochemistry and Behavior; 71.55.</w:t>
            </w:r>
          </w:p>
        </w:tc>
        <w:tc>
          <w:tcPr>
            <w:tcW w:w="0" w:type="auto"/>
            <w:tcBorders>
              <w:top w:val="single" w:sz="6" w:space="0" w:color="auto"/>
              <w:left w:val="single" w:sz="6" w:space="0" w:color="auto"/>
              <w:bottom w:val="single" w:sz="6" w:space="0" w:color="auto"/>
              <w:right w:val="single" w:sz="6" w:space="0" w:color="auto"/>
            </w:tcBorders>
            <w:hideMark/>
          </w:tcPr>
          <w:p w14:paraId="644FAB3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DD8956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F74A23" w14:textId="77777777" w:rsidR="007F0AE0" w:rsidRPr="00781F59" w:rsidRDefault="007F0AE0" w:rsidP="00453DE3">
            <w:pPr>
              <w:contextualSpacing/>
              <w:rPr>
                <w:sz w:val="20"/>
                <w:szCs w:val="20"/>
              </w:rPr>
            </w:pPr>
            <w:r w:rsidRPr="00781F59">
              <w:rPr>
                <w:sz w:val="20"/>
                <w:szCs w:val="20"/>
              </w:rPr>
              <w:t>182</w:t>
            </w:r>
          </w:p>
        </w:tc>
        <w:tc>
          <w:tcPr>
            <w:tcW w:w="0" w:type="auto"/>
            <w:tcBorders>
              <w:top w:val="single" w:sz="6" w:space="0" w:color="auto"/>
              <w:left w:val="single" w:sz="6" w:space="0" w:color="auto"/>
              <w:bottom w:val="single" w:sz="6" w:space="0" w:color="auto"/>
              <w:right w:val="single" w:sz="6" w:space="0" w:color="auto"/>
            </w:tcBorders>
            <w:hideMark/>
          </w:tcPr>
          <w:p w14:paraId="02E3EEDE" w14:textId="77777777" w:rsidR="007F0AE0" w:rsidRPr="00781F59" w:rsidRDefault="007F0AE0" w:rsidP="00453DE3">
            <w:pPr>
              <w:contextualSpacing/>
              <w:rPr>
                <w:sz w:val="20"/>
                <w:szCs w:val="20"/>
              </w:rPr>
            </w:pPr>
            <w:r w:rsidRPr="00781F59">
              <w:rPr>
                <w:sz w:val="20"/>
                <w:szCs w:val="20"/>
              </w:rPr>
              <w:t>Hebert R. 2002 What's new in Nicotine &amp; Tobacco Research?. Nicotine and Tobacco Research; 4.385.</w:t>
            </w:r>
          </w:p>
        </w:tc>
        <w:tc>
          <w:tcPr>
            <w:tcW w:w="0" w:type="auto"/>
            <w:tcBorders>
              <w:top w:val="single" w:sz="6" w:space="0" w:color="auto"/>
              <w:left w:val="single" w:sz="6" w:space="0" w:color="auto"/>
              <w:bottom w:val="single" w:sz="6" w:space="0" w:color="auto"/>
              <w:right w:val="single" w:sz="6" w:space="0" w:color="auto"/>
            </w:tcBorders>
            <w:hideMark/>
          </w:tcPr>
          <w:p w14:paraId="7D4F7F6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595602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E947BF" w14:textId="77777777" w:rsidR="007F0AE0" w:rsidRPr="00781F59" w:rsidRDefault="007F0AE0" w:rsidP="00453DE3">
            <w:pPr>
              <w:contextualSpacing/>
              <w:rPr>
                <w:sz w:val="20"/>
                <w:szCs w:val="20"/>
              </w:rPr>
            </w:pPr>
            <w:r w:rsidRPr="00781F59">
              <w:rPr>
                <w:sz w:val="20"/>
                <w:szCs w:val="20"/>
              </w:rPr>
              <w:t>186</w:t>
            </w:r>
          </w:p>
        </w:tc>
        <w:tc>
          <w:tcPr>
            <w:tcW w:w="0" w:type="auto"/>
            <w:tcBorders>
              <w:top w:val="single" w:sz="6" w:space="0" w:color="auto"/>
              <w:left w:val="single" w:sz="6" w:space="0" w:color="auto"/>
              <w:bottom w:val="single" w:sz="6" w:space="0" w:color="auto"/>
              <w:right w:val="single" w:sz="6" w:space="0" w:color="auto"/>
            </w:tcBorders>
            <w:hideMark/>
          </w:tcPr>
          <w:p w14:paraId="18723970" w14:textId="77777777" w:rsidR="007F0AE0" w:rsidRPr="00781F59" w:rsidRDefault="007F0AE0" w:rsidP="00453DE3">
            <w:pPr>
              <w:contextualSpacing/>
              <w:rPr>
                <w:sz w:val="20"/>
                <w:szCs w:val="20"/>
              </w:rPr>
            </w:pPr>
            <w:r w:rsidRPr="00781F59">
              <w:rPr>
                <w:sz w:val="20"/>
                <w:szCs w:val="20"/>
              </w:rPr>
              <w:t>Newton G.D.,Pray W.S.,Popovich N.G. 1997 New OTC drugs and devices: A selective review. As the array of OTC drugs diversifies, pharmacists should be prepared to guide patients in selection and use of these products. Journal of the American Pharmaceutical Association; 37.165.</w:t>
            </w:r>
          </w:p>
        </w:tc>
        <w:tc>
          <w:tcPr>
            <w:tcW w:w="0" w:type="auto"/>
            <w:tcBorders>
              <w:top w:val="single" w:sz="6" w:space="0" w:color="auto"/>
              <w:left w:val="single" w:sz="6" w:space="0" w:color="auto"/>
              <w:bottom w:val="single" w:sz="6" w:space="0" w:color="auto"/>
              <w:right w:val="single" w:sz="6" w:space="0" w:color="auto"/>
            </w:tcBorders>
            <w:hideMark/>
          </w:tcPr>
          <w:p w14:paraId="7112495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82D0BD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E96C39C" w14:textId="77777777" w:rsidR="007F0AE0" w:rsidRPr="00781F59" w:rsidRDefault="007F0AE0" w:rsidP="00453DE3">
            <w:pPr>
              <w:contextualSpacing/>
              <w:rPr>
                <w:sz w:val="20"/>
                <w:szCs w:val="20"/>
              </w:rPr>
            </w:pPr>
            <w:r w:rsidRPr="00781F59">
              <w:rPr>
                <w:sz w:val="20"/>
                <w:szCs w:val="20"/>
              </w:rPr>
              <w:t>188</w:t>
            </w:r>
          </w:p>
        </w:tc>
        <w:tc>
          <w:tcPr>
            <w:tcW w:w="0" w:type="auto"/>
            <w:tcBorders>
              <w:top w:val="single" w:sz="6" w:space="0" w:color="auto"/>
              <w:left w:val="single" w:sz="6" w:space="0" w:color="auto"/>
              <w:bottom w:val="single" w:sz="6" w:space="0" w:color="auto"/>
              <w:right w:val="single" w:sz="6" w:space="0" w:color="auto"/>
            </w:tcBorders>
            <w:hideMark/>
          </w:tcPr>
          <w:p w14:paraId="68DB12C8" w14:textId="77777777" w:rsidR="007F0AE0" w:rsidRPr="00781F59" w:rsidRDefault="007F0AE0" w:rsidP="00453DE3">
            <w:pPr>
              <w:contextualSpacing/>
              <w:rPr>
                <w:sz w:val="20"/>
                <w:szCs w:val="20"/>
              </w:rPr>
            </w:pPr>
            <w:r w:rsidRPr="00781F59">
              <w:rPr>
                <w:sz w:val="20"/>
                <w:szCs w:val="20"/>
              </w:rPr>
              <w:t>Anonymous. 1995 Minerva. British Medical Journal; 310.1080.</w:t>
            </w:r>
          </w:p>
        </w:tc>
        <w:tc>
          <w:tcPr>
            <w:tcW w:w="0" w:type="auto"/>
            <w:tcBorders>
              <w:top w:val="single" w:sz="6" w:space="0" w:color="auto"/>
              <w:left w:val="single" w:sz="6" w:space="0" w:color="auto"/>
              <w:bottom w:val="single" w:sz="6" w:space="0" w:color="auto"/>
              <w:right w:val="single" w:sz="6" w:space="0" w:color="auto"/>
            </w:tcBorders>
            <w:hideMark/>
          </w:tcPr>
          <w:p w14:paraId="376C7E1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0E1F0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2D3E9B" w14:textId="77777777" w:rsidR="007F0AE0" w:rsidRPr="00781F59" w:rsidRDefault="007F0AE0" w:rsidP="00453DE3">
            <w:pPr>
              <w:contextualSpacing/>
              <w:rPr>
                <w:sz w:val="20"/>
                <w:szCs w:val="20"/>
              </w:rPr>
            </w:pPr>
            <w:r w:rsidRPr="00781F59">
              <w:rPr>
                <w:sz w:val="20"/>
                <w:szCs w:val="20"/>
              </w:rPr>
              <w:t>189</w:t>
            </w:r>
          </w:p>
        </w:tc>
        <w:tc>
          <w:tcPr>
            <w:tcW w:w="0" w:type="auto"/>
            <w:tcBorders>
              <w:top w:val="single" w:sz="6" w:space="0" w:color="auto"/>
              <w:left w:val="single" w:sz="6" w:space="0" w:color="auto"/>
              <w:bottom w:val="single" w:sz="6" w:space="0" w:color="auto"/>
              <w:right w:val="single" w:sz="6" w:space="0" w:color="auto"/>
            </w:tcBorders>
            <w:hideMark/>
          </w:tcPr>
          <w:p w14:paraId="09C79CEC" w14:textId="77777777" w:rsidR="007F0AE0" w:rsidRPr="00781F59" w:rsidRDefault="007F0AE0" w:rsidP="00453DE3">
            <w:pPr>
              <w:contextualSpacing/>
              <w:rPr>
                <w:sz w:val="20"/>
                <w:szCs w:val="20"/>
              </w:rPr>
            </w:pPr>
            <w:r w:rsidRPr="00781F59">
              <w:rPr>
                <w:sz w:val="20"/>
                <w:szCs w:val="20"/>
              </w:rPr>
              <w:t>Royce J.M.,Hymowitz N.,Corbett K.,Hartwell T.D.,Orlandi M.A. 1993 Smoking cessation factors among African Americans and Whites. American Journal of Public Health; 83.220.</w:t>
            </w:r>
          </w:p>
        </w:tc>
        <w:tc>
          <w:tcPr>
            <w:tcW w:w="0" w:type="auto"/>
            <w:tcBorders>
              <w:top w:val="single" w:sz="6" w:space="0" w:color="auto"/>
              <w:left w:val="single" w:sz="6" w:space="0" w:color="auto"/>
              <w:bottom w:val="single" w:sz="6" w:space="0" w:color="auto"/>
              <w:right w:val="single" w:sz="6" w:space="0" w:color="auto"/>
            </w:tcBorders>
            <w:hideMark/>
          </w:tcPr>
          <w:p w14:paraId="49DBD0B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54DBB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6DA85D8" w14:textId="77777777" w:rsidR="007F0AE0" w:rsidRPr="00781F59" w:rsidRDefault="007F0AE0" w:rsidP="00453DE3">
            <w:pPr>
              <w:contextualSpacing/>
              <w:rPr>
                <w:sz w:val="20"/>
                <w:szCs w:val="20"/>
              </w:rPr>
            </w:pPr>
            <w:r w:rsidRPr="00781F59">
              <w:rPr>
                <w:sz w:val="20"/>
                <w:szCs w:val="20"/>
              </w:rPr>
              <w:t>190</w:t>
            </w:r>
          </w:p>
        </w:tc>
        <w:tc>
          <w:tcPr>
            <w:tcW w:w="0" w:type="auto"/>
            <w:tcBorders>
              <w:top w:val="single" w:sz="6" w:space="0" w:color="auto"/>
              <w:left w:val="single" w:sz="6" w:space="0" w:color="auto"/>
              <w:bottom w:val="single" w:sz="6" w:space="0" w:color="auto"/>
              <w:right w:val="single" w:sz="6" w:space="0" w:color="auto"/>
            </w:tcBorders>
            <w:hideMark/>
          </w:tcPr>
          <w:p w14:paraId="484D9260" w14:textId="77777777" w:rsidR="007F0AE0" w:rsidRPr="00781F59" w:rsidRDefault="007F0AE0" w:rsidP="00453DE3">
            <w:pPr>
              <w:contextualSpacing/>
              <w:rPr>
                <w:sz w:val="20"/>
                <w:szCs w:val="20"/>
              </w:rPr>
            </w:pPr>
            <w:r w:rsidRPr="00781F59">
              <w:rPr>
                <w:sz w:val="20"/>
                <w:szCs w:val="20"/>
              </w:rPr>
              <w:t>Sidney S.,Tekawa I.,Friedman G.D. 1989 Metholated cigarette use among multiphasic examinees, 1979-86. American Journal of Public Health; 79.1415.</w:t>
            </w:r>
          </w:p>
        </w:tc>
        <w:tc>
          <w:tcPr>
            <w:tcW w:w="0" w:type="auto"/>
            <w:tcBorders>
              <w:top w:val="single" w:sz="6" w:space="0" w:color="auto"/>
              <w:left w:val="single" w:sz="6" w:space="0" w:color="auto"/>
              <w:bottom w:val="single" w:sz="6" w:space="0" w:color="auto"/>
              <w:right w:val="single" w:sz="6" w:space="0" w:color="auto"/>
            </w:tcBorders>
            <w:hideMark/>
          </w:tcPr>
          <w:p w14:paraId="62F53DB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015DD8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258AAE" w14:textId="77777777" w:rsidR="007F0AE0" w:rsidRPr="00781F59" w:rsidRDefault="007F0AE0" w:rsidP="00453DE3">
            <w:pPr>
              <w:contextualSpacing/>
              <w:rPr>
                <w:sz w:val="20"/>
                <w:szCs w:val="20"/>
              </w:rPr>
            </w:pPr>
            <w:r w:rsidRPr="00781F59">
              <w:rPr>
                <w:sz w:val="20"/>
                <w:szCs w:val="20"/>
              </w:rPr>
              <w:t>191</w:t>
            </w:r>
          </w:p>
        </w:tc>
        <w:tc>
          <w:tcPr>
            <w:tcW w:w="0" w:type="auto"/>
            <w:tcBorders>
              <w:top w:val="single" w:sz="6" w:space="0" w:color="auto"/>
              <w:left w:val="single" w:sz="6" w:space="0" w:color="auto"/>
              <w:bottom w:val="single" w:sz="6" w:space="0" w:color="auto"/>
              <w:right w:val="single" w:sz="6" w:space="0" w:color="auto"/>
            </w:tcBorders>
            <w:hideMark/>
          </w:tcPr>
          <w:p w14:paraId="3545FCEB" w14:textId="77777777" w:rsidR="007F0AE0" w:rsidRPr="00781F59" w:rsidRDefault="007F0AE0" w:rsidP="00453DE3">
            <w:pPr>
              <w:contextualSpacing/>
              <w:rPr>
                <w:sz w:val="20"/>
                <w:szCs w:val="20"/>
              </w:rPr>
            </w:pPr>
            <w:r w:rsidRPr="00781F59">
              <w:rPr>
                <w:sz w:val="20"/>
                <w:szCs w:val="20"/>
              </w:rPr>
              <w:t>McCarthy W.J.,Caskey N.H.,Jarvik M.E.,Perez-Stable E.J.,Marin B.,Marin G.,Benowitz N.,Wagenknecht L.E.,Haley N.J.,Jacobs Jr. D.R. 1992 Ethnic differences in nicotine exposure [1]. American Journal of Public Health; 82.1171.</w:t>
            </w:r>
          </w:p>
        </w:tc>
        <w:tc>
          <w:tcPr>
            <w:tcW w:w="0" w:type="auto"/>
            <w:tcBorders>
              <w:top w:val="single" w:sz="6" w:space="0" w:color="auto"/>
              <w:left w:val="single" w:sz="6" w:space="0" w:color="auto"/>
              <w:bottom w:val="single" w:sz="6" w:space="0" w:color="auto"/>
              <w:right w:val="single" w:sz="6" w:space="0" w:color="auto"/>
            </w:tcBorders>
            <w:hideMark/>
          </w:tcPr>
          <w:p w14:paraId="590496B1"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200882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E0DDCA" w14:textId="77777777" w:rsidR="007F0AE0" w:rsidRPr="00781F59" w:rsidRDefault="007F0AE0" w:rsidP="00453DE3">
            <w:pPr>
              <w:contextualSpacing/>
              <w:rPr>
                <w:sz w:val="20"/>
                <w:szCs w:val="20"/>
              </w:rPr>
            </w:pPr>
            <w:r w:rsidRPr="00781F59">
              <w:rPr>
                <w:sz w:val="20"/>
                <w:szCs w:val="20"/>
              </w:rPr>
              <w:t>192</w:t>
            </w:r>
          </w:p>
        </w:tc>
        <w:tc>
          <w:tcPr>
            <w:tcW w:w="0" w:type="auto"/>
            <w:tcBorders>
              <w:top w:val="single" w:sz="6" w:space="0" w:color="auto"/>
              <w:left w:val="single" w:sz="6" w:space="0" w:color="auto"/>
              <w:bottom w:val="single" w:sz="6" w:space="0" w:color="auto"/>
              <w:right w:val="single" w:sz="6" w:space="0" w:color="auto"/>
            </w:tcBorders>
            <w:hideMark/>
          </w:tcPr>
          <w:p w14:paraId="2AA93C04" w14:textId="77777777" w:rsidR="007F0AE0" w:rsidRPr="00781F59" w:rsidRDefault="007F0AE0" w:rsidP="00453DE3">
            <w:pPr>
              <w:contextualSpacing/>
              <w:rPr>
                <w:sz w:val="20"/>
                <w:szCs w:val="20"/>
              </w:rPr>
            </w:pPr>
            <w:r w:rsidRPr="00781F59">
              <w:rPr>
                <w:sz w:val="20"/>
                <w:szCs w:val="20"/>
              </w:rPr>
              <w:t>Kabat G.C.,Morabia A.,Wynder E.L. 1991 Comparison of smoking habits of Blacks and Whites in a case-control study. American Journal of Public Health; 81.1483.</w:t>
            </w:r>
          </w:p>
        </w:tc>
        <w:tc>
          <w:tcPr>
            <w:tcW w:w="0" w:type="auto"/>
            <w:tcBorders>
              <w:top w:val="single" w:sz="6" w:space="0" w:color="auto"/>
              <w:left w:val="single" w:sz="6" w:space="0" w:color="auto"/>
              <w:bottom w:val="single" w:sz="6" w:space="0" w:color="auto"/>
              <w:right w:val="single" w:sz="6" w:space="0" w:color="auto"/>
            </w:tcBorders>
            <w:hideMark/>
          </w:tcPr>
          <w:p w14:paraId="397030A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5B8FC7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756D62" w14:textId="77777777" w:rsidR="007F0AE0" w:rsidRPr="00781F59" w:rsidRDefault="007F0AE0" w:rsidP="00453DE3">
            <w:pPr>
              <w:contextualSpacing/>
              <w:rPr>
                <w:sz w:val="20"/>
                <w:szCs w:val="20"/>
              </w:rPr>
            </w:pPr>
            <w:r w:rsidRPr="00781F59">
              <w:rPr>
                <w:sz w:val="20"/>
                <w:szCs w:val="20"/>
              </w:rPr>
              <w:t>194</w:t>
            </w:r>
          </w:p>
        </w:tc>
        <w:tc>
          <w:tcPr>
            <w:tcW w:w="0" w:type="auto"/>
            <w:tcBorders>
              <w:top w:val="single" w:sz="6" w:space="0" w:color="auto"/>
              <w:left w:val="single" w:sz="6" w:space="0" w:color="auto"/>
              <w:bottom w:val="single" w:sz="6" w:space="0" w:color="auto"/>
              <w:right w:val="single" w:sz="6" w:space="0" w:color="auto"/>
            </w:tcBorders>
            <w:hideMark/>
          </w:tcPr>
          <w:p w14:paraId="10F1F4F6" w14:textId="77777777" w:rsidR="007F0AE0" w:rsidRPr="00781F59" w:rsidRDefault="007F0AE0" w:rsidP="00453DE3">
            <w:pPr>
              <w:contextualSpacing/>
              <w:rPr>
                <w:sz w:val="20"/>
                <w:szCs w:val="20"/>
              </w:rPr>
            </w:pPr>
            <w:r w:rsidRPr="00781F59">
              <w:rPr>
                <w:sz w:val="20"/>
                <w:szCs w:val="20"/>
              </w:rPr>
              <w:t>Hill R.M.,Tennyson L.M. 1985 The effect of maternal allergy medications on the fetus. Immunology and Allergy Practice; 7.80.</w:t>
            </w:r>
          </w:p>
        </w:tc>
        <w:tc>
          <w:tcPr>
            <w:tcW w:w="0" w:type="auto"/>
            <w:tcBorders>
              <w:top w:val="single" w:sz="6" w:space="0" w:color="auto"/>
              <w:left w:val="single" w:sz="6" w:space="0" w:color="auto"/>
              <w:bottom w:val="single" w:sz="6" w:space="0" w:color="auto"/>
              <w:right w:val="single" w:sz="6" w:space="0" w:color="auto"/>
            </w:tcBorders>
            <w:hideMark/>
          </w:tcPr>
          <w:p w14:paraId="2D4F493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A89EF9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BA40E1" w14:textId="77777777" w:rsidR="007F0AE0" w:rsidRPr="00781F59" w:rsidRDefault="007F0AE0" w:rsidP="00453DE3">
            <w:pPr>
              <w:contextualSpacing/>
              <w:rPr>
                <w:sz w:val="20"/>
                <w:szCs w:val="20"/>
              </w:rPr>
            </w:pPr>
            <w:r w:rsidRPr="00781F59">
              <w:rPr>
                <w:sz w:val="20"/>
                <w:szCs w:val="20"/>
              </w:rPr>
              <w:t>197</w:t>
            </w:r>
          </w:p>
        </w:tc>
        <w:tc>
          <w:tcPr>
            <w:tcW w:w="0" w:type="auto"/>
            <w:tcBorders>
              <w:top w:val="single" w:sz="6" w:space="0" w:color="auto"/>
              <w:left w:val="single" w:sz="6" w:space="0" w:color="auto"/>
              <w:bottom w:val="single" w:sz="6" w:space="0" w:color="auto"/>
              <w:right w:val="single" w:sz="6" w:space="0" w:color="auto"/>
            </w:tcBorders>
            <w:hideMark/>
          </w:tcPr>
          <w:p w14:paraId="6857B939" w14:textId="77777777" w:rsidR="007F0AE0" w:rsidRPr="00781F59" w:rsidRDefault="007F0AE0" w:rsidP="00453DE3">
            <w:pPr>
              <w:contextualSpacing/>
              <w:rPr>
                <w:sz w:val="20"/>
                <w:szCs w:val="20"/>
              </w:rPr>
            </w:pPr>
            <w:r w:rsidRPr="00781F59">
              <w:rPr>
                <w:sz w:val="20"/>
                <w:szCs w:val="20"/>
              </w:rPr>
              <w:t>Fisher A.A. 1978 Reports from the second international contact dermatitis symposium. Part III. Cutis; 22.272.</w:t>
            </w:r>
          </w:p>
        </w:tc>
        <w:tc>
          <w:tcPr>
            <w:tcW w:w="0" w:type="auto"/>
            <w:tcBorders>
              <w:top w:val="single" w:sz="6" w:space="0" w:color="auto"/>
              <w:left w:val="single" w:sz="6" w:space="0" w:color="auto"/>
              <w:bottom w:val="single" w:sz="6" w:space="0" w:color="auto"/>
              <w:right w:val="single" w:sz="6" w:space="0" w:color="auto"/>
            </w:tcBorders>
            <w:hideMark/>
          </w:tcPr>
          <w:p w14:paraId="0869B67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408D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BA2197" w14:textId="77777777" w:rsidR="007F0AE0" w:rsidRPr="00781F59" w:rsidRDefault="007F0AE0" w:rsidP="00453DE3">
            <w:pPr>
              <w:contextualSpacing/>
              <w:rPr>
                <w:sz w:val="20"/>
                <w:szCs w:val="20"/>
              </w:rPr>
            </w:pPr>
            <w:r w:rsidRPr="00781F59">
              <w:rPr>
                <w:sz w:val="20"/>
                <w:szCs w:val="20"/>
              </w:rPr>
              <w:t>198</w:t>
            </w:r>
          </w:p>
        </w:tc>
        <w:tc>
          <w:tcPr>
            <w:tcW w:w="0" w:type="auto"/>
            <w:tcBorders>
              <w:top w:val="single" w:sz="6" w:space="0" w:color="auto"/>
              <w:left w:val="single" w:sz="6" w:space="0" w:color="auto"/>
              <w:bottom w:val="single" w:sz="6" w:space="0" w:color="auto"/>
              <w:right w:val="single" w:sz="6" w:space="0" w:color="auto"/>
            </w:tcBorders>
            <w:hideMark/>
          </w:tcPr>
          <w:p w14:paraId="17A7899B" w14:textId="77777777" w:rsidR="007F0AE0" w:rsidRPr="00781F59" w:rsidRDefault="007F0AE0" w:rsidP="00453DE3">
            <w:pPr>
              <w:contextualSpacing/>
              <w:rPr>
                <w:sz w:val="20"/>
                <w:szCs w:val="20"/>
              </w:rPr>
            </w:pPr>
            <w:r w:rsidRPr="00781F59">
              <w:rPr>
                <w:sz w:val="20"/>
                <w:szCs w:val="20"/>
              </w:rPr>
              <w:t>Ziment I. 1974 Mucokinesis the methodology of moving mucus. #journal#; 4.15.</w:t>
            </w:r>
          </w:p>
        </w:tc>
        <w:tc>
          <w:tcPr>
            <w:tcW w:w="0" w:type="auto"/>
            <w:tcBorders>
              <w:top w:val="single" w:sz="6" w:space="0" w:color="auto"/>
              <w:left w:val="single" w:sz="6" w:space="0" w:color="auto"/>
              <w:bottom w:val="single" w:sz="6" w:space="0" w:color="auto"/>
              <w:right w:val="single" w:sz="6" w:space="0" w:color="auto"/>
            </w:tcBorders>
            <w:hideMark/>
          </w:tcPr>
          <w:p w14:paraId="1156BA9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D14435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775653" w14:textId="77777777" w:rsidR="007F0AE0" w:rsidRPr="00781F59" w:rsidRDefault="007F0AE0" w:rsidP="00453DE3">
            <w:pPr>
              <w:contextualSpacing/>
              <w:rPr>
                <w:sz w:val="20"/>
                <w:szCs w:val="20"/>
              </w:rPr>
            </w:pPr>
            <w:r w:rsidRPr="00781F59">
              <w:rPr>
                <w:sz w:val="20"/>
                <w:szCs w:val="20"/>
              </w:rPr>
              <w:t>200</w:t>
            </w:r>
          </w:p>
        </w:tc>
        <w:tc>
          <w:tcPr>
            <w:tcW w:w="0" w:type="auto"/>
            <w:tcBorders>
              <w:top w:val="single" w:sz="6" w:space="0" w:color="auto"/>
              <w:left w:val="single" w:sz="6" w:space="0" w:color="auto"/>
              <w:bottom w:val="single" w:sz="6" w:space="0" w:color="auto"/>
              <w:right w:val="single" w:sz="6" w:space="0" w:color="auto"/>
            </w:tcBorders>
            <w:hideMark/>
          </w:tcPr>
          <w:p w14:paraId="0737569E" w14:textId="77777777" w:rsidR="007F0AE0" w:rsidRPr="00781F59" w:rsidRDefault="007F0AE0" w:rsidP="00453DE3">
            <w:pPr>
              <w:contextualSpacing/>
              <w:rPr>
                <w:sz w:val="20"/>
                <w:szCs w:val="20"/>
              </w:rPr>
            </w:pPr>
            <w:r w:rsidRPr="00781F59">
              <w:rPr>
                <w:sz w:val="20"/>
                <w:szCs w:val="20"/>
              </w:rPr>
              <w:t>Lauren R Pacek, Jason A Oliver, Maggie M Sweitzer, F Joseph McClernon 2018 Young adult dual combusted cigarette and e-cigarette users' anticipated responses to a nicotine reduction policy and menthol ban in combusted cigarettes.. Drug and alcohol dependence; 194.40.</w:t>
            </w:r>
          </w:p>
        </w:tc>
        <w:tc>
          <w:tcPr>
            <w:tcW w:w="0" w:type="auto"/>
            <w:tcBorders>
              <w:top w:val="single" w:sz="6" w:space="0" w:color="auto"/>
              <w:left w:val="single" w:sz="6" w:space="0" w:color="auto"/>
              <w:bottom w:val="single" w:sz="6" w:space="0" w:color="auto"/>
              <w:right w:val="single" w:sz="6" w:space="0" w:color="auto"/>
            </w:tcBorders>
            <w:hideMark/>
          </w:tcPr>
          <w:p w14:paraId="7102A22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DE1AA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68DE16" w14:textId="77777777" w:rsidR="007F0AE0" w:rsidRPr="00781F59" w:rsidRDefault="007F0AE0" w:rsidP="00453DE3">
            <w:pPr>
              <w:contextualSpacing/>
              <w:rPr>
                <w:sz w:val="20"/>
                <w:szCs w:val="20"/>
              </w:rPr>
            </w:pPr>
            <w:r w:rsidRPr="00781F59">
              <w:rPr>
                <w:sz w:val="20"/>
                <w:szCs w:val="20"/>
              </w:rPr>
              <w:lastRenderedPageBreak/>
              <w:t>202</w:t>
            </w:r>
          </w:p>
        </w:tc>
        <w:tc>
          <w:tcPr>
            <w:tcW w:w="0" w:type="auto"/>
            <w:tcBorders>
              <w:top w:val="single" w:sz="6" w:space="0" w:color="auto"/>
              <w:left w:val="single" w:sz="6" w:space="0" w:color="auto"/>
              <w:bottom w:val="single" w:sz="6" w:space="0" w:color="auto"/>
              <w:right w:val="single" w:sz="6" w:space="0" w:color="auto"/>
            </w:tcBorders>
            <w:hideMark/>
          </w:tcPr>
          <w:p w14:paraId="1B1CDEA4" w14:textId="77777777" w:rsidR="007F0AE0" w:rsidRPr="00781F59" w:rsidRDefault="007F0AE0" w:rsidP="00453DE3">
            <w:pPr>
              <w:contextualSpacing/>
              <w:rPr>
                <w:sz w:val="20"/>
                <w:szCs w:val="20"/>
              </w:rPr>
            </w:pPr>
            <w:r w:rsidRPr="00781F59">
              <w:rPr>
                <w:sz w:val="20"/>
                <w:szCs w:val="20"/>
              </w:rPr>
              <w:t>Guy Jaccard, Maxim Belushkin, Cyril Jeannet, Evi Nurlaili Aldilla, Andry Ongko Wijoyo 2018 Investigation of menthol content and transfer rates in cigarettes and Tobacco Heating System 2.2.. Regulatory toxicology and pharmacology : RTP; 101.48.</w:t>
            </w:r>
          </w:p>
        </w:tc>
        <w:tc>
          <w:tcPr>
            <w:tcW w:w="0" w:type="auto"/>
            <w:tcBorders>
              <w:top w:val="single" w:sz="6" w:space="0" w:color="auto"/>
              <w:left w:val="single" w:sz="6" w:space="0" w:color="auto"/>
              <w:bottom w:val="single" w:sz="6" w:space="0" w:color="auto"/>
              <w:right w:val="single" w:sz="6" w:space="0" w:color="auto"/>
            </w:tcBorders>
            <w:hideMark/>
          </w:tcPr>
          <w:p w14:paraId="3D95FB9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64166D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5D41A8" w14:textId="77777777" w:rsidR="007F0AE0" w:rsidRPr="00781F59" w:rsidRDefault="007F0AE0" w:rsidP="00453DE3">
            <w:pPr>
              <w:contextualSpacing/>
              <w:rPr>
                <w:sz w:val="20"/>
                <w:szCs w:val="20"/>
              </w:rPr>
            </w:pPr>
            <w:r w:rsidRPr="00781F59">
              <w:rPr>
                <w:sz w:val="20"/>
                <w:szCs w:val="20"/>
              </w:rPr>
              <w:t>206</w:t>
            </w:r>
          </w:p>
        </w:tc>
        <w:tc>
          <w:tcPr>
            <w:tcW w:w="0" w:type="auto"/>
            <w:tcBorders>
              <w:top w:val="single" w:sz="6" w:space="0" w:color="auto"/>
              <w:left w:val="single" w:sz="6" w:space="0" w:color="auto"/>
              <w:bottom w:val="single" w:sz="6" w:space="0" w:color="auto"/>
              <w:right w:val="single" w:sz="6" w:space="0" w:color="auto"/>
            </w:tcBorders>
            <w:hideMark/>
          </w:tcPr>
          <w:p w14:paraId="35AC9436" w14:textId="77777777" w:rsidR="007F0AE0" w:rsidRPr="00781F59" w:rsidRDefault="007F0AE0" w:rsidP="00453DE3">
            <w:pPr>
              <w:contextualSpacing/>
              <w:rPr>
                <w:sz w:val="20"/>
                <w:szCs w:val="20"/>
              </w:rPr>
            </w:pPr>
            <w:r w:rsidRPr="00781F59">
              <w:rPr>
                <w:sz w:val="20"/>
                <w:szCs w:val="20"/>
              </w:rPr>
              <w:t>John Buckell, Joachim Marti, Jody L Sindelar 2018 Should flavours be banned in cigarettes and e-cigarettes? Evidence on adult smokers and recent quitters from a discrete choice experiment.. Tobacco control; .</w:t>
            </w:r>
          </w:p>
        </w:tc>
        <w:tc>
          <w:tcPr>
            <w:tcW w:w="0" w:type="auto"/>
            <w:tcBorders>
              <w:top w:val="single" w:sz="6" w:space="0" w:color="auto"/>
              <w:left w:val="single" w:sz="6" w:space="0" w:color="auto"/>
              <w:bottom w:val="single" w:sz="6" w:space="0" w:color="auto"/>
              <w:right w:val="single" w:sz="6" w:space="0" w:color="auto"/>
            </w:tcBorders>
            <w:hideMark/>
          </w:tcPr>
          <w:p w14:paraId="38BEAEB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9BE58B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122C95" w14:textId="77777777" w:rsidR="007F0AE0" w:rsidRPr="00781F59" w:rsidRDefault="007F0AE0" w:rsidP="00453DE3">
            <w:pPr>
              <w:contextualSpacing/>
              <w:rPr>
                <w:sz w:val="20"/>
                <w:szCs w:val="20"/>
              </w:rPr>
            </w:pPr>
            <w:r w:rsidRPr="00781F59">
              <w:rPr>
                <w:sz w:val="20"/>
                <w:szCs w:val="20"/>
              </w:rPr>
              <w:t>207</w:t>
            </w:r>
          </w:p>
        </w:tc>
        <w:tc>
          <w:tcPr>
            <w:tcW w:w="0" w:type="auto"/>
            <w:tcBorders>
              <w:top w:val="single" w:sz="6" w:space="0" w:color="auto"/>
              <w:left w:val="single" w:sz="6" w:space="0" w:color="auto"/>
              <w:bottom w:val="single" w:sz="6" w:space="0" w:color="auto"/>
              <w:right w:val="single" w:sz="6" w:space="0" w:color="auto"/>
            </w:tcBorders>
            <w:hideMark/>
          </w:tcPr>
          <w:p w14:paraId="5244FCA3" w14:textId="77777777" w:rsidR="007F0AE0" w:rsidRPr="00781F59" w:rsidRDefault="007F0AE0" w:rsidP="00453DE3">
            <w:pPr>
              <w:contextualSpacing/>
              <w:rPr>
                <w:sz w:val="20"/>
                <w:szCs w:val="20"/>
              </w:rPr>
            </w:pPr>
            <w:r w:rsidRPr="00781F59">
              <w:rPr>
                <w:sz w:val="20"/>
                <w:szCs w:val="20"/>
              </w:rPr>
              <w:t>Yvette van der Eijk, Jeong Kyu Lee, Pamela Ling 2018 How Menthol Is Key to the Tobacco Industry's Strategy of Recruiting and Retaining Young Smokers in Singapore.. The Journal of adolescent health : official publication of the Society for Adolescent Medicine; .</w:t>
            </w:r>
          </w:p>
        </w:tc>
        <w:tc>
          <w:tcPr>
            <w:tcW w:w="0" w:type="auto"/>
            <w:tcBorders>
              <w:top w:val="single" w:sz="6" w:space="0" w:color="auto"/>
              <w:left w:val="single" w:sz="6" w:space="0" w:color="auto"/>
              <w:bottom w:val="single" w:sz="6" w:space="0" w:color="auto"/>
              <w:right w:val="single" w:sz="6" w:space="0" w:color="auto"/>
            </w:tcBorders>
            <w:hideMark/>
          </w:tcPr>
          <w:p w14:paraId="3B9CCF02"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747B841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65F42C5" w14:textId="77777777" w:rsidR="007F0AE0" w:rsidRPr="00781F59" w:rsidRDefault="007F0AE0" w:rsidP="00453DE3">
            <w:pPr>
              <w:contextualSpacing/>
              <w:rPr>
                <w:sz w:val="20"/>
                <w:szCs w:val="20"/>
              </w:rPr>
            </w:pPr>
            <w:r w:rsidRPr="00781F59">
              <w:rPr>
                <w:sz w:val="20"/>
                <w:szCs w:val="20"/>
              </w:rPr>
              <w:t>208</w:t>
            </w:r>
          </w:p>
        </w:tc>
        <w:tc>
          <w:tcPr>
            <w:tcW w:w="0" w:type="auto"/>
            <w:tcBorders>
              <w:top w:val="single" w:sz="6" w:space="0" w:color="auto"/>
              <w:left w:val="single" w:sz="6" w:space="0" w:color="auto"/>
              <w:bottom w:val="single" w:sz="6" w:space="0" w:color="auto"/>
              <w:right w:val="single" w:sz="6" w:space="0" w:color="auto"/>
            </w:tcBorders>
            <w:hideMark/>
          </w:tcPr>
          <w:p w14:paraId="6F915FEC" w14:textId="77777777" w:rsidR="007F0AE0" w:rsidRPr="00781F59" w:rsidRDefault="007F0AE0" w:rsidP="00453DE3">
            <w:pPr>
              <w:contextualSpacing/>
              <w:rPr>
                <w:sz w:val="20"/>
                <w:szCs w:val="20"/>
              </w:rPr>
            </w:pPr>
            <w:r w:rsidRPr="00781F59">
              <w:rPr>
                <w:sz w:val="20"/>
                <w:szCs w:val="20"/>
              </w:rPr>
              <w:t>Hongying Dai, Jianqiang Hao 2018 Flavored Tobacco Use Among U.S. Adults by Age Group: 2013-2014.. Substance use &amp; misuse; .1.</w:t>
            </w:r>
          </w:p>
        </w:tc>
        <w:tc>
          <w:tcPr>
            <w:tcW w:w="0" w:type="auto"/>
            <w:tcBorders>
              <w:top w:val="single" w:sz="6" w:space="0" w:color="auto"/>
              <w:left w:val="single" w:sz="6" w:space="0" w:color="auto"/>
              <w:bottom w:val="single" w:sz="6" w:space="0" w:color="auto"/>
              <w:right w:val="single" w:sz="6" w:space="0" w:color="auto"/>
            </w:tcBorders>
            <w:hideMark/>
          </w:tcPr>
          <w:p w14:paraId="3719D13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75F683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1875C25" w14:textId="77777777" w:rsidR="007F0AE0" w:rsidRPr="00781F59" w:rsidRDefault="007F0AE0" w:rsidP="00453DE3">
            <w:pPr>
              <w:contextualSpacing/>
              <w:rPr>
                <w:sz w:val="20"/>
                <w:szCs w:val="20"/>
              </w:rPr>
            </w:pPr>
            <w:r w:rsidRPr="00781F59">
              <w:rPr>
                <w:sz w:val="20"/>
                <w:szCs w:val="20"/>
              </w:rPr>
              <w:t>210</w:t>
            </w:r>
          </w:p>
        </w:tc>
        <w:tc>
          <w:tcPr>
            <w:tcW w:w="0" w:type="auto"/>
            <w:tcBorders>
              <w:top w:val="single" w:sz="6" w:space="0" w:color="auto"/>
              <w:left w:val="single" w:sz="6" w:space="0" w:color="auto"/>
              <w:bottom w:val="single" w:sz="6" w:space="0" w:color="auto"/>
              <w:right w:val="single" w:sz="6" w:space="0" w:color="auto"/>
            </w:tcBorders>
            <w:hideMark/>
          </w:tcPr>
          <w:p w14:paraId="00E6BF9A" w14:textId="77777777" w:rsidR="007F0AE0" w:rsidRPr="00781F59" w:rsidRDefault="007F0AE0" w:rsidP="00453DE3">
            <w:pPr>
              <w:contextualSpacing/>
              <w:rPr>
                <w:sz w:val="20"/>
                <w:szCs w:val="20"/>
              </w:rPr>
            </w:pPr>
            <w:r w:rsidRPr="00781F59">
              <w:rPr>
                <w:sz w:val="20"/>
                <w:szCs w:val="20"/>
              </w:rPr>
              <w:t>Amanda Y Kong, Shelley D Golden, Allison E Myers, Melissa A Little, Robert Klesges, Wayne Talcott, Sara M Vandegrift, Daniel G Cassidy, Kurt M Ribisl 2018 Availability, price and promotions for cigarettes and non-cigarette tobacco products: an observational comparison of US Air Force bases with nearby tobacco retailers, 2016.. Tobacco control; .</w:t>
            </w:r>
          </w:p>
        </w:tc>
        <w:tc>
          <w:tcPr>
            <w:tcW w:w="0" w:type="auto"/>
            <w:tcBorders>
              <w:top w:val="single" w:sz="6" w:space="0" w:color="auto"/>
              <w:left w:val="single" w:sz="6" w:space="0" w:color="auto"/>
              <w:bottom w:val="single" w:sz="6" w:space="0" w:color="auto"/>
              <w:right w:val="single" w:sz="6" w:space="0" w:color="auto"/>
            </w:tcBorders>
            <w:hideMark/>
          </w:tcPr>
          <w:p w14:paraId="2F51275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2CDCD0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2DADA9" w14:textId="77777777" w:rsidR="007F0AE0" w:rsidRPr="00781F59" w:rsidRDefault="007F0AE0" w:rsidP="00453DE3">
            <w:pPr>
              <w:contextualSpacing/>
              <w:rPr>
                <w:sz w:val="20"/>
                <w:szCs w:val="20"/>
              </w:rPr>
            </w:pPr>
            <w:r w:rsidRPr="00781F59">
              <w:rPr>
                <w:sz w:val="20"/>
                <w:szCs w:val="20"/>
              </w:rPr>
              <w:t>215</w:t>
            </w:r>
          </w:p>
        </w:tc>
        <w:tc>
          <w:tcPr>
            <w:tcW w:w="0" w:type="auto"/>
            <w:tcBorders>
              <w:top w:val="single" w:sz="6" w:space="0" w:color="auto"/>
              <w:left w:val="single" w:sz="6" w:space="0" w:color="auto"/>
              <w:bottom w:val="single" w:sz="6" w:space="0" w:color="auto"/>
              <w:right w:val="single" w:sz="6" w:space="0" w:color="auto"/>
            </w:tcBorders>
            <w:hideMark/>
          </w:tcPr>
          <w:p w14:paraId="2D6BD382" w14:textId="77777777" w:rsidR="007F0AE0" w:rsidRPr="00781F59" w:rsidRDefault="007F0AE0" w:rsidP="00453DE3">
            <w:pPr>
              <w:contextualSpacing/>
              <w:rPr>
                <w:sz w:val="20"/>
                <w:szCs w:val="20"/>
              </w:rPr>
            </w:pPr>
            <w:r w:rsidRPr="00781F59">
              <w:rPr>
                <w:sz w:val="20"/>
                <w:szCs w:val="20"/>
              </w:rPr>
              <w:t>Adolfo G Cuevas, Kasim Ortiz, Nancy Lopez, David R Williams 2018 Assessing racial differences in lifetime and current smoking status &amp; menthol consumption among Latinos in a nationally representative sample.. Ethnicity &amp; health; .1.</w:t>
            </w:r>
          </w:p>
        </w:tc>
        <w:tc>
          <w:tcPr>
            <w:tcW w:w="0" w:type="auto"/>
            <w:tcBorders>
              <w:top w:val="single" w:sz="6" w:space="0" w:color="auto"/>
              <w:left w:val="single" w:sz="6" w:space="0" w:color="auto"/>
              <w:bottom w:val="single" w:sz="6" w:space="0" w:color="auto"/>
              <w:right w:val="single" w:sz="6" w:space="0" w:color="auto"/>
            </w:tcBorders>
            <w:hideMark/>
          </w:tcPr>
          <w:p w14:paraId="1C9DF50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F2B559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3E99CB" w14:textId="77777777" w:rsidR="007F0AE0" w:rsidRPr="00781F59" w:rsidRDefault="007F0AE0" w:rsidP="00453DE3">
            <w:pPr>
              <w:contextualSpacing/>
              <w:rPr>
                <w:sz w:val="20"/>
                <w:szCs w:val="20"/>
              </w:rPr>
            </w:pPr>
            <w:r w:rsidRPr="00781F59">
              <w:rPr>
                <w:sz w:val="20"/>
                <w:szCs w:val="20"/>
              </w:rPr>
              <w:t>217</w:t>
            </w:r>
          </w:p>
        </w:tc>
        <w:tc>
          <w:tcPr>
            <w:tcW w:w="0" w:type="auto"/>
            <w:tcBorders>
              <w:top w:val="single" w:sz="6" w:space="0" w:color="auto"/>
              <w:left w:val="single" w:sz="6" w:space="0" w:color="auto"/>
              <w:bottom w:val="single" w:sz="6" w:space="0" w:color="auto"/>
              <w:right w:val="single" w:sz="6" w:space="0" w:color="auto"/>
            </w:tcBorders>
            <w:hideMark/>
          </w:tcPr>
          <w:p w14:paraId="689EF974" w14:textId="77777777" w:rsidR="007F0AE0" w:rsidRPr="00781F59" w:rsidRDefault="007F0AE0" w:rsidP="00453DE3">
            <w:pPr>
              <w:contextualSpacing/>
              <w:rPr>
                <w:sz w:val="20"/>
                <w:szCs w:val="20"/>
              </w:rPr>
            </w:pPr>
            <w:r w:rsidRPr="00781F59">
              <w:rPr>
                <w:sz w:val="20"/>
                <w:szCs w:val="20"/>
              </w:rPr>
              <w:t>Mary J Sandage, Rita Patel 2018 Passive Upper Airway Thermoregulation and High-Speed Assessment for Conventional versus Menthol Cigarette: Implications for Laryngeal Physiology.. Journal of voice : official journal of the Voice Foundation; .</w:t>
            </w:r>
          </w:p>
        </w:tc>
        <w:tc>
          <w:tcPr>
            <w:tcW w:w="0" w:type="auto"/>
            <w:tcBorders>
              <w:top w:val="single" w:sz="6" w:space="0" w:color="auto"/>
              <w:left w:val="single" w:sz="6" w:space="0" w:color="auto"/>
              <w:bottom w:val="single" w:sz="6" w:space="0" w:color="auto"/>
              <w:right w:val="single" w:sz="6" w:space="0" w:color="auto"/>
            </w:tcBorders>
            <w:hideMark/>
          </w:tcPr>
          <w:p w14:paraId="35D4C8E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246606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C7FC411" w14:textId="77777777" w:rsidR="007F0AE0" w:rsidRPr="00781F59" w:rsidRDefault="007F0AE0" w:rsidP="00453DE3">
            <w:pPr>
              <w:contextualSpacing/>
              <w:rPr>
                <w:sz w:val="20"/>
                <w:szCs w:val="20"/>
              </w:rPr>
            </w:pPr>
            <w:r w:rsidRPr="00781F59">
              <w:rPr>
                <w:sz w:val="20"/>
                <w:szCs w:val="20"/>
              </w:rPr>
              <w:t>218</w:t>
            </w:r>
          </w:p>
        </w:tc>
        <w:tc>
          <w:tcPr>
            <w:tcW w:w="0" w:type="auto"/>
            <w:tcBorders>
              <w:top w:val="single" w:sz="6" w:space="0" w:color="auto"/>
              <w:left w:val="single" w:sz="6" w:space="0" w:color="auto"/>
              <w:bottom w:val="single" w:sz="6" w:space="0" w:color="auto"/>
              <w:right w:val="single" w:sz="6" w:space="0" w:color="auto"/>
            </w:tcBorders>
            <w:hideMark/>
          </w:tcPr>
          <w:p w14:paraId="4C91B92F" w14:textId="77777777" w:rsidR="007F0AE0" w:rsidRPr="00781F59" w:rsidRDefault="007F0AE0" w:rsidP="00453DE3">
            <w:pPr>
              <w:contextualSpacing/>
              <w:rPr>
                <w:sz w:val="20"/>
                <w:szCs w:val="20"/>
              </w:rPr>
            </w:pPr>
            <w:r w:rsidRPr="00781F59">
              <w:rPr>
                <w:sz w:val="20"/>
                <w:szCs w:val="20"/>
              </w:rPr>
              <w:t>Lauren Czaplicki, Joanna E Cohen, Miranda R Jones, Katherine Clegg Smith, Lainie Rutkow, Jill Owczarzak 2018 Compliance with the City of Chicago's partial ban on menthol cigarette sales.. Tobacco control; .</w:t>
            </w:r>
          </w:p>
        </w:tc>
        <w:tc>
          <w:tcPr>
            <w:tcW w:w="0" w:type="auto"/>
            <w:tcBorders>
              <w:top w:val="single" w:sz="6" w:space="0" w:color="auto"/>
              <w:left w:val="single" w:sz="6" w:space="0" w:color="auto"/>
              <w:bottom w:val="single" w:sz="6" w:space="0" w:color="auto"/>
              <w:right w:val="single" w:sz="6" w:space="0" w:color="auto"/>
            </w:tcBorders>
            <w:hideMark/>
          </w:tcPr>
          <w:p w14:paraId="0D7A276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160E1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0ED1BED" w14:textId="77777777" w:rsidR="007F0AE0" w:rsidRPr="00781F59" w:rsidRDefault="007F0AE0" w:rsidP="00453DE3">
            <w:pPr>
              <w:contextualSpacing/>
              <w:rPr>
                <w:sz w:val="20"/>
                <w:szCs w:val="20"/>
              </w:rPr>
            </w:pPr>
            <w:r w:rsidRPr="00781F59">
              <w:rPr>
                <w:sz w:val="20"/>
                <w:szCs w:val="20"/>
              </w:rPr>
              <w:t>219</w:t>
            </w:r>
          </w:p>
        </w:tc>
        <w:tc>
          <w:tcPr>
            <w:tcW w:w="0" w:type="auto"/>
            <w:tcBorders>
              <w:top w:val="single" w:sz="6" w:space="0" w:color="auto"/>
              <w:left w:val="single" w:sz="6" w:space="0" w:color="auto"/>
              <w:bottom w:val="single" w:sz="6" w:space="0" w:color="auto"/>
              <w:right w:val="single" w:sz="6" w:space="0" w:color="auto"/>
            </w:tcBorders>
            <w:hideMark/>
          </w:tcPr>
          <w:p w14:paraId="2354F1AC" w14:textId="77777777" w:rsidR="007F0AE0" w:rsidRPr="00781F59" w:rsidRDefault="007F0AE0" w:rsidP="00453DE3">
            <w:pPr>
              <w:contextualSpacing/>
              <w:rPr>
                <w:sz w:val="20"/>
                <w:szCs w:val="20"/>
              </w:rPr>
            </w:pPr>
            <w:r w:rsidRPr="00781F59">
              <w:rPr>
                <w:sz w:val="20"/>
                <w:szCs w:val="20"/>
              </w:rPr>
              <w:t>Karen Ahijevych, Laura Szalacha, Alai Tan 2018 Effects of menthol flavor cigarettes or total urinary menthol on biomarkers of nicotine and carcinogenic exposure and behavioral measures.. Nicotine &amp; tobacco research : official journal of the Society for Research on Nicotine and Tobacco; .</w:t>
            </w:r>
          </w:p>
        </w:tc>
        <w:tc>
          <w:tcPr>
            <w:tcW w:w="0" w:type="auto"/>
            <w:tcBorders>
              <w:top w:val="single" w:sz="6" w:space="0" w:color="auto"/>
              <w:left w:val="single" w:sz="6" w:space="0" w:color="auto"/>
              <w:bottom w:val="single" w:sz="6" w:space="0" w:color="auto"/>
              <w:right w:val="single" w:sz="6" w:space="0" w:color="auto"/>
            </w:tcBorders>
            <w:hideMark/>
          </w:tcPr>
          <w:p w14:paraId="0CC80B2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E1473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B0080D" w14:textId="77777777" w:rsidR="007F0AE0" w:rsidRPr="00781F59" w:rsidRDefault="007F0AE0" w:rsidP="00453DE3">
            <w:pPr>
              <w:contextualSpacing/>
              <w:rPr>
                <w:sz w:val="20"/>
                <w:szCs w:val="20"/>
              </w:rPr>
            </w:pPr>
            <w:r w:rsidRPr="00781F59">
              <w:rPr>
                <w:sz w:val="20"/>
                <w:szCs w:val="20"/>
              </w:rPr>
              <w:t>225</w:t>
            </w:r>
          </w:p>
        </w:tc>
        <w:tc>
          <w:tcPr>
            <w:tcW w:w="0" w:type="auto"/>
            <w:tcBorders>
              <w:top w:val="single" w:sz="6" w:space="0" w:color="auto"/>
              <w:left w:val="single" w:sz="6" w:space="0" w:color="auto"/>
              <w:bottom w:val="single" w:sz="6" w:space="0" w:color="auto"/>
              <w:right w:val="single" w:sz="6" w:space="0" w:color="auto"/>
            </w:tcBorders>
            <w:hideMark/>
          </w:tcPr>
          <w:p w14:paraId="78319816" w14:textId="77777777" w:rsidR="007F0AE0" w:rsidRPr="00781F59" w:rsidRDefault="007F0AE0" w:rsidP="00453DE3">
            <w:pPr>
              <w:contextualSpacing/>
              <w:rPr>
                <w:sz w:val="20"/>
                <w:szCs w:val="20"/>
              </w:rPr>
            </w:pPr>
            <w:r w:rsidRPr="00781F59">
              <w:rPr>
                <w:sz w:val="20"/>
                <w:szCs w:val="20"/>
              </w:rPr>
              <w:t>Erna J Z Krusemann, Marlou P Lasschuijt, C de Graaf, Rene A de Wijk, Pieter H Punter, Loes van Tiel, Johannes W J M Cremers, Suzanne van de Nobelen, Sanne Boesveldt, Reinskje Talhout 2018 Sensory analysis of characterising flavours: evaluating tobacco product odours using an expert panel.. Tobacco control; .</w:t>
            </w:r>
          </w:p>
        </w:tc>
        <w:tc>
          <w:tcPr>
            <w:tcW w:w="0" w:type="auto"/>
            <w:tcBorders>
              <w:top w:val="single" w:sz="6" w:space="0" w:color="auto"/>
              <w:left w:val="single" w:sz="6" w:space="0" w:color="auto"/>
              <w:bottom w:val="single" w:sz="6" w:space="0" w:color="auto"/>
              <w:right w:val="single" w:sz="6" w:space="0" w:color="auto"/>
            </w:tcBorders>
            <w:hideMark/>
          </w:tcPr>
          <w:p w14:paraId="21A47B2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4A71E5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A4F51B" w14:textId="77777777" w:rsidR="007F0AE0" w:rsidRPr="00781F59" w:rsidRDefault="007F0AE0" w:rsidP="00453DE3">
            <w:pPr>
              <w:contextualSpacing/>
              <w:rPr>
                <w:sz w:val="20"/>
                <w:szCs w:val="20"/>
              </w:rPr>
            </w:pPr>
            <w:r w:rsidRPr="00781F59">
              <w:rPr>
                <w:sz w:val="20"/>
                <w:szCs w:val="20"/>
              </w:rPr>
              <w:t>227</w:t>
            </w:r>
          </w:p>
        </w:tc>
        <w:tc>
          <w:tcPr>
            <w:tcW w:w="0" w:type="auto"/>
            <w:tcBorders>
              <w:top w:val="single" w:sz="6" w:space="0" w:color="auto"/>
              <w:left w:val="single" w:sz="6" w:space="0" w:color="auto"/>
              <w:bottom w:val="single" w:sz="6" w:space="0" w:color="auto"/>
              <w:right w:val="single" w:sz="6" w:space="0" w:color="auto"/>
            </w:tcBorders>
            <w:hideMark/>
          </w:tcPr>
          <w:p w14:paraId="205BCBD3" w14:textId="77777777" w:rsidR="007F0AE0" w:rsidRPr="00781F59" w:rsidRDefault="007F0AE0" w:rsidP="00453DE3">
            <w:pPr>
              <w:contextualSpacing/>
              <w:rPr>
                <w:sz w:val="20"/>
                <w:szCs w:val="20"/>
              </w:rPr>
            </w:pPr>
            <w:r w:rsidRPr="00781F59">
              <w:rPr>
                <w:sz w:val="20"/>
                <w:szCs w:val="20"/>
              </w:rPr>
              <w:t>Mary F Brunette, Joelle C Ferron, Pamela Geiger, Andrea C Villanti 2018 Menthol Cigarette use in Young Adult Smokers with Severe Mental Illnesses.. Nicotine &amp; tobacco research : official journal of the Society for Research on Nicotine and Tobacco; .</w:t>
            </w:r>
          </w:p>
        </w:tc>
        <w:tc>
          <w:tcPr>
            <w:tcW w:w="0" w:type="auto"/>
            <w:tcBorders>
              <w:top w:val="single" w:sz="6" w:space="0" w:color="auto"/>
              <w:left w:val="single" w:sz="6" w:space="0" w:color="auto"/>
              <w:bottom w:val="single" w:sz="6" w:space="0" w:color="auto"/>
              <w:right w:val="single" w:sz="6" w:space="0" w:color="auto"/>
            </w:tcBorders>
            <w:hideMark/>
          </w:tcPr>
          <w:p w14:paraId="7CA72E4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0B907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444455" w14:textId="77777777" w:rsidR="007F0AE0" w:rsidRPr="00781F59" w:rsidRDefault="007F0AE0" w:rsidP="00453DE3">
            <w:pPr>
              <w:contextualSpacing/>
              <w:rPr>
                <w:sz w:val="20"/>
                <w:szCs w:val="20"/>
              </w:rPr>
            </w:pPr>
            <w:r w:rsidRPr="00781F59">
              <w:rPr>
                <w:sz w:val="20"/>
                <w:szCs w:val="20"/>
              </w:rPr>
              <w:t>228</w:t>
            </w:r>
          </w:p>
        </w:tc>
        <w:tc>
          <w:tcPr>
            <w:tcW w:w="0" w:type="auto"/>
            <w:tcBorders>
              <w:top w:val="single" w:sz="6" w:space="0" w:color="auto"/>
              <w:left w:val="single" w:sz="6" w:space="0" w:color="auto"/>
              <w:bottom w:val="single" w:sz="6" w:space="0" w:color="auto"/>
              <w:right w:val="single" w:sz="6" w:space="0" w:color="auto"/>
            </w:tcBorders>
            <w:hideMark/>
          </w:tcPr>
          <w:p w14:paraId="77FE17FD" w14:textId="77777777" w:rsidR="007F0AE0" w:rsidRPr="00781F59" w:rsidRDefault="007F0AE0" w:rsidP="00453DE3">
            <w:pPr>
              <w:contextualSpacing/>
              <w:rPr>
                <w:sz w:val="20"/>
                <w:szCs w:val="20"/>
              </w:rPr>
            </w:pPr>
            <w:r w:rsidRPr="00781F59">
              <w:rPr>
                <w:sz w:val="20"/>
                <w:szCs w:val="20"/>
              </w:rPr>
              <w:t>Amy M Cohn, Shyanika W Rose, Vinu Ilakkuvan, Tiffany Gray, Laurel Curry, Andrea C Villanti, Darren Mays, Eric Lindblom, Kenneth Tercyak, Charles Debnam, Ashley Mayo, Lexie Perreras 2018 Harm Perceptions of Menthol and Nonmenthol Cigarettes Differ by Brand, Race/Ethnicity, and Gender in US Adult Smokers: Results from PATH Wave 1.. Nicotine &amp; tobacco research : official journal of the Society for Research on Nicotine and Tobacco; .</w:t>
            </w:r>
          </w:p>
        </w:tc>
        <w:tc>
          <w:tcPr>
            <w:tcW w:w="0" w:type="auto"/>
            <w:tcBorders>
              <w:top w:val="single" w:sz="6" w:space="0" w:color="auto"/>
              <w:left w:val="single" w:sz="6" w:space="0" w:color="auto"/>
              <w:bottom w:val="single" w:sz="6" w:space="0" w:color="auto"/>
              <w:right w:val="single" w:sz="6" w:space="0" w:color="auto"/>
            </w:tcBorders>
            <w:hideMark/>
          </w:tcPr>
          <w:p w14:paraId="69EB3E1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C6E4F3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5F37CA" w14:textId="77777777" w:rsidR="007F0AE0" w:rsidRPr="00781F59" w:rsidRDefault="007F0AE0" w:rsidP="00453DE3">
            <w:pPr>
              <w:contextualSpacing/>
              <w:rPr>
                <w:sz w:val="20"/>
                <w:szCs w:val="20"/>
              </w:rPr>
            </w:pPr>
            <w:r w:rsidRPr="00781F59">
              <w:rPr>
                <w:sz w:val="20"/>
                <w:szCs w:val="20"/>
              </w:rPr>
              <w:t>233</w:t>
            </w:r>
          </w:p>
        </w:tc>
        <w:tc>
          <w:tcPr>
            <w:tcW w:w="0" w:type="auto"/>
            <w:tcBorders>
              <w:top w:val="single" w:sz="6" w:space="0" w:color="auto"/>
              <w:left w:val="single" w:sz="6" w:space="0" w:color="auto"/>
              <w:bottom w:val="single" w:sz="6" w:space="0" w:color="auto"/>
              <w:right w:val="single" w:sz="6" w:space="0" w:color="auto"/>
            </w:tcBorders>
            <w:hideMark/>
          </w:tcPr>
          <w:p w14:paraId="40EC3400" w14:textId="77777777" w:rsidR="007F0AE0" w:rsidRPr="00781F59" w:rsidRDefault="007F0AE0" w:rsidP="00453DE3">
            <w:pPr>
              <w:contextualSpacing/>
              <w:rPr>
                <w:sz w:val="20"/>
                <w:szCs w:val="20"/>
              </w:rPr>
            </w:pPr>
            <w:r w:rsidRPr="00781F59">
              <w:rPr>
                <w:sz w:val="20"/>
                <w:szCs w:val="20"/>
              </w:rPr>
              <w:t>Jiu Ai, Kenneth M Taylor, Joseph G Lisko, Hang Tran, Clifford H Watson, Matthew R Holman 2018 Menthol levels in cigarettes from eight manufacturers.. Tobacco control; 27.335.</w:t>
            </w:r>
          </w:p>
        </w:tc>
        <w:tc>
          <w:tcPr>
            <w:tcW w:w="0" w:type="auto"/>
            <w:tcBorders>
              <w:top w:val="single" w:sz="6" w:space="0" w:color="auto"/>
              <w:left w:val="single" w:sz="6" w:space="0" w:color="auto"/>
              <w:bottom w:val="single" w:sz="6" w:space="0" w:color="auto"/>
              <w:right w:val="single" w:sz="6" w:space="0" w:color="auto"/>
            </w:tcBorders>
            <w:hideMark/>
          </w:tcPr>
          <w:p w14:paraId="4093AD5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B13838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EE255BD" w14:textId="77777777" w:rsidR="007F0AE0" w:rsidRPr="00781F59" w:rsidRDefault="007F0AE0" w:rsidP="00453DE3">
            <w:pPr>
              <w:contextualSpacing/>
              <w:rPr>
                <w:sz w:val="20"/>
                <w:szCs w:val="20"/>
              </w:rPr>
            </w:pPr>
            <w:r w:rsidRPr="00781F59">
              <w:rPr>
                <w:sz w:val="20"/>
                <w:szCs w:val="20"/>
              </w:rPr>
              <w:t>237</w:t>
            </w:r>
          </w:p>
        </w:tc>
        <w:tc>
          <w:tcPr>
            <w:tcW w:w="0" w:type="auto"/>
            <w:tcBorders>
              <w:top w:val="single" w:sz="6" w:space="0" w:color="auto"/>
              <w:left w:val="single" w:sz="6" w:space="0" w:color="auto"/>
              <w:bottom w:val="single" w:sz="6" w:space="0" w:color="auto"/>
              <w:right w:val="single" w:sz="6" w:space="0" w:color="auto"/>
            </w:tcBorders>
            <w:hideMark/>
          </w:tcPr>
          <w:p w14:paraId="3BFFFC44" w14:textId="77777777" w:rsidR="007F0AE0" w:rsidRPr="00781F59" w:rsidRDefault="007F0AE0" w:rsidP="00453DE3">
            <w:pPr>
              <w:contextualSpacing/>
              <w:rPr>
                <w:sz w:val="20"/>
                <w:szCs w:val="20"/>
              </w:rPr>
            </w:pPr>
            <w:r w:rsidRPr="00781F59">
              <w:rPr>
                <w:sz w:val="20"/>
                <w:szCs w:val="20"/>
              </w:rPr>
              <w:t xml:space="preserve">Anna Pagano, Noah R Gubner, Thao Le, Deborah Yip, Denise Williams, Kevin Delucchi, Joseph Guydish 2018 Differences in tobacco use prevalence, behaviors, and cessation services by </w:t>
            </w:r>
            <w:r w:rsidRPr="00781F59">
              <w:rPr>
                <w:sz w:val="20"/>
                <w:szCs w:val="20"/>
              </w:rPr>
              <w:lastRenderedPageBreak/>
              <w:t>race/ethnicity: A survey of persons in addiction treatment.. Journal of substance abuse treatment; 94.9.</w:t>
            </w:r>
          </w:p>
        </w:tc>
        <w:tc>
          <w:tcPr>
            <w:tcW w:w="0" w:type="auto"/>
            <w:tcBorders>
              <w:top w:val="single" w:sz="6" w:space="0" w:color="auto"/>
              <w:left w:val="single" w:sz="6" w:space="0" w:color="auto"/>
              <w:bottom w:val="single" w:sz="6" w:space="0" w:color="auto"/>
              <w:right w:val="single" w:sz="6" w:space="0" w:color="auto"/>
            </w:tcBorders>
            <w:hideMark/>
          </w:tcPr>
          <w:p w14:paraId="667D96EA" w14:textId="77777777" w:rsidR="007F0AE0" w:rsidRPr="00781F59" w:rsidRDefault="007F0AE0" w:rsidP="00453DE3">
            <w:pPr>
              <w:contextualSpacing/>
              <w:rPr>
                <w:sz w:val="20"/>
                <w:szCs w:val="20"/>
              </w:rPr>
            </w:pPr>
            <w:r w:rsidRPr="00781F59">
              <w:rPr>
                <w:sz w:val="20"/>
                <w:szCs w:val="20"/>
              </w:rPr>
              <w:lastRenderedPageBreak/>
              <w:t>Does not address a KQ</w:t>
            </w:r>
          </w:p>
        </w:tc>
      </w:tr>
      <w:tr w:rsidR="007F0AE0" w:rsidRPr="00781F59" w14:paraId="5E348A0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A97077" w14:textId="77777777" w:rsidR="007F0AE0" w:rsidRPr="00781F59" w:rsidRDefault="007F0AE0" w:rsidP="00453DE3">
            <w:pPr>
              <w:contextualSpacing/>
              <w:rPr>
                <w:sz w:val="20"/>
                <w:szCs w:val="20"/>
              </w:rPr>
            </w:pPr>
            <w:r w:rsidRPr="00781F59">
              <w:rPr>
                <w:sz w:val="20"/>
                <w:szCs w:val="20"/>
              </w:rPr>
              <w:t>240</w:t>
            </w:r>
          </w:p>
        </w:tc>
        <w:tc>
          <w:tcPr>
            <w:tcW w:w="0" w:type="auto"/>
            <w:tcBorders>
              <w:top w:val="single" w:sz="6" w:space="0" w:color="auto"/>
              <w:left w:val="single" w:sz="6" w:space="0" w:color="auto"/>
              <w:bottom w:val="single" w:sz="6" w:space="0" w:color="auto"/>
              <w:right w:val="single" w:sz="6" w:space="0" w:color="auto"/>
            </w:tcBorders>
            <w:hideMark/>
          </w:tcPr>
          <w:p w14:paraId="1D4C557B" w14:textId="77777777" w:rsidR="007F0AE0" w:rsidRPr="00781F59" w:rsidRDefault="007F0AE0" w:rsidP="00453DE3">
            <w:pPr>
              <w:contextualSpacing/>
              <w:rPr>
                <w:sz w:val="20"/>
                <w:szCs w:val="20"/>
              </w:rPr>
            </w:pPr>
            <w:r w:rsidRPr="00781F59">
              <w:rPr>
                <w:sz w:val="20"/>
                <w:szCs w:val="20"/>
              </w:rPr>
              <w:t>Hyung Soo Kim, Eun Chul Pack, Ye Ji Koo, Ye Jin Lee, Dae Kwan Sung, Seung Ha Lee, Young Soon Kim, Kyeng Hee Kwon, Kyung Min Lim, Dae Yong Jang, Dal Woong Choi 2018 Corrigendum to "Quantitative analysis of menthol and identification of other flavoring ingredients in capsule cigarettes marketed in Korea" [Regul. Toxicol. Pharmacol. 92C (2018) 420-428].. Regulatory toxicology and pharmacology : RTP; 95.448.</w:t>
            </w:r>
          </w:p>
        </w:tc>
        <w:tc>
          <w:tcPr>
            <w:tcW w:w="0" w:type="auto"/>
            <w:tcBorders>
              <w:top w:val="single" w:sz="6" w:space="0" w:color="auto"/>
              <w:left w:val="single" w:sz="6" w:space="0" w:color="auto"/>
              <w:bottom w:val="single" w:sz="6" w:space="0" w:color="auto"/>
              <w:right w:val="single" w:sz="6" w:space="0" w:color="auto"/>
            </w:tcBorders>
            <w:hideMark/>
          </w:tcPr>
          <w:p w14:paraId="147817C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80DD3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09F0D00" w14:textId="77777777" w:rsidR="007F0AE0" w:rsidRPr="00781F59" w:rsidRDefault="007F0AE0" w:rsidP="00453DE3">
            <w:pPr>
              <w:contextualSpacing/>
              <w:rPr>
                <w:sz w:val="20"/>
                <w:szCs w:val="20"/>
              </w:rPr>
            </w:pPr>
            <w:r w:rsidRPr="00781F59">
              <w:rPr>
                <w:sz w:val="20"/>
                <w:szCs w:val="20"/>
              </w:rPr>
              <w:t>241</w:t>
            </w:r>
          </w:p>
        </w:tc>
        <w:tc>
          <w:tcPr>
            <w:tcW w:w="0" w:type="auto"/>
            <w:tcBorders>
              <w:top w:val="single" w:sz="6" w:space="0" w:color="auto"/>
              <w:left w:val="single" w:sz="6" w:space="0" w:color="auto"/>
              <w:bottom w:val="single" w:sz="6" w:space="0" w:color="auto"/>
              <w:right w:val="single" w:sz="6" w:space="0" w:color="auto"/>
            </w:tcBorders>
            <w:hideMark/>
          </w:tcPr>
          <w:p w14:paraId="10C27B2A" w14:textId="77777777" w:rsidR="007F0AE0" w:rsidRPr="00781F59" w:rsidRDefault="007F0AE0" w:rsidP="00453DE3">
            <w:pPr>
              <w:contextualSpacing/>
              <w:rPr>
                <w:sz w:val="20"/>
                <w:szCs w:val="20"/>
              </w:rPr>
            </w:pPr>
            <w:r w:rsidRPr="00781F59">
              <w:rPr>
                <w:sz w:val="20"/>
                <w:szCs w:val="20"/>
              </w:rPr>
              <w:t>Andrea C Villanti, Diann E Gaalema, Jennifer W Tidey, Allison N Kurti, Stacey C Sigmon, Stephen T Higgins 2018 Co-occurring vulnerabilities and menthol use in U.S. young adult cigarette smokers: Findings from Wave 1 of the PATH Study, 2013-2014.. Preventive medicine; 117.43.</w:t>
            </w:r>
          </w:p>
        </w:tc>
        <w:tc>
          <w:tcPr>
            <w:tcW w:w="0" w:type="auto"/>
            <w:tcBorders>
              <w:top w:val="single" w:sz="6" w:space="0" w:color="auto"/>
              <w:left w:val="single" w:sz="6" w:space="0" w:color="auto"/>
              <w:bottom w:val="single" w:sz="6" w:space="0" w:color="auto"/>
              <w:right w:val="single" w:sz="6" w:space="0" w:color="auto"/>
            </w:tcBorders>
            <w:hideMark/>
          </w:tcPr>
          <w:p w14:paraId="0FFBBCA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637DE7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B411BA" w14:textId="77777777" w:rsidR="007F0AE0" w:rsidRPr="00781F59" w:rsidRDefault="007F0AE0" w:rsidP="00453DE3">
            <w:pPr>
              <w:contextualSpacing/>
              <w:rPr>
                <w:sz w:val="20"/>
                <w:szCs w:val="20"/>
              </w:rPr>
            </w:pPr>
            <w:r w:rsidRPr="00781F59">
              <w:rPr>
                <w:sz w:val="20"/>
                <w:szCs w:val="20"/>
              </w:rPr>
              <w:t>243</w:t>
            </w:r>
          </w:p>
        </w:tc>
        <w:tc>
          <w:tcPr>
            <w:tcW w:w="0" w:type="auto"/>
            <w:tcBorders>
              <w:top w:val="single" w:sz="6" w:space="0" w:color="auto"/>
              <w:left w:val="single" w:sz="6" w:space="0" w:color="auto"/>
              <w:bottom w:val="single" w:sz="6" w:space="0" w:color="auto"/>
              <w:right w:val="single" w:sz="6" w:space="0" w:color="auto"/>
            </w:tcBorders>
            <w:hideMark/>
          </w:tcPr>
          <w:p w14:paraId="5818D89F" w14:textId="77777777" w:rsidR="007F0AE0" w:rsidRPr="00781F59" w:rsidRDefault="007F0AE0" w:rsidP="00453DE3">
            <w:pPr>
              <w:contextualSpacing/>
              <w:rPr>
                <w:sz w:val="20"/>
                <w:szCs w:val="20"/>
              </w:rPr>
            </w:pPr>
            <w:r w:rsidRPr="00781F59">
              <w:rPr>
                <w:sz w:val="20"/>
                <w:szCs w:val="20"/>
              </w:rPr>
              <w:t>Eric Craig Leas, John P Pierce, Claudiu V Dimofte, Dennis R Trinidad, David R Strong 2018 Standardised cigarette packaging may reduce the implied safety of Natural American Spirit cigarettes.. Tobacco control; 27.e118.</w:t>
            </w:r>
          </w:p>
        </w:tc>
        <w:tc>
          <w:tcPr>
            <w:tcW w:w="0" w:type="auto"/>
            <w:tcBorders>
              <w:top w:val="single" w:sz="6" w:space="0" w:color="auto"/>
              <w:left w:val="single" w:sz="6" w:space="0" w:color="auto"/>
              <w:bottom w:val="single" w:sz="6" w:space="0" w:color="auto"/>
              <w:right w:val="single" w:sz="6" w:space="0" w:color="auto"/>
            </w:tcBorders>
            <w:hideMark/>
          </w:tcPr>
          <w:p w14:paraId="4C3B339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B1C9BF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5D1E57" w14:textId="77777777" w:rsidR="007F0AE0" w:rsidRPr="00781F59" w:rsidRDefault="007F0AE0" w:rsidP="00453DE3">
            <w:pPr>
              <w:contextualSpacing/>
              <w:rPr>
                <w:sz w:val="20"/>
                <w:szCs w:val="20"/>
              </w:rPr>
            </w:pPr>
            <w:r w:rsidRPr="00781F59">
              <w:rPr>
                <w:sz w:val="20"/>
                <w:szCs w:val="20"/>
              </w:rPr>
              <w:t>245</w:t>
            </w:r>
          </w:p>
        </w:tc>
        <w:tc>
          <w:tcPr>
            <w:tcW w:w="0" w:type="auto"/>
            <w:tcBorders>
              <w:top w:val="single" w:sz="6" w:space="0" w:color="auto"/>
              <w:left w:val="single" w:sz="6" w:space="0" w:color="auto"/>
              <w:bottom w:val="single" w:sz="6" w:space="0" w:color="auto"/>
              <w:right w:val="single" w:sz="6" w:space="0" w:color="auto"/>
            </w:tcBorders>
            <w:hideMark/>
          </w:tcPr>
          <w:p w14:paraId="2761DD87" w14:textId="77777777" w:rsidR="007F0AE0" w:rsidRPr="00781F59" w:rsidRDefault="007F0AE0" w:rsidP="00453DE3">
            <w:pPr>
              <w:contextualSpacing/>
              <w:rPr>
                <w:sz w:val="20"/>
                <w:szCs w:val="20"/>
              </w:rPr>
            </w:pPr>
            <w:r w:rsidRPr="00781F59">
              <w:rPr>
                <w:sz w:val="20"/>
                <w:szCs w:val="20"/>
              </w:rPr>
              <w:t>Sarah D Mills, Lisa Henriksen, Shelley D Golden, Rachel Kurtzman, Amanda Y Kong, Tara L Queen, Kurt M Ribisl 2018 Disparities in retail marketing for menthol cigarettes in the United States, 2015.. Health &amp; place; 53.62.</w:t>
            </w:r>
          </w:p>
        </w:tc>
        <w:tc>
          <w:tcPr>
            <w:tcW w:w="0" w:type="auto"/>
            <w:tcBorders>
              <w:top w:val="single" w:sz="6" w:space="0" w:color="auto"/>
              <w:left w:val="single" w:sz="6" w:space="0" w:color="auto"/>
              <w:bottom w:val="single" w:sz="6" w:space="0" w:color="auto"/>
              <w:right w:val="single" w:sz="6" w:space="0" w:color="auto"/>
            </w:tcBorders>
            <w:hideMark/>
          </w:tcPr>
          <w:p w14:paraId="707C498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F44CAF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3979B35" w14:textId="77777777" w:rsidR="007F0AE0" w:rsidRPr="00781F59" w:rsidRDefault="007F0AE0" w:rsidP="00453DE3">
            <w:pPr>
              <w:contextualSpacing/>
              <w:rPr>
                <w:sz w:val="20"/>
                <w:szCs w:val="20"/>
              </w:rPr>
            </w:pPr>
            <w:r w:rsidRPr="00781F59">
              <w:rPr>
                <w:sz w:val="20"/>
                <w:szCs w:val="20"/>
              </w:rPr>
              <w:t>249</w:t>
            </w:r>
          </w:p>
        </w:tc>
        <w:tc>
          <w:tcPr>
            <w:tcW w:w="0" w:type="auto"/>
            <w:tcBorders>
              <w:top w:val="single" w:sz="6" w:space="0" w:color="auto"/>
              <w:left w:val="single" w:sz="6" w:space="0" w:color="auto"/>
              <w:bottom w:val="single" w:sz="6" w:space="0" w:color="auto"/>
              <w:right w:val="single" w:sz="6" w:space="0" w:color="auto"/>
            </w:tcBorders>
            <w:hideMark/>
          </w:tcPr>
          <w:p w14:paraId="2A2A29AE" w14:textId="77777777" w:rsidR="007F0AE0" w:rsidRPr="00781F59" w:rsidRDefault="007F0AE0" w:rsidP="00453DE3">
            <w:pPr>
              <w:contextualSpacing/>
              <w:rPr>
                <w:sz w:val="20"/>
                <w:szCs w:val="20"/>
              </w:rPr>
            </w:pPr>
            <w:r w:rsidRPr="00781F59">
              <w:rPr>
                <w:sz w:val="20"/>
                <w:szCs w:val="20"/>
              </w:rPr>
              <w:t>Mark G LeSage, John R Smethells, Andrew C Harris 2018 Status and Future Directions of Preclinical Behavioral Pharmacology in Tobacco Regulatory Science.. Behavior analysis (Washington, D.C.); 18.252.</w:t>
            </w:r>
          </w:p>
        </w:tc>
        <w:tc>
          <w:tcPr>
            <w:tcW w:w="0" w:type="auto"/>
            <w:tcBorders>
              <w:top w:val="single" w:sz="6" w:space="0" w:color="auto"/>
              <w:left w:val="single" w:sz="6" w:space="0" w:color="auto"/>
              <w:bottom w:val="single" w:sz="6" w:space="0" w:color="auto"/>
              <w:right w:val="single" w:sz="6" w:space="0" w:color="auto"/>
            </w:tcBorders>
            <w:hideMark/>
          </w:tcPr>
          <w:p w14:paraId="2E8DC17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E7734D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D2BA83E" w14:textId="77777777" w:rsidR="007F0AE0" w:rsidRPr="00781F59" w:rsidRDefault="007F0AE0" w:rsidP="00453DE3">
            <w:pPr>
              <w:contextualSpacing/>
              <w:rPr>
                <w:sz w:val="20"/>
                <w:szCs w:val="20"/>
              </w:rPr>
            </w:pPr>
            <w:r w:rsidRPr="00781F59">
              <w:rPr>
                <w:sz w:val="20"/>
                <w:szCs w:val="20"/>
              </w:rPr>
              <w:t>251</w:t>
            </w:r>
          </w:p>
        </w:tc>
        <w:tc>
          <w:tcPr>
            <w:tcW w:w="0" w:type="auto"/>
            <w:tcBorders>
              <w:top w:val="single" w:sz="6" w:space="0" w:color="auto"/>
              <w:left w:val="single" w:sz="6" w:space="0" w:color="auto"/>
              <w:bottom w:val="single" w:sz="6" w:space="0" w:color="auto"/>
              <w:right w:val="single" w:sz="6" w:space="0" w:color="auto"/>
            </w:tcBorders>
            <w:hideMark/>
          </w:tcPr>
          <w:p w14:paraId="6EE2410A" w14:textId="77777777" w:rsidR="007F0AE0" w:rsidRPr="00781F59" w:rsidRDefault="007F0AE0" w:rsidP="00453DE3">
            <w:pPr>
              <w:contextualSpacing/>
              <w:rPr>
                <w:sz w:val="20"/>
                <w:szCs w:val="20"/>
              </w:rPr>
            </w:pPr>
            <w:r w:rsidRPr="00781F59">
              <w:rPr>
                <w:sz w:val="20"/>
                <w:szCs w:val="20"/>
              </w:rPr>
              <w:t>Phoenix Alicia Matthews, Amanda C Blok, Joseph G L Lee, Brian Hitsman, Lisa Sanchez-Johnsen, Karriem Watson, Elizabeth Breen, Raymond Ruiz,Scout, Melissa A Simon, Marian Fitzgibbon, Laura C Hein, Robert Winn 2018 SBM recommends policy support to reduce smoking disparities for sexual and gender minorities.. Translational behavioral medicine; 8.692.</w:t>
            </w:r>
          </w:p>
        </w:tc>
        <w:tc>
          <w:tcPr>
            <w:tcW w:w="0" w:type="auto"/>
            <w:tcBorders>
              <w:top w:val="single" w:sz="6" w:space="0" w:color="auto"/>
              <w:left w:val="single" w:sz="6" w:space="0" w:color="auto"/>
              <w:bottom w:val="single" w:sz="6" w:space="0" w:color="auto"/>
              <w:right w:val="single" w:sz="6" w:space="0" w:color="auto"/>
            </w:tcBorders>
            <w:hideMark/>
          </w:tcPr>
          <w:p w14:paraId="78E619C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F3316E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E33F933" w14:textId="77777777" w:rsidR="007F0AE0" w:rsidRPr="00781F59" w:rsidRDefault="007F0AE0" w:rsidP="00453DE3">
            <w:pPr>
              <w:contextualSpacing/>
              <w:rPr>
                <w:sz w:val="20"/>
                <w:szCs w:val="20"/>
              </w:rPr>
            </w:pPr>
            <w:r w:rsidRPr="00781F59">
              <w:rPr>
                <w:sz w:val="20"/>
                <w:szCs w:val="20"/>
              </w:rPr>
              <w:t>252</w:t>
            </w:r>
          </w:p>
        </w:tc>
        <w:tc>
          <w:tcPr>
            <w:tcW w:w="0" w:type="auto"/>
            <w:tcBorders>
              <w:top w:val="single" w:sz="6" w:space="0" w:color="auto"/>
              <w:left w:val="single" w:sz="6" w:space="0" w:color="auto"/>
              <w:bottom w:val="single" w:sz="6" w:space="0" w:color="auto"/>
              <w:right w:val="single" w:sz="6" w:space="0" w:color="auto"/>
            </w:tcBorders>
            <w:hideMark/>
          </w:tcPr>
          <w:p w14:paraId="1AEBD71F" w14:textId="77777777" w:rsidR="007F0AE0" w:rsidRPr="00781F59" w:rsidRDefault="007F0AE0" w:rsidP="00453DE3">
            <w:pPr>
              <w:contextualSpacing/>
              <w:rPr>
                <w:sz w:val="20"/>
                <w:szCs w:val="20"/>
              </w:rPr>
            </w:pPr>
            <w:r w:rsidRPr="00781F59">
              <w:rPr>
                <w:sz w:val="20"/>
                <w:szCs w:val="20"/>
              </w:rPr>
              <w:t>Anna Pagano, Noah Gubner, Thao Le, Joseph Guydish 2018 Cigarette smoking and quit attempts among Latinos in substance use disorder treatment. The American journal of drug and alcohol abuse; 44.660.</w:t>
            </w:r>
          </w:p>
        </w:tc>
        <w:tc>
          <w:tcPr>
            <w:tcW w:w="0" w:type="auto"/>
            <w:tcBorders>
              <w:top w:val="single" w:sz="6" w:space="0" w:color="auto"/>
              <w:left w:val="single" w:sz="6" w:space="0" w:color="auto"/>
              <w:bottom w:val="single" w:sz="6" w:space="0" w:color="auto"/>
              <w:right w:val="single" w:sz="6" w:space="0" w:color="auto"/>
            </w:tcBorders>
            <w:hideMark/>
          </w:tcPr>
          <w:p w14:paraId="64A87F9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8E1323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024FFE" w14:textId="77777777" w:rsidR="007F0AE0" w:rsidRPr="00781F59" w:rsidRDefault="007F0AE0" w:rsidP="00453DE3">
            <w:pPr>
              <w:contextualSpacing/>
              <w:rPr>
                <w:sz w:val="20"/>
                <w:szCs w:val="20"/>
              </w:rPr>
            </w:pPr>
            <w:r w:rsidRPr="00781F59">
              <w:rPr>
                <w:sz w:val="20"/>
                <w:szCs w:val="20"/>
              </w:rPr>
              <w:t>253</w:t>
            </w:r>
          </w:p>
        </w:tc>
        <w:tc>
          <w:tcPr>
            <w:tcW w:w="0" w:type="auto"/>
            <w:tcBorders>
              <w:top w:val="single" w:sz="6" w:space="0" w:color="auto"/>
              <w:left w:val="single" w:sz="6" w:space="0" w:color="auto"/>
              <w:bottom w:val="single" w:sz="6" w:space="0" w:color="auto"/>
              <w:right w:val="single" w:sz="6" w:space="0" w:color="auto"/>
            </w:tcBorders>
            <w:hideMark/>
          </w:tcPr>
          <w:p w14:paraId="31C3A654" w14:textId="77777777" w:rsidR="007F0AE0" w:rsidRPr="00781F59" w:rsidRDefault="007F0AE0" w:rsidP="00453DE3">
            <w:pPr>
              <w:contextualSpacing/>
              <w:rPr>
                <w:sz w:val="20"/>
                <w:szCs w:val="20"/>
              </w:rPr>
            </w:pPr>
            <w:r w:rsidRPr="00781F59">
              <w:rPr>
                <w:sz w:val="20"/>
                <w:szCs w:val="20"/>
              </w:rPr>
              <w:t>Saul Shiffman, Sarah Scholl 2018 Increases in Cigarette Consumption and Decreases in Smoking Intensity When Nondaily Smokers Are Provided With Free Cigarettes.. Nicotine &amp; tobacco research : official journal of the Society for Research on Nicotine and Tobacco; 20.1237.</w:t>
            </w:r>
          </w:p>
        </w:tc>
        <w:tc>
          <w:tcPr>
            <w:tcW w:w="0" w:type="auto"/>
            <w:tcBorders>
              <w:top w:val="single" w:sz="6" w:space="0" w:color="auto"/>
              <w:left w:val="single" w:sz="6" w:space="0" w:color="auto"/>
              <w:bottom w:val="single" w:sz="6" w:space="0" w:color="auto"/>
              <w:right w:val="single" w:sz="6" w:space="0" w:color="auto"/>
            </w:tcBorders>
            <w:hideMark/>
          </w:tcPr>
          <w:p w14:paraId="39D0C34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69E431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4F7E1C" w14:textId="77777777" w:rsidR="007F0AE0" w:rsidRPr="00781F59" w:rsidRDefault="007F0AE0" w:rsidP="00453DE3">
            <w:pPr>
              <w:contextualSpacing/>
              <w:rPr>
                <w:sz w:val="20"/>
                <w:szCs w:val="20"/>
              </w:rPr>
            </w:pPr>
            <w:r w:rsidRPr="00781F59">
              <w:rPr>
                <w:sz w:val="20"/>
                <w:szCs w:val="20"/>
              </w:rPr>
              <w:t>258</w:t>
            </w:r>
          </w:p>
        </w:tc>
        <w:tc>
          <w:tcPr>
            <w:tcW w:w="0" w:type="auto"/>
            <w:tcBorders>
              <w:top w:val="single" w:sz="6" w:space="0" w:color="auto"/>
              <w:left w:val="single" w:sz="6" w:space="0" w:color="auto"/>
              <w:bottom w:val="single" w:sz="6" w:space="0" w:color="auto"/>
              <w:right w:val="single" w:sz="6" w:space="0" w:color="auto"/>
            </w:tcBorders>
            <w:hideMark/>
          </w:tcPr>
          <w:p w14:paraId="0EA5B8C3" w14:textId="77777777" w:rsidR="007F0AE0" w:rsidRPr="00781F59" w:rsidRDefault="007F0AE0" w:rsidP="00453DE3">
            <w:pPr>
              <w:contextualSpacing/>
              <w:rPr>
                <w:sz w:val="20"/>
                <w:szCs w:val="20"/>
              </w:rPr>
            </w:pPr>
            <w:r w:rsidRPr="00781F59">
              <w:rPr>
                <w:sz w:val="20"/>
                <w:szCs w:val="20"/>
              </w:rPr>
              <w:t>Joanne D'Silva, Amy M Cohn, Amanda L Johnson, Andrea C Villanti 2018 Differences in Subjective Experiences to First Use of Menthol and Nonmenthol Cigarettes in a National Sample of Young Adult Cigarette Smokers.. Nicotine &amp; tobacco research : official journal of the Society for Research on Nicotine and Tobacco; 20.1062.</w:t>
            </w:r>
          </w:p>
        </w:tc>
        <w:tc>
          <w:tcPr>
            <w:tcW w:w="0" w:type="auto"/>
            <w:tcBorders>
              <w:top w:val="single" w:sz="6" w:space="0" w:color="auto"/>
              <w:left w:val="single" w:sz="6" w:space="0" w:color="auto"/>
              <w:bottom w:val="single" w:sz="6" w:space="0" w:color="auto"/>
              <w:right w:val="single" w:sz="6" w:space="0" w:color="auto"/>
            </w:tcBorders>
            <w:hideMark/>
          </w:tcPr>
          <w:p w14:paraId="06ADDA5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DE5067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801954" w14:textId="77777777" w:rsidR="007F0AE0" w:rsidRPr="00781F59" w:rsidRDefault="007F0AE0" w:rsidP="00453DE3">
            <w:pPr>
              <w:contextualSpacing/>
              <w:rPr>
                <w:sz w:val="20"/>
                <w:szCs w:val="20"/>
              </w:rPr>
            </w:pPr>
            <w:r w:rsidRPr="00781F59">
              <w:rPr>
                <w:sz w:val="20"/>
                <w:szCs w:val="20"/>
              </w:rPr>
              <w:t>259</w:t>
            </w:r>
          </w:p>
        </w:tc>
        <w:tc>
          <w:tcPr>
            <w:tcW w:w="0" w:type="auto"/>
            <w:tcBorders>
              <w:top w:val="single" w:sz="6" w:space="0" w:color="auto"/>
              <w:left w:val="single" w:sz="6" w:space="0" w:color="auto"/>
              <w:bottom w:val="single" w:sz="6" w:space="0" w:color="auto"/>
              <w:right w:val="single" w:sz="6" w:space="0" w:color="auto"/>
            </w:tcBorders>
            <w:hideMark/>
          </w:tcPr>
          <w:p w14:paraId="1D5874CC" w14:textId="77777777" w:rsidR="007F0AE0" w:rsidRPr="00781F59" w:rsidRDefault="007F0AE0" w:rsidP="00453DE3">
            <w:pPr>
              <w:contextualSpacing/>
              <w:rPr>
                <w:sz w:val="20"/>
                <w:szCs w:val="20"/>
              </w:rPr>
            </w:pPr>
            <w:r w:rsidRPr="00781F59">
              <w:rPr>
                <w:sz w:val="20"/>
                <w:szCs w:val="20"/>
              </w:rPr>
              <w:t>Olivia A Wackowski, Kiameesha R Evans, Melissa B Harrell, Alexandra Loukas, M Jane Lewis, Cristine D Delnevo, Cheryl L Perry 2018 In Their Own Words: Young Adults' Menthol Cigarette Initiation, Perceptions, Experiences and Regulation Perspectives.. Nicotine &amp; tobacco research : official journal of the Society for Research on Nicotine and Tobacco; 20.1076.</w:t>
            </w:r>
          </w:p>
        </w:tc>
        <w:tc>
          <w:tcPr>
            <w:tcW w:w="0" w:type="auto"/>
            <w:tcBorders>
              <w:top w:val="single" w:sz="6" w:space="0" w:color="auto"/>
              <w:left w:val="single" w:sz="6" w:space="0" w:color="auto"/>
              <w:bottom w:val="single" w:sz="6" w:space="0" w:color="auto"/>
              <w:right w:val="single" w:sz="6" w:space="0" w:color="auto"/>
            </w:tcBorders>
            <w:hideMark/>
          </w:tcPr>
          <w:p w14:paraId="6585824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12F1C0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636B190" w14:textId="77777777" w:rsidR="007F0AE0" w:rsidRPr="00781F59" w:rsidRDefault="007F0AE0" w:rsidP="00453DE3">
            <w:pPr>
              <w:contextualSpacing/>
              <w:rPr>
                <w:sz w:val="20"/>
                <w:szCs w:val="20"/>
              </w:rPr>
            </w:pPr>
            <w:r w:rsidRPr="00781F59">
              <w:rPr>
                <w:sz w:val="20"/>
                <w:szCs w:val="20"/>
              </w:rPr>
              <w:t>262</w:t>
            </w:r>
          </w:p>
        </w:tc>
        <w:tc>
          <w:tcPr>
            <w:tcW w:w="0" w:type="auto"/>
            <w:tcBorders>
              <w:top w:val="single" w:sz="6" w:space="0" w:color="auto"/>
              <w:left w:val="single" w:sz="6" w:space="0" w:color="auto"/>
              <w:bottom w:val="single" w:sz="6" w:space="0" w:color="auto"/>
              <w:right w:val="single" w:sz="6" w:space="0" w:color="auto"/>
            </w:tcBorders>
            <w:hideMark/>
          </w:tcPr>
          <w:p w14:paraId="5B46DE71" w14:textId="77777777" w:rsidR="007F0AE0" w:rsidRPr="00781F59" w:rsidRDefault="007F0AE0" w:rsidP="00453DE3">
            <w:pPr>
              <w:contextualSpacing/>
              <w:rPr>
                <w:sz w:val="20"/>
                <w:szCs w:val="20"/>
              </w:rPr>
            </w:pPr>
            <w:r w:rsidRPr="00781F59">
              <w:rPr>
                <w:sz w:val="20"/>
                <w:szCs w:val="20"/>
              </w:rPr>
              <w:t>Jessica M Rath, Marisa Greenberg, Lindsay Pitzer, Brittany Emelle, Molly Green, Shiyang Michael Liu, Jeffrey Willett, Shyanika W Rose, Elizabeth C Hair, Donna Vallone 2018 The Association Between Menthol Perceptions and Support for a Policy Ban Among US Smokers.. Ethnicity &amp; disease; 28.177.</w:t>
            </w:r>
          </w:p>
        </w:tc>
        <w:tc>
          <w:tcPr>
            <w:tcW w:w="0" w:type="auto"/>
            <w:tcBorders>
              <w:top w:val="single" w:sz="6" w:space="0" w:color="auto"/>
              <w:left w:val="single" w:sz="6" w:space="0" w:color="auto"/>
              <w:bottom w:val="single" w:sz="6" w:space="0" w:color="auto"/>
              <w:right w:val="single" w:sz="6" w:space="0" w:color="auto"/>
            </w:tcBorders>
            <w:hideMark/>
          </w:tcPr>
          <w:p w14:paraId="48D07BE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1F4C41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751EADE" w14:textId="77777777" w:rsidR="007F0AE0" w:rsidRPr="00781F59" w:rsidRDefault="007F0AE0" w:rsidP="00453DE3">
            <w:pPr>
              <w:contextualSpacing/>
              <w:rPr>
                <w:sz w:val="20"/>
                <w:szCs w:val="20"/>
              </w:rPr>
            </w:pPr>
            <w:r w:rsidRPr="00781F59">
              <w:rPr>
                <w:sz w:val="20"/>
                <w:szCs w:val="20"/>
              </w:rPr>
              <w:t>264</w:t>
            </w:r>
          </w:p>
        </w:tc>
        <w:tc>
          <w:tcPr>
            <w:tcW w:w="0" w:type="auto"/>
            <w:tcBorders>
              <w:top w:val="single" w:sz="6" w:space="0" w:color="auto"/>
              <w:left w:val="single" w:sz="6" w:space="0" w:color="auto"/>
              <w:bottom w:val="single" w:sz="6" w:space="0" w:color="auto"/>
              <w:right w:val="single" w:sz="6" w:space="0" w:color="auto"/>
            </w:tcBorders>
            <w:hideMark/>
          </w:tcPr>
          <w:p w14:paraId="6CAC0955" w14:textId="77777777" w:rsidR="007F0AE0" w:rsidRPr="00781F59" w:rsidRDefault="007F0AE0" w:rsidP="00453DE3">
            <w:pPr>
              <w:contextualSpacing/>
              <w:rPr>
                <w:sz w:val="20"/>
                <w:szCs w:val="20"/>
              </w:rPr>
            </w:pPr>
            <w:r w:rsidRPr="00781F59">
              <w:rPr>
                <w:sz w:val="20"/>
                <w:szCs w:val="20"/>
              </w:rPr>
              <w:t>Monica Webb Hooper 2018 Editorial: Preventing Tobacco-Related Cancer Disparities: A Focus on Racial/Ethnic Minority Populations.. Ethnicity &amp; disease; 28.129.</w:t>
            </w:r>
          </w:p>
        </w:tc>
        <w:tc>
          <w:tcPr>
            <w:tcW w:w="0" w:type="auto"/>
            <w:tcBorders>
              <w:top w:val="single" w:sz="6" w:space="0" w:color="auto"/>
              <w:left w:val="single" w:sz="6" w:space="0" w:color="auto"/>
              <w:bottom w:val="single" w:sz="6" w:space="0" w:color="auto"/>
              <w:right w:val="single" w:sz="6" w:space="0" w:color="auto"/>
            </w:tcBorders>
            <w:hideMark/>
          </w:tcPr>
          <w:p w14:paraId="1EEF008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32F36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128569" w14:textId="77777777" w:rsidR="007F0AE0" w:rsidRPr="00781F59" w:rsidRDefault="007F0AE0" w:rsidP="00453DE3">
            <w:pPr>
              <w:contextualSpacing/>
              <w:rPr>
                <w:sz w:val="20"/>
                <w:szCs w:val="20"/>
              </w:rPr>
            </w:pPr>
            <w:r w:rsidRPr="00781F59">
              <w:rPr>
                <w:sz w:val="20"/>
                <w:szCs w:val="20"/>
              </w:rPr>
              <w:lastRenderedPageBreak/>
              <w:t>267</w:t>
            </w:r>
          </w:p>
        </w:tc>
        <w:tc>
          <w:tcPr>
            <w:tcW w:w="0" w:type="auto"/>
            <w:tcBorders>
              <w:top w:val="single" w:sz="6" w:space="0" w:color="auto"/>
              <w:left w:val="single" w:sz="6" w:space="0" w:color="auto"/>
              <w:bottom w:val="single" w:sz="6" w:space="0" w:color="auto"/>
              <w:right w:val="single" w:sz="6" w:space="0" w:color="auto"/>
            </w:tcBorders>
            <w:hideMark/>
          </w:tcPr>
          <w:p w14:paraId="7F94E0B0" w14:textId="77777777" w:rsidR="007F0AE0" w:rsidRPr="00781F59" w:rsidRDefault="007F0AE0" w:rsidP="00453DE3">
            <w:pPr>
              <w:contextualSpacing/>
              <w:rPr>
                <w:sz w:val="20"/>
                <w:szCs w:val="20"/>
              </w:rPr>
            </w:pPr>
            <w:r w:rsidRPr="00781F59">
              <w:rPr>
                <w:sz w:val="20"/>
                <w:szCs w:val="20"/>
              </w:rPr>
              <w:t>Jessica L Fetterman, Robert M Weisbrod, Bihua Feng, Reena Bastin, Shawn T Tuttle, Monica Holbrook, Gregory Baker, Rose Marie Robertson, Daniel J Conklin, Aruni Bhatnagar, Naomi M Hamburg 2018 Flavorings in Tobacco Products Induce Endothelial Cell Dysfunction.. Arteriosclerosis, thrombosis, and vascular biology; 38.1607.</w:t>
            </w:r>
          </w:p>
        </w:tc>
        <w:tc>
          <w:tcPr>
            <w:tcW w:w="0" w:type="auto"/>
            <w:tcBorders>
              <w:top w:val="single" w:sz="6" w:space="0" w:color="auto"/>
              <w:left w:val="single" w:sz="6" w:space="0" w:color="auto"/>
              <w:bottom w:val="single" w:sz="6" w:space="0" w:color="auto"/>
              <w:right w:val="single" w:sz="6" w:space="0" w:color="auto"/>
            </w:tcBorders>
            <w:hideMark/>
          </w:tcPr>
          <w:p w14:paraId="0D7CAE1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BDB70E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3A0D3B" w14:textId="77777777" w:rsidR="007F0AE0" w:rsidRPr="00781F59" w:rsidRDefault="007F0AE0" w:rsidP="00453DE3">
            <w:pPr>
              <w:contextualSpacing/>
              <w:rPr>
                <w:sz w:val="20"/>
                <w:szCs w:val="20"/>
              </w:rPr>
            </w:pPr>
            <w:r w:rsidRPr="00781F59">
              <w:rPr>
                <w:sz w:val="20"/>
                <w:szCs w:val="20"/>
              </w:rPr>
              <w:t>270</w:t>
            </w:r>
          </w:p>
        </w:tc>
        <w:tc>
          <w:tcPr>
            <w:tcW w:w="0" w:type="auto"/>
            <w:tcBorders>
              <w:top w:val="single" w:sz="6" w:space="0" w:color="auto"/>
              <w:left w:val="single" w:sz="6" w:space="0" w:color="auto"/>
              <w:bottom w:val="single" w:sz="6" w:space="0" w:color="auto"/>
              <w:right w:val="single" w:sz="6" w:space="0" w:color="auto"/>
            </w:tcBorders>
            <w:hideMark/>
          </w:tcPr>
          <w:p w14:paraId="5F1A6F38" w14:textId="77777777" w:rsidR="007F0AE0" w:rsidRPr="00781F59" w:rsidRDefault="007F0AE0" w:rsidP="00453DE3">
            <w:pPr>
              <w:contextualSpacing/>
              <w:rPr>
                <w:sz w:val="20"/>
                <w:szCs w:val="20"/>
              </w:rPr>
            </w:pPr>
            <w:r w:rsidRPr="00781F59">
              <w:rPr>
                <w:sz w:val="20"/>
                <w:szCs w:val="20"/>
              </w:rPr>
              <w:t>Allison J Lazard, Sarah D Kowitt, Li-Ling Huang, Seth M Noar, Kristen L Jarman, Adam O Goldstein 2018 Believability of Cigarette Warnings About Addiction: National Experiments of Adolescents and Adults.. Nicotine &amp; tobacco research : official journal of the Society for Research on Nicotine and Tobacco; 20.867.</w:t>
            </w:r>
          </w:p>
        </w:tc>
        <w:tc>
          <w:tcPr>
            <w:tcW w:w="0" w:type="auto"/>
            <w:tcBorders>
              <w:top w:val="single" w:sz="6" w:space="0" w:color="auto"/>
              <w:left w:val="single" w:sz="6" w:space="0" w:color="auto"/>
              <w:bottom w:val="single" w:sz="6" w:space="0" w:color="auto"/>
              <w:right w:val="single" w:sz="6" w:space="0" w:color="auto"/>
            </w:tcBorders>
            <w:hideMark/>
          </w:tcPr>
          <w:p w14:paraId="14299F9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81A0F8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87A8C8" w14:textId="77777777" w:rsidR="007F0AE0" w:rsidRPr="00781F59" w:rsidRDefault="007F0AE0" w:rsidP="00453DE3">
            <w:pPr>
              <w:contextualSpacing/>
              <w:rPr>
                <w:sz w:val="20"/>
                <w:szCs w:val="20"/>
              </w:rPr>
            </w:pPr>
            <w:r w:rsidRPr="00781F59">
              <w:rPr>
                <w:sz w:val="20"/>
                <w:szCs w:val="20"/>
              </w:rPr>
              <w:t>271</w:t>
            </w:r>
          </w:p>
        </w:tc>
        <w:tc>
          <w:tcPr>
            <w:tcW w:w="0" w:type="auto"/>
            <w:tcBorders>
              <w:top w:val="single" w:sz="6" w:space="0" w:color="auto"/>
              <w:left w:val="single" w:sz="6" w:space="0" w:color="auto"/>
              <w:bottom w:val="single" w:sz="6" w:space="0" w:color="auto"/>
              <w:right w:val="single" w:sz="6" w:space="0" w:color="auto"/>
            </w:tcBorders>
            <w:hideMark/>
          </w:tcPr>
          <w:p w14:paraId="0B62F074" w14:textId="77777777" w:rsidR="007F0AE0" w:rsidRPr="00781F59" w:rsidRDefault="007F0AE0" w:rsidP="00453DE3">
            <w:pPr>
              <w:contextualSpacing/>
              <w:rPr>
                <w:sz w:val="20"/>
                <w:szCs w:val="20"/>
              </w:rPr>
            </w:pPr>
            <w:r w:rsidRPr="00781F59">
              <w:rPr>
                <w:sz w:val="20"/>
                <w:szCs w:val="20"/>
              </w:rPr>
              <w:t>Nicole M Kuiper, Doris Gammon, Brett Loomis, Kyle Falvey, Teresa W Wang, Brian A King, Todd Rogers 2018 Trends in Sales of Flavored and Menthol Tobacco Products in the United States During 2011-2015.. Nicotine &amp; tobacco research : official journal of the Society for Research on Nicotine and Tobacco; 20.698.</w:t>
            </w:r>
          </w:p>
        </w:tc>
        <w:tc>
          <w:tcPr>
            <w:tcW w:w="0" w:type="auto"/>
            <w:tcBorders>
              <w:top w:val="single" w:sz="6" w:space="0" w:color="auto"/>
              <w:left w:val="single" w:sz="6" w:space="0" w:color="auto"/>
              <w:bottom w:val="single" w:sz="6" w:space="0" w:color="auto"/>
              <w:right w:val="single" w:sz="6" w:space="0" w:color="auto"/>
            </w:tcBorders>
            <w:hideMark/>
          </w:tcPr>
          <w:p w14:paraId="6DAF45E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59B863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D383A5" w14:textId="77777777" w:rsidR="007F0AE0" w:rsidRPr="00781F59" w:rsidRDefault="007F0AE0" w:rsidP="00453DE3">
            <w:pPr>
              <w:contextualSpacing/>
              <w:rPr>
                <w:sz w:val="20"/>
                <w:szCs w:val="20"/>
              </w:rPr>
            </w:pPr>
            <w:r w:rsidRPr="00781F59">
              <w:rPr>
                <w:sz w:val="20"/>
                <w:szCs w:val="20"/>
              </w:rPr>
              <w:t>273</w:t>
            </w:r>
          </w:p>
        </w:tc>
        <w:tc>
          <w:tcPr>
            <w:tcW w:w="0" w:type="auto"/>
            <w:tcBorders>
              <w:top w:val="single" w:sz="6" w:space="0" w:color="auto"/>
              <w:left w:val="single" w:sz="6" w:space="0" w:color="auto"/>
              <w:bottom w:val="single" w:sz="6" w:space="0" w:color="auto"/>
              <w:right w:val="single" w:sz="6" w:space="0" w:color="auto"/>
            </w:tcBorders>
            <w:hideMark/>
          </w:tcPr>
          <w:p w14:paraId="3F6E0850" w14:textId="77777777" w:rsidR="007F0AE0" w:rsidRPr="00781F59" w:rsidRDefault="007F0AE0" w:rsidP="00453DE3">
            <w:pPr>
              <w:contextualSpacing/>
              <w:rPr>
                <w:sz w:val="20"/>
                <w:szCs w:val="20"/>
              </w:rPr>
            </w:pPr>
            <w:r w:rsidRPr="00781F59">
              <w:rPr>
                <w:sz w:val="20"/>
                <w:szCs w:val="20"/>
              </w:rPr>
              <w:t>Michael Chaiton, Robert Schwartz, Joanna E Cohen, Eric Soule, Thomas Eissenberg 2018 Association of Ontario's Ban on Menthol Cigarettes With Smoking Behavior 1 Month After Implementation.. JAMA internal medicine; 178.710.</w:t>
            </w:r>
          </w:p>
        </w:tc>
        <w:tc>
          <w:tcPr>
            <w:tcW w:w="0" w:type="auto"/>
            <w:tcBorders>
              <w:top w:val="single" w:sz="6" w:space="0" w:color="auto"/>
              <w:left w:val="single" w:sz="6" w:space="0" w:color="auto"/>
              <w:bottom w:val="single" w:sz="6" w:space="0" w:color="auto"/>
              <w:right w:val="single" w:sz="6" w:space="0" w:color="auto"/>
            </w:tcBorders>
            <w:hideMark/>
          </w:tcPr>
          <w:p w14:paraId="7B41C7D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442BEE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78344F" w14:textId="77777777" w:rsidR="007F0AE0" w:rsidRPr="00781F59" w:rsidRDefault="007F0AE0" w:rsidP="00453DE3">
            <w:pPr>
              <w:contextualSpacing/>
              <w:rPr>
                <w:sz w:val="20"/>
                <w:szCs w:val="20"/>
              </w:rPr>
            </w:pPr>
            <w:r w:rsidRPr="00781F59">
              <w:rPr>
                <w:sz w:val="20"/>
                <w:szCs w:val="20"/>
              </w:rPr>
              <w:t>274</w:t>
            </w:r>
          </w:p>
        </w:tc>
        <w:tc>
          <w:tcPr>
            <w:tcW w:w="0" w:type="auto"/>
            <w:tcBorders>
              <w:top w:val="single" w:sz="6" w:space="0" w:color="auto"/>
              <w:left w:val="single" w:sz="6" w:space="0" w:color="auto"/>
              <w:bottom w:val="single" w:sz="6" w:space="0" w:color="auto"/>
              <w:right w:val="single" w:sz="6" w:space="0" w:color="auto"/>
            </w:tcBorders>
            <w:hideMark/>
          </w:tcPr>
          <w:p w14:paraId="507B961C" w14:textId="77777777" w:rsidR="007F0AE0" w:rsidRPr="00781F59" w:rsidRDefault="007F0AE0" w:rsidP="00453DE3">
            <w:pPr>
              <w:contextualSpacing/>
              <w:rPr>
                <w:sz w:val="20"/>
                <w:szCs w:val="20"/>
              </w:rPr>
            </w:pPr>
            <w:r w:rsidRPr="00781F59">
              <w:rPr>
                <w:sz w:val="20"/>
                <w:szCs w:val="20"/>
              </w:rPr>
              <w:t>Cendrine D Robinson, Christine Muench, Emily Brede, Romano Endrighi, Edwin H Szeto, Joanna R Sells, John P Lammers, Kolawole S Okuyemi, Grant Izmirlian, Andrew J Waters 2018 Pro-tobacco advertisement exposure among African American smokers: An ecological momentary assessment study.. Addictive behaviors; 83.142.</w:t>
            </w:r>
          </w:p>
        </w:tc>
        <w:tc>
          <w:tcPr>
            <w:tcW w:w="0" w:type="auto"/>
            <w:tcBorders>
              <w:top w:val="single" w:sz="6" w:space="0" w:color="auto"/>
              <w:left w:val="single" w:sz="6" w:space="0" w:color="auto"/>
              <w:bottom w:val="single" w:sz="6" w:space="0" w:color="auto"/>
              <w:right w:val="single" w:sz="6" w:space="0" w:color="auto"/>
            </w:tcBorders>
            <w:hideMark/>
          </w:tcPr>
          <w:p w14:paraId="303AA11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CFA6CF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A3868E" w14:textId="77777777" w:rsidR="007F0AE0" w:rsidRPr="00781F59" w:rsidRDefault="007F0AE0" w:rsidP="00453DE3">
            <w:pPr>
              <w:contextualSpacing/>
              <w:rPr>
                <w:sz w:val="20"/>
                <w:szCs w:val="20"/>
              </w:rPr>
            </w:pPr>
            <w:r w:rsidRPr="00781F59">
              <w:rPr>
                <w:sz w:val="20"/>
                <w:szCs w:val="20"/>
              </w:rPr>
              <w:t>275</w:t>
            </w:r>
          </w:p>
        </w:tc>
        <w:tc>
          <w:tcPr>
            <w:tcW w:w="0" w:type="auto"/>
            <w:tcBorders>
              <w:top w:val="single" w:sz="6" w:space="0" w:color="auto"/>
              <w:left w:val="single" w:sz="6" w:space="0" w:color="auto"/>
              <w:bottom w:val="single" w:sz="6" w:space="0" w:color="auto"/>
              <w:right w:val="single" w:sz="6" w:space="0" w:color="auto"/>
            </w:tcBorders>
            <w:hideMark/>
          </w:tcPr>
          <w:p w14:paraId="5F6DC41C" w14:textId="77777777" w:rsidR="007F0AE0" w:rsidRPr="00781F59" w:rsidRDefault="007F0AE0" w:rsidP="00453DE3">
            <w:pPr>
              <w:contextualSpacing/>
              <w:rPr>
                <w:sz w:val="20"/>
                <w:szCs w:val="20"/>
              </w:rPr>
            </w:pPr>
            <w:r w:rsidRPr="00781F59">
              <w:rPr>
                <w:sz w:val="20"/>
                <w:szCs w:val="20"/>
              </w:rPr>
              <w:t>Julia Gerharz, Michael H K Bendels, Markus Braun, Doris Klingelhofer, David A Groneberg, Ruth Mueller 2018 Particulate matter emissions of different brands of mentholated cigarettes.. Journal of the Air &amp; Waste Management Association (1995); 68.608.</w:t>
            </w:r>
          </w:p>
        </w:tc>
        <w:tc>
          <w:tcPr>
            <w:tcW w:w="0" w:type="auto"/>
            <w:tcBorders>
              <w:top w:val="single" w:sz="6" w:space="0" w:color="auto"/>
              <w:left w:val="single" w:sz="6" w:space="0" w:color="auto"/>
              <w:bottom w:val="single" w:sz="6" w:space="0" w:color="auto"/>
              <w:right w:val="single" w:sz="6" w:space="0" w:color="auto"/>
            </w:tcBorders>
            <w:hideMark/>
          </w:tcPr>
          <w:p w14:paraId="11094DC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C78829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E33221D" w14:textId="77777777" w:rsidR="007F0AE0" w:rsidRPr="00781F59" w:rsidRDefault="007F0AE0" w:rsidP="00453DE3">
            <w:pPr>
              <w:contextualSpacing/>
              <w:rPr>
                <w:sz w:val="20"/>
                <w:szCs w:val="20"/>
              </w:rPr>
            </w:pPr>
            <w:r w:rsidRPr="00781F59">
              <w:rPr>
                <w:sz w:val="20"/>
                <w:szCs w:val="20"/>
              </w:rPr>
              <w:t>277</w:t>
            </w:r>
          </w:p>
        </w:tc>
        <w:tc>
          <w:tcPr>
            <w:tcW w:w="0" w:type="auto"/>
            <w:tcBorders>
              <w:top w:val="single" w:sz="6" w:space="0" w:color="auto"/>
              <w:left w:val="single" w:sz="6" w:space="0" w:color="auto"/>
              <w:bottom w:val="single" w:sz="6" w:space="0" w:color="auto"/>
              <w:right w:val="single" w:sz="6" w:space="0" w:color="auto"/>
            </w:tcBorders>
            <w:hideMark/>
          </w:tcPr>
          <w:p w14:paraId="2AB078F8" w14:textId="77777777" w:rsidR="007F0AE0" w:rsidRPr="00781F59" w:rsidRDefault="007F0AE0" w:rsidP="00453DE3">
            <w:pPr>
              <w:contextualSpacing/>
              <w:rPr>
                <w:sz w:val="20"/>
                <w:szCs w:val="20"/>
              </w:rPr>
            </w:pPr>
            <w:r w:rsidRPr="00781F59">
              <w:rPr>
                <w:sz w:val="20"/>
                <w:szCs w:val="20"/>
              </w:rPr>
              <w:t>Alyssa Marie M Antonio, Pebbles Fagan, Faith D Hamamura, Ian Joseph N Lagua, Jenny Liu, Devin J Park, Pallav Pokhrel, Thaddeus A Herzog, Ian Pagano, Kevin Cassel, Angela Sy, Dorothy Jorgensen, Tania Lynch, Crissy Kawamoto, Carol J Boushey, Adrian Franke, Mark S Clanton, Eric T Moolchan, Linda A Alexander 2015 Menthol cigarette smoking and obesity in young adult daily smokers in Hawaii.. Preventive medicine reports; 2.946.</w:t>
            </w:r>
          </w:p>
        </w:tc>
        <w:tc>
          <w:tcPr>
            <w:tcW w:w="0" w:type="auto"/>
            <w:tcBorders>
              <w:top w:val="single" w:sz="6" w:space="0" w:color="auto"/>
              <w:left w:val="single" w:sz="6" w:space="0" w:color="auto"/>
              <w:bottom w:val="single" w:sz="6" w:space="0" w:color="auto"/>
              <w:right w:val="single" w:sz="6" w:space="0" w:color="auto"/>
            </w:tcBorders>
            <w:hideMark/>
          </w:tcPr>
          <w:p w14:paraId="4F1D920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100559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35D4F5" w14:textId="77777777" w:rsidR="007F0AE0" w:rsidRPr="00781F59" w:rsidRDefault="007F0AE0" w:rsidP="00453DE3">
            <w:pPr>
              <w:contextualSpacing/>
              <w:rPr>
                <w:sz w:val="20"/>
                <w:szCs w:val="20"/>
              </w:rPr>
            </w:pPr>
            <w:r w:rsidRPr="00781F59">
              <w:rPr>
                <w:sz w:val="20"/>
                <w:szCs w:val="20"/>
              </w:rPr>
              <w:t>282</w:t>
            </w:r>
          </w:p>
        </w:tc>
        <w:tc>
          <w:tcPr>
            <w:tcW w:w="0" w:type="auto"/>
            <w:tcBorders>
              <w:top w:val="single" w:sz="6" w:space="0" w:color="auto"/>
              <w:left w:val="single" w:sz="6" w:space="0" w:color="auto"/>
              <w:bottom w:val="single" w:sz="6" w:space="0" w:color="auto"/>
              <w:right w:val="single" w:sz="6" w:space="0" w:color="auto"/>
            </w:tcBorders>
            <w:hideMark/>
          </w:tcPr>
          <w:p w14:paraId="0A37A482" w14:textId="77777777" w:rsidR="007F0AE0" w:rsidRPr="00781F59" w:rsidRDefault="007F0AE0" w:rsidP="00453DE3">
            <w:pPr>
              <w:contextualSpacing/>
              <w:rPr>
                <w:sz w:val="20"/>
                <w:szCs w:val="20"/>
              </w:rPr>
            </w:pPr>
            <w:r w:rsidRPr="00781F59">
              <w:rPr>
                <w:sz w:val="20"/>
                <w:szCs w:val="20"/>
              </w:rPr>
              <w:t>Peter Jatlow, Gerald Valentine, Ralitza Gueorguieva, Haleh Nadim, Ran Wu, Stephanie S O'Malley, Mehmet Sofuoglu 2018 Plasma Menthol Glucuronide as a Biomarker of Acute Menthol Inhalation.. Tobacco regulatory science; 4.586.</w:t>
            </w:r>
          </w:p>
        </w:tc>
        <w:tc>
          <w:tcPr>
            <w:tcW w:w="0" w:type="auto"/>
            <w:tcBorders>
              <w:top w:val="single" w:sz="6" w:space="0" w:color="auto"/>
              <w:left w:val="single" w:sz="6" w:space="0" w:color="auto"/>
              <w:bottom w:val="single" w:sz="6" w:space="0" w:color="auto"/>
              <w:right w:val="single" w:sz="6" w:space="0" w:color="auto"/>
            </w:tcBorders>
            <w:hideMark/>
          </w:tcPr>
          <w:p w14:paraId="13AEB91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458F19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E15E32" w14:textId="77777777" w:rsidR="007F0AE0" w:rsidRPr="00781F59" w:rsidRDefault="007F0AE0" w:rsidP="00453DE3">
            <w:pPr>
              <w:contextualSpacing/>
              <w:rPr>
                <w:sz w:val="20"/>
                <w:szCs w:val="20"/>
              </w:rPr>
            </w:pPr>
            <w:r w:rsidRPr="00781F59">
              <w:rPr>
                <w:sz w:val="20"/>
                <w:szCs w:val="20"/>
              </w:rPr>
              <w:t>284</w:t>
            </w:r>
          </w:p>
        </w:tc>
        <w:tc>
          <w:tcPr>
            <w:tcW w:w="0" w:type="auto"/>
            <w:tcBorders>
              <w:top w:val="single" w:sz="6" w:space="0" w:color="auto"/>
              <w:left w:val="single" w:sz="6" w:space="0" w:color="auto"/>
              <w:bottom w:val="single" w:sz="6" w:space="0" w:color="auto"/>
              <w:right w:val="single" w:sz="6" w:space="0" w:color="auto"/>
            </w:tcBorders>
            <w:hideMark/>
          </w:tcPr>
          <w:p w14:paraId="04E78F2A" w14:textId="77777777" w:rsidR="007F0AE0" w:rsidRPr="00781F59" w:rsidRDefault="007F0AE0" w:rsidP="00453DE3">
            <w:pPr>
              <w:contextualSpacing/>
              <w:rPr>
                <w:sz w:val="20"/>
                <w:szCs w:val="20"/>
              </w:rPr>
            </w:pPr>
            <w:r w:rsidRPr="00781F59">
              <w:rPr>
                <w:sz w:val="20"/>
                <w:szCs w:val="20"/>
              </w:rPr>
              <w:t>Tameka S Lawler, Stephen B Stanfill, B Rey deCastro, Joseph G Lisko, Bryce W Duncan, Patricia Richter, Clifford H Watson 2017 Surveillance of Nicotine and pH in Cigarette and Cigar Filler.. Tobacco regulatory science; 3.101.</w:t>
            </w:r>
          </w:p>
        </w:tc>
        <w:tc>
          <w:tcPr>
            <w:tcW w:w="0" w:type="auto"/>
            <w:tcBorders>
              <w:top w:val="single" w:sz="6" w:space="0" w:color="auto"/>
              <w:left w:val="single" w:sz="6" w:space="0" w:color="auto"/>
              <w:bottom w:val="single" w:sz="6" w:space="0" w:color="auto"/>
              <w:right w:val="single" w:sz="6" w:space="0" w:color="auto"/>
            </w:tcBorders>
            <w:hideMark/>
          </w:tcPr>
          <w:p w14:paraId="426C006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8E409B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3A380E" w14:textId="77777777" w:rsidR="007F0AE0" w:rsidRPr="00781F59" w:rsidRDefault="007F0AE0" w:rsidP="00453DE3">
            <w:pPr>
              <w:contextualSpacing/>
              <w:rPr>
                <w:sz w:val="20"/>
                <w:szCs w:val="20"/>
              </w:rPr>
            </w:pPr>
            <w:r w:rsidRPr="00781F59">
              <w:rPr>
                <w:sz w:val="20"/>
                <w:szCs w:val="20"/>
              </w:rPr>
              <w:t>286</w:t>
            </w:r>
          </w:p>
        </w:tc>
        <w:tc>
          <w:tcPr>
            <w:tcW w:w="0" w:type="auto"/>
            <w:tcBorders>
              <w:top w:val="single" w:sz="6" w:space="0" w:color="auto"/>
              <w:left w:val="single" w:sz="6" w:space="0" w:color="auto"/>
              <w:bottom w:val="single" w:sz="6" w:space="0" w:color="auto"/>
              <w:right w:val="single" w:sz="6" w:space="0" w:color="auto"/>
            </w:tcBorders>
            <w:hideMark/>
          </w:tcPr>
          <w:p w14:paraId="0B853C05" w14:textId="77777777" w:rsidR="007F0AE0" w:rsidRPr="00781F59" w:rsidRDefault="007F0AE0" w:rsidP="00453DE3">
            <w:pPr>
              <w:contextualSpacing/>
              <w:rPr>
                <w:sz w:val="20"/>
                <w:szCs w:val="20"/>
              </w:rPr>
            </w:pPr>
            <w:r w:rsidRPr="00781F59">
              <w:rPr>
                <w:sz w:val="20"/>
                <w:szCs w:val="20"/>
              </w:rPr>
              <w:t>Kenneth A Perkins, Joshua L Karelitz, Nicole Kunkle 2018 Evaluation of menthol per se on acute perceptions and behavioral choice of cigarettes differing in nicotine content.. Journal of psychopharmacology (Oxford, England); 32.324.</w:t>
            </w:r>
          </w:p>
        </w:tc>
        <w:tc>
          <w:tcPr>
            <w:tcW w:w="0" w:type="auto"/>
            <w:tcBorders>
              <w:top w:val="single" w:sz="6" w:space="0" w:color="auto"/>
              <w:left w:val="single" w:sz="6" w:space="0" w:color="auto"/>
              <w:bottom w:val="single" w:sz="6" w:space="0" w:color="auto"/>
              <w:right w:val="single" w:sz="6" w:space="0" w:color="auto"/>
            </w:tcBorders>
            <w:hideMark/>
          </w:tcPr>
          <w:p w14:paraId="115C318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4B78A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F5581E0" w14:textId="77777777" w:rsidR="007F0AE0" w:rsidRPr="00781F59" w:rsidRDefault="007F0AE0" w:rsidP="00453DE3">
            <w:pPr>
              <w:contextualSpacing/>
              <w:rPr>
                <w:sz w:val="20"/>
                <w:szCs w:val="20"/>
              </w:rPr>
            </w:pPr>
            <w:r w:rsidRPr="00781F59">
              <w:rPr>
                <w:sz w:val="20"/>
                <w:szCs w:val="20"/>
              </w:rPr>
              <w:t>289</w:t>
            </w:r>
          </w:p>
        </w:tc>
        <w:tc>
          <w:tcPr>
            <w:tcW w:w="0" w:type="auto"/>
            <w:tcBorders>
              <w:top w:val="single" w:sz="6" w:space="0" w:color="auto"/>
              <w:left w:val="single" w:sz="6" w:space="0" w:color="auto"/>
              <w:bottom w:val="single" w:sz="6" w:space="0" w:color="auto"/>
              <w:right w:val="single" w:sz="6" w:space="0" w:color="auto"/>
            </w:tcBorders>
            <w:hideMark/>
          </w:tcPr>
          <w:p w14:paraId="0E646AC2" w14:textId="77777777" w:rsidR="007F0AE0" w:rsidRPr="00781F59" w:rsidRDefault="007F0AE0" w:rsidP="00453DE3">
            <w:pPr>
              <w:contextualSpacing/>
              <w:rPr>
                <w:sz w:val="20"/>
                <w:szCs w:val="20"/>
              </w:rPr>
            </w:pPr>
            <w:r w:rsidRPr="00781F59">
              <w:rPr>
                <w:sz w:val="20"/>
                <w:szCs w:val="20"/>
              </w:rPr>
              <w:t>Gillian L Schauer, Erica N Peters, Zachary R Rosenberry, Hyoshin Kim 2018 Trends in and Characteristics of Marijuana and Menthol Cigarette Use Among Current Cigarette Smokers, 2005-2014.. Nicotine &amp; tobacco research : official journal of the Society for Research on Nicotine and Tobacco; 20.362.</w:t>
            </w:r>
          </w:p>
        </w:tc>
        <w:tc>
          <w:tcPr>
            <w:tcW w:w="0" w:type="auto"/>
            <w:tcBorders>
              <w:top w:val="single" w:sz="6" w:space="0" w:color="auto"/>
              <w:left w:val="single" w:sz="6" w:space="0" w:color="auto"/>
              <w:bottom w:val="single" w:sz="6" w:space="0" w:color="auto"/>
              <w:right w:val="single" w:sz="6" w:space="0" w:color="auto"/>
            </w:tcBorders>
            <w:hideMark/>
          </w:tcPr>
          <w:p w14:paraId="3D605C0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B3BDB4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04F0A27" w14:textId="77777777" w:rsidR="007F0AE0" w:rsidRPr="00781F59" w:rsidRDefault="007F0AE0" w:rsidP="00453DE3">
            <w:pPr>
              <w:contextualSpacing/>
              <w:rPr>
                <w:sz w:val="20"/>
                <w:szCs w:val="20"/>
              </w:rPr>
            </w:pPr>
            <w:r w:rsidRPr="00781F59">
              <w:rPr>
                <w:sz w:val="20"/>
                <w:szCs w:val="20"/>
              </w:rPr>
              <w:t>290</w:t>
            </w:r>
          </w:p>
        </w:tc>
        <w:tc>
          <w:tcPr>
            <w:tcW w:w="0" w:type="auto"/>
            <w:tcBorders>
              <w:top w:val="single" w:sz="6" w:space="0" w:color="auto"/>
              <w:left w:val="single" w:sz="6" w:space="0" w:color="auto"/>
              <w:bottom w:val="single" w:sz="6" w:space="0" w:color="auto"/>
              <w:right w:val="single" w:sz="6" w:space="0" w:color="auto"/>
            </w:tcBorders>
            <w:hideMark/>
          </w:tcPr>
          <w:p w14:paraId="734539B4" w14:textId="77777777" w:rsidR="007F0AE0" w:rsidRPr="00781F59" w:rsidRDefault="007F0AE0" w:rsidP="00453DE3">
            <w:pPr>
              <w:contextualSpacing/>
              <w:rPr>
                <w:sz w:val="20"/>
                <w:szCs w:val="20"/>
              </w:rPr>
            </w:pPr>
            <w:r w:rsidRPr="00781F59">
              <w:rPr>
                <w:sz w:val="20"/>
                <w:szCs w:val="20"/>
              </w:rPr>
              <w:t>Philip H Smith, Ezinne Akpara, Raisa Haq, Mark El-Miniawi, Azure B Thompson 2017 Gender and Menthol Cigarette Use in the United States: A Systematic Review of the Recent Literature (2011 - May 2017).. Current addiction reports; 4.431.</w:t>
            </w:r>
          </w:p>
        </w:tc>
        <w:tc>
          <w:tcPr>
            <w:tcW w:w="0" w:type="auto"/>
            <w:tcBorders>
              <w:top w:val="single" w:sz="6" w:space="0" w:color="auto"/>
              <w:left w:val="single" w:sz="6" w:space="0" w:color="auto"/>
              <w:bottom w:val="single" w:sz="6" w:space="0" w:color="auto"/>
              <w:right w:val="single" w:sz="6" w:space="0" w:color="auto"/>
            </w:tcBorders>
            <w:hideMark/>
          </w:tcPr>
          <w:p w14:paraId="41C3AFC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CB2C4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583F83" w14:textId="77777777" w:rsidR="007F0AE0" w:rsidRPr="00781F59" w:rsidRDefault="007F0AE0" w:rsidP="00453DE3">
            <w:pPr>
              <w:contextualSpacing/>
              <w:rPr>
                <w:sz w:val="20"/>
                <w:szCs w:val="20"/>
              </w:rPr>
            </w:pPr>
            <w:r w:rsidRPr="00781F59">
              <w:rPr>
                <w:sz w:val="20"/>
                <w:szCs w:val="20"/>
              </w:rPr>
              <w:t>293</w:t>
            </w:r>
          </w:p>
        </w:tc>
        <w:tc>
          <w:tcPr>
            <w:tcW w:w="0" w:type="auto"/>
            <w:tcBorders>
              <w:top w:val="single" w:sz="6" w:space="0" w:color="auto"/>
              <w:left w:val="single" w:sz="6" w:space="0" w:color="auto"/>
              <w:bottom w:val="single" w:sz="6" w:space="0" w:color="auto"/>
              <w:right w:val="single" w:sz="6" w:space="0" w:color="auto"/>
            </w:tcBorders>
            <w:hideMark/>
          </w:tcPr>
          <w:p w14:paraId="5E893CB6" w14:textId="77777777" w:rsidR="007F0AE0" w:rsidRPr="00781F59" w:rsidRDefault="007F0AE0" w:rsidP="00453DE3">
            <w:pPr>
              <w:contextualSpacing/>
              <w:rPr>
                <w:sz w:val="20"/>
                <w:szCs w:val="20"/>
              </w:rPr>
            </w:pPr>
            <w:r w:rsidRPr="00781F59">
              <w:rPr>
                <w:sz w:val="20"/>
                <w:szCs w:val="20"/>
              </w:rPr>
              <w:t xml:space="preserve">Patricia Richter, Pappas R Steven, Roberto Bravo, Joseph G Lisko, Maria Damian, Nathalie Gonzalez-Jimenez, Naudia Gray, Lisa M Keong, Jacob B Kimbrell, Peter Kuklenyik, Tameka S Lawler, Grace E Lee, Magaly Mendez, Jose Perez, Shakia Smith, Hang Tran, Robert Tyx, Clifford </w:t>
            </w:r>
            <w:r w:rsidRPr="00781F59">
              <w:rPr>
                <w:sz w:val="20"/>
                <w:szCs w:val="20"/>
              </w:rPr>
              <w:lastRenderedPageBreak/>
              <w:t>H Watson 2016 Characterization of SPECTRUM Variable Nicotine Research Cigarettes.. Tobacco regulatory science; 2.94.</w:t>
            </w:r>
          </w:p>
        </w:tc>
        <w:tc>
          <w:tcPr>
            <w:tcW w:w="0" w:type="auto"/>
            <w:tcBorders>
              <w:top w:val="single" w:sz="6" w:space="0" w:color="auto"/>
              <w:left w:val="single" w:sz="6" w:space="0" w:color="auto"/>
              <w:bottom w:val="single" w:sz="6" w:space="0" w:color="auto"/>
              <w:right w:val="single" w:sz="6" w:space="0" w:color="auto"/>
            </w:tcBorders>
            <w:hideMark/>
          </w:tcPr>
          <w:p w14:paraId="51EAEDD4" w14:textId="77777777" w:rsidR="007F0AE0" w:rsidRPr="00781F59" w:rsidRDefault="007F0AE0" w:rsidP="00453DE3">
            <w:pPr>
              <w:contextualSpacing/>
              <w:rPr>
                <w:sz w:val="20"/>
                <w:szCs w:val="20"/>
              </w:rPr>
            </w:pPr>
            <w:r w:rsidRPr="00781F59">
              <w:rPr>
                <w:sz w:val="20"/>
                <w:szCs w:val="20"/>
              </w:rPr>
              <w:lastRenderedPageBreak/>
              <w:t>Does not address a KQ</w:t>
            </w:r>
          </w:p>
        </w:tc>
      </w:tr>
      <w:tr w:rsidR="007F0AE0" w:rsidRPr="00781F59" w14:paraId="60A2DB7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270881" w14:textId="77777777" w:rsidR="007F0AE0" w:rsidRPr="00781F59" w:rsidRDefault="007F0AE0" w:rsidP="00453DE3">
            <w:pPr>
              <w:contextualSpacing/>
              <w:rPr>
                <w:sz w:val="20"/>
                <w:szCs w:val="20"/>
              </w:rPr>
            </w:pPr>
            <w:r w:rsidRPr="00781F59">
              <w:rPr>
                <w:sz w:val="20"/>
                <w:szCs w:val="20"/>
              </w:rPr>
              <w:t>295</w:t>
            </w:r>
          </w:p>
        </w:tc>
        <w:tc>
          <w:tcPr>
            <w:tcW w:w="0" w:type="auto"/>
            <w:tcBorders>
              <w:top w:val="single" w:sz="6" w:space="0" w:color="auto"/>
              <w:left w:val="single" w:sz="6" w:space="0" w:color="auto"/>
              <w:bottom w:val="single" w:sz="6" w:space="0" w:color="auto"/>
              <w:right w:val="single" w:sz="6" w:space="0" w:color="auto"/>
            </w:tcBorders>
            <w:hideMark/>
          </w:tcPr>
          <w:p w14:paraId="417E1474" w14:textId="77777777" w:rsidR="007F0AE0" w:rsidRPr="00781F59" w:rsidRDefault="007F0AE0" w:rsidP="00453DE3">
            <w:pPr>
              <w:contextualSpacing/>
              <w:rPr>
                <w:sz w:val="20"/>
                <w:szCs w:val="20"/>
              </w:rPr>
            </w:pPr>
            <w:r w:rsidRPr="00781F59">
              <w:rPr>
                <w:sz w:val="20"/>
                <w:szCs w:val="20"/>
              </w:rPr>
              <w:t>Amy Cohn, Amanda Johnson, Jennifer Pearson, Shyanika Rose, Sarah Ehlke, Ollie Ganz, Raymond Niaura 2017 Determining non-cigarette tobacco, alcohol, and substance use typologies across menthol and non-menthol smokers using latent class analysis.. Tobacco induced diseases; 15.5.</w:t>
            </w:r>
          </w:p>
        </w:tc>
        <w:tc>
          <w:tcPr>
            <w:tcW w:w="0" w:type="auto"/>
            <w:tcBorders>
              <w:top w:val="single" w:sz="6" w:space="0" w:color="auto"/>
              <w:left w:val="single" w:sz="6" w:space="0" w:color="auto"/>
              <w:bottom w:val="single" w:sz="6" w:space="0" w:color="auto"/>
              <w:right w:val="single" w:sz="6" w:space="0" w:color="auto"/>
            </w:tcBorders>
            <w:hideMark/>
          </w:tcPr>
          <w:p w14:paraId="1CE38CF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2AAFB3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CAE708" w14:textId="77777777" w:rsidR="007F0AE0" w:rsidRPr="00781F59" w:rsidRDefault="007F0AE0" w:rsidP="00453DE3">
            <w:pPr>
              <w:contextualSpacing/>
              <w:rPr>
                <w:sz w:val="20"/>
                <w:szCs w:val="20"/>
              </w:rPr>
            </w:pPr>
            <w:r w:rsidRPr="00781F59">
              <w:rPr>
                <w:sz w:val="20"/>
                <w:szCs w:val="20"/>
              </w:rPr>
              <w:t>296</w:t>
            </w:r>
          </w:p>
        </w:tc>
        <w:tc>
          <w:tcPr>
            <w:tcW w:w="0" w:type="auto"/>
            <w:tcBorders>
              <w:top w:val="single" w:sz="6" w:space="0" w:color="auto"/>
              <w:left w:val="single" w:sz="6" w:space="0" w:color="auto"/>
              <w:bottom w:val="single" w:sz="6" w:space="0" w:color="auto"/>
              <w:right w:val="single" w:sz="6" w:space="0" w:color="auto"/>
            </w:tcBorders>
            <w:hideMark/>
          </w:tcPr>
          <w:p w14:paraId="1D0E0695" w14:textId="77777777" w:rsidR="007F0AE0" w:rsidRPr="00781F59" w:rsidRDefault="007F0AE0" w:rsidP="00453DE3">
            <w:pPr>
              <w:contextualSpacing/>
              <w:rPr>
                <w:sz w:val="20"/>
                <w:szCs w:val="20"/>
              </w:rPr>
            </w:pPr>
            <w:r w:rsidRPr="00781F59">
              <w:rPr>
                <w:sz w:val="20"/>
                <w:szCs w:val="20"/>
              </w:rPr>
              <w:t>Amy M Cohn, Amanda L Johnson, Elizabeth Hair, Jessica M Rath, Andrea C Villanti 2016 Menthol tobacco use is correlated with mental health symptoms in a national sample of young adults: implications for future health risks and policy recommendations.. Tobacco induced diseases; 14.1.</w:t>
            </w:r>
          </w:p>
        </w:tc>
        <w:tc>
          <w:tcPr>
            <w:tcW w:w="0" w:type="auto"/>
            <w:tcBorders>
              <w:top w:val="single" w:sz="6" w:space="0" w:color="auto"/>
              <w:left w:val="single" w:sz="6" w:space="0" w:color="auto"/>
              <w:bottom w:val="single" w:sz="6" w:space="0" w:color="auto"/>
              <w:right w:val="single" w:sz="6" w:space="0" w:color="auto"/>
            </w:tcBorders>
            <w:hideMark/>
          </w:tcPr>
          <w:p w14:paraId="3E1F527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7C3087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73527B" w14:textId="77777777" w:rsidR="007F0AE0" w:rsidRPr="00781F59" w:rsidRDefault="007F0AE0" w:rsidP="00453DE3">
            <w:pPr>
              <w:contextualSpacing/>
              <w:rPr>
                <w:sz w:val="20"/>
                <w:szCs w:val="20"/>
              </w:rPr>
            </w:pPr>
            <w:r w:rsidRPr="00781F59">
              <w:rPr>
                <w:sz w:val="20"/>
                <w:szCs w:val="20"/>
              </w:rPr>
              <w:t>299</w:t>
            </w:r>
          </w:p>
        </w:tc>
        <w:tc>
          <w:tcPr>
            <w:tcW w:w="0" w:type="auto"/>
            <w:tcBorders>
              <w:top w:val="single" w:sz="6" w:space="0" w:color="auto"/>
              <w:left w:val="single" w:sz="6" w:space="0" w:color="auto"/>
              <w:bottom w:val="single" w:sz="6" w:space="0" w:color="auto"/>
              <w:right w:val="single" w:sz="6" w:space="0" w:color="auto"/>
            </w:tcBorders>
            <w:hideMark/>
          </w:tcPr>
          <w:p w14:paraId="572FFDB1" w14:textId="77777777" w:rsidR="007F0AE0" w:rsidRPr="00781F59" w:rsidRDefault="007F0AE0" w:rsidP="00453DE3">
            <w:pPr>
              <w:contextualSpacing/>
              <w:rPr>
                <w:sz w:val="20"/>
                <w:szCs w:val="20"/>
              </w:rPr>
            </w:pPr>
            <w:r w:rsidRPr="00781F59">
              <w:rPr>
                <w:sz w:val="20"/>
                <w:szCs w:val="20"/>
              </w:rPr>
              <w:t>Allison C Hoffman 2011 The health effects of menthol cigarettes as compared to non-menthol cigarettes.. Tobacco induced diseases; 9 Suppl 1.S7.</w:t>
            </w:r>
          </w:p>
        </w:tc>
        <w:tc>
          <w:tcPr>
            <w:tcW w:w="0" w:type="auto"/>
            <w:tcBorders>
              <w:top w:val="single" w:sz="6" w:space="0" w:color="auto"/>
              <w:left w:val="single" w:sz="6" w:space="0" w:color="auto"/>
              <w:bottom w:val="single" w:sz="6" w:space="0" w:color="auto"/>
              <w:right w:val="single" w:sz="6" w:space="0" w:color="auto"/>
            </w:tcBorders>
            <w:hideMark/>
          </w:tcPr>
          <w:p w14:paraId="6724544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A33E02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292FDA" w14:textId="77777777" w:rsidR="007F0AE0" w:rsidRPr="00781F59" w:rsidRDefault="007F0AE0" w:rsidP="00453DE3">
            <w:pPr>
              <w:contextualSpacing/>
              <w:rPr>
                <w:sz w:val="20"/>
                <w:szCs w:val="20"/>
              </w:rPr>
            </w:pPr>
            <w:r w:rsidRPr="00781F59">
              <w:rPr>
                <w:sz w:val="20"/>
                <w:szCs w:val="20"/>
              </w:rPr>
              <w:t>300</w:t>
            </w:r>
          </w:p>
        </w:tc>
        <w:tc>
          <w:tcPr>
            <w:tcW w:w="0" w:type="auto"/>
            <w:tcBorders>
              <w:top w:val="single" w:sz="6" w:space="0" w:color="auto"/>
              <w:left w:val="single" w:sz="6" w:space="0" w:color="auto"/>
              <w:bottom w:val="single" w:sz="6" w:space="0" w:color="auto"/>
              <w:right w:val="single" w:sz="6" w:space="0" w:color="auto"/>
            </w:tcBorders>
            <w:hideMark/>
          </w:tcPr>
          <w:p w14:paraId="171D77AB" w14:textId="77777777" w:rsidR="007F0AE0" w:rsidRPr="00781F59" w:rsidRDefault="007F0AE0" w:rsidP="00453DE3">
            <w:pPr>
              <w:contextualSpacing/>
              <w:rPr>
                <w:sz w:val="20"/>
                <w:szCs w:val="20"/>
              </w:rPr>
            </w:pPr>
            <w:r w:rsidRPr="00781F59">
              <w:rPr>
                <w:sz w:val="20"/>
                <w:szCs w:val="20"/>
              </w:rPr>
              <w:t>Allison C Hoffman, Donna Miceli 2011 Menthol cigarettes and smoking cessation behavior.. Tobacco induced diseases; 9 Suppl 1.S6.</w:t>
            </w:r>
          </w:p>
        </w:tc>
        <w:tc>
          <w:tcPr>
            <w:tcW w:w="0" w:type="auto"/>
            <w:tcBorders>
              <w:top w:val="single" w:sz="6" w:space="0" w:color="auto"/>
              <w:left w:val="single" w:sz="6" w:space="0" w:color="auto"/>
              <w:bottom w:val="single" w:sz="6" w:space="0" w:color="auto"/>
              <w:right w:val="single" w:sz="6" w:space="0" w:color="auto"/>
            </w:tcBorders>
            <w:hideMark/>
          </w:tcPr>
          <w:p w14:paraId="60849ACF"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EE6EE6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2BE42F" w14:textId="77777777" w:rsidR="007F0AE0" w:rsidRPr="00781F59" w:rsidRDefault="007F0AE0" w:rsidP="00453DE3">
            <w:pPr>
              <w:contextualSpacing/>
              <w:rPr>
                <w:sz w:val="20"/>
                <w:szCs w:val="20"/>
              </w:rPr>
            </w:pPr>
            <w:r w:rsidRPr="00781F59">
              <w:rPr>
                <w:sz w:val="20"/>
                <w:szCs w:val="20"/>
              </w:rPr>
              <w:t>301</w:t>
            </w:r>
          </w:p>
        </w:tc>
        <w:tc>
          <w:tcPr>
            <w:tcW w:w="0" w:type="auto"/>
            <w:tcBorders>
              <w:top w:val="single" w:sz="6" w:space="0" w:color="auto"/>
              <w:left w:val="single" w:sz="6" w:space="0" w:color="auto"/>
              <w:bottom w:val="single" w:sz="6" w:space="0" w:color="auto"/>
              <w:right w:val="single" w:sz="6" w:space="0" w:color="auto"/>
            </w:tcBorders>
            <w:hideMark/>
          </w:tcPr>
          <w:p w14:paraId="15DD9DA4" w14:textId="77777777" w:rsidR="007F0AE0" w:rsidRPr="00781F59" w:rsidRDefault="007F0AE0" w:rsidP="00453DE3">
            <w:pPr>
              <w:contextualSpacing/>
              <w:rPr>
                <w:sz w:val="20"/>
                <w:szCs w:val="20"/>
              </w:rPr>
            </w:pPr>
            <w:r w:rsidRPr="00781F59">
              <w:rPr>
                <w:sz w:val="20"/>
                <w:szCs w:val="20"/>
              </w:rPr>
              <w:t>Allison C Hoffman, Dee Simmons 2011 Menthol cigarette smoking and nicotine dependence.. Tobacco induced diseases; 9 Suppl 1.S5.</w:t>
            </w:r>
          </w:p>
        </w:tc>
        <w:tc>
          <w:tcPr>
            <w:tcW w:w="0" w:type="auto"/>
            <w:tcBorders>
              <w:top w:val="single" w:sz="6" w:space="0" w:color="auto"/>
              <w:left w:val="single" w:sz="6" w:space="0" w:color="auto"/>
              <w:bottom w:val="single" w:sz="6" w:space="0" w:color="auto"/>
              <w:right w:val="single" w:sz="6" w:space="0" w:color="auto"/>
            </w:tcBorders>
            <w:hideMark/>
          </w:tcPr>
          <w:p w14:paraId="71F569C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E5BB8F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549E71" w14:textId="77777777" w:rsidR="007F0AE0" w:rsidRPr="00781F59" w:rsidRDefault="007F0AE0" w:rsidP="00453DE3">
            <w:pPr>
              <w:contextualSpacing/>
              <w:rPr>
                <w:sz w:val="20"/>
                <w:szCs w:val="20"/>
              </w:rPr>
            </w:pPr>
            <w:r w:rsidRPr="00781F59">
              <w:rPr>
                <w:sz w:val="20"/>
                <w:szCs w:val="20"/>
              </w:rPr>
              <w:t>302</w:t>
            </w:r>
          </w:p>
        </w:tc>
        <w:tc>
          <w:tcPr>
            <w:tcW w:w="0" w:type="auto"/>
            <w:tcBorders>
              <w:top w:val="single" w:sz="6" w:space="0" w:color="auto"/>
              <w:left w:val="single" w:sz="6" w:space="0" w:color="auto"/>
              <w:bottom w:val="single" w:sz="6" w:space="0" w:color="auto"/>
              <w:right w:val="single" w:sz="6" w:space="0" w:color="auto"/>
            </w:tcBorders>
            <w:hideMark/>
          </w:tcPr>
          <w:p w14:paraId="454F115E" w14:textId="77777777" w:rsidR="007F0AE0" w:rsidRPr="00781F59" w:rsidRDefault="007F0AE0" w:rsidP="00453DE3">
            <w:pPr>
              <w:contextualSpacing/>
              <w:rPr>
                <w:sz w:val="20"/>
                <w:szCs w:val="20"/>
              </w:rPr>
            </w:pPr>
            <w:r w:rsidRPr="00781F59">
              <w:rPr>
                <w:sz w:val="20"/>
                <w:szCs w:val="20"/>
              </w:rPr>
              <w:t>Joshua Rising, Kristina Wasson-Blader 2011 Menthol and initiation of cigarette smoking.. Tobacco induced diseases; 9 Suppl 1.S4.</w:t>
            </w:r>
          </w:p>
        </w:tc>
        <w:tc>
          <w:tcPr>
            <w:tcW w:w="0" w:type="auto"/>
            <w:tcBorders>
              <w:top w:val="single" w:sz="6" w:space="0" w:color="auto"/>
              <w:left w:val="single" w:sz="6" w:space="0" w:color="auto"/>
              <w:bottom w:val="single" w:sz="6" w:space="0" w:color="auto"/>
              <w:right w:val="single" w:sz="6" w:space="0" w:color="auto"/>
            </w:tcBorders>
            <w:hideMark/>
          </w:tcPr>
          <w:p w14:paraId="055A2575"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41B8F37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D3D62A" w14:textId="77777777" w:rsidR="007F0AE0" w:rsidRPr="00781F59" w:rsidRDefault="007F0AE0" w:rsidP="00453DE3">
            <w:pPr>
              <w:contextualSpacing/>
              <w:rPr>
                <w:sz w:val="20"/>
                <w:szCs w:val="20"/>
              </w:rPr>
            </w:pPr>
            <w:r w:rsidRPr="00781F59">
              <w:rPr>
                <w:sz w:val="20"/>
                <w:szCs w:val="20"/>
              </w:rPr>
              <w:t>303</w:t>
            </w:r>
          </w:p>
        </w:tc>
        <w:tc>
          <w:tcPr>
            <w:tcW w:w="0" w:type="auto"/>
            <w:tcBorders>
              <w:top w:val="single" w:sz="6" w:space="0" w:color="auto"/>
              <w:left w:val="single" w:sz="6" w:space="0" w:color="auto"/>
              <w:bottom w:val="single" w:sz="6" w:space="0" w:color="auto"/>
              <w:right w:val="single" w:sz="6" w:space="0" w:color="auto"/>
            </w:tcBorders>
            <w:hideMark/>
          </w:tcPr>
          <w:p w14:paraId="0CCBDB9C" w14:textId="77777777" w:rsidR="007F0AE0" w:rsidRPr="00781F59" w:rsidRDefault="007F0AE0" w:rsidP="00453DE3">
            <w:pPr>
              <w:contextualSpacing/>
              <w:rPr>
                <w:sz w:val="20"/>
                <w:szCs w:val="20"/>
              </w:rPr>
            </w:pPr>
            <w:r w:rsidRPr="00781F59">
              <w:rPr>
                <w:sz w:val="20"/>
                <w:szCs w:val="20"/>
              </w:rPr>
              <w:t>Deirdre Lawrence, Brie Cadman, Allison C Hoffman 2011 Sensory properties of menthol and smoking topography.. Tobacco induced diseases; 9 Suppl 1.S3.</w:t>
            </w:r>
          </w:p>
        </w:tc>
        <w:tc>
          <w:tcPr>
            <w:tcW w:w="0" w:type="auto"/>
            <w:tcBorders>
              <w:top w:val="single" w:sz="6" w:space="0" w:color="auto"/>
              <w:left w:val="single" w:sz="6" w:space="0" w:color="auto"/>
              <w:bottom w:val="single" w:sz="6" w:space="0" w:color="auto"/>
              <w:right w:val="single" w:sz="6" w:space="0" w:color="auto"/>
            </w:tcBorders>
            <w:hideMark/>
          </w:tcPr>
          <w:p w14:paraId="03B494B1"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825561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5FDECF" w14:textId="77777777" w:rsidR="007F0AE0" w:rsidRPr="00781F59" w:rsidRDefault="007F0AE0" w:rsidP="00453DE3">
            <w:pPr>
              <w:contextualSpacing/>
              <w:rPr>
                <w:sz w:val="20"/>
                <w:szCs w:val="20"/>
              </w:rPr>
            </w:pPr>
            <w:r w:rsidRPr="00781F59">
              <w:rPr>
                <w:sz w:val="20"/>
                <w:szCs w:val="20"/>
              </w:rPr>
              <w:t>306</w:t>
            </w:r>
          </w:p>
        </w:tc>
        <w:tc>
          <w:tcPr>
            <w:tcW w:w="0" w:type="auto"/>
            <w:tcBorders>
              <w:top w:val="single" w:sz="6" w:space="0" w:color="auto"/>
              <w:left w:val="single" w:sz="6" w:space="0" w:color="auto"/>
              <w:bottom w:val="single" w:sz="6" w:space="0" w:color="auto"/>
              <w:right w:val="single" w:sz="6" w:space="0" w:color="auto"/>
            </w:tcBorders>
            <w:hideMark/>
          </w:tcPr>
          <w:p w14:paraId="4BF3A435" w14:textId="77777777" w:rsidR="007F0AE0" w:rsidRPr="00781F59" w:rsidRDefault="007F0AE0" w:rsidP="00453DE3">
            <w:pPr>
              <w:contextualSpacing/>
              <w:rPr>
                <w:sz w:val="20"/>
                <w:szCs w:val="20"/>
              </w:rPr>
            </w:pPr>
            <w:r w:rsidRPr="00781F59">
              <w:rPr>
                <w:sz w:val="20"/>
                <w:szCs w:val="20"/>
              </w:rPr>
              <w:t>Allison C Hoffman 2011 Introduction: Mentholated cigarettes and public health.. Tobacco induced diseases; 9 Suppl 1.I1.</w:t>
            </w:r>
          </w:p>
        </w:tc>
        <w:tc>
          <w:tcPr>
            <w:tcW w:w="0" w:type="auto"/>
            <w:tcBorders>
              <w:top w:val="single" w:sz="6" w:space="0" w:color="auto"/>
              <w:left w:val="single" w:sz="6" w:space="0" w:color="auto"/>
              <w:bottom w:val="single" w:sz="6" w:space="0" w:color="auto"/>
              <w:right w:val="single" w:sz="6" w:space="0" w:color="auto"/>
            </w:tcBorders>
            <w:hideMark/>
          </w:tcPr>
          <w:p w14:paraId="5CEF6C9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303A97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B656309" w14:textId="77777777" w:rsidR="007F0AE0" w:rsidRPr="00781F59" w:rsidRDefault="007F0AE0" w:rsidP="00453DE3">
            <w:pPr>
              <w:contextualSpacing/>
              <w:rPr>
                <w:sz w:val="20"/>
                <w:szCs w:val="20"/>
              </w:rPr>
            </w:pPr>
            <w:r w:rsidRPr="00781F59">
              <w:rPr>
                <w:sz w:val="20"/>
                <w:szCs w:val="20"/>
              </w:rPr>
              <w:t>311</w:t>
            </w:r>
          </w:p>
        </w:tc>
        <w:tc>
          <w:tcPr>
            <w:tcW w:w="0" w:type="auto"/>
            <w:tcBorders>
              <w:top w:val="single" w:sz="6" w:space="0" w:color="auto"/>
              <w:left w:val="single" w:sz="6" w:space="0" w:color="auto"/>
              <w:bottom w:val="single" w:sz="6" w:space="0" w:color="auto"/>
              <w:right w:val="single" w:sz="6" w:space="0" w:color="auto"/>
            </w:tcBorders>
            <w:hideMark/>
          </w:tcPr>
          <w:p w14:paraId="7B953B90" w14:textId="77777777" w:rsidR="007F0AE0" w:rsidRPr="00781F59" w:rsidRDefault="007F0AE0" w:rsidP="00453DE3">
            <w:pPr>
              <w:contextualSpacing/>
              <w:rPr>
                <w:sz w:val="20"/>
                <w:szCs w:val="20"/>
              </w:rPr>
            </w:pPr>
            <w:r w:rsidRPr="00781F59">
              <w:rPr>
                <w:sz w:val="20"/>
                <w:szCs w:val="20"/>
              </w:rPr>
              <w:t>Eva O Hansen, Lars Arendt-Nielsen, Shellie A Boudreau 2017 A Comparison of Oral Sensory Effects of Three TRPA1 Agonists in Young Adult Smokers and Non-smokers.. Frontiers in physiology; 8.663.</w:t>
            </w:r>
          </w:p>
        </w:tc>
        <w:tc>
          <w:tcPr>
            <w:tcW w:w="0" w:type="auto"/>
            <w:tcBorders>
              <w:top w:val="single" w:sz="6" w:space="0" w:color="auto"/>
              <w:left w:val="single" w:sz="6" w:space="0" w:color="auto"/>
              <w:bottom w:val="single" w:sz="6" w:space="0" w:color="auto"/>
              <w:right w:val="single" w:sz="6" w:space="0" w:color="auto"/>
            </w:tcBorders>
            <w:hideMark/>
          </w:tcPr>
          <w:p w14:paraId="271B07B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CAAA05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88CD43" w14:textId="77777777" w:rsidR="007F0AE0" w:rsidRPr="00781F59" w:rsidRDefault="007F0AE0" w:rsidP="00453DE3">
            <w:pPr>
              <w:contextualSpacing/>
              <w:rPr>
                <w:sz w:val="20"/>
                <w:szCs w:val="20"/>
              </w:rPr>
            </w:pPr>
            <w:r w:rsidRPr="00781F59">
              <w:rPr>
                <w:sz w:val="20"/>
                <w:szCs w:val="20"/>
              </w:rPr>
              <w:t>313</w:t>
            </w:r>
          </w:p>
        </w:tc>
        <w:tc>
          <w:tcPr>
            <w:tcW w:w="0" w:type="auto"/>
            <w:tcBorders>
              <w:top w:val="single" w:sz="6" w:space="0" w:color="auto"/>
              <w:left w:val="single" w:sz="6" w:space="0" w:color="auto"/>
              <w:bottom w:val="single" w:sz="6" w:space="0" w:color="auto"/>
              <w:right w:val="single" w:sz="6" w:space="0" w:color="auto"/>
            </w:tcBorders>
            <w:hideMark/>
          </w:tcPr>
          <w:p w14:paraId="7137626C" w14:textId="77777777" w:rsidR="007F0AE0" w:rsidRPr="00781F59" w:rsidRDefault="007F0AE0" w:rsidP="00453DE3">
            <w:pPr>
              <w:contextualSpacing/>
              <w:rPr>
                <w:sz w:val="20"/>
                <w:szCs w:val="20"/>
              </w:rPr>
            </w:pPr>
            <w:r w:rsidRPr="00781F59">
              <w:rPr>
                <w:sz w:val="20"/>
                <w:szCs w:val="20"/>
              </w:rPr>
              <w:t>An-Hsuan Lin, Meng-Han Liu, Hsin-Kuo B Ko, Diahn-Warng Perng, Tzong-Shyuan Lee, Yu Ru Kou 2017 Inflammatory Effects of Menthol vs. Non-menthol Cigarette Smoke Extract on Human Lung Epithelial Cells: A Double-Hit on TRPM8 by Reactive Oxygen Species and Menthol.. Frontiers in physiology; 8.263.</w:t>
            </w:r>
          </w:p>
        </w:tc>
        <w:tc>
          <w:tcPr>
            <w:tcW w:w="0" w:type="auto"/>
            <w:tcBorders>
              <w:top w:val="single" w:sz="6" w:space="0" w:color="auto"/>
              <w:left w:val="single" w:sz="6" w:space="0" w:color="auto"/>
              <w:bottom w:val="single" w:sz="6" w:space="0" w:color="auto"/>
              <w:right w:val="single" w:sz="6" w:space="0" w:color="auto"/>
            </w:tcBorders>
            <w:hideMark/>
          </w:tcPr>
          <w:p w14:paraId="74C7B65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1CF5CC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D5EBC5" w14:textId="77777777" w:rsidR="007F0AE0" w:rsidRPr="00781F59" w:rsidRDefault="007F0AE0" w:rsidP="00453DE3">
            <w:pPr>
              <w:contextualSpacing/>
              <w:rPr>
                <w:sz w:val="20"/>
                <w:szCs w:val="20"/>
              </w:rPr>
            </w:pPr>
            <w:r w:rsidRPr="00781F59">
              <w:rPr>
                <w:sz w:val="20"/>
                <w:szCs w:val="20"/>
              </w:rPr>
              <w:t>314</w:t>
            </w:r>
          </w:p>
        </w:tc>
        <w:tc>
          <w:tcPr>
            <w:tcW w:w="0" w:type="auto"/>
            <w:tcBorders>
              <w:top w:val="single" w:sz="6" w:space="0" w:color="auto"/>
              <w:left w:val="single" w:sz="6" w:space="0" w:color="auto"/>
              <w:bottom w:val="single" w:sz="6" w:space="0" w:color="auto"/>
              <w:right w:val="single" w:sz="6" w:space="0" w:color="auto"/>
            </w:tcBorders>
            <w:hideMark/>
          </w:tcPr>
          <w:p w14:paraId="31C2A6F4" w14:textId="77777777" w:rsidR="007F0AE0" w:rsidRPr="00781F59" w:rsidRDefault="007F0AE0" w:rsidP="00453DE3">
            <w:pPr>
              <w:contextualSpacing/>
              <w:rPr>
                <w:sz w:val="20"/>
                <w:szCs w:val="20"/>
              </w:rPr>
            </w:pPr>
            <w:r w:rsidRPr="00781F59">
              <w:rPr>
                <w:sz w:val="20"/>
                <w:szCs w:val="20"/>
              </w:rPr>
              <w:t>Cynthia Van Landingham, William Fuller, Greg Mariano, Kristin Marano, Geoffrey Curtin, Sandra I Sulsky 2017 Data on cardiovascular and pulmonary diseases among smokers of menthol and non-menthol cigarettes compiled from the National Health and Nutrition Examination Survey (NHANES), 1999-2012.. Data in brief; 12.386.</w:t>
            </w:r>
          </w:p>
        </w:tc>
        <w:tc>
          <w:tcPr>
            <w:tcW w:w="0" w:type="auto"/>
            <w:tcBorders>
              <w:top w:val="single" w:sz="6" w:space="0" w:color="auto"/>
              <w:left w:val="single" w:sz="6" w:space="0" w:color="auto"/>
              <w:bottom w:val="single" w:sz="6" w:space="0" w:color="auto"/>
              <w:right w:val="single" w:sz="6" w:space="0" w:color="auto"/>
            </w:tcBorders>
            <w:hideMark/>
          </w:tcPr>
          <w:p w14:paraId="138BB5E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07B99F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26242B" w14:textId="77777777" w:rsidR="007F0AE0" w:rsidRPr="00781F59" w:rsidRDefault="007F0AE0" w:rsidP="00453DE3">
            <w:pPr>
              <w:contextualSpacing/>
              <w:rPr>
                <w:sz w:val="20"/>
                <w:szCs w:val="20"/>
              </w:rPr>
            </w:pPr>
            <w:r w:rsidRPr="00781F59">
              <w:rPr>
                <w:sz w:val="20"/>
                <w:szCs w:val="20"/>
              </w:rPr>
              <w:t>320</w:t>
            </w:r>
          </w:p>
        </w:tc>
        <w:tc>
          <w:tcPr>
            <w:tcW w:w="0" w:type="auto"/>
            <w:tcBorders>
              <w:top w:val="single" w:sz="6" w:space="0" w:color="auto"/>
              <w:left w:val="single" w:sz="6" w:space="0" w:color="auto"/>
              <w:bottom w:val="single" w:sz="6" w:space="0" w:color="auto"/>
              <w:right w:val="single" w:sz="6" w:space="0" w:color="auto"/>
            </w:tcBorders>
            <w:hideMark/>
          </w:tcPr>
          <w:p w14:paraId="4146472F" w14:textId="77777777" w:rsidR="007F0AE0" w:rsidRPr="00781F59" w:rsidRDefault="007F0AE0" w:rsidP="00453DE3">
            <w:pPr>
              <w:contextualSpacing/>
              <w:rPr>
                <w:sz w:val="20"/>
                <w:szCs w:val="20"/>
              </w:rPr>
            </w:pPr>
            <w:r w:rsidRPr="00781F59">
              <w:rPr>
                <w:sz w:val="20"/>
                <w:szCs w:val="20"/>
              </w:rPr>
              <w:t>Jeff Stier 2015 Even anti-tobacco studies must be held to basic scientific standards. A response to: Smoking intensity and intent to continue smoking among menthol and non-menthol adolescent smokers in Canada.. Cancer causes &amp; control : CCC; 26.1053.</w:t>
            </w:r>
          </w:p>
        </w:tc>
        <w:tc>
          <w:tcPr>
            <w:tcW w:w="0" w:type="auto"/>
            <w:tcBorders>
              <w:top w:val="single" w:sz="6" w:space="0" w:color="auto"/>
              <w:left w:val="single" w:sz="6" w:space="0" w:color="auto"/>
              <w:bottom w:val="single" w:sz="6" w:space="0" w:color="auto"/>
              <w:right w:val="single" w:sz="6" w:space="0" w:color="auto"/>
            </w:tcBorders>
            <w:hideMark/>
          </w:tcPr>
          <w:p w14:paraId="4025AD71"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150644E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0CDC736" w14:textId="77777777" w:rsidR="007F0AE0" w:rsidRPr="00781F59" w:rsidRDefault="007F0AE0" w:rsidP="00453DE3">
            <w:pPr>
              <w:contextualSpacing/>
              <w:rPr>
                <w:sz w:val="20"/>
                <w:szCs w:val="20"/>
              </w:rPr>
            </w:pPr>
            <w:r w:rsidRPr="00781F59">
              <w:rPr>
                <w:sz w:val="20"/>
                <w:szCs w:val="20"/>
              </w:rPr>
              <w:t>322</w:t>
            </w:r>
          </w:p>
        </w:tc>
        <w:tc>
          <w:tcPr>
            <w:tcW w:w="0" w:type="auto"/>
            <w:tcBorders>
              <w:top w:val="single" w:sz="6" w:space="0" w:color="auto"/>
              <w:left w:val="single" w:sz="6" w:space="0" w:color="auto"/>
              <w:bottom w:val="single" w:sz="6" w:space="0" w:color="auto"/>
              <w:right w:val="single" w:sz="6" w:space="0" w:color="auto"/>
            </w:tcBorders>
            <w:hideMark/>
          </w:tcPr>
          <w:p w14:paraId="1160247C" w14:textId="77777777" w:rsidR="007F0AE0" w:rsidRPr="00781F59" w:rsidRDefault="007F0AE0" w:rsidP="00453DE3">
            <w:pPr>
              <w:contextualSpacing/>
              <w:rPr>
                <w:sz w:val="20"/>
                <w:szCs w:val="20"/>
              </w:rPr>
            </w:pPr>
            <w:r w:rsidRPr="00781F59">
              <w:rPr>
                <w:sz w:val="20"/>
                <w:szCs w:val="20"/>
              </w:rPr>
              <w:t>Md Mizanur Rahman, Mohd Taha Arif, Mohd Fadzillah Abd Razak, Mohd Raili Bin Suhaili, Zainab Tambi, Clifton Akoi, Deburra Peak Ngadan 2014 Does menthol-brand cigarette initiate early smoking? Evidence from a cross sectional study in sarawak, malaysia.. Iranian journal of public health; 43.385.</w:t>
            </w:r>
          </w:p>
        </w:tc>
        <w:tc>
          <w:tcPr>
            <w:tcW w:w="0" w:type="auto"/>
            <w:tcBorders>
              <w:top w:val="single" w:sz="6" w:space="0" w:color="auto"/>
              <w:left w:val="single" w:sz="6" w:space="0" w:color="auto"/>
              <w:bottom w:val="single" w:sz="6" w:space="0" w:color="auto"/>
              <w:right w:val="single" w:sz="6" w:space="0" w:color="auto"/>
            </w:tcBorders>
            <w:hideMark/>
          </w:tcPr>
          <w:p w14:paraId="30645B10"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4381EC5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8D0F38" w14:textId="77777777" w:rsidR="007F0AE0" w:rsidRPr="00781F59" w:rsidRDefault="007F0AE0" w:rsidP="00453DE3">
            <w:pPr>
              <w:contextualSpacing/>
              <w:rPr>
                <w:sz w:val="20"/>
                <w:szCs w:val="20"/>
              </w:rPr>
            </w:pPr>
            <w:r w:rsidRPr="00781F59">
              <w:rPr>
                <w:sz w:val="20"/>
                <w:szCs w:val="20"/>
              </w:rPr>
              <w:t>324</w:t>
            </w:r>
          </w:p>
        </w:tc>
        <w:tc>
          <w:tcPr>
            <w:tcW w:w="0" w:type="auto"/>
            <w:tcBorders>
              <w:top w:val="single" w:sz="6" w:space="0" w:color="auto"/>
              <w:left w:val="single" w:sz="6" w:space="0" w:color="auto"/>
              <w:bottom w:val="single" w:sz="6" w:space="0" w:color="auto"/>
              <w:right w:val="single" w:sz="6" w:space="0" w:color="auto"/>
            </w:tcBorders>
            <w:hideMark/>
          </w:tcPr>
          <w:p w14:paraId="3A8D9E44" w14:textId="77777777" w:rsidR="007F0AE0" w:rsidRPr="00781F59" w:rsidRDefault="007F0AE0" w:rsidP="00453DE3">
            <w:pPr>
              <w:contextualSpacing/>
              <w:rPr>
                <w:sz w:val="20"/>
                <w:szCs w:val="20"/>
              </w:rPr>
            </w:pPr>
            <w:r w:rsidRPr="00781F59">
              <w:rPr>
                <w:sz w:val="20"/>
                <w:szCs w:val="20"/>
              </w:rPr>
              <w:t>Nadine Kabbani 2013 Not so Cool? Menthol's discovered actions on the nicotinic receptor and its implications for nicotine addiction.. Frontiers in pharmacology; 4.95.</w:t>
            </w:r>
          </w:p>
        </w:tc>
        <w:tc>
          <w:tcPr>
            <w:tcW w:w="0" w:type="auto"/>
            <w:tcBorders>
              <w:top w:val="single" w:sz="6" w:space="0" w:color="auto"/>
              <w:left w:val="single" w:sz="6" w:space="0" w:color="auto"/>
              <w:bottom w:val="single" w:sz="6" w:space="0" w:color="auto"/>
              <w:right w:val="single" w:sz="6" w:space="0" w:color="auto"/>
            </w:tcBorders>
            <w:hideMark/>
          </w:tcPr>
          <w:p w14:paraId="65FD5A6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BC2932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54DE62" w14:textId="77777777" w:rsidR="007F0AE0" w:rsidRPr="00781F59" w:rsidRDefault="007F0AE0" w:rsidP="00453DE3">
            <w:pPr>
              <w:contextualSpacing/>
              <w:rPr>
                <w:sz w:val="20"/>
                <w:szCs w:val="20"/>
              </w:rPr>
            </w:pPr>
            <w:r w:rsidRPr="00781F59">
              <w:rPr>
                <w:sz w:val="20"/>
                <w:szCs w:val="20"/>
              </w:rPr>
              <w:t>327</w:t>
            </w:r>
          </w:p>
        </w:tc>
        <w:tc>
          <w:tcPr>
            <w:tcW w:w="0" w:type="auto"/>
            <w:tcBorders>
              <w:top w:val="single" w:sz="6" w:space="0" w:color="auto"/>
              <w:left w:val="single" w:sz="6" w:space="0" w:color="auto"/>
              <w:bottom w:val="single" w:sz="6" w:space="0" w:color="auto"/>
              <w:right w:val="single" w:sz="6" w:space="0" w:color="auto"/>
            </w:tcBorders>
            <w:hideMark/>
          </w:tcPr>
          <w:p w14:paraId="54E43D74" w14:textId="77777777" w:rsidR="007F0AE0" w:rsidRPr="00781F59" w:rsidRDefault="007F0AE0" w:rsidP="00453DE3">
            <w:pPr>
              <w:contextualSpacing/>
              <w:rPr>
                <w:sz w:val="20"/>
                <w:szCs w:val="20"/>
              </w:rPr>
            </w:pPr>
            <w:r w:rsidRPr="00781F59">
              <w:rPr>
                <w:sz w:val="20"/>
                <w:szCs w:val="20"/>
              </w:rPr>
              <w:t>Allison M Schmidt, Sarah D Kowitt, Allison E Myers, Adam O Goldstein 2018 Attitudes towards Potential New Tobacco Control Regulations among U.S. Adults.. International journal of environmental research and public health; 15.</w:t>
            </w:r>
          </w:p>
        </w:tc>
        <w:tc>
          <w:tcPr>
            <w:tcW w:w="0" w:type="auto"/>
            <w:tcBorders>
              <w:top w:val="single" w:sz="6" w:space="0" w:color="auto"/>
              <w:left w:val="single" w:sz="6" w:space="0" w:color="auto"/>
              <w:bottom w:val="single" w:sz="6" w:space="0" w:color="auto"/>
              <w:right w:val="single" w:sz="6" w:space="0" w:color="auto"/>
            </w:tcBorders>
            <w:hideMark/>
          </w:tcPr>
          <w:p w14:paraId="53165B8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684D72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9406BA" w14:textId="77777777" w:rsidR="007F0AE0" w:rsidRPr="00781F59" w:rsidRDefault="007F0AE0" w:rsidP="00453DE3">
            <w:pPr>
              <w:contextualSpacing/>
              <w:rPr>
                <w:sz w:val="20"/>
                <w:szCs w:val="20"/>
              </w:rPr>
            </w:pPr>
            <w:r w:rsidRPr="00781F59">
              <w:rPr>
                <w:sz w:val="20"/>
                <w:szCs w:val="20"/>
              </w:rPr>
              <w:lastRenderedPageBreak/>
              <w:t>329</w:t>
            </w:r>
          </w:p>
        </w:tc>
        <w:tc>
          <w:tcPr>
            <w:tcW w:w="0" w:type="auto"/>
            <w:tcBorders>
              <w:top w:val="single" w:sz="6" w:space="0" w:color="auto"/>
              <w:left w:val="single" w:sz="6" w:space="0" w:color="auto"/>
              <w:bottom w:val="single" w:sz="6" w:space="0" w:color="auto"/>
              <w:right w:val="single" w:sz="6" w:space="0" w:color="auto"/>
            </w:tcBorders>
            <w:hideMark/>
          </w:tcPr>
          <w:p w14:paraId="53D2D2F4" w14:textId="77777777" w:rsidR="007F0AE0" w:rsidRPr="00781F59" w:rsidRDefault="007F0AE0" w:rsidP="00453DE3">
            <w:pPr>
              <w:contextualSpacing/>
              <w:rPr>
                <w:sz w:val="20"/>
                <w:szCs w:val="20"/>
              </w:rPr>
            </w:pPr>
            <w:r w:rsidRPr="00781F59">
              <w:rPr>
                <w:sz w:val="20"/>
                <w:szCs w:val="20"/>
              </w:rPr>
              <w:t>Ruth E Malone 2017 It's the 21st century: isn't it past time to ban menthol cigarette sales?.. Tobacco control; 26.359.</w:t>
            </w:r>
          </w:p>
        </w:tc>
        <w:tc>
          <w:tcPr>
            <w:tcW w:w="0" w:type="auto"/>
            <w:tcBorders>
              <w:top w:val="single" w:sz="6" w:space="0" w:color="auto"/>
              <w:left w:val="single" w:sz="6" w:space="0" w:color="auto"/>
              <w:bottom w:val="single" w:sz="6" w:space="0" w:color="auto"/>
              <w:right w:val="single" w:sz="6" w:space="0" w:color="auto"/>
            </w:tcBorders>
            <w:hideMark/>
          </w:tcPr>
          <w:p w14:paraId="59F3BC1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A23713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3F414B" w14:textId="77777777" w:rsidR="007F0AE0" w:rsidRPr="00781F59" w:rsidRDefault="007F0AE0" w:rsidP="00453DE3">
            <w:pPr>
              <w:contextualSpacing/>
              <w:rPr>
                <w:sz w:val="20"/>
                <w:szCs w:val="20"/>
              </w:rPr>
            </w:pPr>
            <w:r w:rsidRPr="00781F59">
              <w:rPr>
                <w:sz w:val="20"/>
                <w:szCs w:val="20"/>
              </w:rPr>
              <w:t>335</w:t>
            </w:r>
          </w:p>
        </w:tc>
        <w:tc>
          <w:tcPr>
            <w:tcW w:w="0" w:type="auto"/>
            <w:tcBorders>
              <w:top w:val="single" w:sz="6" w:space="0" w:color="auto"/>
              <w:left w:val="single" w:sz="6" w:space="0" w:color="auto"/>
              <w:bottom w:val="single" w:sz="6" w:space="0" w:color="auto"/>
              <w:right w:val="single" w:sz="6" w:space="0" w:color="auto"/>
            </w:tcBorders>
            <w:hideMark/>
          </w:tcPr>
          <w:p w14:paraId="52B8CEC2" w14:textId="77777777" w:rsidR="007F0AE0" w:rsidRPr="00781F59" w:rsidRDefault="007F0AE0" w:rsidP="00453DE3">
            <w:pPr>
              <w:contextualSpacing/>
              <w:rPr>
                <w:sz w:val="20"/>
                <w:szCs w:val="20"/>
              </w:rPr>
            </w:pPr>
            <w:r w:rsidRPr="00781F59">
              <w:rPr>
                <w:sz w:val="20"/>
                <w:szCs w:val="20"/>
              </w:rPr>
              <w:t>Jennifer Brown, Teresa DeAtley, Kevin Welding, Robert Schwartz, Michael Chaiton, Deirdre Lawrence Kittner, Joanna E Cohen 2017 Tobacco industry response to menthol cigarette bans in Alberta and Nova Scotia, Canada.. Tobacco control; 26.e71.</w:t>
            </w:r>
          </w:p>
        </w:tc>
        <w:tc>
          <w:tcPr>
            <w:tcW w:w="0" w:type="auto"/>
            <w:tcBorders>
              <w:top w:val="single" w:sz="6" w:space="0" w:color="auto"/>
              <w:left w:val="single" w:sz="6" w:space="0" w:color="auto"/>
              <w:bottom w:val="single" w:sz="6" w:space="0" w:color="auto"/>
              <w:right w:val="single" w:sz="6" w:space="0" w:color="auto"/>
            </w:tcBorders>
            <w:hideMark/>
          </w:tcPr>
          <w:p w14:paraId="16E0D3A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277B56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CBB7837" w14:textId="77777777" w:rsidR="007F0AE0" w:rsidRPr="00781F59" w:rsidRDefault="007F0AE0" w:rsidP="00453DE3">
            <w:pPr>
              <w:contextualSpacing/>
              <w:rPr>
                <w:sz w:val="20"/>
                <w:szCs w:val="20"/>
              </w:rPr>
            </w:pPr>
            <w:r w:rsidRPr="00781F59">
              <w:rPr>
                <w:sz w:val="20"/>
                <w:szCs w:val="20"/>
              </w:rPr>
              <w:t>340</w:t>
            </w:r>
          </w:p>
        </w:tc>
        <w:tc>
          <w:tcPr>
            <w:tcW w:w="0" w:type="auto"/>
            <w:tcBorders>
              <w:top w:val="single" w:sz="6" w:space="0" w:color="auto"/>
              <w:left w:val="single" w:sz="6" w:space="0" w:color="auto"/>
              <w:bottom w:val="single" w:sz="6" w:space="0" w:color="auto"/>
              <w:right w:val="single" w:sz="6" w:space="0" w:color="auto"/>
            </w:tcBorders>
            <w:hideMark/>
          </w:tcPr>
          <w:p w14:paraId="4EFFAE05" w14:textId="77777777" w:rsidR="007F0AE0" w:rsidRPr="00781F59" w:rsidRDefault="007F0AE0" w:rsidP="00453DE3">
            <w:pPr>
              <w:contextualSpacing/>
              <w:rPr>
                <w:sz w:val="20"/>
                <w:szCs w:val="20"/>
              </w:rPr>
            </w:pPr>
            <w:r w:rsidRPr="00781F59">
              <w:rPr>
                <w:sz w:val="20"/>
                <w:szCs w:val="20"/>
              </w:rPr>
              <w:t>Mathilde Marchand, Patrick Brossard, Henri Merdjan, Nicola Lama, Rolf Weitkunat, Frank Ludicke 2017 Nicotine Population Pharmacokinetics in Healthy Adult Smokers: A Retrospective Analysis.. European journal of drug metabolism and pharmacokinetics; 42.943.</w:t>
            </w:r>
          </w:p>
        </w:tc>
        <w:tc>
          <w:tcPr>
            <w:tcW w:w="0" w:type="auto"/>
            <w:tcBorders>
              <w:top w:val="single" w:sz="6" w:space="0" w:color="auto"/>
              <w:left w:val="single" w:sz="6" w:space="0" w:color="auto"/>
              <w:bottom w:val="single" w:sz="6" w:space="0" w:color="auto"/>
              <w:right w:val="single" w:sz="6" w:space="0" w:color="auto"/>
            </w:tcBorders>
            <w:hideMark/>
          </w:tcPr>
          <w:p w14:paraId="41C3E01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CDD03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7635D7" w14:textId="77777777" w:rsidR="007F0AE0" w:rsidRPr="00781F59" w:rsidRDefault="007F0AE0" w:rsidP="00453DE3">
            <w:pPr>
              <w:contextualSpacing/>
              <w:rPr>
                <w:sz w:val="20"/>
                <w:szCs w:val="20"/>
              </w:rPr>
            </w:pPr>
            <w:r w:rsidRPr="00781F59">
              <w:rPr>
                <w:sz w:val="20"/>
                <w:szCs w:val="20"/>
              </w:rPr>
              <w:t>341</w:t>
            </w:r>
          </w:p>
        </w:tc>
        <w:tc>
          <w:tcPr>
            <w:tcW w:w="0" w:type="auto"/>
            <w:tcBorders>
              <w:top w:val="single" w:sz="6" w:space="0" w:color="auto"/>
              <w:left w:val="single" w:sz="6" w:space="0" w:color="auto"/>
              <w:bottom w:val="single" w:sz="6" w:space="0" w:color="auto"/>
              <w:right w:val="single" w:sz="6" w:space="0" w:color="auto"/>
            </w:tcBorders>
            <w:hideMark/>
          </w:tcPr>
          <w:p w14:paraId="72FC2649" w14:textId="77777777" w:rsidR="007F0AE0" w:rsidRPr="00781F59" w:rsidRDefault="007F0AE0" w:rsidP="00453DE3">
            <w:pPr>
              <w:contextualSpacing/>
              <w:rPr>
                <w:sz w:val="20"/>
                <w:szCs w:val="20"/>
              </w:rPr>
            </w:pPr>
            <w:r w:rsidRPr="00781F59">
              <w:rPr>
                <w:sz w:val="20"/>
                <w:szCs w:val="20"/>
              </w:rPr>
              <w:t>Jessica M Rath, Andrea C Villanti, Valerie F Williams, Amanda Richardson, Jennifer L Pearson, Donna M Vallone 2016 Correlates of current menthol cigarette and flavored other tobacco product use among U.S. young adults.. Addictive behaviors; 62.35.</w:t>
            </w:r>
          </w:p>
        </w:tc>
        <w:tc>
          <w:tcPr>
            <w:tcW w:w="0" w:type="auto"/>
            <w:tcBorders>
              <w:top w:val="single" w:sz="6" w:space="0" w:color="auto"/>
              <w:left w:val="single" w:sz="6" w:space="0" w:color="auto"/>
              <w:bottom w:val="single" w:sz="6" w:space="0" w:color="auto"/>
              <w:right w:val="single" w:sz="6" w:space="0" w:color="auto"/>
            </w:tcBorders>
            <w:hideMark/>
          </w:tcPr>
          <w:p w14:paraId="4E55ACA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A88148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B8F138" w14:textId="77777777" w:rsidR="007F0AE0" w:rsidRPr="00781F59" w:rsidRDefault="007F0AE0" w:rsidP="00453DE3">
            <w:pPr>
              <w:contextualSpacing/>
              <w:rPr>
                <w:sz w:val="20"/>
                <w:szCs w:val="20"/>
              </w:rPr>
            </w:pPr>
            <w:r w:rsidRPr="00781F59">
              <w:rPr>
                <w:sz w:val="20"/>
                <w:szCs w:val="20"/>
              </w:rPr>
              <w:t>342</w:t>
            </w:r>
          </w:p>
        </w:tc>
        <w:tc>
          <w:tcPr>
            <w:tcW w:w="0" w:type="auto"/>
            <w:tcBorders>
              <w:top w:val="single" w:sz="6" w:space="0" w:color="auto"/>
              <w:left w:val="single" w:sz="6" w:space="0" w:color="auto"/>
              <w:bottom w:val="single" w:sz="6" w:space="0" w:color="auto"/>
              <w:right w:val="single" w:sz="6" w:space="0" w:color="auto"/>
            </w:tcBorders>
            <w:hideMark/>
          </w:tcPr>
          <w:p w14:paraId="7B0AD020" w14:textId="77777777" w:rsidR="007F0AE0" w:rsidRPr="00781F59" w:rsidRDefault="007F0AE0" w:rsidP="00453DE3">
            <w:pPr>
              <w:contextualSpacing/>
              <w:rPr>
                <w:sz w:val="20"/>
                <w:szCs w:val="20"/>
              </w:rPr>
            </w:pPr>
            <w:r w:rsidRPr="00781F59">
              <w:rPr>
                <w:sz w:val="20"/>
                <w:szCs w:val="20"/>
              </w:rPr>
              <w:t>Brandon J Henderson, Teagan R Wall, Beverley M Henley, Charlene H Kim, Sheri McKinney, Henry A Lester 2017 Menthol Enhances Nicotine Reward-Related Behavior by Potentiating Nicotine-Induced Changes in nAChR Function, nAChR Upregulation, and DA Neuron Excitability.. Neuropsychopharmacology : official publication of the American College of Neuropsychopharmacology; 42.2285.</w:t>
            </w:r>
          </w:p>
        </w:tc>
        <w:tc>
          <w:tcPr>
            <w:tcW w:w="0" w:type="auto"/>
            <w:tcBorders>
              <w:top w:val="single" w:sz="6" w:space="0" w:color="auto"/>
              <w:left w:val="single" w:sz="6" w:space="0" w:color="auto"/>
              <w:bottom w:val="single" w:sz="6" w:space="0" w:color="auto"/>
              <w:right w:val="single" w:sz="6" w:space="0" w:color="auto"/>
            </w:tcBorders>
            <w:hideMark/>
          </w:tcPr>
          <w:p w14:paraId="68DF533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3BB9A0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8998E7" w14:textId="77777777" w:rsidR="007F0AE0" w:rsidRPr="00781F59" w:rsidRDefault="007F0AE0" w:rsidP="00453DE3">
            <w:pPr>
              <w:contextualSpacing/>
              <w:rPr>
                <w:sz w:val="20"/>
                <w:szCs w:val="20"/>
              </w:rPr>
            </w:pPr>
            <w:r w:rsidRPr="00781F59">
              <w:rPr>
                <w:sz w:val="20"/>
                <w:szCs w:val="20"/>
              </w:rPr>
              <w:t>346</w:t>
            </w:r>
          </w:p>
        </w:tc>
        <w:tc>
          <w:tcPr>
            <w:tcW w:w="0" w:type="auto"/>
            <w:tcBorders>
              <w:top w:val="single" w:sz="6" w:space="0" w:color="auto"/>
              <w:left w:val="single" w:sz="6" w:space="0" w:color="auto"/>
              <w:bottom w:val="single" w:sz="6" w:space="0" w:color="auto"/>
              <w:right w:val="single" w:sz="6" w:space="0" w:color="auto"/>
            </w:tcBorders>
            <w:hideMark/>
          </w:tcPr>
          <w:p w14:paraId="06BB9F6D" w14:textId="77777777" w:rsidR="007F0AE0" w:rsidRPr="00781F59" w:rsidRDefault="007F0AE0" w:rsidP="00453DE3">
            <w:pPr>
              <w:contextualSpacing/>
              <w:rPr>
                <w:sz w:val="20"/>
                <w:szCs w:val="20"/>
              </w:rPr>
            </w:pPr>
            <w:r w:rsidRPr="00781F59">
              <w:rPr>
                <w:sz w:val="20"/>
                <w:szCs w:val="20"/>
              </w:rPr>
              <w:t>Andrea C Villanti, Lauren K Collins, Raymond S Niaura, Stacey Y Gagosian, David B Abrams 2017 Menthol cigarettes and the public health standard: a systematic review.. BMC public health; 17.983.</w:t>
            </w:r>
          </w:p>
        </w:tc>
        <w:tc>
          <w:tcPr>
            <w:tcW w:w="0" w:type="auto"/>
            <w:tcBorders>
              <w:top w:val="single" w:sz="6" w:space="0" w:color="auto"/>
              <w:left w:val="single" w:sz="6" w:space="0" w:color="auto"/>
              <w:bottom w:val="single" w:sz="6" w:space="0" w:color="auto"/>
              <w:right w:val="single" w:sz="6" w:space="0" w:color="auto"/>
            </w:tcBorders>
            <w:hideMark/>
          </w:tcPr>
          <w:p w14:paraId="66DFD35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B13308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F10EE30" w14:textId="77777777" w:rsidR="007F0AE0" w:rsidRPr="00781F59" w:rsidRDefault="007F0AE0" w:rsidP="00453DE3">
            <w:pPr>
              <w:contextualSpacing/>
              <w:rPr>
                <w:sz w:val="20"/>
                <w:szCs w:val="20"/>
              </w:rPr>
            </w:pPr>
            <w:r w:rsidRPr="00781F59">
              <w:rPr>
                <w:sz w:val="20"/>
                <w:szCs w:val="20"/>
              </w:rPr>
              <w:t>347</w:t>
            </w:r>
          </w:p>
        </w:tc>
        <w:tc>
          <w:tcPr>
            <w:tcW w:w="0" w:type="auto"/>
            <w:tcBorders>
              <w:top w:val="single" w:sz="6" w:space="0" w:color="auto"/>
              <w:left w:val="single" w:sz="6" w:space="0" w:color="auto"/>
              <w:bottom w:val="single" w:sz="6" w:space="0" w:color="auto"/>
              <w:right w:val="single" w:sz="6" w:space="0" w:color="auto"/>
            </w:tcBorders>
            <w:hideMark/>
          </w:tcPr>
          <w:p w14:paraId="078E73A5" w14:textId="77777777" w:rsidR="007F0AE0" w:rsidRPr="00781F59" w:rsidRDefault="007F0AE0" w:rsidP="00453DE3">
            <w:pPr>
              <w:contextualSpacing/>
              <w:rPr>
                <w:sz w:val="20"/>
                <w:szCs w:val="20"/>
              </w:rPr>
            </w:pPr>
            <w:r w:rsidRPr="00781F59">
              <w:rPr>
                <w:sz w:val="20"/>
                <w:szCs w:val="20"/>
              </w:rPr>
              <w:t>Christina Vaughan Watson, Patricia Richter, B Rey de Castro, Connie Sosnoff, Jennifer Potts, Pamela Clark, Joan McCraw, Xizheng Yan, David Chambers, Clifford Watson 2017 Smoking Behavior and Exposure: Results of a Menthol Cigarette Cross-over Study.. American journal of health behavior; 41.309.</w:t>
            </w:r>
          </w:p>
        </w:tc>
        <w:tc>
          <w:tcPr>
            <w:tcW w:w="0" w:type="auto"/>
            <w:tcBorders>
              <w:top w:val="single" w:sz="6" w:space="0" w:color="auto"/>
              <w:left w:val="single" w:sz="6" w:space="0" w:color="auto"/>
              <w:bottom w:val="single" w:sz="6" w:space="0" w:color="auto"/>
              <w:right w:val="single" w:sz="6" w:space="0" w:color="auto"/>
            </w:tcBorders>
            <w:hideMark/>
          </w:tcPr>
          <w:p w14:paraId="7EF72A0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07C762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393528" w14:textId="77777777" w:rsidR="007F0AE0" w:rsidRPr="00781F59" w:rsidRDefault="007F0AE0" w:rsidP="00453DE3">
            <w:pPr>
              <w:contextualSpacing/>
              <w:rPr>
                <w:sz w:val="20"/>
                <w:szCs w:val="20"/>
              </w:rPr>
            </w:pPr>
            <w:r w:rsidRPr="00781F59">
              <w:rPr>
                <w:sz w:val="20"/>
                <w:szCs w:val="20"/>
              </w:rPr>
              <w:t>348</w:t>
            </w:r>
          </w:p>
        </w:tc>
        <w:tc>
          <w:tcPr>
            <w:tcW w:w="0" w:type="auto"/>
            <w:tcBorders>
              <w:top w:val="single" w:sz="6" w:space="0" w:color="auto"/>
              <w:left w:val="single" w:sz="6" w:space="0" w:color="auto"/>
              <w:bottom w:val="single" w:sz="6" w:space="0" w:color="auto"/>
              <w:right w:val="single" w:sz="6" w:space="0" w:color="auto"/>
            </w:tcBorders>
            <w:hideMark/>
          </w:tcPr>
          <w:p w14:paraId="5FB92D73" w14:textId="77777777" w:rsidR="007F0AE0" w:rsidRPr="00781F59" w:rsidRDefault="007F0AE0" w:rsidP="00453DE3">
            <w:pPr>
              <w:contextualSpacing/>
              <w:rPr>
                <w:sz w:val="20"/>
                <w:szCs w:val="20"/>
              </w:rPr>
            </w:pPr>
            <w:r w:rsidRPr="00781F59">
              <w:rPr>
                <w:sz w:val="20"/>
                <w:szCs w:val="20"/>
              </w:rPr>
              <w:t>Kathryn C Ross, Delia A Dempsey, Gideon St Helen, Kevin Delucchi, Neal L Benowitz 2016 The Influence of Puff Characteristics, Nicotine Dependence, and Rate of Nicotine Metabolism on Daily Nicotine Exposure in African American Smokers.. Cancer epidemiology, biomarkers &amp; prevention : a publication of the American Association for Cancer Research, cosponsored by the American Society of Preventive Oncology; 25.936.</w:t>
            </w:r>
          </w:p>
        </w:tc>
        <w:tc>
          <w:tcPr>
            <w:tcW w:w="0" w:type="auto"/>
            <w:tcBorders>
              <w:top w:val="single" w:sz="6" w:space="0" w:color="auto"/>
              <w:left w:val="single" w:sz="6" w:space="0" w:color="auto"/>
              <w:bottom w:val="single" w:sz="6" w:space="0" w:color="auto"/>
              <w:right w:val="single" w:sz="6" w:space="0" w:color="auto"/>
            </w:tcBorders>
            <w:hideMark/>
          </w:tcPr>
          <w:p w14:paraId="5E11808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597DC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CDE8CD" w14:textId="77777777" w:rsidR="007F0AE0" w:rsidRPr="00781F59" w:rsidRDefault="007F0AE0" w:rsidP="00453DE3">
            <w:pPr>
              <w:contextualSpacing/>
              <w:rPr>
                <w:sz w:val="20"/>
                <w:szCs w:val="20"/>
              </w:rPr>
            </w:pPr>
            <w:r w:rsidRPr="00781F59">
              <w:rPr>
                <w:sz w:val="20"/>
                <w:szCs w:val="20"/>
              </w:rPr>
              <w:t>350</w:t>
            </w:r>
          </w:p>
        </w:tc>
        <w:tc>
          <w:tcPr>
            <w:tcW w:w="0" w:type="auto"/>
            <w:tcBorders>
              <w:top w:val="single" w:sz="6" w:space="0" w:color="auto"/>
              <w:left w:val="single" w:sz="6" w:space="0" w:color="auto"/>
              <w:bottom w:val="single" w:sz="6" w:space="0" w:color="auto"/>
              <w:right w:val="single" w:sz="6" w:space="0" w:color="auto"/>
            </w:tcBorders>
            <w:hideMark/>
          </w:tcPr>
          <w:p w14:paraId="7368B525" w14:textId="77777777" w:rsidR="007F0AE0" w:rsidRPr="00781F59" w:rsidRDefault="007F0AE0" w:rsidP="00453DE3">
            <w:pPr>
              <w:contextualSpacing/>
              <w:rPr>
                <w:sz w:val="20"/>
                <w:szCs w:val="20"/>
              </w:rPr>
            </w:pPr>
            <w:r w:rsidRPr="00781F59">
              <w:rPr>
                <w:sz w:val="20"/>
                <w:szCs w:val="20"/>
              </w:rPr>
              <w:t>Won S Choi, Niaman Nazir, Christina M Pacheco, Melissa K Filippi, Joseph Pacheco, Julia White Bull, Christi Nance, Babalola Faseru, K Allen Greiner, Christine Makosky Daley 2016 Recruitment and Baseline Characteristics of American Indian Tribal College Students Participating in a Tribal College Tobacco and Behavioral Survey.. Nicotine &amp; tobacco research : official journal of the Society for Research on Nicotine and Tobacco; 18.1488.</w:t>
            </w:r>
          </w:p>
        </w:tc>
        <w:tc>
          <w:tcPr>
            <w:tcW w:w="0" w:type="auto"/>
            <w:tcBorders>
              <w:top w:val="single" w:sz="6" w:space="0" w:color="auto"/>
              <w:left w:val="single" w:sz="6" w:space="0" w:color="auto"/>
              <w:bottom w:val="single" w:sz="6" w:space="0" w:color="auto"/>
              <w:right w:val="single" w:sz="6" w:space="0" w:color="auto"/>
            </w:tcBorders>
            <w:hideMark/>
          </w:tcPr>
          <w:p w14:paraId="12FA40E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30EBC2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DE25A55" w14:textId="77777777" w:rsidR="007F0AE0" w:rsidRPr="00781F59" w:rsidRDefault="007F0AE0" w:rsidP="00453DE3">
            <w:pPr>
              <w:contextualSpacing/>
              <w:rPr>
                <w:sz w:val="20"/>
                <w:szCs w:val="20"/>
              </w:rPr>
            </w:pPr>
            <w:r w:rsidRPr="00781F59">
              <w:rPr>
                <w:sz w:val="20"/>
                <w:szCs w:val="20"/>
              </w:rPr>
              <w:t>351</w:t>
            </w:r>
          </w:p>
        </w:tc>
        <w:tc>
          <w:tcPr>
            <w:tcW w:w="0" w:type="auto"/>
            <w:tcBorders>
              <w:top w:val="single" w:sz="6" w:space="0" w:color="auto"/>
              <w:left w:val="single" w:sz="6" w:space="0" w:color="auto"/>
              <w:bottom w:val="single" w:sz="6" w:space="0" w:color="auto"/>
              <w:right w:val="single" w:sz="6" w:space="0" w:color="auto"/>
            </w:tcBorders>
            <w:hideMark/>
          </w:tcPr>
          <w:p w14:paraId="7FB046C4" w14:textId="77777777" w:rsidR="007F0AE0" w:rsidRPr="00781F59" w:rsidRDefault="007F0AE0" w:rsidP="00453DE3">
            <w:pPr>
              <w:contextualSpacing/>
              <w:rPr>
                <w:sz w:val="20"/>
                <w:szCs w:val="20"/>
              </w:rPr>
            </w:pPr>
            <w:r w:rsidRPr="00781F59">
              <w:rPr>
                <w:sz w:val="20"/>
                <w:szCs w:val="20"/>
              </w:rPr>
              <w:t>Erna Jz Krusemann, Wouter F Visser, Johannes Wjm Cremers, Jeroen LA Pennings, Reinskje Talhout 2018 Identification of flavour additives in tobacco products to develop a flavour library.. Tobacco control; 27.105.</w:t>
            </w:r>
          </w:p>
        </w:tc>
        <w:tc>
          <w:tcPr>
            <w:tcW w:w="0" w:type="auto"/>
            <w:tcBorders>
              <w:top w:val="single" w:sz="6" w:space="0" w:color="auto"/>
              <w:left w:val="single" w:sz="6" w:space="0" w:color="auto"/>
              <w:bottom w:val="single" w:sz="6" w:space="0" w:color="auto"/>
              <w:right w:val="single" w:sz="6" w:space="0" w:color="auto"/>
            </w:tcBorders>
            <w:hideMark/>
          </w:tcPr>
          <w:p w14:paraId="2897CFE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69C1E3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75641EC" w14:textId="77777777" w:rsidR="007F0AE0" w:rsidRPr="00781F59" w:rsidRDefault="007F0AE0" w:rsidP="00453DE3">
            <w:pPr>
              <w:contextualSpacing/>
              <w:rPr>
                <w:sz w:val="20"/>
                <w:szCs w:val="20"/>
              </w:rPr>
            </w:pPr>
            <w:r w:rsidRPr="00781F59">
              <w:rPr>
                <w:sz w:val="20"/>
                <w:szCs w:val="20"/>
              </w:rPr>
              <w:t>353</w:t>
            </w:r>
          </w:p>
        </w:tc>
        <w:tc>
          <w:tcPr>
            <w:tcW w:w="0" w:type="auto"/>
            <w:tcBorders>
              <w:top w:val="single" w:sz="6" w:space="0" w:color="auto"/>
              <w:left w:val="single" w:sz="6" w:space="0" w:color="auto"/>
              <w:bottom w:val="single" w:sz="6" w:space="0" w:color="auto"/>
              <w:right w:val="single" w:sz="6" w:space="0" w:color="auto"/>
            </w:tcBorders>
            <w:hideMark/>
          </w:tcPr>
          <w:p w14:paraId="532BD552" w14:textId="77777777" w:rsidR="007F0AE0" w:rsidRPr="00781F59" w:rsidRDefault="007F0AE0" w:rsidP="00453DE3">
            <w:pPr>
              <w:contextualSpacing/>
              <w:rPr>
                <w:sz w:val="20"/>
                <w:szCs w:val="20"/>
              </w:rPr>
            </w:pPr>
            <w:r w:rsidRPr="00781F59">
              <w:rPr>
                <w:sz w:val="20"/>
                <w:szCs w:val="20"/>
              </w:rPr>
              <w:t>Erna J Z Krusemann, Johannes W J M Cremers, Wouter F Visser, Pieter H Punter, Reinskje Talhout 2017 The Sensory Difference Threshold of Menthol Odor in Flavored Tobacco Determined by Combining Sensory and Chemical Analysis.. Chemical senses; 42.233.</w:t>
            </w:r>
          </w:p>
        </w:tc>
        <w:tc>
          <w:tcPr>
            <w:tcW w:w="0" w:type="auto"/>
            <w:tcBorders>
              <w:top w:val="single" w:sz="6" w:space="0" w:color="auto"/>
              <w:left w:val="single" w:sz="6" w:space="0" w:color="auto"/>
              <w:bottom w:val="single" w:sz="6" w:space="0" w:color="auto"/>
              <w:right w:val="single" w:sz="6" w:space="0" w:color="auto"/>
            </w:tcBorders>
            <w:hideMark/>
          </w:tcPr>
          <w:p w14:paraId="53A39BC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B039C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3F5C7F" w14:textId="77777777" w:rsidR="007F0AE0" w:rsidRPr="00781F59" w:rsidRDefault="007F0AE0" w:rsidP="00453DE3">
            <w:pPr>
              <w:contextualSpacing/>
              <w:rPr>
                <w:sz w:val="20"/>
                <w:szCs w:val="20"/>
              </w:rPr>
            </w:pPr>
            <w:r w:rsidRPr="00781F59">
              <w:rPr>
                <w:sz w:val="20"/>
                <w:szCs w:val="20"/>
              </w:rPr>
              <w:t>355</w:t>
            </w:r>
          </w:p>
        </w:tc>
        <w:tc>
          <w:tcPr>
            <w:tcW w:w="0" w:type="auto"/>
            <w:tcBorders>
              <w:top w:val="single" w:sz="6" w:space="0" w:color="auto"/>
              <w:left w:val="single" w:sz="6" w:space="0" w:color="auto"/>
              <w:bottom w:val="single" w:sz="6" w:space="0" w:color="auto"/>
              <w:right w:val="single" w:sz="6" w:space="0" w:color="auto"/>
            </w:tcBorders>
            <w:hideMark/>
          </w:tcPr>
          <w:p w14:paraId="0FCC6967" w14:textId="77777777" w:rsidR="007F0AE0" w:rsidRPr="00781F59" w:rsidRDefault="007F0AE0" w:rsidP="00453DE3">
            <w:pPr>
              <w:contextualSpacing/>
              <w:rPr>
                <w:sz w:val="20"/>
                <w:szCs w:val="20"/>
              </w:rPr>
            </w:pPr>
            <w:r w:rsidRPr="00781F59">
              <w:rPr>
                <w:sz w:val="20"/>
                <w:szCs w:val="20"/>
              </w:rPr>
              <w:t>Shyanika W Rose, Catherine L Jo, Steven Binns, Melissa Buenger, Sherry Emery, Kurt M Ribisl 2017 Perceptions of Menthol Cigarettes Among Twitter Users: Content and Sentiment Analysis.. Journal of medical Internet research; 19.e56.</w:t>
            </w:r>
          </w:p>
        </w:tc>
        <w:tc>
          <w:tcPr>
            <w:tcW w:w="0" w:type="auto"/>
            <w:tcBorders>
              <w:top w:val="single" w:sz="6" w:space="0" w:color="auto"/>
              <w:left w:val="single" w:sz="6" w:space="0" w:color="auto"/>
              <w:bottom w:val="single" w:sz="6" w:space="0" w:color="auto"/>
              <w:right w:val="single" w:sz="6" w:space="0" w:color="auto"/>
            </w:tcBorders>
            <w:hideMark/>
          </w:tcPr>
          <w:p w14:paraId="2FF4523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114C119" w14:textId="77777777" w:rsidTr="00453DE3">
        <w:tc>
          <w:tcPr>
            <w:tcW w:w="0" w:type="auto"/>
            <w:tcBorders>
              <w:top w:val="single" w:sz="6" w:space="0" w:color="auto"/>
              <w:left w:val="single" w:sz="6" w:space="0" w:color="auto"/>
              <w:bottom w:val="single" w:sz="6" w:space="0" w:color="auto"/>
              <w:right w:val="single" w:sz="6" w:space="0" w:color="auto"/>
            </w:tcBorders>
          </w:tcPr>
          <w:p w14:paraId="64852596" w14:textId="77777777" w:rsidR="007F0AE0" w:rsidRPr="00781F59" w:rsidRDefault="007F0AE0" w:rsidP="00453DE3">
            <w:pPr>
              <w:contextualSpacing/>
              <w:rPr>
                <w:sz w:val="20"/>
                <w:szCs w:val="20"/>
              </w:rPr>
            </w:pPr>
            <w:r>
              <w:rPr>
                <w:sz w:val="20"/>
                <w:szCs w:val="20"/>
              </w:rPr>
              <w:t>356</w:t>
            </w:r>
          </w:p>
        </w:tc>
        <w:tc>
          <w:tcPr>
            <w:tcW w:w="0" w:type="auto"/>
            <w:tcBorders>
              <w:top w:val="single" w:sz="6" w:space="0" w:color="auto"/>
              <w:left w:val="single" w:sz="6" w:space="0" w:color="auto"/>
              <w:bottom w:val="single" w:sz="6" w:space="0" w:color="auto"/>
              <w:right w:val="single" w:sz="6" w:space="0" w:color="auto"/>
            </w:tcBorders>
          </w:tcPr>
          <w:p w14:paraId="62FFC70E" w14:textId="77777777" w:rsidR="007F0AE0" w:rsidRPr="00781F59" w:rsidRDefault="007F0AE0" w:rsidP="00453DE3">
            <w:pPr>
              <w:contextualSpacing/>
              <w:rPr>
                <w:sz w:val="20"/>
                <w:szCs w:val="20"/>
              </w:rPr>
            </w:pPr>
            <w:r w:rsidRPr="00204223">
              <w:rPr>
                <w:rFonts w:ascii="Calibri" w:hAnsi="Calibri"/>
                <w:noProof/>
                <w:sz w:val="20"/>
                <w:szCs w:val="20"/>
              </w:rPr>
              <w:t>Natalie Nardone,​ Eric C Donny,​ Dorothy K Hatsukami,​ Joseph S Koopmeiners,​ Sharon E Murphy,​ Andrew A Strasser,​ Jennifer W Tidey,​ Ryan Vandrey,​ Neal L Benowitz 2016 Estimations and predictors of non-compliance in switchers to reduced nicotine content cigarettes.. Addiction (Abingdon,​ England); 111.2208.</w:t>
            </w:r>
          </w:p>
        </w:tc>
        <w:tc>
          <w:tcPr>
            <w:tcW w:w="0" w:type="auto"/>
            <w:tcBorders>
              <w:top w:val="single" w:sz="6" w:space="0" w:color="auto"/>
              <w:left w:val="single" w:sz="6" w:space="0" w:color="auto"/>
              <w:bottom w:val="single" w:sz="6" w:space="0" w:color="auto"/>
              <w:right w:val="single" w:sz="6" w:space="0" w:color="auto"/>
            </w:tcBorders>
          </w:tcPr>
          <w:p w14:paraId="09843C9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728A11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40B2EE" w14:textId="77777777" w:rsidR="007F0AE0" w:rsidRPr="00781F59" w:rsidRDefault="007F0AE0" w:rsidP="00453DE3">
            <w:pPr>
              <w:contextualSpacing/>
              <w:rPr>
                <w:sz w:val="20"/>
                <w:szCs w:val="20"/>
              </w:rPr>
            </w:pPr>
            <w:r w:rsidRPr="00781F59">
              <w:rPr>
                <w:sz w:val="20"/>
                <w:szCs w:val="20"/>
              </w:rPr>
              <w:lastRenderedPageBreak/>
              <w:t>357</w:t>
            </w:r>
          </w:p>
        </w:tc>
        <w:tc>
          <w:tcPr>
            <w:tcW w:w="0" w:type="auto"/>
            <w:tcBorders>
              <w:top w:val="single" w:sz="6" w:space="0" w:color="auto"/>
              <w:left w:val="single" w:sz="6" w:space="0" w:color="auto"/>
              <w:bottom w:val="single" w:sz="6" w:space="0" w:color="auto"/>
              <w:right w:val="single" w:sz="6" w:space="0" w:color="auto"/>
            </w:tcBorders>
            <w:hideMark/>
          </w:tcPr>
          <w:p w14:paraId="411CF594" w14:textId="77777777" w:rsidR="007F0AE0" w:rsidRPr="00781F59" w:rsidRDefault="007F0AE0" w:rsidP="00453DE3">
            <w:pPr>
              <w:contextualSpacing/>
              <w:rPr>
                <w:sz w:val="20"/>
                <w:szCs w:val="20"/>
              </w:rPr>
            </w:pPr>
            <w:r w:rsidRPr="00781F59">
              <w:rPr>
                <w:sz w:val="20"/>
                <w:szCs w:val="20"/>
              </w:rPr>
              <w:t>Elizabeth Needham Waddell, Rachel Sacks, Shannon M Farley, Michael Johns 2016 Point-of-Sale Tobacco Marketing to Youth in New York State.. The Journal of adolescent health : official publication of the Society for Adolescent Medicine; 59.365.</w:t>
            </w:r>
          </w:p>
        </w:tc>
        <w:tc>
          <w:tcPr>
            <w:tcW w:w="0" w:type="auto"/>
            <w:tcBorders>
              <w:top w:val="single" w:sz="6" w:space="0" w:color="auto"/>
              <w:left w:val="single" w:sz="6" w:space="0" w:color="auto"/>
              <w:bottom w:val="single" w:sz="6" w:space="0" w:color="auto"/>
              <w:right w:val="single" w:sz="6" w:space="0" w:color="auto"/>
            </w:tcBorders>
            <w:hideMark/>
          </w:tcPr>
          <w:p w14:paraId="0F06138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139329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CB9219C" w14:textId="77777777" w:rsidR="007F0AE0" w:rsidRPr="00781F59" w:rsidRDefault="007F0AE0" w:rsidP="00453DE3">
            <w:pPr>
              <w:contextualSpacing/>
              <w:rPr>
                <w:sz w:val="20"/>
                <w:szCs w:val="20"/>
              </w:rPr>
            </w:pPr>
            <w:r w:rsidRPr="00781F59">
              <w:rPr>
                <w:sz w:val="20"/>
                <w:szCs w:val="20"/>
              </w:rPr>
              <w:t>360</w:t>
            </w:r>
          </w:p>
        </w:tc>
        <w:tc>
          <w:tcPr>
            <w:tcW w:w="0" w:type="auto"/>
            <w:tcBorders>
              <w:top w:val="single" w:sz="6" w:space="0" w:color="auto"/>
              <w:left w:val="single" w:sz="6" w:space="0" w:color="auto"/>
              <w:bottom w:val="single" w:sz="6" w:space="0" w:color="auto"/>
              <w:right w:val="single" w:sz="6" w:space="0" w:color="auto"/>
            </w:tcBorders>
            <w:hideMark/>
          </w:tcPr>
          <w:p w14:paraId="154B3C4F" w14:textId="77777777" w:rsidR="007F0AE0" w:rsidRPr="00781F59" w:rsidRDefault="007F0AE0" w:rsidP="00453DE3">
            <w:pPr>
              <w:contextualSpacing/>
              <w:rPr>
                <w:sz w:val="20"/>
                <w:szCs w:val="20"/>
              </w:rPr>
            </w:pPr>
            <w:r w:rsidRPr="00781F59">
              <w:rPr>
                <w:sz w:val="20"/>
                <w:szCs w:val="20"/>
              </w:rPr>
              <w:t>Shannon M Farley, Michael Johns 2017 New York City flavoured tobacco product sales ban evaluation.. Tobacco control; 26.78.</w:t>
            </w:r>
          </w:p>
        </w:tc>
        <w:tc>
          <w:tcPr>
            <w:tcW w:w="0" w:type="auto"/>
            <w:tcBorders>
              <w:top w:val="single" w:sz="6" w:space="0" w:color="auto"/>
              <w:left w:val="single" w:sz="6" w:space="0" w:color="auto"/>
              <w:bottom w:val="single" w:sz="6" w:space="0" w:color="auto"/>
              <w:right w:val="single" w:sz="6" w:space="0" w:color="auto"/>
            </w:tcBorders>
            <w:hideMark/>
          </w:tcPr>
          <w:p w14:paraId="0255661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45C2D6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A572008" w14:textId="77777777" w:rsidR="007F0AE0" w:rsidRPr="00781F59" w:rsidRDefault="007F0AE0" w:rsidP="00453DE3">
            <w:pPr>
              <w:contextualSpacing/>
              <w:rPr>
                <w:sz w:val="20"/>
                <w:szCs w:val="20"/>
              </w:rPr>
            </w:pPr>
            <w:r w:rsidRPr="00781F59">
              <w:rPr>
                <w:sz w:val="20"/>
                <w:szCs w:val="20"/>
              </w:rPr>
              <w:t>367</w:t>
            </w:r>
          </w:p>
        </w:tc>
        <w:tc>
          <w:tcPr>
            <w:tcW w:w="0" w:type="auto"/>
            <w:tcBorders>
              <w:top w:val="single" w:sz="6" w:space="0" w:color="auto"/>
              <w:left w:val="single" w:sz="6" w:space="0" w:color="auto"/>
              <w:bottom w:val="single" w:sz="6" w:space="0" w:color="auto"/>
              <w:right w:val="single" w:sz="6" w:space="0" w:color="auto"/>
            </w:tcBorders>
            <w:hideMark/>
          </w:tcPr>
          <w:p w14:paraId="6B749477" w14:textId="77777777" w:rsidR="007F0AE0" w:rsidRPr="00781F59" w:rsidRDefault="007F0AE0" w:rsidP="00453DE3">
            <w:pPr>
              <w:contextualSpacing/>
              <w:rPr>
                <w:sz w:val="20"/>
                <w:szCs w:val="20"/>
              </w:rPr>
            </w:pPr>
            <w:r w:rsidRPr="00781F59">
              <w:rPr>
                <w:sz w:val="20"/>
                <w:szCs w:val="20"/>
              </w:rPr>
              <w:t>Andrea C Villanti, Amanda L Johnson, Bridget K Ambrose, K Michael Cummings, Cassandra A Stanton, Shyanika W Rose, Shari P Feirman, Cindy Tworek, Allison M Glasser, Jennifer L Pearson, Amy M Cohn, Kevin P Conway, Raymond S Niaura, Maansi Bansal-Travers, Andrew Hyland 2017 Flavored Tobacco Product Use in Youth and Adults: Findings From the First Wave of the PATH Study (2013-2014).. American journal of preventive medicine; 53.139.</w:t>
            </w:r>
          </w:p>
        </w:tc>
        <w:tc>
          <w:tcPr>
            <w:tcW w:w="0" w:type="auto"/>
            <w:tcBorders>
              <w:top w:val="single" w:sz="6" w:space="0" w:color="auto"/>
              <w:left w:val="single" w:sz="6" w:space="0" w:color="auto"/>
              <w:bottom w:val="single" w:sz="6" w:space="0" w:color="auto"/>
              <w:right w:val="single" w:sz="6" w:space="0" w:color="auto"/>
            </w:tcBorders>
            <w:hideMark/>
          </w:tcPr>
          <w:p w14:paraId="727096F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418E3C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F471173" w14:textId="77777777" w:rsidR="007F0AE0" w:rsidRPr="00781F59" w:rsidRDefault="007F0AE0" w:rsidP="00453DE3">
            <w:pPr>
              <w:contextualSpacing/>
              <w:rPr>
                <w:sz w:val="20"/>
                <w:szCs w:val="20"/>
              </w:rPr>
            </w:pPr>
            <w:r w:rsidRPr="00781F59">
              <w:rPr>
                <w:sz w:val="20"/>
                <w:szCs w:val="20"/>
              </w:rPr>
              <w:t>369</w:t>
            </w:r>
          </w:p>
        </w:tc>
        <w:tc>
          <w:tcPr>
            <w:tcW w:w="0" w:type="auto"/>
            <w:tcBorders>
              <w:top w:val="single" w:sz="6" w:space="0" w:color="auto"/>
              <w:left w:val="single" w:sz="6" w:space="0" w:color="auto"/>
              <w:bottom w:val="single" w:sz="6" w:space="0" w:color="auto"/>
              <w:right w:val="single" w:sz="6" w:space="0" w:color="auto"/>
            </w:tcBorders>
            <w:hideMark/>
          </w:tcPr>
          <w:p w14:paraId="24754FBB" w14:textId="77777777" w:rsidR="007F0AE0" w:rsidRPr="00781F59" w:rsidRDefault="007F0AE0" w:rsidP="00453DE3">
            <w:pPr>
              <w:contextualSpacing/>
              <w:rPr>
                <w:sz w:val="20"/>
                <w:szCs w:val="20"/>
              </w:rPr>
            </w:pPr>
            <w:r w:rsidRPr="00781F59">
              <w:rPr>
                <w:sz w:val="20"/>
                <w:szCs w:val="20"/>
              </w:rPr>
              <w:t>K Sterling, C Fryer, I Pagano, D Jones, P Fagan 2016 Association between menthol-flavoured cigarette smoking and flavoured little cigar and cigarillo use among African-American, Hispanic, and white young and middle-aged adult smokers.. Tobacco control; 25.ii21.</w:t>
            </w:r>
          </w:p>
        </w:tc>
        <w:tc>
          <w:tcPr>
            <w:tcW w:w="0" w:type="auto"/>
            <w:tcBorders>
              <w:top w:val="single" w:sz="6" w:space="0" w:color="auto"/>
              <w:left w:val="single" w:sz="6" w:space="0" w:color="auto"/>
              <w:bottom w:val="single" w:sz="6" w:space="0" w:color="auto"/>
              <w:right w:val="single" w:sz="6" w:space="0" w:color="auto"/>
            </w:tcBorders>
            <w:hideMark/>
          </w:tcPr>
          <w:p w14:paraId="4380827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8AC44B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E7CC2C" w14:textId="77777777" w:rsidR="007F0AE0" w:rsidRPr="00781F59" w:rsidRDefault="007F0AE0" w:rsidP="00453DE3">
            <w:pPr>
              <w:contextualSpacing/>
              <w:rPr>
                <w:sz w:val="20"/>
                <w:szCs w:val="20"/>
              </w:rPr>
            </w:pPr>
            <w:r w:rsidRPr="00781F59">
              <w:rPr>
                <w:sz w:val="20"/>
                <w:szCs w:val="20"/>
              </w:rPr>
              <w:t>376</w:t>
            </w:r>
          </w:p>
        </w:tc>
        <w:tc>
          <w:tcPr>
            <w:tcW w:w="0" w:type="auto"/>
            <w:tcBorders>
              <w:top w:val="single" w:sz="6" w:space="0" w:color="auto"/>
              <w:left w:val="single" w:sz="6" w:space="0" w:color="auto"/>
              <w:bottom w:val="single" w:sz="6" w:space="0" w:color="auto"/>
              <w:right w:val="single" w:sz="6" w:space="0" w:color="auto"/>
            </w:tcBorders>
            <w:hideMark/>
          </w:tcPr>
          <w:p w14:paraId="0C907D45" w14:textId="77777777" w:rsidR="007F0AE0" w:rsidRPr="00781F59" w:rsidRDefault="007F0AE0" w:rsidP="00453DE3">
            <w:pPr>
              <w:contextualSpacing/>
              <w:rPr>
                <w:sz w:val="20"/>
                <w:szCs w:val="20"/>
              </w:rPr>
            </w:pPr>
            <w:r w:rsidRPr="00781F59">
              <w:rPr>
                <w:sz w:val="20"/>
                <w:szCs w:val="20"/>
              </w:rPr>
              <w:t>P Clemmey, R Brooner, M A Chutuape, M Kidorf, M Stitzer 1997 Smoking habits and attitudes in a methadone maintenance treatment population.. Drug and alcohol dependence; 44.123.</w:t>
            </w:r>
          </w:p>
        </w:tc>
        <w:tc>
          <w:tcPr>
            <w:tcW w:w="0" w:type="auto"/>
            <w:tcBorders>
              <w:top w:val="single" w:sz="6" w:space="0" w:color="auto"/>
              <w:left w:val="single" w:sz="6" w:space="0" w:color="auto"/>
              <w:bottom w:val="single" w:sz="6" w:space="0" w:color="auto"/>
              <w:right w:val="single" w:sz="6" w:space="0" w:color="auto"/>
            </w:tcBorders>
            <w:hideMark/>
          </w:tcPr>
          <w:p w14:paraId="1E2265E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AE72F7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D49BE8" w14:textId="77777777" w:rsidR="007F0AE0" w:rsidRPr="00781F59" w:rsidRDefault="007F0AE0" w:rsidP="00453DE3">
            <w:pPr>
              <w:contextualSpacing/>
              <w:rPr>
                <w:sz w:val="20"/>
                <w:szCs w:val="20"/>
              </w:rPr>
            </w:pPr>
            <w:r w:rsidRPr="00781F59">
              <w:rPr>
                <w:sz w:val="20"/>
                <w:szCs w:val="20"/>
              </w:rPr>
              <w:t>379</w:t>
            </w:r>
          </w:p>
        </w:tc>
        <w:tc>
          <w:tcPr>
            <w:tcW w:w="0" w:type="auto"/>
            <w:tcBorders>
              <w:top w:val="single" w:sz="6" w:space="0" w:color="auto"/>
              <w:left w:val="single" w:sz="6" w:space="0" w:color="auto"/>
              <w:bottom w:val="single" w:sz="6" w:space="0" w:color="auto"/>
              <w:right w:val="single" w:sz="6" w:space="0" w:color="auto"/>
            </w:tcBorders>
            <w:hideMark/>
          </w:tcPr>
          <w:p w14:paraId="3E6E1069" w14:textId="77777777" w:rsidR="007F0AE0" w:rsidRPr="00781F59" w:rsidRDefault="007F0AE0" w:rsidP="00453DE3">
            <w:pPr>
              <w:contextualSpacing/>
              <w:rPr>
                <w:sz w:val="20"/>
                <w:szCs w:val="20"/>
              </w:rPr>
            </w:pPr>
            <w:r w:rsidRPr="00781F59">
              <w:rPr>
                <w:sz w:val="20"/>
                <w:szCs w:val="20"/>
              </w:rPr>
              <w:t>Nancy C Jao, Anna K Veluz-Wilkins, Matthew J Smith, Allison J Carroll, Sonja Blazekovic, Frank T Leone, Rachel F Tyndale, Robert A Schnoll, Brian Hitsman 2017 Does menthol cigarette use moderate the effect of nicotine metabolism on short-term smoking cessation?.. Experimental and clinical psychopharmacology; 25.216.</w:t>
            </w:r>
          </w:p>
        </w:tc>
        <w:tc>
          <w:tcPr>
            <w:tcW w:w="0" w:type="auto"/>
            <w:tcBorders>
              <w:top w:val="single" w:sz="6" w:space="0" w:color="auto"/>
              <w:left w:val="single" w:sz="6" w:space="0" w:color="auto"/>
              <w:bottom w:val="single" w:sz="6" w:space="0" w:color="auto"/>
              <w:right w:val="single" w:sz="6" w:space="0" w:color="auto"/>
            </w:tcBorders>
            <w:hideMark/>
          </w:tcPr>
          <w:p w14:paraId="1F78732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C93D8B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14787D" w14:textId="77777777" w:rsidR="007F0AE0" w:rsidRPr="00781F59" w:rsidRDefault="007F0AE0" w:rsidP="00453DE3">
            <w:pPr>
              <w:contextualSpacing/>
              <w:rPr>
                <w:sz w:val="20"/>
                <w:szCs w:val="20"/>
              </w:rPr>
            </w:pPr>
            <w:r w:rsidRPr="00781F59">
              <w:rPr>
                <w:sz w:val="20"/>
                <w:szCs w:val="20"/>
              </w:rPr>
              <w:t>380</w:t>
            </w:r>
          </w:p>
        </w:tc>
        <w:tc>
          <w:tcPr>
            <w:tcW w:w="0" w:type="auto"/>
            <w:tcBorders>
              <w:top w:val="single" w:sz="6" w:space="0" w:color="auto"/>
              <w:left w:val="single" w:sz="6" w:space="0" w:color="auto"/>
              <w:bottom w:val="single" w:sz="6" w:space="0" w:color="auto"/>
              <w:right w:val="single" w:sz="6" w:space="0" w:color="auto"/>
            </w:tcBorders>
            <w:hideMark/>
          </w:tcPr>
          <w:p w14:paraId="265F3D49" w14:textId="77777777" w:rsidR="007F0AE0" w:rsidRPr="00781F59" w:rsidRDefault="007F0AE0" w:rsidP="00453DE3">
            <w:pPr>
              <w:contextualSpacing/>
              <w:rPr>
                <w:sz w:val="20"/>
                <w:szCs w:val="20"/>
              </w:rPr>
            </w:pPr>
            <w:r w:rsidRPr="00781F59">
              <w:rPr>
                <w:sz w:val="20"/>
                <w:szCs w:val="20"/>
              </w:rPr>
              <w:t>N H Caskey, M E Jarvik, W J McCarthy, M R Rosenblatt, T M Gross, C L Carpenter 1993 Rapid smoking of menthol and nonmenthol cigarettes by black and white smokers.. Pharmacology, biochemistry, and behavior; 46.259.</w:t>
            </w:r>
          </w:p>
        </w:tc>
        <w:tc>
          <w:tcPr>
            <w:tcW w:w="0" w:type="auto"/>
            <w:tcBorders>
              <w:top w:val="single" w:sz="6" w:space="0" w:color="auto"/>
              <w:left w:val="single" w:sz="6" w:space="0" w:color="auto"/>
              <w:bottom w:val="single" w:sz="6" w:space="0" w:color="auto"/>
              <w:right w:val="single" w:sz="6" w:space="0" w:color="auto"/>
            </w:tcBorders>
            <w:hideMark/>
          </w:tcPr>
          <w:p w14:paraId="2EBEE63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20AC83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EE293D" w14:textId="77777777" w:rsidR="007F0AE0" w:rsidRPr="00781F59" w:rsidRDefault="007F0AE0" w:rsidP="00453DE3">
            <w:pPr>
              <w:contextualSpacing/>
              <w:rPr>
                <w:sz w:val="20"/>
                <w:szCs w:val="20"/>
              </w:rPr>
            </w:pPr>
            <w:r w:rsidRPr="00781F59">
              <w:rPr>
                <w:sz w:val="20"/>
                <w:szCs w:val="20"/>
              </w:rPr>
              <w:t>385</w:t>
            </w:r>
          </w:p>
        </w:tc>
        <w:tc>
          <w:tcPr>
            <w:tcW w:w="0" w:type="auto"/>
            <w:tcBorders>
              <w:top w:val="single" w:sz="6" w:space="0" w:color="auto"/>
              <w:left w:val="single" w:sz="6" w:space="0" w:color="auto"/>
              <w:bottom w:val="single" w:sz="6" w:space="0" w:color="auto"/>
              <w:right w:val="single" w:sz="6" w:space="0" w:color="auto"/>
            </w:tcBorders>
            <w:hideMark/>
          </w:tcPr>
          <w:p w14:paraId="11B10911" w14:textId="77777777" w:rsidR="007F0AE0" w:rsidRPr="00781F59" w:rsidRDefault="007F0AE0" w:rsidP="00453DE3">
            <w:pPr>
              <w:contextualSpacing/>
              <w:rPr>
                <w:sz w:val="20"/>
                <w:szCs w:val="20"/>
              </w:rPr>
            </w:pPr>
            <w:r w:rsidRPr="00781F59">
              <w:rPr>
                <w:sz w:val="20"/>
                <w:szCs w:val="20"/>
              </w:rPr>
              <w:t>Pamela Valera, F Joseph McClernon, Greer Burkholder, Michael J Mugavero, James Willig, Conall O'Cleirigh, Karen L Cropsey 2017 A Pilot Trial Examining African American and White Responses to Algorithm-Guided Smoking Cessation Medication Selection in Persons Living with HIV.. AIDS and behavior; 21.1975.</w:t>
            </w:r>
          </w:p>
        </w:tc>
        <w:tc>
          <w:tcPr>
            <w:tcW w:w="0" w:type="auto"/>
            <w:tcBorders>
              <w:top w:val="single" w:sz="6" w:space="0" w:color="auto"/>
              <w:left w:val="single" w:sz="6" w:space="0" w:color="auto"/>
              <w:bottom w:val="single" w:sz="6" w:space="0" w:color="auto"/>
              <w:right w:val="single" w:sz="6" w:space="0" w:color="auto"/>
            </w:tcBorders>
            <w:hideMark/>
          </w:tcPr>
          <w:p w14:paraId="4FB5870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6921CC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AF3B7E" w14:textId="77777777" w:rsidR="007F0AE0" w:rsidRPr="00781F59" w:rsidRDefault="007F0AE0" w:rsidP="00453DE3">
            <w:pPr>
              <w:contextualSpacing/>
              <w:rPr>
                <w:sz w:val="20"/>
                <w:szCs w:val="20"/>
              </w:rPr>
            </w:pPr>
            <w:r w:rsidRPr="00781F59">
              <w:rPr>
                <w:sz w:val="20"/>
                <w:szCs w:val="20"/>
              </w:rPr>
              <w:t>387</w:t>
            </w:r>
          </w:p>
        </w:tc>
        <w:tc>
          <w:tcPr>
            <w:tcW w:w="0" w:type="auto"/>
            <w:tcBorders>
              <w:top w:val="single" w:sz="6" w:space="0" w:color="auto"/>
              <w:left w:val="single" w:sz="6" w:space="0" w:color="auto"/>
              <w:bottom w:val="single" w:sz="6" w:space="0" w:color="auto"/>
              <w:right w:val="single" w:sz="6" w:space="0" w:color="auto"/>
            </w:tcBorders>
            <w:hideMark/>
          </w:tcPr>
          <w:p w14:paraId="478A515A" w14:textId="77777777" w:rsidR="007F0AE0" w:rsidRPr="00781F59" w:rsidRDefault="007F0AE0" w:rsidP="00453DE3">
            <w:pPr>
              <w:contextualSpacing/>
              <w:rPr>
                <w:sz w:val="20"/>
                <w:szCs w:val="20"/>
              </w:rPr>
            </w:pPr>
            <w:r w:rsidRPr="00781F59">
              <w:rPr>
                <w:sz w:val="20"/>
                <w:szCs w:val="20"/>
              </w:rPr>
              <w:t>Charles J Courtemanche, Makayla K Palmer, Michael F Pesko 2017 Influence of the Flavored Cigarette Ban on Adolescent Tobacco Use.. American journal of preventive medicine; 52.e139.</w:t>
            </w:r>
          </w:p>
        </w:tc>
        <w:tc>
          <w:tcPr>
            <w:tcW w:w="0" w:type="auto"/>
            <w:tcBorders>
              <w:top w:val="single" w:sz="6" w:space="0" w:color="auto"/>
              <w:left w:val="single" w:sz="6" w:space="0" w:color="auto"/>
              <w:bottom w:val="single" w:sz="6" w:space="0" w:color="auto"/>
              <w:right w:val="single" w:sz="6" w:space="0" w:color="auto"/>
            </w:tcBorders>
            <w:hideMark/>
          </w:tcPr>
          <w:p w14:paraId="205FCEE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672509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6717D1" w14:textId="77777777" w:rsidR="007F0AE0" w:rsidRPr="00781F59" w:rsidRDefault="007F0AE0" w:rsidP="00453DE3">
            <w:pPr>
              <w:contextualSpacing/>
              <w:rPr>
                <w:sz w:val="20"/>
                <w:szCs w:val="20"/>
              </w:rPr>
            </w:pPr>
            <w:r w:rsidRPr="00781F59">
              <w:rPr>
                <w:sz w:val="20"/>
                <w:szCs w:val="20"/>
              </w:rPr>
              <w:t>389</w:t>
            </w:r>
          </w:p>
        </w:tc>
        <w:tc>
          <w:tcPr>
            <w:tcW w:w="0" w:type="auto"/>
            <w:tcBorders>
              <w:top w:val="single" w:sz="6" w:space="0" w:color="auto"/>
              <w:left w:val="single" w:sz="6" w:space="0" w:color="auto"/>
              <w:bottom w:val="single" w:sz="6" w:space="0" w:color="auto"/>
              <w:right w:val="single" w:sz="6" w:space="0" w:color="auto"/>
            </w:tcBorders>
            <w:hideMark/>
          </w:tcPr>
          <w:p w14:paraId="5409B418" w14:textId="77777777" w:rsidR="007F0AE0" w:rsidRPr="00781F59" w:rsidRDefault="007F0AE0" w:rsidP="00453DE3">
            <w:pPr>
              <w:contextualSpacing/>
              <w:rPr>
                <w:sz w:val="20"/>
                <w:szCs w:val="20"/>
              </w:rPr>
            </w:pPr>
            <w:r w:rsidRPr="00781F59">
              <w:rPr>
                <w:sz w:val="20"/>
                <w:szCs w:val="20"/>
              </w:rPr>
              <w:t>Arnab Mukherjea, Olivia A Wackowski, Youn Ok Lee, Cristine D Delnevo 2014 Asian American, Native Hawaiian and Pacific Islander tobacco use patterns.. American journal of health behavior; 38.362.</w:t>
            </w:r>
          </w:p>
        </w:tc>
        <w:tc>
          <w:tcPr>
            <w:tcW w:w="0" w:type="auto"/>
            <w:tcBorders>
              <w:top w:val="single" w:sz="6" w:space="0" w:color="auto"/>
              <w:left w:val="single" w:sz="6" w:space="0" w:color="auto"/>
              <w:bottom w:val="single" w:sz="6" w:space="0" w:color="auto"/>
              <w:right w:val="single" w:sz="6" w:space="0" w:color="auto"/>
            </w:tcBorders>
            <w:hideMark/>
          </w:tcPr>
          <w:p w14:paraId="134EF0A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21E8ED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8B8819" w14:textId="77777777" w:rsidR="007F0AE0" w:rsidRPr="00781F59" w:rsidRDefault="007F0AE0" w:rsidP="00453DE3">
            <w:pPr>
              <w:contextualSpacing/>
              <w:rPr>
                <w:sz w:val="20"/>
                <w:szCs w:val="20"/>
              </w:rPr>
            </w:pPr>
            <w:r w:rsidRPr="00781F59">
              <w:rPr>
                <w:sz w:val="20"/>
                <w:szCs w:val="20"/>
              </w:rPr>
              <w:t>390</w:t>
            </w:r>
          </w:p>
        </w:tc>
        <w:tc>
          <w:tcPr>
            <w:tcW w:w="0" w:type="auto"/>
            <w:tcBorders>
              <w:top w:val="single" w:sz="6" w:space="0" w:color="auto"/>
              <w:left w:val="single" w:sz="6" w:space="0" w:color="auto"/>
              <w:bottom w:val="single" w:sz="6" w:space="0" w:color="auto"/>
              <w:right w:val="single" w:sz="6" w:space="0" w:color="auto"/>
            </w:tcBorders>
            <w:hideMark/>
          </w:tcPr>
          <w:p w14:paraId="55F12AF4" w14:textId="77777777" w:rsidR="007F0AE0" w:rsidRPr="00781F59" w:rsidRDefault="007F0AE0" w:rsidP="00453DE3">
            <w:pPr>
              <w:contextualSpacing/>
              <w:rPr>
                <w:sz w:val="20"/>
                <w:szCs w:val="20"/>
              </w:rPr>
            </w:pPr>
            <w:r w:rsidRPr="00781F59">
              <w:rPr>
                <w:sz w:val="20"/>
                <w:szCs w:val="20"/>
              </w:rPr>
              <w:t>Ping-Ching Hsu, Renny S Lan, Theodore M Brasky, Catalin Marian, Amrita K Cheema, Habtom W Ressom, Christopher A Loffredo, Wallace B Pickworth, Peter G Shields 2017 Menthol Smokers: Metabolomic Profiling and Smoking Behavior.. Cancer epidemiology, biomarkers &amp; prevention : a publication of the American Association for Cancer Research, cosponsored by the American Society of Preventive Oncology; 26.51.</w:t>
            </w:r>
          </w:p>
        </w:tc>
        <w:tc>
          <w:tcPr>
            <w:tcW w:w="0" w:type="auto"/>
            <w:tcBorders>
              <w:top w:val="single" w:sz="6" w:space="0" w:color="auto"/>
              <w:left w:val="single" w:sz="6" w:space="0" w:color="auto"/>
              <w:bottom w:val="single" w:sz="6" w:space="0" w:color="auto"/>
              <w:right w:val="single" w:sz="6" w:space="0" w:color="auto"/>
            </w:tcBorders>
            <w:hideMark/>
          </w:tcPr>
          <w:p w14:paraId="2009C6D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430F60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95A61F6" w14:textId="77777777" w:rsidR="007F0AE0" w:rsidRPr="00781F59" w:rsidRDefault="007F0AE0" w:rsidP="00453DE3">
            <w:pPr>
              <w:contextualSpacing/>
              <w:rPr>
                <w:sz w:val="20"/>
                <w:szCs w:val="20"/>
              </w:rPr>
            </w:pPr>
            <w:r w:rsidRPr="00781F59">
              <w:rPr>
                <w:sz w:val="20"/>
                <w:szCs w:val="20"/>
              </w:rPr>
              <w:t>391</w:t>
            </w:r>
          </w:p>
        </w:tc>
        <w:tc>
          <w:tcPr>
            <w:tcW w:w="0" w:type="auto"/>
            <w:tcBorders>
              <w:top w:val="single" w:sz="6" w:space="0" w:color="auto"/>
              <w:left w:val="single" w:sz="6" w:space="0" w:color="auto"/>
              <w:bottom w:val="single" w:sz="6" w:space="0" w:color="auto"/>
              <w:right w:val="single" w:sz="6" w:space="0" w:color="auto"/>
            </w:tcBorders>
            <w:hideMark/>
          </w:tcPr>
          <w:p w14:paraId="7B6CF95F" w14:textId="77777777" w:rsidR="007F0AE0" w:rsidRPr="00781F59" w:rsidRDefault="007F0AE0" w:rsidP="00453DE3">
            <w:pPr>
              <w:contextualSpacing/>
              <w:rPr>
                <w:sz w:val="20"/>
                <w:szCs w:val="20"/>
              </w:rPr>
            </w:pPr>
            <w:r w:rsidRPr="00781F59">
              <w:rPr>
                <w:sz w:val="20"/>
                <w:szCs w:val="20"/>
              </w:rPr>
              <w:t>Ping-Ching Hsu, Renny S Lan, Theodore M Brasky, Catalin Marian, Amrita K Cheema, Habtom W Ressom, Christopher A Loffredo, Wallace B Pickworth, Peter G Shields 2017 Metabolomic profiles of current cigarette smokers.. Molecular carcinogenesis; 56.594.</w:t>
            </w:r>
          </w:p>
        </w:tc>
        <w:tc>
          <w:tcPr>
            <w:tcW w:w="0" w:type="auto"/>
            <w:tcBorders>
              <w:top w:val="single" w:sz="6" w:space="0" w:color="auto"/>
              <w:left w:val="single" w:sz="6" w:space="0" w:color="auto"/>
              <w:bottom w:val="single" w:sz="6" w:space="0" w:color="auto"/>
              <w:right w:val="single" w:sz="6" w:space="0" w:color="auto"/>
            </w:tcBorders>
            <w:hideMark/>
          </w:tcPr>
          <w:p w14:paraId="1EA7BE0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EA3937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5AE680" w14:textId="77777777" w:rsidR="007F0AE0" w:rsidRPr="00781F59" w:rsidRDefault="007F0AE0" w:rsidP="00453DE3">
            <w:pPr>
              <w:contextualSpacing/>
              <w:rPr>
                <w:sz w:val="20"/>
                <w:szCs w:val="20"/>
              </w:rPr>
            </w:pPr>
            <w:r w:rsidRPr="00781F59">
              <w:rPr>
                <w:sz w:val="20"/>
                <w:szCs w:val="20"/>
              </w:rPr>
              <w:t>393</w:t>
            </w:r>
          </w:p>
        </w:tc>
        <w:tc>
          <w:tcPr>
            <w:tcW w:w="0" w:type="auto"/>
            <w:tcBorders>
              <w:top w:val="single" w:sz="6" w:space="0" w:color="auto"/>
              <w:left w:val="single" w:sz="6" w:space="0" w:color="auto"/>
              <w:bottom w:val="single" w:sz="6" w:space="0" w:color="auto"/>
              <w:right w:val="single" w:sz="6" w:space="0" w:color="auto"/>
            </w:tcBorders>
            <w:hideMark/>
          </w:tcPr>
          <w:p w14:paraId="0B497752" w14:textId="77777777" w:rsidR="007F0AE0" w:rsidRPr="00781F59" w:rsidRDefault="007F0AE0" w:rsidP="00453DE3">
            <w:pPr>
              <w:contextualSpacing/>
              <w:rPr>
                <w:sz w:val="20"/>
                <w:szCs w:val="20"/>
              </w:rPr>
            </w:pPr>
            <w:r w:rsidRPr="00781F59">
              <w:rPr>
                <w:sz w:val="20"/>
                <w:szCs w:val="20"/>
              </w:rPr>
              <w:t>Stacey J Anderson 2011 Menthol cigarettes and smoking cessation behaviour: a review of tobacco industry documents.. Tobacco control; 20 Suppl 2.ii49.</w:t>
            </w:r>
          </w:p>
        </w:tc>
        <w:tc>
          <w:tcPr>
            <w:tcW w:w="0" w:type="auto"/>
            <w:tcBorders>
              <w:top w:val="single" w:sz="6" w:space="0" w:color="auto"/>
              <w:left w:val="single" w:sz="6" w:space="0" w:color="auto"/>
              <w:bottom w:val="single" w:sz="6" w:space="0" w:color="auto"/>
              <w:right w:val="single" w:sz="6" w:space="0" w:color="auto"/>
            </w:tcBorders>
            <w:hideMark/>
          </w:tcPr>
          <w:p w14:paraId="1C734ED2"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73CDA6C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5C6F5B" w14:textId="77777777" w:rsidR="007F0AE0" w:rsidRPr="00781F59" w:rsidRDefault="007F0AE0" w:rsidP="00453DE3">
            <w:pPr>
              <w:contextualSpacing/>
              <w:rPr>
                <w:sz w:val="20"/>
                <w:szCs w:val="20"/>
              </w:rPr>
            </w:pPr>
            <w:r w:rsidRPr="00781F59">
              <w:rPr>
                <w:sz w:val="20"/>
                <w:szCs w:val="20"/>
              </w:rPr>
              <w:t>395</w:t>
            </w:r>
          </w:p>
        </w:tc>
        <w:tc>
          <w:tcPr>
            <w:tcW w:w="0" w:type="auto"/>
            <w:tcBorders>
              <w:top w:val="single" w:sz="6" w:space="0" w:color="auto"/>
              <w:left w:val="single" w:sz="6" w:space="0" w:color="auto"/>
              <w:bottom w:val="single" w:sz="6" w:space="0" w:color="auto"/>
              <w:right w:val="single" w:sz="6" w:space="0" w:color="auto"/>
            </w:tcBorders>
            <w:hideMark/>
          </w:tcPr>
          <w:p w14:paraId="5928C1F6" w14:textId="77777777" w:rsidR="007F0AE0" w:rsidRPr="00781F59" w:rsidRDefault="007F0AE0" w:rsidP="00453DE3">
            <w:pPr>
              <w:contextualSpacing/>
              <w:rPr>
                <w:sz w:val="20"/>
                <w:szCs w:val="20"/>
              </w:rPr>
            </w:pPr>
            <w:r w:rsidRPr="00781F59">
              <w:rPr>
                <w:sz w:val="20"/>
                <w:szCs w:val="20"/>
              </w:rPr>
              <w:t>Valerie B Yerger, Phyra M McCandless 2011 Menthol sensory qualities and smoking topography: a review of tobacco industry documents.. Tobacco control; 20 Suppl 2.ii37.</w:t>
            </w:r>
          </w:p>
        </w:tc>
        <w:tc>
          <w:tcPr>
            <w:tcW w:w="0" w:type="auto"/>
            <w:tcBorders>
              <w:top w:val="single" w:sz="6" w:space="0" w:color="auto"/>
              <w:left w:val="single" w:sz="6" w:space="0" w:color="auto"/>
              <w:bottom w:val="single" w:sz="6" w:space="0" w:color="auto"/>
              <w:right w:val="single" w:sz="6" w:space="0" w:color="auto"/>
            </w:tcBorders>
            <w:hideMark/>
          </w:tcPr>
          <w:p w14:paraId="0BA5D449"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43B16CC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384B561" w14:textId="77777777" w:rsidR="007F0AE0" w:rsidRPr="00781F59" w:rsidRDefault="007F0AE0" w:rsidP="00453DE3">
            <w:pPr>
              <w:contextualSpacing/>
              <w:rPr>
                <w:sz w:val="20"/>
                <w:szCs w:val="20"/>
              </w:rPr>
            </w:pPr>
            <w:r w:rsidRPr="00781F59">
              <w:rPr>
                <w:sz w:val="20"/>
                <w:szCs w:val="20"/>
              </w:rPr>
              <w:t>396</w:t>
            </w:r>
          </w:p>
        </w:tc>
        <w:tc>
          <w:tcPr>
            <w:tcW w:w="0" w:type="auto"/>
            <w:tcBorders>
              <w:top w:val="single" w:sz="6" w:space="0" w:color="auto"/>
              <w:left w:val="single" w:sz="6" w:space="0" w:color="auto"/>
              <w:bottom w:val="single" w:sz="6" w:space="0" w:color="auto"/>
              <w:right w:val="single" w:sz="6" w:space="0" w:color="auto"/>
            </w:tcBorders>
            <w:hideMark/>
          </w:tcPr>
          <w:p w14:paraId="052F18FE" w14:textId="77777777" w:rsidR="007F0AE0" w:rsidRPr="00781F59" w:rsidRDefault="007F0AE0" w:rsidP="00453DE3">
            <w:pPr>
              <w:contextualSpacing/>
              <w:rPr>
                <w:sz w:val="20"/>
                <w:szCs w:val="20"/>
              </w:rPr>
            </w:pPr>
            <w:r w:rsidRPr="00781F59">
              <w:rPr>
                <w:sz w:val="20"/>
                <w:szCs w:val="20"/>
              </w:rPr>
              <w:t>Valerie B Yerger 2011 Menthol's potential effects on nicotine dependence: a tobacco industry perspective.. Tobacco control; 20 Suppl 2.ii29.</w:t>
            </w:r>
          </w:p>
        </w:tc>
        <w:tc>
          <w:tcPr>
            <w:tcW w:w="0" w:type="auto"/>
            <w:tcBorders>
              <w:top w:val="single" w:sz="6" w:space="0" w:color="auto"/>
              <w:left w:val="single" w:sz="6" w:space="0" w:color="auto"/>
              <w:bottom w:val="single" w:sz="6" w:space="0" w:color="auto"/>
              <w:right w:val="single" w:sz="6" w:space="0" w:color="auto"/>
            </w:tcBorders>
            <w:hideMark/>
          </w:tcPr>
          <w:p w14:paraId="7ADE7813"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46F079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A6320F" w14:textId="77777777" w:rsidR="007F0AE0" w:rsidRPr="00781F59" w:rsidRDefault="007F0AE0" w:rsidP="00453DE3">
            <w:pPr>
              <w:contextualSpacing/>
              <w:rPr>
                <w:sz w:val="20"/>
                <w:szCs w:val="20"/>
              </w:rPr>
            </w:pPr>
            <w:r w:rsidRPr="00781F59">
              <w:rPr>
                <w:sz w:val="20"/>
                <w:szCs w:val="20"/>
              </w:rPr>
              <w:lastRenderedPageBreak/>
              <w:t>401</w:t>
            </w:r>
          </w:p>
        </w:tc>
        <w:tc>
          <w:tcPr>
            <w:tcW w:w="0" w:type="auto"/>
            <w:tcBorders>
              <w:top w:val="single" w:sz="6" w:space="0" w:color="auto"/>
              <w:left w:val="single" w:sz="6" w:space="0" w:color="auto"/>
              <w:bottom w:val="single" w:sz="6" w:space="0" w:color="auto"/>
              <w:right w:val="single" w:sz="6" w:space="0" w:color="auto"/>
            </w:tcBorders>
            <w:hideMark/>
          </w:tcPr>
          <w:p w14:paraId="6ADB2C48" w14:textId="77777777" w:rsidR="007F0AE0" w:rsidRPr="00781F59" w:rsidRDefault="007F0AE0" w:rsidP="00453DE3">
            <w:pPr>
              <w:contextualSpacing/>
              <w:rPr>
                <w:sz w:val="20"/>
                <w:szCs w:val="20"/>
              </w:rPr>
            </w:pPr>
            <w:r w:rsidRPr="00781F59">
              <w:rPr>
                <w:sz w:val="20"/>
                <w:szCs w:val="20"/>
              </w:rPr>
              <w:t>Megan E Roberts, Nathan J Doogan, Allison N Kurti, Ryan Redner, Diann E Gaalema, Cassandra A Stanton, Thomas J White, Stephen T Higgins 2016 Rural tobacco use across the United States: How rural and urban areas differ, broken down by census regions and divisions.. Health &amp; place; 39.153.</w:t>
            </w:r>
          </w:p>
        </w:tc>
        <w:tc>
          <w:tcPr>
            <w:tcW w:w="0" w:type="auto"/>
            <w:tcBorders>
              <w:top w:val="single" w:sz="6" w:space="0" w:color="auto"/>
              <w:left w:val="single" w:sz="6" w:space="0" w:color="auto"/>
              <w:bottom w:val="single" w:sz="6" w:space="0" w:color="auto"/>
              <w:right w:val="single" w:sz="6" w:space="0" w:color="auto"/>
            </w:tcBorders>
            <w:hideMark/>
          </w:tcPr>
          <w:p w14:paraId="753EC74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F6572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840DBE" w14:textId="77777777" w:rsidR="007F0AE0" w:rsidRPr="00781F59" w:rsidRDefault="007F0AE0" w:rsidP="00453DE3">
            <w:pPr>
              <w:contextualSpacing/>
              <w:rPr>
                <w:sz w:val="20"/>
                <w:szCs w:val="20"/>
              </w:rPr>
            </w:pPr>
            <w:r w:rsidRPr="00781F59">
              <w:rPr>
                <w:sz w:val="20"/>
                <w:szCs w:val="20"/>
              </w:rPr>
              <w:t>402</w:t>
            </w:r>
          </w:p>
        </w:tc>
        <w:tc>
          <w:tcPr>
            <w:tcW w:w="0" w:type="auto"/>
            <w:tcBorders>
              <w:top w:val="single" w:sz="6" w:space="0" w:color="auto"/>
              <w:left w:val="single" w:sz="6" w:space="0" w:color="auto"/>
              <w:bottom w:val="single" w:sz="6" w:space="0" w:color="auto"/>
              <w:right w:val="single" w:sz="6" w:space="0" w:color="auto"/>
            </w:tcBorders>
            <w:hideMark/>
          </w:tcPr>
          <w:p w14:paraId="0F100798" w14:textId="77777777" w:rsidR="007F0AE0" w:rsidRPr="00781F59" w:rsidRDefault="007F0AE0" w:rsidP="00453DE3">
            <w:pPr>
              <w:contextualSpacing/>
              <w:rPr>
                <w:sz w:val="20"/>
                <w:szCs w:val="20"/>
              </w:rPr>
            </w:pPr>
            <w:r w:rsidRPr="00781F59">
              <w:rPr>
                <w:sz w:val="20"/>
                <w:szCs w:val="20"/>
              </w:rPr>
              <w:t>Olivia A Wackowski, Cristine D Delnevo 2016 Young Adults' Risk Perceptions of Various Tobacco Products Relative to Cigarettes: Results From the National Young Adult Health Survey.. Health education &amp; behavior : the official publication of the Society for Public Health Education; 43.328.</w:t>
            </w:r>
          </w:p>
        </w:tc>
        <w:tc>
          <w:tcPr>
            <w:tcW w:w="0" w:type="auto"/>
            <w:tcBorders>
              <w:top w:val="single" w:sz="6" w:space="0" w:color="auto"/>
              <w:left w:val="single" w:sz="6" w:space="0" w:color="auto"/>
              <w:bottom w:val="single" w:sz="6" w:space="0" w:color="auto"/>
              <w:right w:val="single" w:sz="6" w:space="0" w:color="auto"/>
            </w:tcBorders>
            <w:hideMark/>
          </w:tcPr>
          <w:p w14:paraId="7500165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C39F80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EB435D" w14:textId="77777777" w:rsidR="007F0AE0" w:rsidRPr="00781F59" w:rsidRDefault="007F0AE0" w:rsidP="00453DE3">
            <w:pPr>
              <w:contextualSpacing/>
              <w:rPr>
                <w:sz w:val="20"/>
                <w:szCs w:val="20"/>
              </w:rPr>
            </w:pPr>
            <w:r w:rsidRPr="00781F59">
              <w:rPr>
                <w:sz w:val="20"/>
                <w:szCs w:val="20"/>
              </w:rPr>
              <w:t>403</w:t>
            </w:r>
          </w:p>
        </w:tc>
        <w:tc>
          <w:tcPr>
            <w:tcW w:w="0" w:type="auto"/>
            <w:tcBorders>
              <w:top w:val="single" w:sz="6" w:space="0" w:color="auto"/>
              <w:left w:val="single" w:sz="6" w:space="0" w:color="auto"/>
              <w:bottom w:val="single" w:sz="6" w:space="0" w:color="auto"/>
              <w:right w:val="single" w:sz="6" w:space="0" w:color="auto"/>
            </w:tcBorders>
            <w:hideMark/>
          </w:tcPr>
          <w:p w14:paraId="0983F518" w14:textId="77777777" w:rsidR="007F0AE0" w:rsidRPr="00781F59" w:rsidRDefault="007F0AE0" w:rsidP="00453DE3">
            <w:pPr>
              <w:contextualSpacing/>
              <w:rPr>
                <w:sz w:val="20"/>
                <w:szCs w:val="20"/>
              </w:rPr>
            </w:pPr>
            <w:r w:rsidRPr="00781F59">
              <w:rPr>
                <w:sz w:val="20"/>
                <w:szCs w:val="20"/>
              </w:rPr>
              <w:t>Patricia Folan, Raisa Abramova, Christine Fardellone 2017 What Is Menthol?.. American journal of respiratory and critical care medicine; 196.P9.</w:t>
            </w:r>
          </w:p>
        </w:tc>
        <w:tc>
          <w:tcPr>
            <w:tcW w:w="0" w:type="auto"/>
            <w:tcBorders>
              <w:top w:val="single" w:sz="6" w:space="0" w:color="auto"/>
              <w:left w:val="single" w:sz="6" w:space="0" w:color="auto"/>
              <w:bottom w:val="single" w:sz="6" w:space="0" w:color="auto"/>
              <w:right w:val="single" w:sz="6" w:space="0" w:color="auto"/>
            </w:tcBorders>
            <w:hideMark/>
          </w:tcPr>
          <w:p w14:paraId="265E56F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1441E2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6ECD8EB" w14:textId="77777777" w:rsidR="007F0AE0" w:rsidRPr="00781F59" w:rsidRDefault="007F0AE0" w:rsidP="00453DE3">
            <w:pPr>
              <w:contextualSpacing/>
              <w:rPr>
                <w:sz w:val="20"/>
                <w:szCs w:val="20"/>
              </w:rPr>
            </w:pPr>
            <w:r w:rsidRPr="00781F59">
              <w:rPr>
                <w:sz w:val="20"/>
                <w:szCs w:val="20"/>
              </w:rPr>
              <w:t>404</w:t>
            </w:r>
          </w:p>
        </w:tc>
        <w:tc>
          <w:tcPr>
            <w:tcW w:w="0" w:type="auto"/>
            <w:tcBorders>
              <w:top w:val="single" w:sz="6" w:space="0" w:color="auto"/>
              <w:left w:val="single" w:sz="6" w:space="0" w:color="auto"/>
              <w:bottom w:val="single" w:sz="6" w:space="0" w:color="auto"/>
              <w:right w:val="single" w:sz="6" w:space="0" w:color="auto"/>
            </w:tcBorders>
            <w:hideMark/>
          </w:tcPr>
          <w:p w14:paraId="674A87EF" w14:textId="77777777" w:rsidR="007F0AE0" w:rsidRPr="00781F59" w:rsidRDefault="007F0AE0" w:rsidP="00453DE3">
            <w:pPr>
              <w:contextualSpacing/>
              <w:rPr>
                <w:sz w:val="20"/>
                <w:szCs w:val="20"/>
              </w:rPr>
            </w:pPr>
            <w:r w:rsidRPr="00781F59">
              <w:rPr>
                <w:sz w:val="20"/>
                <w:szCs w:val="20"/>
              </w:rPr>
              <w:t>Joelle M Lester, Stacey Younger Gagosian 2017 Finished with Menthol: An Evidence-Based Policy Option That Will Save Lives.. The Journal of law, medicine &amp; ethics : a journal of the American Society of Law, Medicine &amp; Ethics; 45.41.</w:t>
            </w:r>
          </w:p>
        </w:tc>
        <w:tc>
          <w:tcPr>
            <w:tcW w:w="0" w:type="auto"/>
            <w:tcBorders>
              <w:top w:val="single" w:sz="6" w:space="0" w:color="auto"/>
              <w:left w:val="single" w:sz="6" w:space="0" w:color="auto"/>
              <w:bottom w:val="single" w:sz="6" w:space="0" w:color="auto"/>
              <w:right w:val="single" w:sz="6" w:space="0" w:color="auto"/>
            </w:tcBorders>
            <w:hideMark/>
          </w:tcPr>
          <w:p w14:paraId="314DD07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6494B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44C634" w14:textId="77777777" w:rsidR="007F0AE0" w:rsidRPr="00781F59" w:rsidRDefault="007F0AE0" w:rsidP="00453DE3">
            <w:pPr>
              <w:contextualSpacing/>
              <w:rPr>
                <w:sz w:val="20"/>
                <w:szCs w:val="20"/>
              </w:rPr>
            </w:pPr>
            <w:r w:rsidRPr="00781F59">
              <w:rPr>
                <w:sz w:val="20"/>
                <w:szCs w:val="20"/>
              </w:rPr>
              <w:t>407</w:t>
            </w:r>
          </w:p>
        </w:tc>
        <w:tc>
          <w:tcPr>
            <w:tcW w:w="0" w:type="auto"/>
            <w:tcBorders>
              <w:top w:val="single" w:sz="6" w:space="0" w:color="auto"/>
              <w:left w:val="single" w:sz="6" w:space="0" w:color="auto"/>
              <w:bottom w:val="single" w:sz="6" w:space="0" w:color="auto"/>
              <w:right w:val="single" w:sz="6" w:space="0" w:color="auto"/>
            </w:tcBorders>
            <w:hideMark/>
          </w:tcPr>
          <w:p w14:paraId="5274C083" w14:textId="77777777" w:rsidR="007F0AE0" w:rsidRPr="00781F59" w:rsidRDefault="007F0AE0" w:rsidP="00453DE3">
            <w:pPr>
              <w:contextualSpacing/>
              <w:rPr>
                <w:sz w:val="20"/>
                <w:szCs w:val="20"/>
              </w:rPr>
            </w:pPr>
            <w:r w:rsidRPr="00781F59">
              <w:rPr>
                <w:sz w:val="20"/>
                <w:szCs w:val="20"/>
              </w:rPr>
              <w:t>Nathan Gale, Mike McEwan, Alison C Eldridge, Neil Sherwood, Edward Bowen, Simon McDermott, Emma Holmes, Andrew Hedge, Stuart Hossack, Oscar M Camacho, Graham Errington, John McAughey, James Murphy, Chuan Liu, Christopher J Proctor, Ian M Fearon 2017 A randomised, controlled, two-Centre open-label study in healthy Japanese subjects to evaluate the effect on biomarkers of exposure of switching from a conventional cigarette to a tobacco heating product.. BMC public health; 17.673.</w:t>
            </w:r>
          </w:p>
        </w:tc>
        <w:tc>
          <w:tcPr>
            <w:tcW w:w="0" w:type="auto"/>
            <w:tcBorders>
              <w:top w:val="single" w:sz="6" w:space="0" w:color="auto"/>
              <w:left w:val="single" w:sz="6" w:space="0" w:color="auto"/>
              <w:bottom w:val="single" w:sz="6" w:space="0" w:color="auto"/>
              <w:right w:val="single" w:sz="6" w:space="0" w:color="auto"/>
            </w:tcBorders>
            <w:hideMark/>
          </w:tcPr>
          <w:p w14:paraId="640A32B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130BA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E770EC" w14:textId="77777777" w:rsidR="007F0AE0" w:rsidRPr="00781F59" w:rsidRDefault="007F0AE0" w:rsidP="00453DE3">
            <w:pPr>
              <w:contextualSpacing/>
              <w:rPr>
                <w:sz w:val="20"/>
                <w:szCs w:val="20"/>
              </w:rPr>
            </w:pPr>
            <w:r w:rsidRPr="00781F59">
              <w:rPr>
                <w:sz w:val="20"/>
                <w:szCs w:val="20"/>
              </w:rPr>
              <w:t>409</w:t>
            </w:r>
          </w:p>
        </w:tc>
        <w:tc>
          <w:tcPr>
            <w:tcW w:w="0" w:type="auto"/>
            <w:tcBorders>
              <w:top w:val="single" w:sz="6" w:space="0" w:color="auto"/>
              <w:left w:val="single" w:sz="6" w:space="0" w:color="auto"/>
              <w:bottom w:val="single" w:sz="6" w:space="0" w:color="auto"/>
              <w:right w:val="single" w:sz="6" w:space="0" w:color="auto"/>
            </w:tcBorders>
            <w:hideMark/>
          </w:tcPr>
          <w:p w14:paraId="6DE3FD4D" w14:textId="77777777" w:rsidR="007F0AE0" w:rsidRPr="00781F59" w:rsidRDefault="007F0AE0" w:rsidP="00453DE3">
            <w:pPr>
              <w:contextualSpacing/>
              <w:rPr>
                <w:sz w:val="20"/>
                <w:szCs w:val="20"/>
              </w:rPr>
            </w:pPr>
            <w:r w:rsidRPr="00781F59">
              <w:rPr>
                <w:sz w:val="20"/>
                <w:szCs w:val="20"/>
              </w:rPr>
              <w:t>Andrea C Villanti, Paul D Mowery, Cristine D Delnevo, Raymond S Niaura, David B Abrams, Gary A Giovino 2016 Changes in the prevalence and correlates of menthol cigarette use in the USA, 2004-2014.. Tobacco control; 25.ii14.</w:t>
            </w:r>
          </w:p>
        </w:tc>
        <w:tc>
          <w:tcPr>
            <w:tcW w:w="0" w:type="auto"/>
            <w:tcBorders>
              <w:top w:val="single" w:sz="6" w:space="0" w:color="auto"/>
              <w:left w:val="single" w:sz="6" w:space="0" w:color="auto"/>
              <w:bottom w:val="single" w:sz="6" w:space="0" w:color="auto"/>
              <w:right w:val="single" w:sz="6" w:space="0" w:color="auto"/>
            </w:tcBorders>
            <w:hideMark/>
          </w:tcPr>
          <w:p w14:paraId="5E795EA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326BC8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70BE08" w14:textId="77777777" w:rsidR="007F0AE0" w:rsidRPr="00781F59" w:rsidRDefault="007F0AE0" w:rsidP="00453DE3">
            <w:pPr>
              <w:contextualSpacing/>
              <w:rPr>
                <w:sz w:val="20"/>
                <w:szCs w:val="20"/>
              </w:rPr>
            </w:pPr>
            <w:r w:rsidRPr="00781F59">
              <w:rPr>
                <w:sz w:val="20"/>
                <w:szCs w:val="20"/>
              </w:rPr>
              <w:t>411</w:t>
            </w:r>
          </w:p>
        </w:tc>
        <w:tc>
          <w:tcPr>
            <w:tcW w:w="0" w:type="auto"/>
            <w:tcBorders>
              <w:top w:val="single" w:sz="6" w:space="0" w:color="auto"/>
              <w:left w:val="single" w:sz="6" w:space="0" w:color="auto"/>
              <w:bottom w:val="single" w:sz="6" w:space="0" w:color="auto"/>
              <w:right w:val="single" w:sz="6" w:space="0" w:color="auto"/>
            </w:tcBorders>
            <w:hideMark/>
          </w:tcPr>
          <w:p w14:paraId="013735D1" w14:textId="77777777" w:rsidR="007F0AE0" w:rsidRPr="00781F59" w:rsidRDefault="007F0AE0" w:rsidP="00453DE3">
            <w:pPr>
              <w:contextualSpacing/>
              <w:rPr>
                <w:sz w:val="20"/>
                <w:szCs w:val="20"/>
              </w:rPr>
            </w:pPr>
            <w:r w:rsidRPr="00781F59">
              <w:rPr>
                <w:sz w:val="20"/>
                <w:szCs w:val="20"/>
              </w:rPr>
              <w:t>Danielle M Smith, Maansi Bansal-Travers, Jidong Huang, Dianne Barker, Andrew J Hyland, Frank Chaloupka 2016 Association between use of flavoured tobacco products and quit behaviours: findings from a cross-sectional survey of US adult tobacco users.. Tobacco control; 25.ii73.</w:t>
            </w:r>
          </w:p>
        </w:tc>
        <w:tc>
          <w:tcPr>
            <w:tcW w:w="0" w:type="auto"/>
            <w:tcBorders>
              <w:top w:val="single" w:sz="6" w:space="0" w:color="auto"/>
              <w:left w:val="single" w:sz="6" w:space="0" w:color="auto"/>
              <w:bottom w:val="single" w:sz="6" w:space="0" w:color="auto"/>
              <w:right w:val="single" w:sz="6" w:space="0" w:color="auto"/>
            </w:tcBorders>
            <w:hideMark/>
          </w:tcPr>
          <w:p w14:paraId="3E183E9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D9B871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01BE595" w14:textId="77777777" w:rsidR="007F0AE0" w:rsidRPr="00781F59" w:rsidRDefault="007F0AE0" w:rsidP="00453DE3">
            <w:pPr>
              <w:contextualSpacing/>
              <w:rPr>
                <w:sz w:val="20"/>
                <w:szCs w:val="20"/>
              </w:rPr>
            </w:pPr>
            <w:r w:rsidRPr="00781F59">
              <w:rPr>
                <w:sz w:val="20"/>
                <w:szCs w:val="20"/>
              </w:rPr>
              <w:t>414</w:t>
            </w:r>
          </w:p>
        </w:tc>
        <w:tc>
          <w:tcPr>
            <w:tcW w:w="0" w:type="auto"/>
            <w:tcBorders>
              <w:top w:val="single" w:sz="6" w:space="0" w:color="auto"/>
              <w:left w:val="single" w:sz="6" w:space="0" w:color="auto"/>
              <w:bottom w:val="single" w:sz="6" w:space="0" w:color="auto"/>
              <w:right w:val="single" w:sz="6" w:space="0" w:color="auto"/>
            </w:tcBorders>
            <w:hideMark/>
          </w:tcPr>
          <w:p w14:paraId="09434ABE" w14:textId="77777777" w:rsidR="007F0AE0" w:rsidRPr="00781F59" w:rsidRDefault="007F0AE0" w:rsidP="00453DE3">
            <w:pPr>
              <w:contextualSpacing/>
              <w:rPr>
                <w:sz w:val="20"/>
                <w:szCs w:val="20"/>
              </w:rPr>
            </w:pPr>
            <w:r w:rsidRPr="00781F59">
              <w:rPr>
                <w:sz w:val="20"/>
                <w:szCs w:val="20"/>
              </w:rPr>
              <w:t>Jonathan M Samet, Mary Ann Pentz, Jennifer B Unger 2016 Flavoured tobacco products and the public's health: lessons from the TPSAC menthol report.. Tobacco control; 25.ii103.</w:t>
            </w:r>
          </w:p>
        </w:tc>
        <w:tc>
          <w:tcPr>
            <w:tcW w:w="0" w:type="auto"/>
            <w:tcBorders>
              <w:top w:val="single" w:sz="6" w:space="0" w:color="auto"/>
              <w:left w:val="single" w:sz="6" w:space="0" w:color="auto"/>
              <w:bottom w:val="single" w:sz="6" w:space="0" w:color="auto"/>
              <w:right w:val="single" w:sz="6" w:space="0" w:color="auto"/>
            </w:tcBorders>
            <w:hideMark/>
          </w:tcPr>
          <w:p w14:paraId="759704A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AD274F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9B3FC6" w14:textId="77777777" w:rsidR="007F0AE0" w:rsidRPr="00781F59" w:rsidRDefault="007F0AE0" w:rsidP="00453DE3">
            <w:pPr>
              <w:contextualSpacing/>
              <w:rPr>
                <w:sz w:val="20"/>
                <w:szCs w:val="20"/>
              </w:rPr>
            </w:pPr>
            <w:r w:rsidRPr="00781F59">
              <w:rPr>
                <w:sz w:val="20"/>
                <w:szCs w:val="20"/>
              </w:rPr>
              <w:t>418</w:t>
            </w:r>
          </w:p>
        </w:tc>
        <w:tc>
          <w:tcPr>
            <w:tcW w:w="0" w:type="auto"/>
            <w:tcBorders>
              <w:top w:val="single" w:sz="6" w:space="0" w:color="auto"/>
              <w:left w:val="single" w:sz="6" w:space="0" w:color="auto"/>
              <w:bottom w:val="single" w:sz="6" w:space="0" w:color="auto"/>
              <w:right w:val="single" w:sz="6" w:space="0" w:color="auto"/>
            </w:tcBorders>
            <w:hideMark/>
          </w:tcPr>
          <w:p w14:paraId="68EA5968" w14:textId="77777777" w:rsidR="007F0AE0" w:rsidRPr="00781F59" w:rsidRDefault="007F0AE0" w:rsidP="00453DE3">
            <w:pPr>
              <w:contextualSpacing/>
              <w:rPr>
                <w:sz w:val="20"/>
                <w:szCs w:val="20"/>
              </w:rPr>
            </w:pPr>
            <w:r w:rsidRPr="00781F59">
              <w:rPr>
                <w:sz w:val="20"/>
                <w:szCs w:val="20"/>
              </w:rPr>
              <w:t>Man Ki Ho, Babalola Faseru, Won S Choi, Nicole L Nollen, Matthew S Mayo, Janet L Thomas, Kolawole S Okuyemi, Jasjit S Ahluwalia, Neal L Benowitz, Rachel F Tyndale 2009 Utility and relationships of biomarkers of smoking in African-American light smokers.. Cancer epidemiology, biomarkers &amp; prevention : a publication of the American Association for Cancer Research, cosponsored by the American Society of Preventive Oncology; 18.3426.</w:t>
            </w:r>
          </w:p>
        </w:tc>
        <w:tc>
          <w:tcPr>
            <w:tcW w:w="0" w:type="auto"/>
            <w:tcBorders>
              <w:top w:val="single" w:sz="6" w:space="0" w:color="auto"/>
              <w:left w:val="single" w:sz="6" w:space="0" w:color="auto"/>
              <w:bottom w:val="single" w:sz="6" w:space="0" w:color="auto"/>
              <w:right w:val="single" w:sz="6" w:space="0" w:color="auto"/>
            </w:tcBorders>
            <w:hideMark/>
          </w:tcPr>
          <w:p w14:paraId="0174D9C1" w14:textId="77777777" w:rsidR="007F0AE0" w:rsidRPr="00781F59" w:rsidRDefault="007F0AE0" w:rsidP="00453DE3">
            <w:pPr>
              <w:contextualSpacing/>
              <w:rPr>
                <w:sz w:val="20"/>
                <w:szCs w:val="20"/>
              </w:rPr>
            </w:pPr>
            <w:r w:rsidRPr="00781F59">
              <w:rPr>
                <w:sz w:val="20"/>
                <w:szCs w:val="20"/>
              </w:rPr>
              <w:t>Duplicate article</w:t>
            </w:r>
          </w:p>
        </w:tc>
      </w:tr>
      <w:tr w:rsidR="007F0AE0" w:rsidRPr="00781F59" w14:paraId="7F3770B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DDF5E1" w14:textId="77777777" w:rsidR="007F0AE0" w:rsidRPr="00781F59" w:rsidRDefault="007F0AE0" w:rsidP="00453DE3">
            <w:pPr>
              <w:contextualSpacing/>
              <w:rPr>
                <w:sz w:val="20"/>
                <w:szCs w:val="20"/>
              </w:rPr>
            </w:pPr>
            <w:r w:rsidRPr="00781F59">
              <w:rPr>
                <w:sz w:val="20"/>
                <w:szCs w:val="20"/>
              </w:rPr>
              <w:t>419</w:t>
            </w:r>
          </w:p>
        </w:tc>
        <w:tc>
          <w:tcPr>
            <w:tcW w:w="0" w:type="auto"/>
            <w:tcBorders>
              <w:top w:val="single" w:sz="6" w:space="0" w:color="auto"/>
              <w:left w:val="single" w:sz="6" w:space="0" w:color="auto"/>
              <w:bottom w:val="single" w:sz="6" w:space="0" w:color="auto"/>
              <w:right w:val="single" w:sz="6" w:space="0" w:color="auto"/>
            </w:tcBorders>
            <w:hideMark/>
          </w:tcPr>
          <w:p w14:paraId="3C2EAF80" w14:textId="77777777" w:rsidR="007F0AE0" w:rsidRPr="00781F59" w:rsidRDefault="007F0AE0" w:rsidP="00453DE3">
            <w:pPr>
              <w:contextualSpacing/>
              <w:rPr>
                <w:sz w:val="20"/>
                <w:szCs w:val="20"/>
              </w:rPr>
            </w:pPr>
            <w:r w:rsidRPr="00781F59">
              <w:rPr>
                <w:sz w:val="20"/>
                <w:szCs w:val="20"/>
              </w:rPr>
              <w:t>Jill C Mwenifumbo, Edward M Sellers, Rachel F Tyndale 2008 Socioeconomic and drug use determinants of smoking status in an urban adult population of Black African descent.. Nicotine &amp; tobacco research : official journal of the Society for Research on Nicotine and Tobacco; 10.1319.</w:t>
            </w:r>
          </w:p>
        </w:tc>
        <w:tc>
          <w:tcPr>
            <w:tcW w:w="0" w:type="auto"/>
            <w:tcBorders>
              <w:top w:val="single" w:sz="6" w:space="0" w:color="auto"/>
              <w:left w:val="single" w:sz="6" w:space="0" w:color="auto"/>
              <w:bottom w:val="single" w:sz="6" w:space="0" w:color="auto"/>
              <w:right w:val="single" w:sz="6" w:space="0" w:color="auto"/>
            </w:tcBorders>
            <w:hideMark/>
          </w:tcPr>
          <w:p w14:paraId="660F9797"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465201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CED10A7" w14:textId="77777777" w:rsidR="007F0AE0" w:rsidRPr="00781F59" w:rsidRDefault="007F0AE0" w:rsidP="00453DE3">
            <w:pPr>
              <w:contextualSpacing/>
              <w:rPr>
                <w:sz w:val="20"/>
                <w:szCs w:val="20"/>
              </w:rPr>
            </w:pPr>
            <w:r w:rsidRPr="00781F59">
              <w:rPr>
                <w:sz w:val="20"/>
                <w:szCs w:val="20"/>
              </w:rPr>
              <w:t>421</w:t>
            </w:r>
          </w:p>
        </w:tc>
        <w:tc>
          <w:tcPr>
            <w:tcW w:w="0" w:type="auto"/>
            <w:tcBorders>
              <w:top w:val="single" w:sz="6" w:space="0" w:color="auto"/>
              <w:left w:val="single" w:sz="6" w:space="0" w:color="auto"/>
              <w:bottom w:val="single" w:sz="6" w:space="0" w:color="auto"/>
              <w:right w:val="single" w:sz="6" w:space="0" w:color="auto"/>
            </w:tcBorders>
            <w:hideMark/>
          </w:tcPr>
          <w:p w14:paraId="7DA4923C" w14:textId="77777777" w:rsidR="007F0AE0" w:rsidRPr="00781F59" w:rsidRDefault="007F0AE0" w:rsidP="00453DE3">
            <w:pPr>
              <w:contextualSpacing/>
              <w:rPr>
                <w:sz w:val="20"/>
                <w:szCs w:val="20"/>
              </w:rPr>
            </w:pPr>
            <w:r w:rsidRPr="00781F59">
              <w:rPr>
                <w:sz w:val="20"/>
                <w:szCs w:val="20"/>
              </w:rPr>
              <w:t>Wenlin Huang, Benjamin C Blount, Clifford H Watson, Christina Watson, David M Chambers 2017 Quantitative analysis of menthol in human urine using solid phase microextraction and stable isotope dilution gas chromatography-mass spectrometry.. Journal of chromatography. B, Analytical technologies in the biomedical and life sciences; 1044-1045.200.</w:t>
            </w:r>
          </w:p>
        </w:tc>
        <w:tc>
          <w:tcPr>
            <w:tcW w:w="0" w:type="auto"/>
            <w:tcBorders>
              <w:top w:val="single" w:sz="6" w:space="0" w:color="auto"/>
              <w:left w:val="single" w:sz="6" w:space="0" w:color="auto"/>
              <w:bottom w:val="single" w:sz="6" w:space="0" w:color="auto"/>
              <w:right w:val="single" w:sz="6" w:space="0" w:color="auto"/>
            </w:tcBorders>
            <w:hideMark/>
          </w:tcPr>
          <w:p w14:paraId="2D8AF12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C5E554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076BF6" w14:textId="77777777" w:rsidR="007F0AE0" w:rsidRPr="00781F59" w:rsidRDefault="007F0AE0" w:rsidP="00453DE3">
            <w:pPr>
              <w:contextualSpacing/>
              <w:rPr>
                <w:sz w:val="20"/>
                <w:szCs w:val="20"/>
              </w:rPr>
            </w:pPr>
            <w:r w:rsidRPr="00781F59">
              <w:rPr>
                <w:sz w:val="20"/>
                <w:szCs w:val="20"/>
              </w:rPr>
              <w:t>425</w:t>
            </w:r>
          </w:p>
        </w:tc>
        <w:tc>
          <w:tcPr>
            <w:tcW w:w="0" w:type="auto"/>
            <w:tcBorders>
              <w:top w:val="single" w:sz="6" w:space="0" w:color="auto"/>
              <w:left w:val="single" w:sz="6" w:space="0" w:color="auto"/>
              <w:bottom w:val="single" w:sz="6" w:space="0" w:color="auto"/>
              <w:right w:val="single" w:sz="6" w:space="0" w:color="auto"/>
            </w:tcBorders>
            <w:hideMark/>
          </w:tcPr>
          <w:p w14:paraId="5EC5A989" w14:textId="77777777" w:rsidR="007F0AE0" w:rsidRPr="00781F59" w:rsidRDefault="007F0AE0" w:rsidP="00453DE3">
            <w:pPr>
              <w:contextualSpacing/>
              <w:rPr>
                <w:sz w:val="20"/>
                <w:szCs w:val="20"/>
              </w:rPr>
            </w:pPr>
            <w:r w:rsidRPr="00781F59">
              <w:rPr>
                <w:sz w:val="20"/>
                <w:szCs w:val="20"/>
              </w:rPr>
              <w:t>Amanda Fallin, Amie J Goodin, Brian A King 2015 Menthol cigarette smoking among lesbian, gay, bisexual, and transgender adults.. American journal of preventive medicine; 48.93.</w:t>
            </w:r>
          </w:p>
        </w:tc>
        <w:tc>
          <w:tcPr>
            <w:tcW w:w="0" w:type="auto"/>
            <w:tcBorders>
              <w:top w:val="single" w:sz="6" w:space="0" w:color="auto"/>
              <w:left w:val="single" w:sz="6" w:space="0" w:color="auto"/>
              <w:bottom w:val="single" w:sz="6" w:space="0" w:color="auto"/>
              <w:right w:val="single" w:sz="6" w:space="0" w:color="auto"/>
            </w:tcBorders>
            <w:hideMark/>
          </w:tcPr>
          <w:p w14:paraId="6005DF8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9C6B4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9FA66F3" w14:textId="77777777" w:rsidR="007F0AE0" w:rsidRPr="00781F59" w:rsidRDefault="007F0AE0" w:rsidP="00453DE3">
            <w:pPr>
              <w:contextualSpacing/>
              <w:rPr>
                <w:sz w:val="20"/>
                <w:szCs w:val="20"/>
              </w:rPr>
            </w:pPr>
            <w:r w:rsidRPr="00781F59">
              <w:rPr>
                <w:sz w:val="20"/>
                <w:szCs w:val="20"/>
              </w:rPr>
              <w:t>428</w:t>
            </w:r>
          </w:p>
        </w:tc>
        <w:tc>
          <w:tcPr>
            <w:tcW w:w="0" w:type="auto"/>
            <w:tcBorders>
              <w:top w:val="single" w:sz="6" w:space="0" w:color="auto"/>
              <w:left w:val="single" w:sz="6" w:space="0" w:color="auto"/>
              <w:bottom w:val="single" w:sz="6" w:space="0" w:color="auto"/>
              <w:right w:val="single" w:sz="6" w:space="0" w:color="auto"/>
            </w:tcBorders>
            <w:hideMark/>
          </w:tcPr>
          <w:p w14:paraId="064C502C" w14:textId="77777777" w:rsidR="007F0AE0" w:rsidRPr="00781F59" w:rsidRDefault="007F0AE0" w:rsidP="00453DE3">
            <w:pPr>
              <w:contextualSpacing/>
              <w:rPr>
                <w:sz w:val="20"/>
                <w:szCs w:val="20"/>
              </w:rPr>
            </w:pPr>
            <w:r w:rsidRPr="00781F59">
              <w:rPr>
                <w:sz w:val="20"/>
                <w:szCs w:val="20"/>
              </w:rPr>
              <w:t xml:space="preserve">Cheyenne E Allenby, Kelly A Boylan, Caryn Lerman, Mary Falcone 2016 Precision Medicine for Tobacco Dependence: Development and Validation of the Nicotine Metabolite Ratio.. Journal </w:t>
            </w:r>
            <w:r w:rsidRPr="00781F59">
              <w:rPr>
                <w:sz w:val="20"/>
                <w:szCs w:val="20"/>
              </w:rPr>
              <w:lastRenderedPageBreak/>
              <w:t>of neuroimmune pharmacology : the official journal of the Society on NeuroImmune Pharmacology; 11.471.</w:t>
            </w:r>
          </w:p>
        </w:tc>
        <w:tc>
          <w:tcPr>
            <w:tcW w:w="0" w:type="auto"/>
            <w:tcBorders>
              <w:top w:val="single" w:sz="6" w:space="0" w:color="auto"/>
              <w:left w:val="single" w:sz="6" w:space="0" w:color="auto"/>
              <w:bottom w:val="single" w:sz="6" w:space="0" w:color="auto"/>
              <w:right w:val="single" w:sz="6" w:space="0" w:color="auto"/>
            </w:tcBorders>
            <w:hideMark/>
          </w:tcPr>
          <w:p w14:paraId="38AC5DEF" w14:textId="77777777" w:rsidR="007F0AE0" w:rsidRPr="00781F59" w:rsidRDefault="007F0AE0" w:rsidP="00453DE3">
            <w:pPr>
              <w:contextualSpacing/>
              <w:rPr>
                <w:sz w:val="20"/>
                <w:szCs w:val="20"/>
              </w:rPr>
            </w:pPr>
            <w:r w:rsidRPr="00781F59">
              <w:rPr>
                <w:sz w:val="20"/>
                <w:szCs w:val="20"/>
              </w:rPr>
              <w:lastRenderedPageBreak/>
              <w:t>Does not address a KQ</w:t>
            </w:r>
          </w:p>
        </w:tc>
      </w:tr>
      <w:tr w:rsidR="007F0AE0" w:rsidRPr="00781F59" w14:paraId="5D79E92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CC20EA" w14:textId="77777777" w:rsidR="007F0AE0" w:rsidRPr="00781F59" w:rsidRDefault="007F0AE0" w:rsidP="00453DE3">
            <w:pPr>
              <w:contextualSpacing/>
              <w:rPr>
                <w:sz w:val="20"/>
                <w:szCs w:val="20"/>
              </w:rPr>
            </w:pPr>
            <w:r w:rsidRPr="00781F59">
              <w:rPr>
                <w:sz w:val="20"/>
                <w:szCs w:val="20"/>
              </w:rPr>
              <w:t>429</w:t>
            </w:r>
          </w:p>
        </w:tc>
        <w:tc>
          <w:tcPr>
            <w:tcW w:w="0" w:type="auto"/>
            <w:tcBorders>
              <w:top w:val="single" w:sz="6" w:space="0" w:color="auto"/>
              <w:left w:val="single" w:sz="6" w:space="0" w:color="auto"/>
              <w:bottom w:val="single" w:sz="6" w:space="0" w:color="auto"/>
              <w:right w:val="single" w:sz="6" w:space="0" w:color="auto"/>
            </w:tcBorders>
            <w:hideMark/>
          </w:tcPr>
          <w:p w14:paraId="70178B98" w14:textId="77777777" w:rsidR="007F0AE0" w:rsidRPr="00781F59" w:rsidRDefault="007F0AE0" w:rsidP="00453DE3">
            <w:pPr>
              <w:contextualSpacing/>
              <w:rPr>
                <w:sz w:val="20"/>
                <w:szCs w:val="20"/>
              </w:rPr>
            </w:pPr>
            <w:r w:rsidRPr="00781F59">
              <w:rPr>
                <w:sz w:val="20"/>
                <w:szCs w:val="20"/>
              </w:rPr>
              <w:t>Naoto Ogura, Yuta Kono, Masako To, Shintaro Mikami, Seiko Soeda, Hiroko Hara, Yasuo To 2017 Menthol-Flavored Cigarettes: Potentially a Strong Trigger of Acute Eosinophilic Pneumonia.. The American journal of medicine; 130.e63.</w:t>
            </w:r>
          </w:p>
        </w:tc>
        <w:tc>
          <w:tcPr>
            <w:tcW w:w="0" w:type="auto"/>
            <w:tcBorders>
              <w:top w:val="single" w:sz="6" w:space="0" w:color="auto"/>
              <w:left w:val="single" w:sz="6" w:space="0" w:color="auto"/>
              <w:bottom w:val="single" w:sz="6" w:space="0" w:color="auto"/>
              <w:right w:val="single" w:sz="6" w:space="0" w:color="auto"/>
            </w:tcBorders>
            <w:hideMark/>
          </w:tcPr>
          <w:p w14:paraId="5253373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C7C68F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F29BDE" w14:textId="77777777" w:rsidR="007F0AE0" w:rsidRPr="00781F59" w:rsidRDefault="007F0AE0" w:rsidP="00453DE3">
            <w:pPr>
              <w:contextualSpacing/>
              <w:rPr>
                <w:sz w:val="20"/>
                <w:szCs w:val="20"/>
              </w:rPr>
            </w:pPr>
            <w:r w:rsidRPr="00781F59">
              <w:rPr>
                <w:sz w:val="20"/>
                <w:szCs w:val="20"/>
              </w:rPr>
              <w:t>430</w:t>
            </w:r>
          </w:p>
        </w:tc>
        <w:tc>
          <w:tcPr>
            <w:tcW w:w="0" w:type="auto"/>
            <w:tcBorders>
              <w:top w:val="single" w:sz="6" w:space="0" w:color="auto"/>
              <w:left w:val="single" w:sz="6" w:space="0" w:color="auto"/>
              <w:bottom w:val="single" w:sz="6" w:space="0" w:color="auto"/>
              <w:right w:val="single" w:sz="6" w:space="0" w:color="auto"/>
            </w:tcBorders>
            <w:hideMark/>
          </w:tcPr>
          <w:p w14:paraId="7E52628B" w14:textId="77777777" w:rsidR="007F0AE0" w:rsidRPr="00781F59" w:rsidRDefault="007F0AE0" w:rsidP="00453DE3">
            <w:pPr>
              <w:contextualSpacing/>
              <w:rPr>
                <w:sz w:val="20"/>
                <w:szCs w:val="20"/>
              </w:rPr>
            </w:pPr>
            <w:r w:rsidRPr="00781F59">
              <w:rPr>
                <w:sz w:val="20"/>
                <w:szCs w:val="20"/>
              </w:rPr>
              <w:t>Jessica Chopyk, Suhana Chattopadhyay, Prachi Kulkarni, Emma Claye, Kelsey R Babik, Molly C Reid, Eoghan M Smyth, Lauren E Hittle, Joseph N Paulson, Raul Cruz-Cano, Mihai Pop, Stephanie S Buehler, Pamela I Clark, Amy R Sapkota, Emmanuel F Mongodin 2017 Mentholation affects the cigarette microbiota by selecting for bacteria resistant to harsh environmental conditions and selecting against potential bacterial pathogens.. Microbiome; 5.22.</w:t>
            </w:r>
          </w:p>
        </w:tc>
        <w:tc>
          <w:tcPr>
            <w:tcW w:w="0" w:type="auto"/>
            <w:tcBorders>
              <w:top w:val="single" w:sz="6" w:space="0" w:color="auto"/>
              <w:left w:val="single" w:sz="6" w:space="0" w:color="auto"/>
              <w:bottom w:val="single" w:sz="6" w:space="0" w:color="auto"/>
              <w:right w:val="single" w:sz="6" w:space="0" w:color="auto"/>
            </w:tcBorders>
            <w:hideMark/>
          </w:tcPr>
          <w:p w14:paraId="399B78F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6F392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BD4496F" w14:textId="77777777" w:rsidR="007F0AE0" w:rsidRPr="00781F59" w:rsidRDefault="007F0AE0" w:rsidP="00453DE3">
            <w:pPr>
              <w:contextualSpacing/>
              <w:rPr>
                <w:sz w:val="20"/>
                <w:szCs w:val="20"/>
              </w:rPr>
            </w:pPr>
            <w:r w:rsidRPr="00781F59">
              <w:rPr>
                <w:sz w:val="20"/>
                <w:szCs w:val="20"/>
              </w:rPr>
              <w:t>432</w:t>
            </w:r>
          </w:p>
        </w:tc>
        <w:tc>
          <w:tcPr>
            <w:tcW w:w="0" w:type="auto"/>
            <w:tcBorders>
              <w:top w:val="single" w:sz="6" w:space="0" w:color="auto"/>
              <w:left w:val="single" w:sz="6" w:space="0" w:color="auto"/>
              <w:bottom w:val="single" w:sz="6" w:space="0" w:color="auto"/>
              <w:right w:val="single" w:sz="6" w:space="0" w:color="auto"/>
            </w:tcBorders>
            <w:hideMark/>
          </w:tcPr>
          <w:p w14:paraId="4A1228E0" w14:textId="77777777" w:rsidR="007F0AE0" w:rsidRPr="00781F59" w:rsidRDefault="007F0AE0" w:rsidP="00453DE3">
            <w:pPr>
              <w:contextualSpacing/>
              <w:rPr>
                <w:sz w:val="20"/>
                <w:szCs w:val="20"/>
              </w:rPr>
            </w:pPr>
            <w:r w:rsidRPr="00781F59">
              <w:rPr>
                <w:sz w:val="20"/>
                <w:szCs w:val="20"/>
              </w:rPr>
              <w:t>Shelley D Golden, Amanda Y Kong, Kurt M Ribisl 2016 Racial and Ethnic Differences in What Smokers Report Paying for Their Cigarettes.. Nicotine &amp; tobacco research : official journal of the Society for Research on Nicotine and Tobacco; 18.1649.</w:t>
            </w:r>
          </w:p>
        </w:tc>
        <w:tc>
          <w:tcPr>
            <w:tcW w:w="0" w:type="auto"/>
            <w:tcBorders>
              <w:top w:val="single" w:sz="6" w:space="0" w:color="auto"/>
              <w:left w:val="single" w:sz="6" w:space="0" w:color="auto"/>
              <w:bottom w:val="single" w:sz="6" w:space="0" w:color="auto"/>
              <w:right w:val="single" w:sz="6" w:space="0" w:color="auto"/>
            </w:tcBorders>
            <w:hideMark/>
          </w:tcPr>
          <w:p w14:paraId="35B6F57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4B55A1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95286C8" w14:textId="77777777" w:rsidR="007F0AE0" w:rsidRPr="00781F59" w:rsidRDefault="007F0AE0" w:rsidP="00453DE3">
            <w:pPr>
              <w:contextualSpacing/>
              <w:rPr>
                <w:sz w:val="20"/>
                <w:szCs w:val="20"/>
              </w:rPr>
            </w:pPr>
            <w:r w:rsidRPr="00781F59">
              <w:rPr>
                <w:sz w:val="20"/>
                <w:szCs w:val="20"/>
              </w:rPr>
              <w:t>436</w:t>
            </w:r>
          </w:p>
        </w:tc>
        <w:tc>
          <w:tcPr>
            <w:tcW w:w="0" w:type="auto"/>
            <w:tcBorders>
              <w:top w:val="single" w:sz="6" w:space="0" w:color="auto"/>
              <w:left w:val="single" w:sz="6" w:space="0" w:color="auto"/>
              <w:bottom w:val="single" w:sz="6" w:space="0" w:color="auto"/>
              <w:right w:val="single" w:sz="6" w:space="0" w:color="auto"/>
            </w:tcBorders>
            <w:hideMark/>
          </w:tcPr>
          <w:p w14:paraId="3E0959C2" w14:textId="77777777" w:rsidR="007F0AE0" w:rsidRPr="00781F59" w:rsidRDefault="007F0AE0" w:rsidP="00453DE3">
            <w:pPr>
              <w:contextualSpacing/>
              <w:rPr>
                <w:sz w:val="20"/>
                <w:szCs w:val="20"/>
              </w:rPr>
            </w:pPr>
            <w:r w:rsidRPr="00781F59">
              <w:rPr>
                <w:sz w:val="20"/>
                <w:szCs w:val="20"/>
              </w:rPr>
              <w:t>Meike Paschke, Anna Tkachenko, Katja Ackermann, Christoph Hutzler, Frank Henkler, Andreas Luch 2017 Activation of the cold-receptor TRPM8 by low levels of menthol in tobacco products.. Toxicology letters; 271.50.</w:t>
            </w:r>
          </w:p>
        </w:tc>
        <w:tc>
          <w:tcPr>
            <w:tcW w:w="0" w:type="auto"/>
            <w:tcBorders>
              <w:top w:val="single" w:sz="6" w:space="0" w:color="auto"/>
              <w:left w:val="single" w:sz="6" w:space="0" w:color="auto"/>
              <w:bottom w:val="single" w:sz="6" w:space="0" w:color="auto"/>
              <w:right w:val="single" w:sz="6" w:space="0" w:color="auto"/>
            </w:tcBorders>
            <w:hideMark/>
          </w:tcPr>
          <w:p w14:paraId="07C53CA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83AB4D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4EFD40" w14:textId="77777777" w:rsidR="007F0AE0" w:rsidRPr="00781F59" w:rsidRDefault="007F0AE0" w:rsidP="00453DE3">
            <w:pPr>
              <w:contextualSpacing/>
              <w:rPr>
                <w:sz w:val="20"/>
                <w:szCs w:val="20"/>
              </w:rPr>
            </w:pPr>
            <w:r w:rsidRPr="00781F59">
              <w:rPr>
                <w:sz w:val="20"/>
                <w:szCs w:val="20"/>
              </w:rPr>
              <w:t>437</w:t>
            </w:r>
          </w:p>
        </w:tc>
        <w:tc>
          <w:tcPr>
            <w:tcW w:w="0" w:type="auto"/>
            <w:tcBorders>
              <w:top w:val="single" w:sz="6" w:space="0" w:color="auto"/>
              <w:left w:val="single" w:sz="6" w:space="0" w:color="auto"/>
              <w:bottom w:val="single" w:sz="6" w:space="0" w:color="auto"/>
              <w:right w:val="single" w:sz="6" w:space="0" w:color="auto"/>
            </w:tcBorders>
            <w:hideMark/>
          </w:tcPr>
          <w:p w14:paraId="6D565D9C" w14:textId="77777777" w:rsidR="007F0AE0" w:rsidRPr="00781F59" w:rsidRDefault="007F0AE0" w:rsidP="00453DE3">
            <w:pPr>
              <w:contextualSpacing/>
              <w:rPr>
                <w:sz w:val="20"/>
                <w:szCs w:val="20"/>
              </w:rPr>
            </w:pPr>
            <w:r w:rsidRPr="00781F59">
              <w:rPr>
                <w:sz w:val="20"/>
                <w:szCs w:val="20"/>
              </w:rPr>
              <w:t>Cynthia Van Landingham, William Fuller, Greg Mariano, Kristin Marano, Geoffrey Curtin, Sandra I Sulsky 2017 Stroke risk among menthol versus non-menthol cigarette smokers in the United States: Analysis of the National Health and Nutrition Examination Survey (NHANES).. Regulatory toxicology and pharmacology : RTP; 85.64.</w:t>
            </w:r>
          </w:p>
        </w:tc>
        <w:tc>
          <w:tcPr>
            <w:tcW w:w="0" w:type="auto"/>
            <w:tcBorders>
              <w:top w:val="single" w:sz="6" w:space="0" w:color="auto"/>
              <w:left w:val="single" w:sz="6" w:space="0" w:color="auto"/>
              <w:bottom w:val="single" w:sz="6" w:space="0" w:color="auto"/>
              <w:right w:val="single" w:sz="6" w:space="0" w:color="auto"/>
            </w:tcBorders>
            <w:hideMark/>
          </w:tcPr>
          <w:p w14:paraId="25520FF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3D7A3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398F73" w14:textId="77777777" w:rsidR="007F0AE0" w:rsidRPr="00781F59" w:rsidRDefault="007F0AE0" w:rsidP="00453DE3">
            <w:pPr>
              <w:contextualSpacing/>
              <w:rPr>
                <w:sz w:val="20"/>
                <w:szCs w:val="20"/>
              </w:rPr>
            </w:pPr>
            <w:r w:rsidRPr="00781F59">
              <w:rPr>
                <w:sz w:val="20"/>
                <w:szCs w:val="20"/>
              </w:rPr>
              <w:t>438</w:t>
            </w:r>
          </w:p>
        </w:tc>
        <w:tc>
          <w:tcPr>
            <w:tcW w:w="0" w:type="auto"/>
            <w:tcBorders>
              <w:top w:val="single" w:sz="6" w:space="0" w:color="auto"/>
              <w:left w:val="single" w:sz="6" w:space="0" w:color="auto"/>
              <w:bottom w:val="single" w:sz="6" w:space="0" w:color="auto"/>
              <w:right w:val="single" w:sz="6" w:space="0" w:color="auto"/>
            </w:tcBorders>
            <w:hideMark/>
          </w:tcPr>
          <w:p w14:paraId="3E4110B6" w14:textId="77777777" w:rsidR="007F0AE0" w:rsidRPr="00781F59" w:rsidRDefault="007F0AE0" w:rsidP="00453DE3">
            <w:pPr>
              <w:contextualSpacing/>
              <w:rPr>
                <w:sz w:val="20"/>
                <w:szCs w:val="20"/>
              </w:rPr>
            </w:pPr>
            <w:r w:rsidRPr="00781F59">
              <w:rPr>
                <w:sz w:val="20"/>
                <w:szCs w:val="20"/>
              </w:rPr>
              <w:t>Lauren K Lempert, Valerie Yerger, Stanton A Glantz 2016 Letter by Lempert et al Regarding Article, "Menthol and Nonmenthol Cigarette Smoking: All-Cause Deaths, Cardiovascular Disease Deaths, and Other Causes of Death Among Blacks and Whites".. Circulation; 134.e119.</w:t>
            </w:r>
          </w:p>
        </w:tc>
        <w:tc>
          <w:tcPr>
            <w:tcW w:w="0" w:type="auto"/>
            <w:tcBorders>
              <w:top w:val="single" w:sz="6" w:space="0" w:color="auto"/>
              <w:left w:val="single" w:sz="6" w:space="0" w:color="auto"/>
              <w:bottom w:val="single" w:sz="6" w:space="0" w:color="auto"/>
              <w:right w:val="single" w:sz="6" w:space="0" w:color="auto"/>
            </w:tcBorders>
            <w:hideMark/>
          </w:tcPr>
          <w:p w14:paraId="612AD91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604505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99AC96" w14:textId="77777777" w:rsidR="007F0AE0" w:rsidRPr="00781F59" w:rsidRDefault="007F0AE0" w:rsidP="00453DE3">
            <w:pPr>
              <w:contextualSpacing/>
              <w:rPr>
                <w:sz w:val="20"/>
                <w:szCs w:val="20"/>
              </w:rPr>
            </w:pPr>
            <w:r w:rsidRPr="00781F59">
              <w:rPr>
                <w:sz w:val="20"/>
                <w:szCs w:val="20"/>
              </w:rPr>
              <w:t>441</w:t>
            </w:r>
          </w:p>
        </w:tc>
        <w:tc>
          <w:tcPr>
            <w:tcW w:w="0" w:type="auto"/>
            <w:tcBorders>
              <w:top w:val="single" w:sz="6" w:space="0" w:color="auto"/>
              <w:left w:val="single" w:sz="6" w:space="0" w:color="auto"/>
              <w:bottom w:val="single" w:sz="6" w:space="0" w:color="auto"/>
              <w:right w:val="single" w:sz="6" w:space="0" w:color="auto"/>
            </w:tcBorders>
            <w:hideMark/>
          </w:tcPr>
          <w:p w14:paraId="1C7EC58B" w14:textId="77777777" w:rsidR="007F0AE0" w:rsidRPr="00781F59" w:rsidRDefault="007F0AE0" w:rsidP="00453DE3">
            <w:pPr>
              <w:contextualSpacing/>
              <w:rPr>
                <w:sz w:val="20"/>
                <w:szCs w:val="20"/>
              </w:rPr>
            </w:pPr>
            <w:r w:rsidRPr="00781F59">
              <w:rPr>
                <w:sz w:val="20"/>
                <w:szCs w:val="20"/>
              </w:rPr>
              <w:t>Heather M Munro, Robert E Tarone, Thomas J Wang, William J Blot 2016 Menthol and Nonmenthol Cigarette Smoking: All-Cause Deaths, Cardiovascular Disease Deaths, and Other Causes of Death Among Blacks and Whites.. Circulation; 133.1861.</w:t>
            </w:r>
          </w:p>
        </w:tc>
        <w:tc>
          <w:tcPr>
            <w:tcW w:w="0" w:type="auto"/>
            <w:tcBorders>
              <w:top w:val="single" w:sz="6" w:space="0" w:color="auto"/>
              <w:left w:val="single" w:sz="6" w:space="0" w:color="auto"/>
              <w:bottom w:val="single" w:sz="6" w:space="0" w:color="auto"/>
              <w:right w:val="single" w:sz="6" w:space="0" w:color="auto"/>
            </w:tcBorders>
            <w:hideMark/>
          </w:tcPr>
          <w:p w14:paraId="466D312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9F75A4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8B9810" w14:textId="77777777" w:rsidR="007F0AE0" w:rsidRPr="00781F59" w:rsidRDefault="007F0AE0" w:rsidP="00453DE3">
            <w:pPr>
              <w:contextualSpacing/>
              <w:rPr>
                <w:sz w:val="20"/>
                <w:szCs w:val="20"/>
              </w:rPr>
            </w:pPr>
            <w:r w:rsidRPr="00781F59">
              <w:rPr>
                <w:sz w:val="20"/>
                <w:szCs w:val="20"/>
              </w:rPr>
              <w:t>442</w:t>
            </w:r>
          </w:p>
        </w:tc>
        <w:tc>
          <w:tcPr>
            <w:tcW w:w="0" w:type="auto"/>
            <w:tcBorders>
              <w:top w:val="single" w:sz="6" w:space="0" w:color="auto"/>
              <w:left w:val="single" w:sz="6" w:space="0" w:color="auto"/>
              <w:bottom w:val="single" w:sz="6" w:space="0" w:color="auto"/>
              <w:right w:val="single" w:sz="6" w:space="0" w:color="auto"/>
            </w:tcBorders>
            <w:hideMark/>
          </w:tcPr>
          <w:p w14:paraId="5C5571F5" w14:textId="77777777" w:rsidR="007F0AE0" w:rsidRPr="00781F59" w:rsidRDefault="007F0AE0" w:rsidP="00453DE3">
            <w:pPr>
              <w:contextualSpacing/>
              <w:rPr>
                <w:sz w:val="20"/>
                <w:szCs w:val="20"/>
              </w:rPr>
            </w:pPr>
            <w:r w:rsidRPr="00781F59">
              <w:rPr>
                <w:sz w:val="20"/>
                <w:szCs w:val="20"/>
              </w:rPr>
              <w:t>Linda A Alexander, Dennis R Trinidad, Kari-Lyn K Sakuma, Pallav Pokhrel, Thaddeus A Herzog, Mark S Clanton, Eric T Moolchan, Pebbles Fagan 2016 Why We Must Continue to Investigate Menthol's Role in the African American Smoking Paradox.. Nicotine &amp; tobacco research : official journal of the Society for Research on Nicotine and Tobacco; 18 Suppl 1.S91.</w:t>
            </w:r>
          </w:p>
        </w:tc>
        <w:tc>
          <w:tcPr>
            <w:tcW w:w="0" w:type="auto"/>
            <w:tcBorders>
              <w:top w:val="single" w:sz="6" w:space="0" w:color="auto"/>
              <w:left w:val="single" w:sz="6" w:space="0" w:color="auto"/>
              <w:bottom w:val="single" w:sz="6" w:space="0" w:color="auto"/>
              <w:right w:val="single" w:sz="6" w:space="0" w:color="auto"/>
            </w:tcBorders>
            <w:hideMark/>
          </w:tcPr>
          <w:p w14:paraId="55019D2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4FD5BD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503A73" w14:textId="77777777" w:rsidR="007F0AE0" w:rsidRPr="00781F59" w:rsidRDefault="007F0AE0" w:rsidP="00453DE3">
            <w:pPr>
              <w:contextualSpacing/>
              <w:rPr>
                <w:sz w:val="20"/>
                <w:szCs w:val="20"/>
              </w:rPr>
            </w:pPr>
            <w:r w:rsidRPr="00781F59">
              <w:rPr>
                <w:sz w:val="20"/>
                <w:szCs w:val="20"/>
              </w:rPr>
              <w:t>443</w:t>
            </w:r>
          </w:p>
        </w:tc>
        <w:tc>
          <w:tcPr>
            <w:tcW w:w="0" w:type="auto"/>
            <w:tcBorders>
              <w:top w:val="single" w:sz="6" w:space="0" w:color="auto"/>
              <w:left w:val="single" w:sz="6" w:space="0" w:color="auto"/>
              <w:bottom w:val="single" w:sz="6" w:space="0" w:color="auto"/>
              <w:right w:val="single" w:sz="6" w:space="0" w:color="auto"/>
            </w:tcBorders>
            <w:hideMark/>
          </w:tcPr>
          <w:p w14:paraId="5DDF3EFE" w14:textId="77777777" w:rsidR="007F0AE0" w:rsidRPr="00781F59" w:rsidRDefault="007F0AE0" w:rsidP="00453DE3">
            <w:pPr>
              <w:contextualSpacing/>
              <w:rPr>
                <w:sz w:val="20"/>
                <w:szCs w:val="20"/>
              </w:rPr>
            </w:pPr>
            <w:r w:rsidRPr="00781F59">
              <w:rPr>
                <w:sz w:val="20"/>
                <w:szCs w:val="20"/>
              </w:rPr>
              <w:t>Gary A Giovino, Phillip S Gardiner 2016 Understanding Tobacco Use Behaviors Among African Americans: Progress, Critical Gaps, and Opportunities.. Nicotine &amp; tobacco research : official journal of the Society for Research on Nicotine and Tobacco; 18 Suppl 1.S1.</w:t>
            </w:r>
          </w:p>
        </w:tc>
        <w:tc>
          <w:tcPr>
            <w:tcW w:w="0" w:type="auto"/>
            <w:tcBorders>
              <w:top w:val="single" w:sz="6" w:space="0" w:color="auto"/>
              <w:left w:val="single" w:sz="6" w:space="0" w:color="auto"/>
              <w:bottom w:val="single" w:sz="6" w:space="0" w:color="auto"/>
              <w:right w:val="single" w:sz="6" w:space="0" w:color="auto"/>
            </w:tcBorders>
            <w:hideMark/>
          </w:tcPr>
          <w:p w14:paraId="588081B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52E76D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B830F4" w14:textId="77777777" w:rsidR="007F0AE0" w:rsidRPr="00781F59" w:rsidRDefault="007F0AE0" w:rsidP="00453DE3">
            <w:pPr>
              <w:contextualSpacing/>
              <w:rPr>
                <w:sz w:val="20"/>
                <w:szCs w:val="20"/>
              </w:rPr>
            </w:pPr>
            <w:r w:rsidRPr="00781F59">
              <w:rPr>
                <w:sz w:val="20"/>
                <w:szCs w:val="20"/>
              </w:rPr>
              <w:t>445</w:t>
            </w:r>
          </w:p>
        </w:tc>
        <w:tc>
          <w:tcPr>
            <w:tcW w:w="0" w:type="auto"/>
            <w:tcBorders>
              <w:top w:val="single" w:sz="6" w:space="0" w:color="auto"/>
              <w:left w:val="single" w:sz="6" w:space="0" w:color="auto"/>
              <w:bottom w:val="single" w:sz="6" w:space="0" w:color="auto"/>
              <w:right w:val="single" w:sz="6" w:space="0" w:color="auto"/>
            </w:tcBorders>
            <w:hideMark/>
          </w:tcPr>
          <w:p w14:paraId="333AB3D1" w14:textId="77777777" w:rsidR="007F0AE0" w:rsidRPr="00781F59" w:rsidRDefault="007F0AE0" w:rsidP="00453DE3">
            <w:pPr>
              <w:contextualSpacing/>
              <w:rPr>
                <w:sz w:val="20"/>
                <w:szCs w:val="20"/>
              </w:rPr>
            </w:pPr>
            <w:r w:rsidRPr="00781F59">
              <w:rPr>
                <w:sz w:val="20"/>
                <w:szCs w:val="20"/>
              </w:rPr>
              <w:t>Wen Qi Gan, Steve Estus, Jonathan H Smith 2016 Association Between Overall and Mentholated Cigarette Smoking With Headache in a Nationally Representative Sample.. Headache; 56.511.</w:t>
            </w:r>
          </w:p>
        </w:tc>
        <w:tc>
          <w:tcPr>
            <w:tcW w:w="0" w:type="auto"/>
            <w:tcBorders>
              <w:top w:val="single" w:sz="6" w:space="0" w:color="auto"/>
              <w:left w:val="single" w:sz="6" w:space="0" w:color="auto"/>
              <w:bottom w:val="single" w:sz="6" w:space="0" w:color="auto"/>
              <w:right w:val="single" w:sz="6" w:space="0" w:color="auto"/>
            </w:tcBorders>
            <w:hideMark/>
          </w:tcPr>
          <w:p w14:paraId="6E11351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17665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92EF74" w14:textId="77777777" w:rsidR="007F0AE0" w:rsidRPr="00781F59" w:rsidRDefault="007F0AE0" w:rsidP="00453DE3">
            <w:pPr>
              <w:contextualSpacing/>
              <w:rPr>
                <w:sz w:val="20"/>
                <w:szCs w:val="20"/>
              </w:rPr>
            </w:pPr>
            <w:r w:rsidRPr="00781F59">
              <w:rPr>
                <w:sz w:val="20"/>
                <w:szCs w:val="20"/>
              </w:rPr>
              <w:t>446</w:t>
            </w:r>
          </w:p>
        </w:tc>
        <w:tc>
          <w:tcPr>
            <w:tcW w:w="0" w:type="auto"/>
            <w:tcBorders>
              <w:top w:val="single" w:sz="6" w:space="0" w:color="auto"/>
              <w:left w:val="single" w:sz="6" w:space="0" w:color="auto"/>
              <w:bottom w:val="single" w:sz="6" w:space="0" w:color="auto"/>
              <w:right w:val="single" w:sz="6" w:space="0" w:color="auto"/>
            </w:tcBorders>
            <w:hideMark/>
          </w:tcPr>
          <w:p w14:paraId="59F8EF95" w14:textId="77777777" w:rsidR="007F0AE0" w:rsidRPr="00781F59" w:rsidRDefault="007F0AE0" w:rsidP="00453DE3">
            <w:pPr>
              <w:contextualSpacing/>
              <w:rPr>
                <w:sz w:val="20"/>
                <w:szCs w:val="20"/>
              </w:rPr>
            </w:pPr>
            <w:r w:rsidRPr="00781F59">
              <w:rPr>
                <w:sz w:val="20"/>
                <w:szCs w:val="20"/>
              </w:rPr>
              <w:t>Se-Jung Park, Bitna Yi, Ho-Sun Lee, Woo-Yeon Oh, Hyun-Kyung Na, Minjeong Lee, Mihi Yang 2016 To quit or not: Vulnerability of women to smoking tobacco.. Journal of environmental science and health. Part C, Environmental carcinogenesis &amp; ecotoxicology reviews; 34.33.</w:t>
            </w:r>
          </w:p>
        </w:tc>
        <w:tc>
          <w:tcPr>
            <w:tcW w:w="0" w:type="auto"/>
            <w:tcBorders>
              <w:top w:val="single" w:sz="6" w:space="0" w:color="auto"/>
              <w:left w:val="single" w:sz="6" w:space="0" w:color="auto"/>
              <w:bottom w:val="single" w:sz="6" w:space="0" w:color="auto"/>
              <w:right w:val="single" w:sz="6" w:space="0" w:color="auto"/>
            </w:tcBorders>
            <w:hideMark/>
          </w:tcPr>
          <w:p w14:paraId="3E0C1B0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DA4345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62AD1D7" w14:textId="77777777" w:rsidR="007F0AE0" w:rsidRPr="00781F59" w:rsidRDefault="007F0AE0" w:rsidP="00453DE3">
            <w:pPr>
              <w:contextualSpacing/>
              <w:rPr>
                <w:sz w:val="20"/>
                <w:szCs w:val="20"/>
              </w:rPr>
            </w:pPr>
            <w:r w:rsidRPr="00781F59">
              <w:rPr>
                <w:sz w:val="20"/>
                <w:szCs w:val="20"/>
              </w:rPr>
              <w:t>448</w:t>
            </w:r>
          </w:p>
        </w:tc>
        <w:tc>
          <w:tcPr>
            <w:tcW w:w="0" w:type="auto"/>
            <w:tcBorders>
              <w:top w:val="single" w:sz="6" w:space="0" w:color="auto"/>
              <w:left w:val="single" w:sz="6" w:space="0" w:color="auto"/>
              <w:bottom w:val="single" w:sz="6" w:space="0" w:color="auto"/>
              <w:right w:val="single" w:sz="6" w:space="0" w:color="auto"/>
            </w:tcBorders>
            <w:hideMark/>
          </w:tcPr>
          <w:p w14:paraId="13C10371" w14:textId="77777777" w:rsidR="007F0AE0" w:rsidRPr="00781F59" w:rsidRDefault="007F0AE0" w:rsidP="00453DE3">
            <w:pPr>
              <w:contextualSpacing/>
              <w:rPr>
                <w:sz w:val="20"/>
                <w:szCs w:val="20"/>
              </w:rPr>
            </w:pPr>
            <w:r w:rsidRPr="00781F59">
              <w:rPr>
                <w:sz w:val="20"/>
                <w:szCs w:val="20"/>
              </w:rPr>
              <w:t>Michael S Amato, Joanne D'Silva, Raymond G Boyle 2016 Slowing Menthol's Progress: Differential Impact of a Tobacco Tax Increase on Cigarette Sales.. Nicotine &amp; tobacco research : official journal of the Society for Research on Nicotine and Tobacco; 18.1303.</w:t>
            </w:r>
          </w:p>
        </w:tc>
        <w:tc>
          <w:tcPr>
            <w:tcW w:w="0" w:type="auto"/>
            <w:tcBorders>
              <w:top w:val="single" w:sz="6" w:space="0" w:color="auto"/>
              <w:left w:val="single" w:sz="6" w:space="0" w:color="auto"/>
              <w:bottom w:val="single" w:sz="6" w:space="0" w:color="auto"/>
              <w:right w:val="single" w:sz="6" w:space="0" w:color="auto"/>
            </w:tcBorders>
            <w:hideMark/>
          </w:tcPr>
          <w:p w14:paraId="6EADD3D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0B3E76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F781291" w14:textId="77777777" w:rsidR="007F0AE0" w:rsidRPr="00781F59" w:rsidRDefault="007F0AE0" w:rsidP="00453DE3">
            <w:pPr>
              <w:contextualSpacing/>
              <w:rPr>
                <w:sz w:val="20"/>
                <w:szCs w:val="20"/>
              </w:rPr>
            </w:pPr>
            <w:r w:rsidRPr="00781F59">
              <w:rPr>
                <w:sz w:val="20"/>
                <w:szCs w:val="20"/>
              </w:rPr>
              <w:t>453</w:t>
            </w:r>
          </w:p>
        </w:tc>
        <w:tc>
          <w:tcPr>
            <w:tcW w:w="0" w:type="auto"/>
            <w:tcBorders>
              <w:top w:val="single" w:sz="6" w:space="0" w:color="auto"/>
              <w:left w:val="single" w:sz="6" w:space="0" w:color="auto"/>
              <w:bottom w:val="single" w:sz="6" w:space="0" w:color="auto"/>
              <w:right w:val="single" w:sz="6" w:space="0" w:color="auto"/>
            </w:tcBorders>
            <w:hideMark/>
          </w:tcPr>
          <w:p w14:paraId="7C6D2A46" w14:textId="77777777" w:rsidR="007F0AE0" w:rsidRPr="00781F59" w:rsidRDefault="007F0AE0" w:rsidP="00453DE3">
            <w:pPr>
              <w:contextualSpacing/>
              <w:rPr>
                <w:sz w:val="20"/>
                <w:szCs w:val="20"/>
              </w:rPr>
            </w:pPr>
            <w:r w:rsidRPr="00781F59">
              <w:rPr>
                <w:sz w:val="20"/>
                <w:szCs w:val="20"/>
              </w:rPr>
              <w:t>Daniel Stevens, Stanton Glantz 2016 Tobacco documents reveal questionable professional recertification by industry menthol expert.. Tobacco control; 25.364.</w:t>
            </w:r>
          </w:p>
        </w:tc>
        <w:tc>
          <w:tcPr>
            <w:tcW w:w="0" w:type="auto"/>
            <w:tcBorders>
              <w:top w:val="single" w:sz="6" w:space="0" w:color="auto"/>
              <w:left w:val="single" w:sz="6" w:space="0" w:color="auto"/>
              <w:bottom w:val="single" w:sz="6" w:space="0" w:color="auto"/>
              <w:right w:val="single" w:sz="6" w:space="0" w:color="auto"/>
            </w:tcBorders>
            <w:hideMark/>
          </w:tcPr>
          <w:p w14:paraId="02FBCB5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6A5EF3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C203E2" w14:textId="77777777" w:rsidR="007F0AE0" w:rsidRPr="00781F59" w:rsidRDefault="007F0AE0" w:rsidP="00453DE3">
            <w:pPr>
              <w:contextualSpacing/>
              <w:rPr>
                <w:sz w:val="20"/>
                <w:szCs w:val="20"/>
              </w:rPr>
            </w:pPr>
            <w:r w:rsidRPr="00781F59">
              <w:rPr>
                <w:sz w:val="20"/>
                <w:szCs w:val="20"/>
              </w:rPr>
              <w:lastRenderedPageBreak/>
              <w:t>457</w:t>
            </w:r>
          </w:p>
        </w:tc>
        <w:tc>
          <w:tcPr>
            <w:tcW w:w="0" w:type="auto"/>
            <w:tcBorders>
              <w:top w:val="single" w:sz="6" w:space="0" w:color="auto"/>
              <w:left w:val="single" w:sz="6" w:space="0" w:color="auto"/>
              <w:bottom w:val="single" w:sz="6" w:space="0" w:color="auto"/>
              <w:right w:val="single" w:sz="6" w:space="0" w:color="auto"/>
            </w:tcBorders>
            <w:hideMark/>
          </w:tcPr>
          <w:p w14:paraId="0E1BEA4B" w14:textId="77777777" w:rsidR="007F0AE0" w:rsidRPr="00781F59" w:rsidRDefault="007F0AE0" w:rsidP="00453DE3">
            <w:pPr>
              <w:contextualSpacing/>
              <w:rPr>
                <w:sz w:val="20"/>
                <w:szCs w:val="20"/>
              </w:rPr>
            </w:pPr>
            <w:r w:rsidRPr="00781F59">
              <w:rPr>
                <w:sz w:val="20"/>
                <w:szCs w:val="20"/>
              </w:rPr>
              <w:t>Catherine G Corey, Bridget K Ambrose, Benjamin J Apelberg, Brian A King 2015 Flavored Tobacco Product Use Among Middle and High School Students--United States, 2014.. MMWR. Morbidity and mortality weekly report; 64.1066.</w:t>
            </w:r>
          </w:p>
        </w:tc>
        <w:tc>
          <w:tcPr>
            <w:tcW w:w="0" w:type="auto"/>
            <w:tcBorders>
              <w:top w:val="single" w:sz="6" w:space="0" w:color="auto"/>
              <w:left w:val="single" w:sz="6" w:space="0" w:color="auto"/>
              <w:bottom w:val="single" w:sz="6" w:space="0" w:color="auto"/>
              <w:right w:val="single" w:sz="6" w:space="0" w:color="auto"/>
            </w:tcBorders>
            <w:hideMark/>
          </w:tcPr>
          <w:p w14:paraId="5FF7F60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079062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6D5E851" w14:textId="77777777" w:rsidR="007F0AE0" w:rsidRPr="00781F59" w:rsidRDefault="007F0AE0" w:rsidP="00453DE3">
            <w:pPr>
              <w:contextualSpacing/>
              <w:rPr>
                <w:sz w:val="20"/>
                <w:szCs w:val="20"/>
              </w:rPr>
            </w:pPr>
            <w:r w:rsidRPr="00781F59">
              <w:rPr>
                <w:sz w:val="20"/>
                <w:szCs w:val="20"/>
              </w:rPr>
              <w:t>469</w:t>
            </w:r>
          </w:p>
        </w:tc>
        <w:tc>
          <w:tcPr>
            <w:tcW w:w="0" w:type="auto"/>
            <w:tcBorders>
              <w:top w:val="single" w:sz="6" w:space="0" w:color="auto"/>
              <w:left w:val="single" w:sz="6" w:space="0" w:color="auto"/>
              <w:bottom w:val="single" w:sz="6" w:space="0" w:color="auto"/>
              <w:right w:val="single" w:sz="6" w:space="0" w:color="auto"/>
            </w:tcBorders>
            <w:hideMark/>
          </w:tcPr>
          <w:p w14:paraId="373E4A23" w14:textId="77777777" w:rsidR="007F0AE0" w:rsidRPr="00781F59" w:rsidRDefault="007F0AE0" w:rsidP="00453DE3">
            <w:pPr>
              <w:contextualSpacing/>
              <w:rPr>
                <w:sz w:val="20"/>
                <w:szCs w:val="20"/>
              </w:rPr>
            </w:pPr>
            <w:r w:rsidRPr="00781F59">
              <w:rPr>
                <w:sz w:val="20"/>
                <w:szCs w:val="20"/>
              </w:rPr>
              <w:t>Cheryl A Oncken, Mark D Litt, Lynn D McLaughlin, Nausherwan A Burki 2015 Nicotine concentrations with electronic cigarette use: effects of sex and flavor.. Nicotine &amp; tobacco research : official journal of the Society for Research on Nicotine and Tobacco; 17.473.</w:t>
            </w:r>
          </w:p>
        </w:tc>
        <w:tc>
          <w:tcPr>
            <w:tcW w:w="0" w:type="auto"/>
            <w:tcBorders>
              <w:top w:val="single" w:sz="6" w:space="0" w:color="auto"/>
              <w:left w:val="single" w:sz="6" w:space="0" w:color="auto"/>
              <w:bottom w:val="single" w:sz="6" w:space="0" w:color="auto"/>
              <w:right w:val="single" w:sz="6" w:space="0" w:color="auto"/>
            </w:tcBorders>
            <w:hideMark/>
          </w:tcPr>
          <w:p w14:paraId="6BAEEAF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C60765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EE1342" w14:textId="77777777" w:rsidR="007F0AE0" w:rsidRPr="00781F59" w:rsidRDefault="007F0AE0" w:rsidP="00453DE3">
            <w:pPr>
              <w:contextualSpacing/>
              <w:rPr>
                <w:sz w:val="20"/>
                <w:szCs w:val="20"/>
              </w:rPr>
            </w:pPr>
            <w:r w:rsidRPr="00781F59">
              <w:rPr>
                <w:sz w:val="20"/>
                <w:szCs w:val="20"/>
              </w:rPr>
              <w:t>475</w:t>
            </w:r>
          </w:p>
        </w:tc>
        <w:tc>
          <w:tcPr>
            <w:tcW w:w="0" w:type="auto"/>
            <w:tcBorders>
              <w:top w:val="single" w:sz="6" w:space="0" w:color="auto"/>
              <w:left w:val="single" w:sz="6" w:space="0" w:color="auto"/>
              <w:bottom w:val="single" w:sz="6" w:space="0" w:color="auto"/>
              <w:right w:val="single" w:sz="6" w:space="0" w:color="auto"/>
            </w:tcBorders>
            <w:hideMark/>
          </w:tcPr>
          <w:p w14:paraId="2165A5F1" w14:textId="77777777" w:rsidR="007F0AE0" w:rsidRPr="00781F59" w:rsidRDefault="007F0AE0" w:rsidP="00453DE3">
            <w:pPr>
              <w:contextualSpacing/>
              <w:rPr>
                <w:sz w:val="20"/>
                <w:szCs w:val="20"/>
              </w:rPr>
            </w:pPr>
            <w:r w:rsidRPr="00781F59">
              <w:rPr>
                <w:sz w:val="20"/>
                <w:szCs w:val="20"/>
              </w:rPr>
              <w:t>Alain Braillon 2015 Curbing the tobacco epidemic: Employing behavioral strategies or rearranging the deckchairs on the Titanic?.. Preventive medicine; 73.28.</w:t>
            </w:r>
          </w:p>
        </w:tc>
        <w:tc>
          <w:tcPr>
            <w:tcW w:w="0" w:type="auto"/>
            <w:tcBorders>
              <w:top w:val="single" w:sz="6" w:space="0" w:color="auto"/>
              <w:left w:val="single" w:sz="6" w:space="0" w:color="auto"/>
              <w:bottom w:val="single" w:sz="6" w:space="0" w:color="auto"/>
              <w:right w:val="single" w:sz="6" w:space="0" w:color="auto"/>
            </w:tcBorders>
            <w:hideMark/>
          </w:tcPr>
          <w:p w14:paraId="539BD5A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77632F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BA86EB9" w14:textId="77777777" w:rsidR="007F0AE0" w:rsidRPr="00781F59" w:rsidRDefault="007F0AE0" w:rsidP="00453DE3">
            <w:pPr>
              <w:contextualSpacing/>
              <w:rPr>
                <w:sz w:val="20"/>
                <w:szCs w:val="20"/>
              </w:rPr>
            </w:pPr>
            <w:r w:rsidRPr="00781F59">
              <w:rPr>
                <w:sz w:val="20"/>
                <w:szCs w:val="20"/>
              </w:rPr>
              <w:t>479</w:t>
            </w:r>
          </w:p>
        </w:tc>
        <w:tc>
          <w:tcPr>
            <w:tcW w:w="0" w:type="auto"/>
            <w:tcBorders>
              <w:top w:val="single" w:sz="6" w:space="0" w:color="auto"/>
              <w:left w:val="single" w:sz="6" w:space="0" w:color="auto"/>
              <w:bottom w:val="single" w:sz="6" w:space="0" w:color="auto"/>
              <w:right w:val="single" w:sz="6" w:space="0" w:color="auto"/>
            </w:tcBorders>
            <w:hideMark/>
          </w:tcPr>
          <w:p w14:paraId="47AC92DD" w14:textId="77777777" w:rsidR="007F0AE0" w:rsidRPr="00781F59" w:rsidRDefault="007F0AE0" w:rsidP="00453DE3">
            <w:pPr>
              <w:contextualSpacing/>
              <w:rPr>
                <w:sz w:val="20"/>
                <w:szCs w:val="20"/>
              </w:rPr>
            </w:pPr>
            <w:r w:rsidRPr="00781F59">
              <w:rPr>
                <w:sz w:val="20"/>
                <w:szCs w:val="20"/>
              </w:rPr>
              <w:t>Bi-Yu Liu, Yu-Jung Lin, Hung-Fu Lee, Ching-Yin Ho, Ting Ruan, Yu Ru Kou 2015 Menthol suppresses laryngeal C-fiber hypersensitivity to cigarette smoke in a rat model of gastroesophageal reflux disease: the role of TRPM8.. Journal of applied physiology (Bethesda, Md. : 1985); 118.635.</w:t>
            </w:r>
          </w:p>
        </w:tc>
        <w:tc>
          <w:tcPr>
            <w:tcW w:w="0" w:type="auto"/>
            <w:tcBorders>
              <w:top w:val="single" w:sz="6" w:space="0" w:color="auto"/>
              <w:left w:val="single" w:sz="6" w:space="0" w:color="auto"/>
              <w:bottom w:val="single" w:sz="6" w:space="0" w:color="auto"/>
              <w:right w:val="single" w:sz="6" w:space="0" w:color="auto"/>
            </w:tcBorders>
            <w:hideMark/>
          </w:tcPr>
          <w:p w14:paraId="428AF217"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19E07E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C8E5366" w14:textId="77777777" w:rsidR="007F0AE0" w:rsidRPr="00781F59" w:rsidRDefault="007F0AE0" w:rsidP="00453DE3">
            <w:pPr>
              <w:contextualSpacing/>
              <w:rPr>
                <w:sz w:val="20"/>
                <w:szCs w:val="20"/>
              </w:rPr>
            </w:pPr>
            <w:r w:rsidRPr="00781F59">
              <w:rPr>
                <w:sz w:val="20"/>
                <w:szCs w:val="20"/>
              </w:rPr>
              <w:t>488</w:t>
            </w:r>
          </w:p>
        </w:tc>
        <w:tc>
          <w:tcPr>
            <w:tcW w:w="0" w:type="auto"/>
            <w:tcBorders>
              <w:top w:val="single" w:sz="6" w:space="0" w:color="auto"/>
              <w:left w:val="single" w:sz="6" w:space="0" w:color="auto"/>
              <w:bottom w:val="single" w:sz="6" w:space="0" w:color="auto"/>
              <w:right w:val="single" w:sz="6" w:space="0" w:color="auto"/>
            </w:tcBorders>
            <w:hideMark/>
          </w:tcPr>
          <w:p w14:paraId="3B223AD5" w14:textId="77777777" w:rsidR="007F0AE0" w:rsidRPr="00781F59" w:rsidRDefault="007F0AE0" w:rsidP="00453DE3">
            <w:pPr>
              <w:contextualSpacing/>
              <w:rPr>
                <w:sz w:val="20"/>
                <w:szCs w:val="20"/>
              </w:rPr>
            </w:pPr>
            <w:r w:rsidRPr="00781F59">
              <w:rPr>
                <w:sz w:val="20"/>
                <w:szCs w:val="20"/>
              </w:rPr>
              <w:t>Emily Brennan, Laura Gibson, Ani Momjian, Robert C Hornik 2015 Are young people's beliefs about menthol cigarettes associated with smoking-related intentions and behaviors?.. Nicotine &amp; tobacco research : official journal of the Society for Research on Nicotine and Tobacco; 17.81.</w:t>
            </w:r>
          </w:p>
        </w:tc>
        <w:tc>
          <w:tcPr>
            <w:tcW w:w="0" w:type="auto"/>
            <w:tcBorders>
              <w:top w:val="single" w:sz="6" w:space="0" w:color="auto"/>
              <w:left w:val="single" w:sz="6" w:space="0" w:color="auto"/>
              <w:bottom w:val="single" w:sz="6" w:space="0" w:color="auto"/>
              <w:right w:val="single" w:sz="6" w:space="0" w:color="auto"/>
            </w:tcBorders>
            <w:hideMark/>
          </w:tcPr>
          <w:p w14:paraId="2B37E1D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AE4709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679C51" w14:textId="77777777" w:rsidR="007F0AE0" w:rsidRPr="00781F59" w:rsidRDefault="007F0AE0" w:rsidP="00453DE3">
            <w:pPr>
              <w:contextualSpacing/>
              <w:rPr>
                <w:sz w:val="20"/>
                <w:szCs w:val="20"/>
              </w:rPr>
            </w:pPr>
            <w:r w:rsidRPr="00781F59">
              <w:rPr>
                <w:sz w:val="20"/>
                <w:szCs w:val="20"/>
              </w:rPr>
              <w:t>491</w:t>
            </w:r>
          </w:p>
        </w:tc>
        <w:tc>
          <w:tcPr>
            <w:tcW w:w="0" w:type="auto"/>
            <w:tcBorders>
              <w:top w:val="single" w:sz="6" w:space="0" w:color="auto"/>
              <w:left w:val="single" w:sz="6" w:space="0" w:color="auto"/>
              <w:bottom w:val="single" w:sz="6" w:space="0" w:color="auto"/>
              <w:right w:val="single" w:sz="6" w:space="0" w:color="auto"/>
            </w:tcBorders>
            <w:hideMark/>
          </w:tcPr>
          <w:p w14:paraId="25E4AC7D" w14:textId="77777777" w:rsidR="007F0AE0" w:rsidRPr="00781F59" w:rsidRDefault="007F0AE0" w:rsidP="00453DE3">
            <w:pPr>
              <w:contextualSpacing/>
              <w:rPr>
                <w:sz w:val="20"/>
                <w:szCs w:val="20"/>
              </w:rPr>
            </w:pPr>
            <w:r w:rsidRPr="00781F59">
              <w:rPr>
                <w:sz w:val="20"/>
                <w:szCs w:val="20"/>
              </w:rPr>
              <w:t>Jack E Henningfield 2014 The tobacco endgame: it's all about behavior.. Preventive medicine; 68.11.</w:t>
            </w:r>
          </w:p>
        </w:tc>
        <w:tc>
          <w:tcPr>
            <w:tcW w:w="0" w:type="auto"/>
            <w:tcBorders>
              <w:top w:val="single" w:sz="6" w:space="0" w:color="auto"/>
              <w:left w:val="single" w:sz="6" w:space="0" w:color="auto"/>
              <w:bottom w:val="single" w:sz="6" w:space="0" w:color="auto"/>
              <w:right w:val="single" w:sz="6" w:space="0" w:color="auto"/>
            </w:tcBorders>
            <w:hideMark/>
          </w:tcPr>
          <w:p w14:paraId="50BA01D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7584D6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8BF22A5" w14:textId="77777777" w:rsidR="007F0AE0" w:rsidRPr="00781F59" w:rsidRDefault="007F0AE0" w:rsidP="00453DE3">
            <w:pPr>
              <w:contextualSpacing/>
              <w:rPr>
                <w:sz w:val="20"/>
                <w:szCs w:val="20"/>
              </w:rPr>
            </w:pPr>
            <w:r w:rsidRPr="00781F59">
              <w:rPr>
                <w:sz w:val="20"/>
                <w:szCs w:val="20"/>
              </w:rPr>
              <w:t>494</w:t>
            </w:r>
          </w:p>
        </w:tc>
        <w:tc>
          <w:tcPr>
            <w:tcW w:w="0" w:type="auto"/>
            <w:tcBorders>
              <w:top w:val="single" w:sz="6" w:space="0" w:color="auto"/>
              <w:left w:val="single" w:sz="6" w:space="0" w:color="auto"/>
              <w:bottom w:val="single" w:sz="6" w:space="0" w:color="auto"/>
              <w:right w:val="single" w:sz="6" w:space="0" w:color="auto"/>
            </w:tcBorders>
            <w:hideMark/>
          </w:tcPr>
          <w:p w14:paraId="57A10814" w14:textId="77777777" w:rsidR="007F0AE0" w:rsidRPr="00781F59" w:rsidRDefault="007F0AE0" w:rsidP="00453DE3">
            <w:pPr>
              <w:contextualSpacing/>
              <w:rPr>
                <w:sz w:val="20"/>
                <w:szCs w:val="20"/>
              </w:rPr>
            </w:pPr>
            <w:r w:rsidRPr="00781F59">
              <w:rPr>
                <w:sz w:val="20"/>
                <w:szCs w:val="20"/>
              </w:rPr>
              <w:t>Alain Braillon 2014 Reducing nicotine content of cigarettes: in search of a regulator.. Preventive medicine; 69.306.</w:t>
            </w:r>
          </w:p>
        </w:tc>
        <w:tc>
          <w:tcPr>
            <w:tcW w:w="0" w:type="auto"/>
            <w:tcBorders>
              <w:top w:val="single" w:sz="6" w:space="0" w:color="auto"/>
              <w:left w:val="single" w:sz="6" w:space="0" w:color="auto"/>
              <w:bottom w:val="single" w:sz="6" w:space="0" w:color="auto"/>
              <w:right w:val="single" w:sz="6" w:space="0" w:color="auto"/>
            </w:tcBorders>
            <w:hideMark/>
          </w:tcPr>
          <w:p w14:paraId="57BFD61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52B26B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1CEB76" w14:textId="77777777" w:rsidR="007F0AE0" w:rsidRPr="00781F59" w:rsidRDefault="007F0AE0" w:rsidP="00453DE3">
            <w:pPr>
              <w:contextualSpacing/>
              <w:rPr>
                <w:sz w:val="20"/>
                <w:szCs w:val="20"/>
              </w:rPr>
            </w:pPr>
            <w:r w:rsidRPr="00781F59">
              <w:rPr>
                <w:sz w:val="20"/>
                <w:szCs w:val="20"/>
              </w:rPr>
              <w:t>495</w:t>
            </w:r>
          </w:p>
        </w:tc>
        <w:tc>
          <w:tcPr>
            <w:tcW w:w="0" w:type="auto"/>
            <w:tcBorders>
              <w:top w:val="single" w:sz="6" w:space="0" w:color="auto"/>
              <w:left w:val="single" w:sz="6" w:space="0" w:color="auto"/>
              <w:bottom w:val="single" w:sz="6" w:space="0" w:color="auto"/>
              <w:right w:val="single" w:sz="6" w:space="0" w:color="auto"/>
            </w:tcBorders>
            <w:hideMark/>
          </w:tcPr>
          <w:p w14:paraId="6481D1FA" w14:textId="77777777" w:rsidR="007F0AE0" w:rsidRPr="00781F59" w:rsidRDefault="007F0AE0" w:rsidP="00453DE3">
            <w:pPr>
              <w:contextualSpacing/>
              <w:rPr>
                <w:sz w:val="20"/>
                <w:szCs w:val="20"/>
              </w:rPr>
            </w:pPr>
            <w:r w:rsidRPr="00781F59">
              <w:rPr>
                <w:sz w:val="20"/>
                <w:szCs w:val="20"/>
              </w:rPr>
              <w:t>M H Zimmermann, D L Richardson, M T B Manderski, C D Delnevo, M B Steinberg 2014 Relighting behaviour among cigarette smokers seeking treatment: implications for tobacco treatment and policy.. International journal of clinical practice; 68.1358.</w:t>
            </w:r>
          </w:p>
        </w:tc>
        <w:tc>
          <w:tcPr>
            <w:tcW w:w="0" w:type="auto"/>
            <w:tcBorders>
              <w:top w:val="single" w:sz="6" w:space="0" w:color="auto"/>
              <w:left w:val="single" w:sz="6" w:space="0" w:color="auto"/>
              <w:bottom w:val="single" w:sz="6" w:space="0" w:color="auto"/>
              <w:right w:val="single" w:sz="6" w:space="0" w:color="auto"/>
            </w:tcBorders>
            <w:hideMark/>
          </w:tcPr>
          <w:p w14:paraId="636141E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84D0C2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784F56" w14:textId="77777777" w:rsidR="007F0AE0" w:rsidRPr="00781F59" w:rsidRDefault="007F0AE0" w:rsidP="00453DE3">
            <w:pPr>
              <w:contextualSpacing/>
              <w:rPr>
                <w:sz w:val="20"/>
                <w:szCs w:val="20"/>
              </w:rPr>
            </w:pPr>
            <w:r w:rsidRPr="00781F59">
              <w:rPr>
                <w:sz w:val="20"/>
                <w:szCs w:val="20"/>
              </w:rPr>
              <w:t>497</w:t>
            </w:r>
          </w:p>
        </w:tc>
        <w:tc>
          <w:tcPr>
            <w:tcW w:w="0" w:type="auto"/>
            <w:tcBorders>
              <w:top w:val="single" w:sz="6" w:space="0" w:color="auto"/>
              <w:left w:val="single" w:sz="6" w:space="0" w:color="auto"/>
              <w:bottom w:val="single" w:sz="6" w:space="0" w:color="auto"/>
              <w:right w:val="single" w:sz="6" w:space="0" w:color="auto"/>
            </w:tcBorders>
            <w:hideMark/>
          </w:tcPr>
          <w:p w14:paraId="39885376" w14:textId="77777777" w:rsidR="007F0AE0" w:rsidRPr="00781F59" w:rsidRDefault="007F0AE0" w:rsidP="00453DE3">
            <w:pPr>
              <w:contextualSpacing/>
              <w:rPr>
                <w:sz w:val="20"/>
                <w:szCs w:val="20"/>
              </w:rPr>
            </w:pPr>
            <w:r w:rsidRPr="00781F59">
              <w:rPr>
                <w:sz w:val="20"/>
                <w:szCs w:val="20"/>
              </w:rPr>
              <w:t>Shannon M Farley, Hannah Seoh, Rachel Sacks, Michael Johns 2014 Teen use of flavored tobacco products in new york city.. Nicotine &amp; tobacco research : official journal of the Society for Research on Nicotine and Tobacco; 16.1518.</w:t>
            </w:r>
          </w:p>
        </w:tc>
        <w:tc>
          <w:tcPr>
            <w:tcW w:w="0" w:type="auto"/>
            <w:tcBorders>
              <w:top w:val="single" w:sz="6" w:space="0" w:color="auto"/>
              <w:left w:val="single" w:sz="6" w:space="0" w:color="auto"/>
              <w:bottom w:val="single" w:sz="6" w:space="0" w:color="auto"/>
              <w:right w:val="single" w:sz="6" w:space="0" w:color="auto"/>
            </w:tcBorders>
            <w:hideMark/>
          </w:tcPr>
          <w:p w14:paraId="3DF698B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32C2F2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D7268D" w14:textId="77777777" w:rsidR="007F0AE0" w:rsidRPr="00781F59" w:rsidRDefault="007F0AE0" w:rsidP="00453DE3">
            <w:pPr>
              <w:contextualSpacing/>
              <w:rPr>
                <w:sz w:val="20"/>
                <w:szCs w:val="20"/>
              </w:rPr>
            </w:pPr>
            <w:r w:rsidRPr="00781F59">
              <w:rPr>
                <w:sz w:val="20"/>
                <w:szCs w:val="20"/>
              </w:rPr>
              <w:t>505</w:t>
            </w:r>
          </w:p>
        </w:tc>
        <w:tc>
          <w:tcPr>
            <w:tcW w:w="0" w:type="auto"/>
            <w:tcBorders>
              <w:top w:val="single" w:sz="6" w:space="0" w:color="auto"/>
              <w:left w:val="single" w:sz="6" w:space="0" w:color="auto"/>
              <w:bottom w:val="single" w:sz="6" w:space="0" w:color="auto"/>
              <w:right w:val="single" w:sz="6" w:space="0" w:color="auto"/>
            </w:tcBorders>
            <w:hideMark/>
          </w:tcPr>
          <w:p w14:paraId="1EEEE3E3" w14:textId="77777777" w:rsidR="007F0AE0" w:rsidRPr="00781F59" w:rsidRDefault="007F0AE0" w:rsidP="00453DE3">
            <w:pPr>
              <w:contextualSpacing/>
              <w:rPr>
                <w:sz w:val="20"/>
                <w:szCs w:val="20"/>
              </w:rPr>
            </w:pPr>
            <w:r w:rsidRPr="00781F59">
              <w:rPr>
                <w:sz w:val="20"/>
                <w:szCs w:val="20"/>
              </w:rPr>
              <w:t>Andrew Cheyne, Lori Dorfman, Richard A Daynard, Pamela Mejia, Mark Gottlieb 2014 The debate on regulating menthol cigarettes: closing a dangerous loophole vs freedom of choice.. American journal of public health; 104.e54.</w:t>
            </w:r>
          </w:p>
        </w:tc>
        <w:tc>
          <w:tcPr>
            <w:tcW w:w="0" w:type="auto"/>
            <w:tcBorders>
              <w:top w:val="single" w:sz="6" w:space="0" w:color="auto"/>
              <w:left w:val="single" w:sz="6" w:space="0" w:color="auto"/>
              <w:bottom w:val="single" w:sz="6" w:space="0" w:color="auto"/>
              <w:right w:val="single" w:sz="6" w:space="0" w:color="auto"/>
            </w:tcBorders>
            <w:hideMark/>
          </w:tcPr>
          <w:p w14:paraId="4DA94E4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F831A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1A3B66" w14:textId="77777777" w:rsidR="007F0AE0" w:rsidRPr="00781F59" w:rsidRDefault="007F0AE0" w:rsidP="00453DE3">
            <w:pPr>
              <w:contextualSpacing/>
              <w:rPr>
                <w:sz w:val="20"/>
                <w:szCs w:val="20"/>
              </w:rPr>
            </w:pPr>
            <w:r w:rsidRPr="00781F59">
              <w:rPr>
                <w:sz w:val="20"/>
                <w:szCs w:val="20"/>
              </w:rPr>
              <w:t>509</w:t>
            </w:r>
          </w:p>
        </w:tc>
        <w:tc>
          <w:tcPr>
            <w:tcW w:w="0" w:type="auto"/>
            <w:tcBorders>
              <w:top w:val="single" w:sz="6" w:space="0" w:color="auto"/>
              <w:left w:val="single" w:sz="6" w:space="0" w:color="auto"/>
              <w:bottom w:val="single" w:sz="6" w:space="0" w:color="auto"/>
              <w:right w:val="single" w:sz="6" w:space="0" w:color="auto"/>
            </w:tcBorders>
            <w:hideMark/>
          </w:tcPr>
          <w:p w14:paraId="66656323" w14:textId="77777777" w:rsidR="007F0AE0" w:rsidRPr="00781F59" w:rsidRDefault="007F0AE0" w:rsidP="00453DE3">
            <w:pPr>
              <w:contextualSpacing/>
              <w:rPr>
                <w:sz w:val="20"/>
                <w:szCs w:val="20"/>
              </w:rPr>
            </w:pPr>
            <w:r w:rsidRPr="00781F59">
              <w:rPr>
                <w:sz w:val="20"/>
                <w:szCs w:val="20"/>
              </w:rPr>
              <w:t>Brian Rostron 2014 Menthol cigarette use and stroke risk among US smokers: a critical reappraisal.. JAMA internal medicine; 174.808.</w:t>
            </w:r>
          </w:p>
        </w:tc>
        <w:tc>
          <w:tcPr>
            <w:tcW w:w="0" w:type="auto"/>
            <w:tcBorders>
              <w:top w:val="single" w:sz="6" w:space="0" w:color="auto"/>
              <w:left w:val="single" w:sz="6" w:space="0" w:color="auto"/>
              <w:bottom w:val="single" w:sz="6" w:space="0" w:color="auto"/>
              <w:right w:val="single" w:sz="6" w:space="0" w:color="auto"/>
            </w:tcBorders>
            <w:hideMark/>
          </w:tcPr>
          <w:p w14:paraId="5A99209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DCDAEC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974AC3" w14:textId="77777777" w:rsidR="007F0AE0" w:rsidRPr="00781F59" w:rsidRDefault="007F0AE0" w:rsidP="00453DE3">
            <w:pPr>
              <w:contextualSpacing/>
              <w:rPr>
                <w:sz w:val="20"/>
                <w:szCs w:val="20"/>
              </w:rPr>
            </w:pPr>
            <w:r w:rsidRPr="00781F59">
              <w:rPr>
                <w:sz w:val="20"/>
                <w:szCs w:val="20"/>
              </w:rPr>
              <w:t>510</w:t>
            </w:r>
          </w:p>
        </w:tc>
        <w:tc>
          <w:tcPr>
            <w:tcW w:w="0" w:type="auto"/>
            <w:tcBorders>
              <w:top w:val="single" w:sz="6" w:space="0" w:color="auto"/>
              <w:left w:val="single" w:sz="6" w:space="0" w:color="auto"/>
              <w:bottom w:val="single" w:sz="6" w:space="0" w:color="auto"/>
              <w:right w:val="single" w:sz="6" w:space="0" w:color="auto"/>
            </w:tcBorders>
            <w:hideMark/>
          </w:tcPr>
          <w:p w14:paraId="7E1BE0AB" w14:textId="77777777" w:rsidR="007F0AE0" w:rsidRPr="00781F59" w:rsidRDefault="007F0AE0" w:rsidP="00453DE3">
            <w:pPr>
              <w:contextualSpacing/>
              <w:rPr>
                <w:sz w:val="20"/>
                <w:szCs w:val="20"/>
              </w:rPr>
            </w:pPr>
            <w:r w:rsidRPr="00781F59">
              <w:rPr>
                <w:sz w:val="20"/>
                <w:szCs w:val="20"/>
              </w:rPr>
              <w:t>Maria Jose Miguez-Burbano, Mayra Vargas, Clery Quiros, John E Lewis, Luis Espinoza, Asthana Deshratan 2014 Menthol cigarettes and the cardiovascular risks of people living with HIV.. The Journal of the Association of Nurses in AIDS Care : JANAC; 25.427.</w:t>
            </w:r>
          </w:p>
        </w:tc>
        <w:tc>
          <w:tcPr>
            <w:tcW w:w="0" w:type="auto"/>
            <w:tcBorders>
              <w:top w:val="single" w:sz="6" w:space="0" w:color="auto"/>
              <w:left w:val="single" w:sz="6" w:space="0" w:color="auto"/>
              <w:bottom w:val="single" w:sz="6" w:space="0" w:color="auto"/>
              <w:right w:val="single" w:sz="6" w:space="0" w:color="auto"/>
            </w:tcBorders>
            <w:hideMark/>
          </w:tcPr>
          <w:p w14:paraId="0E870B6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E4A8F2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6B62CBC" w14:textId="77777777" w:rsidR="007F0AE0" w:rsidRPr="00781F59" w:rsidRDefault="007F0AE0" w:rsidP="00453DE3">
            <w:pPr>
              <w:contextualSpacing/>
              <w:rPr>
                <w:sz w:val="20"/>
                <w:szCs w:val="20"/>
              </w:rPr>
            </w:pPr>
            <w:r w:rsidRPr="00781F59">
              <w:rPr>
                <w:sz w:val="20"/>
                <w:szCs w:val="20"/>
              </w:rPr>
              <w:t>511</w:t>
            </w:r>
          </w:p>
        </w:tc>
        <w:tc>
          <w:tcPr>
            <w:tcW w:w="0" w:type="auto"/>
            <w:tcBorders>
              <w:top w:val="single" w:sz="6" w:space="0" w:color="auto"/>
              <w:left w:val="single" w:sz="6" w:space="0" w:color="auto"/>
              <w:bottom w:val="single" w:sz="6" w:space="0" w:color="auto"/>
              <w:right w:val="single" w:sz="6" w:space="0" w:color="auto"/>
            </w:tcBorders>
            <w:hideMark/>
          </w:tcPr>
          <w:p w14:paraId="15DEDD46" w14:textId="77777777" w:rsidR="007F0AE0" w:rsidRPr="00781F59" w:rsidRDefault="007F0AE0" w:rsidP="00453DE3">
            <w:pPr>
              <w:contextualSpacing/>
              <w:rPr>
                <w:sz w:val="20"/>
                <w:szCs w:val="20"/>
              </w:rPr>
            </w:pPr>
            <w:r w:rsidRPr="00781F59">
              <w:rPr>
                <w:sz w:val="20"/>
                <w:szCs w:val="20"/>
              </w:rPr>
              <w:t>Olivia A Wackowski, Michelle T Bover Manderski, Cristine D Delnevo 2014 Young adults' behavioral intentions surrounding a potential menthol cigarette ban.. Nicotine &amp; tobacco research : official journal of the Society for Research on Nicotine and Tobacco; 16.876.</w:t>
            </w:r>
          </w:p>
        </w:tc>
        <w:tc>
          <w:tcPr>
            <w:tcW w:w="0" w:type="auto"/>
            <w:tcBorders>
              <w:top w:val="single" w:sz="6" w:space="0" w:color="auto"/>
              <w:left w:val="single" w:sz="6" w:space="0" w:color="auto"/>
              <w:bottom w:val="single" w:sz="6" w:space="0" w:color="auto"/>
              <w:right w:val="single" w:sz="6" w:space="0" w:color="auto"/>
            </w:tcBorders>
            <w:hideMark/>
          </w:tcPr>
          <w:p w14:paraId="21DB8A0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4A461A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627A87" w14:textId="77777777" w:rsidR="007F0AE0" w:rsidRPr="00781F59" w:rsidRDefault="007F0AE0" w:rsidP="00453DE3">
            <w:pPr>
              <w:contextualSpacing/>
              <w:rPr>
                <w:sz w:val="20"/>
                <w:szCs w:val="20"/>
              </w:rPr>
            </w:pPr>
            <w:r w:rsidRPr="00781F59">
              <w:rPr>
                <w:sz w:val="20"/>
                <w:szCs w:val="20"/>
              </w:rPr>
              <w:t>514</w:t>
            </w:r>
          </w:p>
        </w:tc>
        <w:tc>
          <w:tcPr>
            <w:tcW w:w="0" w:type="auto"/>
            <w:tcBorders>
              <w:top w:val="single" w:sz="6" w:space="0" w:color="auto"/>
              <w:left w:val="single" w:sz="6" w:space="0" w:color="auto"/>
              <w:bottom w:val="single" w:sz="6" w:space="0" w:color="auto"/>
              <w:right w:val="single" w:sz="6" w:space="0" w:color="auto"/>
            </w:tcBorders>
            <w:hideMark/>
          </w:tcPr>
          <w:p w14:paraId="160338BB" w14:textId="77777777" w:rsidR="007F0AE0" w:rsidRPr="00781F59" w:rsidRDefault="007F0AE0" w:rsidP="00453DE3">
            <w:pPr>
              <w:contextualSpacing/>
              <w:rPr>
                <w:sz w:val="20"/>
                <w:szCs w:val="20"/>
              </w:rPr>
            </w:pPr>
            <w:r w:rsidRPr="00781F59">
              <w:rPr>
                <w:sz w:val="20"/>
                <w:szCs w:val="20"/>
              </w:rPr>
              <w:t>Monica Webb Hooper, Elizabeth A Baker, Marcia D McNutt 2014 Racial/Ethnic differences among smokers: revisited and expanded to help seekers.. Nicotine &amp; tobacco research : official journal of the Society for Research on Nicotine and Tobacco; 16.621.</w:t>
            </w:r>
          </w:p>
        </w:tc>
        <w:tc>
          <w:tcPr>
            <w:tcW w:w="0" w:type="auto"/>
            <w:tcBorders>
              <w:top w:val="single" w:sz="6" w:space="0" w:color="auto"/>
              <w:left w:val="single" w:sz="6" w:space="0" w:color="auto"/>
              <w:bottom w:val="single" w:sz="6" w:space="0" w:color="auto"/>
              <w:right w:val="single" w:sz="6" w:space="0" w:color="auto"/>
            </w:tcBorders>
            <w:hideMark/>
          </w:tcPr>
          <w:p w14:paraId="14A40D7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73B552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43D11C" w14:textId="77777777" w:rsidR="007F0AE0" w:rsidRPr="00781F59" w:rsidRDefault="007F0AE0" w:rsidP="00453DE3">
            <w:pPr>
              <w:contextualSpacing/>
              <w:rPr>
                <w:sz w:val="20"/>
                <w:szCs w:val="20"/>
              </w:rPr>
            </w:pPr>
            <w:r w:rsidRPr="00781F59">
              <w:rPr>
                <w:sz w:val="20"/>
                <w:szCs w:val="20"/>
              </w:rPr>
              <w:t>517</w:t>
            </w:r>
          </w:p>
        </w:tc>
        <w:tc>
          <w:tcPr>
            <w:tcW w:w="0" w:type="auto"/>
            <w:tcBorders>
              <w:top w:val="single" w:sz="6" w:space="0" w:color="auto"/>
              <w:left w:val="single" w:sz="6" w:space="0" w:color="auto"/>
              <w:bottom w:val="single" w:sz="6" w:space="0" w:color="auto"/>
              <w:right w:val="single" w:sz="6" w:space="0" w:color="auto"/>
            </w:tcBorders>
            <w:hideMark/>
          </w:tcPr>
          <w:p w14:paraId="01B9FFE9" w14:textId="77777777" w:rsidR="007F0AE0" w:rsidRPr="00781F59" w:rsidRDefault="007F0AE0" w:rsidP="00453DE3">
            <w:pPr>
              <w:contextualSpacing/>
              <w:rPr>
                <w:sz w:val="20"/>
                <w:szCs w:val="20"/>
              </w:rPr>
            </w:pPr>
            <w:r w:rsidRPr="00781F59">
              <w:rPr>
                <w:sz w:val="20"/>
                <w:szCs w:val="20"/>
              </w:rPr>
              <w:t>Cendrine D Robinson, Wallace B Pickworth, Stephen J Heishman, Andrew J Waters 2014 The acute tobacco withdrawal syndrome among black smokers.. Psychology of addictive behaviors : journal of the Society of Psychologists in Addictive Behaviors; 28.173.</w:t>
            </w:r>
          </w:p>
        </w:tc>
        <w:tc>
          <w:tcPr>
            <w:tcW w:w="0" w:type="auto"/>
            <w:tcBorders>
              <w:top w:val="single" w:sz="6" w:space="0" w:color="auto"/>
              <w:left w:val="single" w:sz="6" w:space="0" w:color="auto"/>
              <w:bottom w:val="single" w:sz="6" w:space="0" w:color="auto"/>
              <w:right w:val="single" w:sz="6" w:space="0" w:color="auto"/>
            </w:tcBorders>
            <w:hideMark/>
          </w:tcPr>
          <w:p w14:paraId="579B2DD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21D6FE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3F5A51" w14:textId="77777777" w:rsidR="007F0AE0" w:rsidRPr="00781F59" w:rsidRDefault="007F0AE0" w:rsidP="00453DE3">
            <w:pPr>
              <w:contextualSpacing/>
              <w:rPr>
                <w:sz w:val="20"/>
                <w:szCs w:val="20"/>
              </w:rPr>
            </w:pPr>
            <w:r w:rsidRPr="00781F59">
              <w:rPr>
                <w:sz w:val="20"/>
                <w:szCs w:val="20"/>
              </w:rPr>
              <w:t>525</w:t>
            </w:r>
          </w:p>
        </w:tc>
        <w:tc>
          <w:tcPr>
            <w:tcW w:w="0" w:type="auto"/>
            <w:tcBorders>
              <w:top w:val="single" w:sz="6" w:space="0" w:color="auto"/>
              <w:left w:val="single" w:sz="6" w:space="0" w:color="auto"/>
              <w:bottom w:val="single" w:sz="6" w:space="0" w:color="auto"/>
              <w:right w:val="single" w:sz="6" w:space="0" w:color="auto"/>
            </w:tcBorders>
            <w:hideMark/>
          </w:tcPr>
          <w:p w14:paraId="2B78AD78" w14:textId="77777777" w:rsidR="007F0AE0" w:rsidRPr="00781F59" w:rsidRDefault="007F0AE0" w:rsidP="00453DE3">
            <w:pPr>
              <w:contextualSpacing/>
              <w:rPr>
                <w:sz w:val="20"/>
                <w:szCs w:val="20"/>
              </w:rPr>
            </w:pPr>
            <w:r w:rsidRPr="00781F59">
              <w:rPr>
                <w:sz w:val="20"/>
                <w:szCs w:val="20"/>
              </w:rPr>
              <w:t>Kymberle Sterling, Carla J Berg, Akilah N Thomas, Stanton A Glantz, Jasjit S Ahluwalia 2013 Factors associated with small cigar use among college students.. American journal of health behavior; 37.325.</w:t>
            </w:r>
          </w:p>
        </w:tc>
        <w:tc>
          <w:tcPr>
            <w:tcW w:w="0" w:type="auto"/>
            <w:tcBorders>
              <w:top w:val="single" w:sz="6" w:space="0" w:color="auto"/>
              <w:left w:val="single" w:sz="6" w:space="0" w:color="auto"/>
              <w:bottom w:val="single" w:sz="6" w:space="0" w:color="auto"/>
              <w:right w:val="single" w:sz="6" w:space="0" w:color="auto"/>
            </w:tcBorders>
            <w:hideMark/>
          </w:tcPr>
          <w:p w14:paraId="4FA3987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D65625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E5A4310" w14:textId="77777777" w:rsidR="007F0AE0" w:rsidRPr="00781F59" w:rsidRDefault="007F0AE0" w:rsidP="00453DE3">
            <w:pPr>
              <w:contextualSpacing/>
              <w:rPr>
                <w:sz w:val="20"/>
                <w:szCs w:val="20"/>
              </w:rPr>
            </w:pPr>
            <w:r w:rsidRPr="00781F59">
              <w:rPr>
                <w:sz w:val="20"/>
                <w:szCs w:val="20"/>
              </w:rPr>
              <w:lastRenderedPageBreak/>
              <w:t>526</w:t>
            </w:r>
          </w:p>
        </w:tc>
        <w:tc>
          <w:tcPr>
            <w:tcW w:w="0" w:type="auto"/>
            <w:tcBorders>
              <w:top w:val="single" w:sz="6" w:space="0" w:color="auto"/>
              <w:left w:val="single" w:sz="6" w:space="0" w:color="auto"/>
              <w:bottom w:val="single" w:sz="6" w:space="0" w:color="auto"/>
              <w:right w:val="single" w:sz="6" w:space="0" w:color="auto"/>
            </w:tcBorders>
            <w:hideMark/>
          </w:tcPr>
          <w:p w14:paraId="77CB905B" w14:textId="77777777" w:rsidR="007F0AE0" w:rsidRPr="00781F59" w:rsidRDefault="007F0AE0" w:rsidP="00453DE3">
            <w:pPr>
              <w:contextualSpacing/>
              <w:rPr>
                <w:sz w:val="20"/>
                <w:szCs w:val="20"/>
              </w:rPr>
            </w:pPr>
            <w:r w:rsidRPr="00781F59">
              <w:rPr>
                <w:sz w:val="20"/>
                <w:szCs w:val="20"/>
              </w:rPr>
              <w:t>Mike Mitka 2013 FDA might consider restrictions on menthol cigarettes.. JAMA; 310.784.</w:t>
            </w:r>
          </w:p>
        </w:tc>
        <w:tc>
          <w:tcPr>
            <w:tcW w:w="0" w:type="auto"/>
            <w:tcBorders>
              <w:top w:val="single" w:sz="6" w:space="0" w:color="auto"/>
              <w:left w:val="single" w:sz="6" w:space="0" w:color="auto"/>
              <w:bottom w:val="single" w:sz="6" w:space="0" w:color="auto"/>
              <w:right w:val="single" w:sz="6" w:space="0" w:color="auto"/>
            </w:tcBorders>
            <w:hideMark/>
          </w:tcPr>
          <w:p w14:paraId="576DE134"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4C5210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7A1393" w14:textId="77777777" w:rsidR="007F0AE0" w:rsidRPr="00781F59" w:rsidRDefault="007F0AE0" w:rsidP="00453DE3">
            <w:pPr>
              <w:contextualSpacing/>
              <w:rPr>
                <w:sz w:val="20"/>
                <w:szCs w:val="20"/>
              </w:rPr>
            </w:pPr>
            <w:r w:rsidRPr="00781F59">
              <w:rPr>
                <w:sz w:val="20"/>
                <w:szCs w:val="20"/>
              </w:rPr>
              <w:t>531</w:t>
            </w:r>
          </w:p>
        </w:tc>
        <w:tc>
          <w:tcPr>
            <w:tcW w:w="0" w:type="auto"/>
            <w:tcBorders>
              <w:top w:val="single" w:sz="6" w:space="0" w:color="auto"/>
              <w:left w:val="single" w:sz="6" w:space="0" w:color="auto"/>
              <w:bottom w:val="single" w:sz="6" w:space="0" w:color="auto"/>
              <w:right w:val="single" w:sz="6" w:space="0" w:color="auto"/>
            </w:tcBorders>
            <w:hideMark/>
          </w:tcPr>
          <w:p w14:paraId="574DA6D2" w14:textId="77777777" w:rsidR="007F0AE0" w:rsidRPr="00781F59" w:rsidRDefault="007F0AE0" w:rsidP="00453DE3">
            <w:pPr>
              <w:contextualSpacing/>
              <w:rPr>
                <w:sz w:val="20"/>
                <w:szCs w:val="20"/>
              </w:rPr>
            </w:pPr>
            <w:r w:rsidRPr="00781F59">
              <w:rPr>
                <w:sz w:val="20"/>
                <w:szCs w:val="20"/>
              </w:rPr>
              <w:t>Andrea C Villanti, Amanda Richardson, Donna M Vallone, Jessica M Rath 2013 Flavored tobacco product use among U.S. young adults.. American journal of preventive medicine; 44.388.</w:t>
            </w:r>
          </w:p>
        </w:tc>
        <w:tc>
          <w:tcPr>
            <w:tcW w:w="0" w:type="auto"/>
            <w:tcBorders>
              <w:top w:val="single" w:sz="6" w:space="0" w:color="auto"/>
              <w:left w:val="single" w:sz="6" w:space="0" w:color="auto"/>
              <w:bottom w:val="single" w:sz="6" w:space="0" w:color="auto"/>
              <w:right w:val="single" w:sz="6" w:space="0" w:color="auto"/>
            </w:tcBorders>
            <w:hideMark/>
          </w:tcPr>
          <w:p w14:paraId="5905BDE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72D486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48DA62" w14:textId="77777777" w:rsidR="007F0AE0" w:rsidRPr="00781F59" w:rsidRDefault="007F0AE0" w:rsidP="00453DE3">
            <w:pPr>
              <w:contextualSpacing/>
              <w:rPr>
                <w:sz w:val="20"/>
                <w:szCs w:val="20"/>
              </w:rPr>
            </w:pPr>
            <w:r w:rsidRPr="00781F59">
              <w:rPr>
                <w:sz w:val="20"/>
                <w:szCs w:val="20"/>
              </w:rPr>
              <w:t>532</w:t>
            </w:r>
          </w:p>
        </w:tc>
        <w:tc>
          <w:tcPr>
            <w:tcW w:w="0" w:type="auto"/>
            <w:tcBorders>
              <w:top w:val="single" w:sz="6" w:space="0" w:color="auto"/>
              <w:left w:val="single" w:sz="6" w:space="0" w:color="auto"/>
              <w:bottom w:val="single" w:sz="6" w:space="0" w:color="auto"/>
              <w:right w:val="single" w:sz="6" w:space="0" w:color="auto"/>
            </w:tcBorders>
            <w:hideMark/>
          </w:tcPr>
          <w:p w14:paraId="1CEE84BF" w14:textId="77777777" w:rsidR="007F0AE0" w:rsidRPr="00781F59" w:rsidRDefault="007F0AE0" w:rsidP="00453DE3">
            <w:pPr>
              <w:contextualSpacing/>
              <w:rPr>
                <w:sz w:val="20"/>
                <w:szCs w:val="20"/>
              </w:rPr>
            </w:pPr>
            <w:r w:rsidRPr="00781F59">
              <w:rPr>
                <w:sz w:val="20"/>
                <w:szCs w:val="20"/>
              </w:rPr>
              <w:t>Juliet P Lee, Sharon Lipperman-Kreda, Sang Saephan, Sean Kirkpatrick 2013 Tobacco environment for Southeast Asian American youth: results from a participatory research project.. Journal of ethnicity in substance abuse; 12.30.</w:t>
            </w:r>
          </w:p>
        </w:tc>
        <w:tc>
          <w:tcPr>
            <w:tcW w:w="0" w:type="auto"/>
            <w:tcBorders>
              <w:top w:val="single" w:sz="6" w:space="0" w:color="auto"/>
              <w:left w:val="single" w:sz="6" w:space="0" w:color="auto"/>
              <w:bottom w:val="single" w:sz="6" w:space="0" w:color="auto"/>
              <w:right w:val="single" w:sz="6" w:space="0" w:color="auto"/>
            </w:tcBorders>
            <w:hideMark/>
          </w:tcPr>
          <w:p w14:paraId="05674E2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EDA7BC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3FF116" w14:textId="77777777" w:rsidR="007F0AE0" w:rsidRPr="00781F59" w:rsidRDefault="007F0AE0" w:rsidP="00453DE3">
            <w:pPr>
              <w:contextualSpacing/>
              <w:rPr>
                <w:sz w:val="20"/>
                <w:szCs w:val="20"/>
              </w:rPr>
            </w:pPr>
            <w:r w:rsidRPr="00781F59">
              <w:rPr>
                <w:sz w:val="20"/>
                <w:szCs w:val="20"/>
              </w:rPr>
              <w:t>533</w:t>
            </w:r>
          </w:p>
        </w:tc>
        <w:tc>
          <w:tcPr>
            <w:tcW w:w="0" w:type="auto"/>
            <w:tcBorders>
              <w:top w:val="single" w:sz="6" w:space="0" w:color="auto"/>
              <w:left w:val="single" w:sz="6" w:space="0" w:color="auto"/>
              <w:bottom w:val="single" w:sz="6" w:space="0" w:color="auto"/>
              <w:right w:val="single" w:sz="6" w:space="0" w:color="auto"/>
            </w:tcBorders>
            <w:hideMark/>
          </w:tcPr>
          <w:p w14:paraId="6310A604" w14:textId="77777777" w:rsidR="007F0AE0" w:rsidRPr="00781F59" w:rsidRDefault="007F0AE0" w:rsidP="00453DE3">
            <w:pPr>
              <w:contextualSpacing/>
              <w:rPr>
                <w:sz w:val="20"/>
                <w:szCs w:val="20"/>
              </w:rPr>
            </w:pPr>
            <w:r w:rsidRPr="00781F59">
              <w:rPr>
                <w:sz w:val="20"/>
                <w:szCs w:val="20"/>
              </w:rPr>
              <w:t>Amanda L Dauphinee, Juliana R Doxey, Nina C Schleicher, Stephen P Fortmann, Lisa Henriksen 2013 Racial differences in cigarette brand recognition and impact on youth smoking.. BMC public health; 13.170.</w:t>
            </w:r>
          </w:p>
        </w:tc>
        <w:tc>
          <w:tcPr>
            <w:tcW w:w="0" w:type="auto"/>
            <w:tcBorders>
              <w:top w:val="single" w:sz="6" w:space="0" w:color="auto"/>
              <w:left w:val="single" w:sz="6" w:space="0" w:color="auto"/>
              <w:bottom w:val="single" w:sz="6" w:space="0" w:color="auto"/>
              <w:right w:val="single" w:sz="6" w:space="0" w:color="auto"/>
            </w:tcBorders>
            <w:hideMark/>
          </w:tcPr>
          <w:p w14:paraId="10BDDD2B" w14:textId="77777777" w:rsidR="007F0AE0" w:rsidRPr="00781F59" w:rsidRDefault="007F0AE0" w:rsidP="00453DE3">
            <w:pPr>
              <w:contextualSpacing/>
              <w:rPr>
                <w:sz w:val="20"/>
                <w:szCs w:val="20"/>
              </w:rPr>
            </w:pPr>
            <w:r w:rsidRPr="00781F59">
              <w:rPr>
                <w:sz w:val="20"/>
                <w:szCs w:val="20"/>
              </w:rPr>
              <w:t>Does not address a KQ</w:t>
            </w:r>
          </w:p>
        </w:tc>
      </w:tr>
      <w:tr w:rsidR="007F0AE0" w:rsidRPr="003651AE" w14:paraId="578E34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CC8F15" w14:textId="77777777" w:rsidR="007F0AE0" w:rsidRPr="00781F59" w:rsidRDefault="007F0AE0" w:rsidP="00453DE3">
            <w:pPr>
              <w:contextualSpacing/>
              <w:rPr>
                <w:sz w:val="20"/>
                <w:szCs w:val="20"/>
              </w:rPr>
            </w:pPr>
            <w:r w:rsidRPr="00781F59">
              <w:rPr>
                <w:sz w:val="20"/>
                <w:szCs w:val="20"/>
              </w:rPr>
              <w:t>534</w:t>
            </w:r>
          </w:p>
        </w:tc>
        <w:tc>
          <w:tcPr>
            <w:tcW w:w="0" w:type="auto"/>
            <w:tcBorders>
              <w:top w:val="single" w:sz="6" w:space="0" w:color="auto"/>
              <w:left w:val="single" w:sz="6" w:space="0" w:color="auto"/>
              <w:bottom w:val="single" w:sz="6" w:space="0" w:color="auto"/>
              <w:right w:val="single" w:sz="6" w:space="0" w:color="auto"/>
            </w:tcBorders>
            <w:hideMark/>
          </w:tcPr>
          <w:p w14:paraId="089A257F" w14:textId="77777777" w:rsidR="007F0AE0" w:rsidRPr="00781F59" w:rsidRDefault="007F0AE0" w:rsidP="00453DE3">
            <w:pPr>
              <w:contextualSpacing/>
              <w:rPr>
                <w:sz w:val="20"/>
                <w:szCs w:val="20"/>
              </w:rPr>
            </w:pPr>
            <w:r w:rsidRPr="00781F59">
              <w:rPr>
                <w:sz w:val="20"/>
                <w:szCs w:val="20"/>
              </w:rPr>
              <w:t>Andrew A Strasser, Rebecca L Ashare, Madeline Kaufman, Kathy Z Tang, A Clementina Mesaros, Ian A Blair 2013 The effect of menthol on cigarette smoking behaviors, biomarkers and subjective responses.. Cancer epidemiology, biomarkers &amp; prevention : a publication of the American Association for Cancer Research, cosponsored by the American Society of Preventive Oncology; 22.382.</w:t>
            </w:r>
          </w:p>
        </w:tc>
        <w:tc>
          <w:tcPr>
            <w:tcW w:w="0" w:type="auto"/>
            <w:tcBorders>
              <w:top w:val="single" w:sz="6" w:space="0" w:color="auto"/>
              <w:left w:val="single" w:sz="6" w:space="0" w:color="auto"/>
              <w:bottom w:val="single" w:sz="6" w:space="0" w:color="auto"/>
              <w:right w:val="single" w:sz="6" w:space="0" w:color="auto"/>
            </w:tcBorders>
            <w:hideMark/>
          </w:tcPr>
          <w:p w14:paraId="1C9D3F32" w14:textId="77777777" w:rsidR="007F0AE0" w:rsidRPr="00EA69AA" w:rsidRDefault="007F0AE0" w:rsidP="00453DE3">
            <w:pPr>
              <w:contextualSpacing/>
              <w:rPr>
                <w:sz w:val="20"/>
                <w:szCs w:val="20"/>
                <w:lang w:val="fr-FR"/>
              </w:rPr>
            </w:pPr>
            <w:r w:rsidRPr="00EA69AA">
              <w:rPr>
                <w:sz w:val="20"/>
                <w:szCs w:val="20"/>
                <w:lang w:val="fr-FR"/>
              </w:rPr>
              <w:t>Ineligible comparison (menthol vs non)</w:t>
            </w:r>
          </w:p>
        </w:tc>
      </w:tr>
      <w:tr w:rsidR="007F0AE0" w:rsidRPr="00781F59" w14:paraId="1A685F2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861208" w14:textId="77777777" w:rsidR="007F0AE0" w:rsidRPr="00781F59" w:rsidRDefault="007F0AE0" w:rsidP="00453DE3">
            <w:pPr>
              <w:contextualSpacing/>
              <w:rPr>
                <w:sz w:val="20"/>
                <w:szCs w:val="20"/>
              </w:rPr>
            </w:pPr>
            <w:r w:rsidRPr="00781F59">
              <w:rPr>
                <w:sz w:val="20"/>
                <w:szCs w:val="20"/>
              </w:rPr>
              <w:t>535</w:t>
            </w:r>
          </w:p>
        </w:tc>
        <w:tc>
          <w:tcPr>
            <w:tcW w:w="0" w:type="auto"/>
            <w:tcBorders>
              <w:top w:val="single" w:sz="6" w:space="0" w:color="auto"/>
              <w:left w:val="single" w:sz="6" w:space="0" w:color="auto"/>
              <w:bottom w:val="single" w:sz="6" w:space="0" w:color="auto"/>
              <w:right w:val="single" w:sz="6" w:space="0" w:color="auto"/>
            </w:tcBorders>
            <w:hideMark/>
          </w:tcPr>
          <w:p w14:paraId="036E74F5" w14:textId="77777777" w:rsidR="007F0AE0" w:rsidRPr="00781F59" w:rsidRDefault="007F0AE0" w:rsidP="00453DE3">
            <w:pPr>
              <w:contextualSpacing/>
              <w:rPr>
                <w:sz w:val="20"/>
                <w:szCs w:val="20"/>
              </w:rPr>
            </w:pPr>
            <w:r w:rsidRPr="00781F59">
              <w:rPr>
                <w:sz w:val="20"/>
                <w:szCs w:val="20"/>
              </w:rPr>
              <w:t>Alicia K Matthews, Megan Conrad, Lisa Kuhns, Maria Vargas, Andrea C King 2013 Project Exhale: preliminary evaluation of a tailored smoking cessation treatment for HIV-positive African American smokers.. AIDS patient care and STDs; 27.22.</w:t>
            </w:r>
          </w:p>
        </w:tc>
        <w:tc>
          <w:tcPr>
            <w:tcW w:w="0" w:type="auto"/>
            <w:tcBorders>
              <w:top w:val="single" w:sz="6" w:space="0" w:color="auto"/>
              <w:left w:val="single" w:sz="6" w:space="0" w:color="auto"/>
              <w:bottom w:val="single" w:sz="6" w:space="0" w:color="auto"/>
              <w:right w:val="single" w:sz="6" w:space="0" w:color="auto"/>
            </w:tcBorders>
            <w:hideMark/>
          </w:tcPr>
          <w:p w14:paraId="3F89896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BC76B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1719E2" w14:textId="77777777" w:rsidR="007F0AE0" w:rsidRPr="00781F59" w:rsidRDefault="007F0AE0" w:rsidP="00453DE3">
            <w:pPr>
              <w:contextualSpacing/>
              <w:rPr>
                <w:sz w:val="20"/>
                <w:szCs w:val="20"/>
              </w:rPr>
            </w:pPr>
            <w:r w:rsidRPr="00781F59">
              <w:rPr>
                <w:sz w:val="20"/>
                <w:szCs w:val="20"/>
              </w:rPr>
              <w:t>543</w:t>
            </w:r>
          </w:p>
        </w:tc>
        <w:tc>
          <w:tcPr>
            <w:tcW w:w="0" w:type="auto"/>
            <w:tcBorders>
              <w:top w:val="single" w:sz="6" w:space="0" w:color="auto"/>
              <w:left w:val="single" w:sz="6" w:space="0" w:color="auto"/>
              <w:bottom w:val="single" w:sz="6" w:space="0" w:color="auto"/>
              <w:right w:val="single" w:sz="6" w:space="0" w:color="auto"/>
            </w:tcBorders>
            <w:hideMark/>
          </w:tcPr>
          <w:p w14:paraId="5E48CE36" w14:textId="77777777" w:rsidR="007F0AE0" w:rsidRPr="00781F59" w:rsidRDefault="007F0AE0" w:rsidP="00453DE3">
            <w:pPr>
              <w:contextualSpacing/>
              <w:rPr>
                <w:sz w:val="20"/>
                <w:szCs w:val="20"/>
              </w:rPr>
            </w:pPr>
            <w:r w:rsidRPr="00781F59">
              <w:rPr>
                <w:sz w:val="20"/>
                <w:szCs w:val="20"/>
              </w:rPr>
              <w:t>V Blair Journigan, Nurulain T Zaveri 2013 TRPM8 ion channel ligands for new therapeutic applications and as probes to study menthol pharmacology.. Life sciences; 92.425.</w:t>
            </w:r>
          </w:p>
        </w:tc>
        <w:tc>
          <w:tcPr>
            <w:tcW w:w="0" w:type="auto"/>
            <w:tcBorders>
              <w:top w:val="single" w:sz="6" w:space="0" w:color="auto"/>
              <w:left w:val="single" w:sz="6" w:space="0" w:color="auto"/>
              <w:bottom w:val="single" w:sz="6" w:space="0" w:color="auto"/>
              <w:right w:val="single" w:sz="6" w:space="0" w:color="auto"/>
            </w:tcBorders>
            <w:hideMark/>
          </w:tcPr>
          <w:p w14:paraId="2A1BE90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9089E6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C69D7C0" w14:textId="77777777" w:rsidR="007F0AE0" w:rsidRPr="00781F59" w:rsidRDefault="007F0AE0" w:rsidP="00453DE3">
            <w:pPr>
              <w:contextualSpacing/>
              <w:rPr>
                <w:sz w:val="20"/>
                <w:szCs w:val="20"/>
              </w:rPr>
            </w:pPr>
            <w:r w:rsidRPr="00781F59">
              <w:rPr>
                <w:sz w:val="20"/>
                <w:szCs w:val="20"/>
              </w:rPr>
              <w:t>551</w:t>
            </w:r>
          </w:p>
        </w:tc>
        <w:tc>
          <w:tcPr>
            <w:tcW w:w="0" w:type="auto"/>
            <w:tcBorders>
              <w:top w:val="single" w:sz="6" w:space="0" w:color="auto"/>
              <w:left w:val="single" w:sz="6" w:space="0" w:color="auto"/>
              <w:bottom w:val="single" w:sz="6" w:space="0" w:color="auto"/>
              <w:right w:val="single" w:sz="6" w:space="0" w:color="auto"/>
            </w:tcBorders>
            <w:hideMark/>
          </w:tcPr>
          <w:p w14:paraId="0386E3BB" w14:textId="77777777" w:rsidR="007F0AE0" w:rsidRPr="00781F59" w:rsidRDefault="007F0AE0" w:rsidP="00453DE3">
            <w:pPr>
              <w:contextualSpacing/>
              <w:rPr>
                <w:sz w:val="20"/>
                <w:szCs w:val="20"/>
              </w:rPr>
            </w:pPr>
            <w:r w:rsidRPr="00781F59">
              <w:rPr>
                <w:sz w:val="20"/>
                <w:szCs w:val="20"/>
              </w:rPr>
              <w:t>Louise Marsh, Rob McGee, Andrew Gray 2012 A refreshing poison: one-quarter of young New Zealand smokers choose menthol.. Australian and New Zealand journal of public health; 36.495.</w:t>
            </w:r>
          </w:p>
        </w:tc>
        <w:tc>
          <w:tcPr>
            <w:tcW w:w="0" w:type="auto"/>
            <w:tcBorders>
              <w:top w:val="single" w:sz="6" w:space="0" w:color="auto"/>
              <w:left w:val="single" w:sz="6" w:space="0" w:color="auto"/>
              <w:bottom w:val="single" w:sz="6" w:space="0" w:color="auto"/>
              <w:right w:val="single" w:sz="6" w:space="0" w:color="auto"/>
            </w:tcBorders>
            <w:hideMark/>
          </w:tcPr>
          <w:p w14:paraId="68DB1D86"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338905C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B1D7DF" w14:textId="77777777" w:rsidR="007F0AE0" w:rsidRPr="00781F59" w:rsidRDefault="007F0AE0" w:rsidP="00453DE3">
            <w:pPr>
              <w:contextualSpacing/>
              <w:rPr>
                <w:sz w:val="20"/>
                <w:szCs w:val="20"/>
              </w:rPr>
            </w:pPr>
            <w:r w:rsidRPr="00781F59">
              <w:rPr>
                <w:sz w:val="20"/>
                <w:szCs w:val="20"/>
              </w:rPr>
              <w:t>554</w:t>
            </w:r>
          </w:p>
        </w:tc>
        <w:tc>
          <w:tcPr>
            <w:tcW w:w="0" w:type="auto"/>
            <w:tcBorders>
              <w:top w:val="single" w:sz="6" w:space="0" w:color="auto"/>
              <w:left w:val="single" w:sz="6" w:space="0" w:color="auto"/>
              <w:bottom w:val="single" w:sz="6" w:space="0" w:color="auto"/>
              <w:right w:val="single" w:sz="6" w:space="0" w:color="auto"/>
            </w:tcBorders>
            <w:hideMark/>
          </w:tcPr>
          <w:p w14:paraId="33B3428E" w14:textId="77777777" w:rsidR="007F0AE0" w:rsidRPr="00781F59" w:rsidRDefault="007F0AE0" w:rsidP="00453DE3">
            <w:pPr>
              <w:contextualSpacing/>
              <w:rPr>
                <w:sz w:val="20"/>
                <w:szCs w:val="20"/>
              </w:rPr>
            </w:pPr>
            <w:r w:rsidRPr="00781F59">
              <w:rPr>
                <w:sz w:val="20"/>
                <w:szCs w:val="20"/>
              </w:rPr>
              <w:t>Peter N Lee, Barbara A Forey, Katharine J Coombs 2012 Systematic review with meta-analysis of the epidemiological evidence in the 1900s relating smoking to lung cancer.. BMC cancer; 12.385.</w:t>
            </w:r>
          </w:p>
        </w:tc>
        <w:tc>
          <w:tcPr>
            <w:tcW w:w="0" w:type="auto"/>
            <w:tcBorders>
              <w:top w:val="single" w:sz="6" w:space="0" w:color="auto"/>
              <w:left w:val="single" w:sz="6" w:space="0" w:color="auto"/>
              <w:bottom w:val="single" w:sz="6" w:space="0" w:color="auto"/>
              <w:right w:val="single" w:sz="6" w:space="0" w:color="auto"/>
            </w:tcBorders>
            <w:hideMark/>
          </w:tcPr>
          <w:p w14:paraId="7F0D126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461A88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AAFEBBA" w14:textId="77777777" w:rsidR="007F0AE0" w:rsidRPr="00781F59" w:rsidRDefault="007F0AE0" w:rsidP="00453DE3">
            <w:pPr>
              <w:contextualSpacing/>
              <w:rPr>
                <w:sz w:val="20"/>
                <w:szCs w:val="20"/>
              </w:rPr>
            </w:pPr>
            <w:r w:rsidRPr="00781F59">
              <w:rPr>
                <w:sz w:val="20"/>
                <w:szCs w:val="20"/>
              </w:rPr>
              <w:t>557</w:t>
            </w:r>
          </w:p>
        </w:tc>
        <w:tc>
          <w:tcPr>
            <w:tcW w:w="0" w:type="auto"/>
            <w:tcBorders>
              <w:top w:val="single" w:sz="6" w:space="0" w:color="auto"/>
              <w:left w:val="single" w:sz="6" w:space="0" w:color="auto"/>
              <w:bottom w:val="single" w:sz="6" w:space="0" w:color="auto"/>
              <w:right w:val="single" w:sz="6" w:space="0" w:color="auto"/>
            </w:tcBorders>
            <w:hideMark/>
          </w:tcPr>
          <w:p w14:paraId="39F31424" w14:textId="77777777" w:rsidR="007F0AE0" w:rsidRPr="00781F59" w:rsidRDefault="007F0AE0" w:rsidP="00453DE3">
            <w:pPr>
              <w:contextualSpacing/>
              <w:rPr>
                <w:sz w:val="20"/>
                <w:szCs w:val="20"/>
              </w:rPr>
            </w:pPr>
            <w:r w:rsidRPr="00781F59">
              <w:rPr>
                <w:sz w:val="20"/>
                <w:szCs w:val="20"/>
              </w:rPr>
              <w:t>Alex Cabrera-Serrano, Miriam V Ramos-Colon, Abraham Rivera-Alvarado, Antonio Cases-Rosario, Jessica Irizarry Ramos 2012 Descriptive profile of people with diabetes who use the Puerto Rico Quitline.. Ethnicity &amp; disease; 22.45.</w:t>
            </w:r>
          </w:p>
        </w:tc>
        <w:tc>
          <w:tcPr>
            <w:tcW w:w="0" w:type="auto"/>
            <w:tcBorders>
              <w:top w:val="single" w:sz="6" w:space="0" w:color="auto"/>
              <w:left w:val="single" w:sz="6" w:space="0" w:color="auto"/>
              <w:bottom w:val="single" w:sz="6" w:space="0" w:color="auto"/>
              <w:right w:val="single" w:sz="6" w:space="0" w:color="auto"/>
            </w:tcBorders>
            <w:hideMark/>
          </w:tcPr>
          <w:p w14:paraId="3D586D3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B53F1B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8BE218" w14:textId="77777777" w:rsidR="007F0AE0" w:rsidRPr="00781F59" w:rsidRDefault="007F0AE0" w:rsidP="00453DE3">
            <w:pPr>
              <w:contextualSpacing/>
              <w:rPr>
                <w:sz w:val="20"/>
                <w:szCs w:val="20"/>
              </w:rPr>
            </w:pPr>
            <w:r w:rsidRPr="00781F59">
              <w:rPr>
                <w:sz w:val="20"/>
                <w:szCs w:val="20"/>
              </w:rPr>
              <w:t>561</w:t>
            </w:r>
          </w:p>
        </w:tc>
        <w:tc>
          <w:tcPr>
            <w:tcW w:w="0" w:type="auto"/>
            <w:tcBorders>
              <w:top w:val="single" w:sz="6" w:space="0" w:color="auto"/>
              <w:left w:val="single" w:sz="6" w:space="0" w:color="auto"/>
              <w:bottom w:val="single" w:sz="6" w:space="0" w:color="auto"/>
              <w:right w:val="single" w:sz="6" w:space="0" w:color="auto"/>
            </w:tcBorders>
            <w:hideMark/>
          </w:tcPr>
          <w:p w14:paraId="5E6D8763" w14:textId="77777777" w:rsidR="007F0AE0" w:rsidRPr="00781F59" w:rsidRDefault="007F0AE0" w:rsidP="00453DE3">
            <w:pPr>
              <w:contextualSpacing/>
              <w:rPr>
                <w:sz w:val="20"/>
                <w:szCs w:val="20"/>
              </w:rPr>
            </w:pPr>
            <w:r w:rsidRPr="00781F59">
              <w:rPr>
                <w:sz w:val="20"/>
                <w:szCs w:val="20"/>
              </w:rPr>
              <w:t>Nicholas T Vozoris 2012 Mentholated cigarettes and cardiovascular and pulmonary diseases: a population-based study.. Archives of internal medicine; 172.590.</w:t>
            </w:r>
          </w:p>
        </w:tc>
        <w:tc>
          <w:tcPr>
            <w:tcW w:w="0" w:type="auto"/>
            <w:tcBorders>
              <w:top w:val="single" w:sz="6" w:space="0" w:color="auto"/>
              <w:left w:val="single" w:sz="6" w:space="0" w:color="auto"/>
              <w:bottom w:val="single" w:sz="6" w:space="0" w:color="auto"/>
              <w:right w:val="single" w:sz="6" w:space="0" w:color="auto"/>
            </w:tcBorders>
            <w:hideMark/>
          </w:tcPr>
          <w:p w14:paraId="2AEFC48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472E7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6C1466" w14:textId="77777777" w:rsidR="007F0AE0" w:rsidRPr="00781F59" w:rsidRDefault="007F0AE0" w:rsidP="00453DE3">
            <w:pPr>
              <w:contextualSpacing/>
              <w:rPr>
                <w:sz w:val="20"/>
                <w:szCs w:val="20"/>
              </w:rPr>
            </w:pPr>
            <w:r w:rsidRPr="00781F59">
              <w:rPr>
                <w:sz w:val="20"/>
                <w:szCs w:val="20"/>
              </w:rPr>
              <w:t>562</w:t>
            </w:r>
          </w:p>
        </w:tc>
        <w:tc>
          <w:tcPr>
            <w:tcW w:w="0" w:type="auto"/>
            <w:tcBorders>
              <w:top w:val="single" w:sz="6" w:space="0" w:color="auto"/>
              <w:left w:val="single" w:sz="6" w:space="0" w:color="auto"/>
              <w:bottom w:val="single" w:sz="6" w:space="0" w:color="auto"/>
              <w:right w:val="single" w:sz="6" w:space="0" w:color="auto"/>
            </w:tcBorders>
            <w:hideMark/>
          </w:tcPr>
          <w:p w14:paraId="43578BFC" w14:textId="77777777" w:rsidR="007F0AE0" w:rsidRPr="00781F59" w:rsidRDefault="007F0AE0" w:rsidP="00453DE3">
            <w:pPr>
              <w:contextualSpacing/>
              <w:rPr>
                <w:sz w:val="20"/>
                <w:szCs w:val="20"/>
              </w:rPr>
            </w:pPr>
            <w:r w:rsidRPr="00781F59">
              <w:rPr>
                <w:sz w:val="20"/>
                <w:szCs w:val="20"/>
              </w:rPr>
              <w:t>Joshua E Muscat, Hsiao-Pin Liu, Steven D Stellman, John P Jr Richie 2012 Menthol smoking in relation to time to first cigarette and cotinine: results from a community-based study.. Regulatory toxicology and pharmacology : RTP; 63.166.</w:t>
            </w:r>
          </w:p>
        </w:tc>
        <w:tc>
          <w:tcPr>
            <w:tcW w:w="0" w:type="auto"/>
            <w:tcBorders>
              <w:top w:val="single" w:sz="6" w:space="0" w:color="auto"/>
              <w:left w:val="single" w:sz="6" w:space="0" w:color="auto"/>
              <w:bottom w:val="single" w:sz="6" w:space="0" w:color="auto"/>
              <w:right w:val="single" w:sz="6" w:space="0" w:color="auto"/>
            </w:tcBorders>
            <w:hideMark/>
          </w:tcPr>
          <w:p w14:paraId="10A21100" w14:textId="77777777" w:rsidR="007F0AE0" w:rsidRPr="00781F59" w:rsidRDefault="007F0AE0" w:rsidP="00453DE3">
            <w:pPr>
              <w:contextualSpacing/>
              <w:rPr>
                <w:sz w:val="20"/>
                <w:szCs w:val="20"/>
              </w:rPr>
            </w:pPr>
            <w:r w:rsidRPr="00781F59">
              <w:rPr>
                <w:sz w:val="20"/>
                <w:szCs w:val="20"/>
              </w:rPr>
              <w:t>Duplicate article</w:t>
            </w:r>
          </w:p>
        </w:tc>
      </w:tr>
      <w:tr w:rsidR="007F0AE0" w:rsidRPr="00781F59" w14:paraId="41DB36E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7200E39" w14:textId="77777777" w:rsidR="007F0AE0" w:rsidRPr="00781F59" w:rsidRDefault="007F0AE0" w:rsidP="00453DE3">
            <w:pPr>
              <w:contextualSpacing/>
              <w:rPr>
                <w:sz w:val="20"/>
                <w:szCs w:val="20"/>
              </w:rPr>
            </w:pPr>
            <w:r w:rsidRPr="00781F59">
              <w:rPr>
                <w:sz w:val="20"/>
                <w:szCs w:val="20"/>
              </w:rPr>
              <w:t>563</w:t>
            </w:r>
          </w:p>
        </w:tc>
        <w:tc>
          <w:tcPr>
            <w:tcW w:w="0" w:type="auto"/>
            <w:tcBorders>
              <w:top w:val="single" w:sz="6" w:space="0" w:color="auto"/>
              <w:left w:val="single" w:sz="6" w:space="0" w:color="auto"/>
              <w:bottom w:val="single" w:sz="6" w:space="0" w:color="auto"/>
              <w:right w:val="single" w:sz="6" w:space="0" w:color="auto"/>
            </w:tcBorders>
            <w:hideMark/>
          </w:tcPr>
          <w:p w14:paraId="63CE82B6" w14:textId="77777777" w:rsidR="007F0AE0" w:rsidRPr="00781F59" w:rsidRDefault="007F0AE0" w:rsidP="00453DE3">
            <w:pPr>
              <w:contextualSpacing/>
              <w:rPr>
                <w:sz w:val="20"/>
                <w:szCs w:val="20"/>
              </w:rPr>
            </w:pPr>
            <w:r w:rsidRPr="00781F59">
              <w:rPr>
                <w:sz w:val="20"/>
                <w:szCs w:val="20"/>
              </w:rPr>
              <w:t>Valerie M Kramlinger, Linda B von Weymarn, Sharon E Murphy 2012 Inhibition and inactivation of cytochrome P450 2A6 and cytochrome P450 2A13 by menthofuran, beta-nicotyrine and menthol.. Chemico-biological interactions; 197.87.</w:t>
            </w:r>
          </w:p>
        </w:tc>
        <w:tc>
          <w:tcPr>
            <w:tcW w:w="0" w:type="auto"/>
            <w:tcBorders>
              <w:top w:val="single" w:sz="6" w:space="0" w:color="auto"/>
              <w:left w:val="single" w:sz="6" w:space="0" w:color="auto"/>
              <w:bottom w:val="single" w:sz="6" w:space="0" w:color="auto"/>
              <w:right w:val="single" w:sz="6" w:space="0" w:color="auto"/>
            </w:tcBorders>
            <w:hideMark/>
          </w:tcPr>
          <w:p w14:paraId="0479707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12090C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D52670" w14:textId="77777777" w:rsidR="007F0AE0" w:rsidRPr="00781F59" w:rsidRDefault="007F0AE0" w:rsidP="00453DE3">
            <w:pPr>
              <w:contextualSpacing/>
              <w:rPr>
                <w:sz w:val="20"/>
                <w:szCs w:val="20"/>
              </w:rPr>
            </w:pPr>
            <w:r w:rsidRPr="00781F59">
              <w:rPr>
                <w:sz w:val="20"/>
                <w:szCs w:val="20"/>
              </w:rPr>
              <w:t>564</w:t>
            </w:r>
          </w:p>
        </w:tc>
        <w:tc>
          <w:tcPr>
            <w:tcW w:w="0" w:type="auto"/>
            <w:tcBorders>
              <w:top w:val="single" w:sz="6" w:space="0" w:color="auto"/>
              <w:left w:val="single" w:sz="6" w:space="0" w:color="auto"/>
              <w:bottom w:val="single" w:sz="6" w:space="0" w:color="auto"/>
              <w:right w:val="single" w:sz="6" w:space="0" w:color="auto"/>
            </w:tcBorders>
            <w:hideMark/>
          </w:tcPr>
          <w:p w14:paraId="39306237" w14:textId="77777777" w:rsidR="007F0AE0" w:rsidRPr="00781F59" w:rsidRDefault="007F0AE0" w:rsidP="00453DE3">
            <w:pPr>
              <w:contextualSpacing/>
              <w:rPr>
                <w:sz w:val="20"/>
                <w:szCs w:val="20"/>
              </w:rPr>
            </w:pPr>
            <w:r w:rsidRPr="00781F59">
              <w:rPr>
                <w:sz w:val="20"/>
                <w:szCs w:val="20"/>
              </w:rPr>
              <w:t>Marielle C Brinkman, Jane C Chuang, Sydney M Gordon, Hyoshin Kim, Robyn R Kroeger, Gregory M Polzin, Patricia A Richter 2012 Exposure to and deposition of fine and ultrafine particles in smokers of menthol and nonmenthol cigarettes.. Inhalation toxicology; 24.255.</w:t>
            </w:r>
          </w:p>
        </w:tc>
        <w:tc>
          <w:tcPr>
            <w:tcW w:w="0" w:type="auto"/>
            <w:tcBorders>
              <w:top w:val="single" w:sz="6" w:space="0" w:color="auto"/>
              <w:left w:val="single" w:sz="6" w:space="0" w:color="auto"/>
              <w:bottom w:val="single" w:sz="6" w:space="0" w:color="auto"/>
              <w:right w:val="single" w:sz="6" w:space="0" w:color="auto"/>
            </w:tcBorders>
            <w:hideMark/>
          </w:tcPr>
          <w:p w14:paraId="1034B56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2A357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5E0F82" w14:textId="77777777" w:rsidR="007F0AE0" w:rsidRPr="00781F59" w:rsidRDefault="007F0AE0" w:rsidP="00453DE3">
            <w:pPr>
              <w:contextualSpacing/>
              <w:rPr>
                <w:sz w:val="20"/>
                <w:szCs w:val="20"/>
              </w:rPr>
            </w:pPr>
            <w:r w:rsidRPr="00781F59">
              <w:rPr>
                <w:sz w:val="20"/>
                <w:szCs w:val="20"/>
              </w:rPr>
              <w:t>570</w:t>
            </w:r>
          </w:p>
        </w:tc>
        <w:tc>
          <w:tcPr>
            <w:tcW w:w="0" w:type="auto"/>
            <w:tcBorders>
              <w:top w:val="single" w:sz="6" w:space="0" w:color="auto"/>
              <w:left w:val="single" w:sz="6" w:space="0" w:color="auto"/>
              <w:bottom w:val="single" w:sz="6" w:space="0" w:color="auto"/>
              <w:right w:val="single" w:sz="6" w:space="0" w:color="auto"/>
            </w:tcBorders>
            <w:hideMark/>
          </w:tcPr>
          <w:p w14:paraId="5885CE6F" w14:textId="77777777" w:rsidR="007F0AE0" w:rsidRPr="00781F59" w:rsidRDefault="007F0AE0" w:rsidP="00453DE3">
            <w:pPr>
              <w:contextualSpacing/>
              <w:rPr>
                <w:sz w:val="20"/>
                <w:szCs w:val="20"/>
              </w:rPr>
            </w:pPr>
            <w:r w:rsidRPr="00781F59">
              <w:rPr>
                <w:sz w:val="20"/>
                <w:szCs w:val="20"/>
              </w:rPr>
              <w:t xml:space="preserve">Kolawole S Okuyemi, Babalola Faseru, Gregory A Reed, Lisa Sanderson Cox, Carrie A Bronars, Isaac Opole, Guy-Lucien Whembolua, Matthew S Mayo, Jasjit S Ahluwalia, Neal L Benowitz 2012 Effects of menthol on the pharmacokinetics of bupropion among Black smokers.. </w:t>
            </w:r>
            <w:r w:rsidRPr="00781F59">
              <w:rPr>
                <w:sz w:val="20"/>
                <w:szCs w:val="20"/>
              </w:rPr>
              <w:lastRenderedPageBreak/>
              <w:t>Nicotine &amp; tobacco research : official journal of the Society for Research on Nicotine and Tobacco; 14.688.</w:t>
            </w:r>
          </w:p>
        </w:tc>
        <w:tc>
          <w:tcPr>
            <w:tcW w:w="0" w:type="auto"/>
            <w:tcBorders>
              <w:top w:val="single" w:sz="6" w:space="0" w:color="auto"/>
              <w:left w:val="single" w:sz="6" w:space="0" w:color="auto"/>
              <w:bottom w:val="single" w:sz="6" w:space="0" w:color="auto"/>
              <w:right w:val="single" w:sz="6" w:space="0" w:color="auto"/>
            </w:tcBorders>
            <w:hideMark/>
          </w:tcPr>
          <w:p w14:paraId="204D5ADB" w14:textId="77777777" w:rsidR="007F0AE0" w:rsidRPr="00781F59" w:rsidRDefault="007F0AE0" w:rsidP="00453DE3">
            <w:pPr>
              <w:contextualSpacing/>
              <w:rPr>
                <w:sz w:val="20"/>
                <w:szCs w:val="20"/>
              </w:rPr>
            </w:pPr>
            <w:r w:rsidRPr="00781F59">
              <w:rPr>
                <w:sz w:val="20"/>
                <w:szCs w:val="20"/>
              </w:rPr>
              <w:lastRenderedPageBreak/>
              <w:t>Does not address a KQ</w:t>
            </w:r>
          </w:p>
        </w:tc>
      </w:tr>
      <w:tr w:rsidR="007F0AE0" w:rsidRPr="003651AE" w14:paraId="5E2A2F0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710D2A" w14:textId="77777777" w:rsidR="007F0AE0" w:rsidRPr="00781F59" w:rsidRDefault="007F0AE0" w:rsidP="00453DE3">
            <w:pPr>
              <w:contextualSpacing/>
              <w:rPr>
                <w:sz w:val="20"/>
                <w:szCs w:val="20"/>
              </w:rPr>
            </w:pPr>
            <w:r w:rsidRPr="00781F59">
              <w:rPr>
                <w:sz w:val="20"/>
                <w:szCs w:val="20"/>
              </w:rPr>
              <w:t>572</w:t>
            </w:r>
          </w:p>
        </w:tc>
        <w:tc>
          <w:tcPr>
            <w:tcW w:w="0" w:type="auto"/>
            <w:tcBorders>
              <w:top w:val="single" w:sz="6" w:space="0" w:color="auto"/>
              <w:left w:val="single" w:sz="6" w:space="0" w:color="auto"/>
              <w:bottom w:val="single" w:sz="6" w:space="0" w:color="auto"/>
              <w:right w:val="single" w:sz="6" w:space="0" w:color="auto"/>
            </w:tcBorders>
            <w:hideMark/>
          </w:tcPr>
          <w:p w14:paraId="0F12FDF2" w14:textId="77777777" w:rsidR="007F0AE0" w:rsidRPr="00781F59" w:rsidRDefault="007F0AE0" w:rsidP="00453DE3">
            <w:pPr>
              <w:contextualSpacing/>
              <w:rPr>
                <w:sz w:val="20"/>
                <w:szCs w:val="20"/>
              </w:rPr>
            </w:pPr>
            <w:r w:rsidRPr="00781F59">
              <w:rPr>
                <w:sz w:val="20"/>
                <w:szCs w:val="20"/>
              </w:rPr>
              <w:t>Lisa Sanderson Cox, Nicole L Nollen, Matthew S Mayo, Won S Choi, Babalola Faseru, Neal L Benowitz, Rachel F Tyndale, Kolawole S Okuyemi, Jasjit S Ahluwalia 2012 Bupropion for smoking cessation in African American light smokers: a randomized controlled trial.. Journal of the National Cancer Institute; 104.290.</w:t>
            </w:r>
          </w:p>
        </w:tc>
        <w:tc>
          <w:tcPr>
            <w:tcW w:w="0" w:type="auto"/>
            <w:tcBorders>
              <w:top w:val="single" w:sz="6" w:space="0" w:color="auto"/>
              <w:left w:val="single" w:sz="6" w:space="0" w:color="auto"/>
              <w:bottom w:val="single" w:sz="6" w:space="0" w:color="auto"/>
              <w:right w:val="single" w:sz="6" w:space="0" w:color="auto"/>
            </w:tcBorders>
            <w:hideMark/>
          </w:tcPr>
          <w:p w14:paraId="66A4DFCA" w14:textId="77777777" w:rsidR="007F0AE0" w:rsidRPr="00EA69AA" w:rsidRDefault="007F0AE0" w:rsidP="00453DE3">
            <w:pPr>
              <w:contextualSpacing/>
              <w:rPr>
                <w:sz w:val="20"/>
                <w:szCs w:val="20"/>
                <w:lang w:val="fr-FR"/>
              </w:rPr>
            </w:pPr>
            <w:r w:rsidRPr="00EA69AA">
              <w:rPr>
                <w:sz w:val="20"/>
                <w:szCs w:val="20"/>
                <w:lang w:val="fr-FR"/>
              </w:rPr>
              <w:t>Ineligible comparison (menthol vs non)</w:t>
            </w:r>
          </w:p>
        </w:tc>
      </w:tr>
      <w:tr w:rsidR="007F0AE0" w:rsidRPr="00781F59" w14:paraId="1D8F0A5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5B4044" w14:textId="77777777" w:rsidR="007F0AE0" w:rsidRPr="00781F59" w:rsidRDefault="007F0AE0" w:rsidP="00453DE3">
            <w:pPr>
              <w:contextualSpacing/>
              <w:rPr>
                <w:sz w:val="20"/>
                <w:szCs w:val="20"/>
              </w:rPr>
            </w:pPr>
            <w:r w:rsidRPr="00781F59">
              <w:rPr>
                <w:sz w:val="20"/>
                <w:szCs w:val="20"/>
              </w:rPr>
              <w:t>574</w:t>
            </w:r>
          </w:p>
        </w:tc>
        <w:tc>
          <w:tcPr>
            <w:tcW w:w="0" w:type="auto"/>
            <w:tcBorders>
              <w:top w:val="single" w:sz="6" w:space="0" w:color="auto"/>
              <w:left w:val="single" w:sz="6" w:space="0" w:color="auto"/>
              <w:bottom w:val="single" w:sz="6" w:space="0" w:color="auto"/>
              <w:right w:val="single" w:sz="6" w:space="0" w:color="auto"/>
            </w:tcBorders>
            <w:hideMark/>
          </w:tcPr>
          <w:p w14:paraId="2EBD3BEF" w14:textId="77777777" w:rsidR="007F0AE0" w:rsidRPr="00781F59" w:rsidRDefault="007F0AE0" w:rsidP="00453DE3">
            <w:pPr>
              <w:contextualSpacing/>
              <w:rPr>
                <w:sz w:val="20"/>
                <w:szCs w:val="20"/>
              </w:rPr>
            </w:pPr>
            <w:r w:rsidRPr="00781F59">
              <w:rPr>
                <w:sz w:val="20"/>
                <w:szCs w:val="20"/>
              </w:rPr>
              <w:t>Joseph R DiFranza 2012 Research opportunities concerning youth and the Family Smoking Prevention and Tobacco Control Act.. Nicotine &amp; tobacco research : official journal of the Society for Research on Nicotine and Tobacco; 14.54.</w:t>
            </w:r>
          </w:p>
        </w:tc>
        <w:tc>
          <w:tcPr>
            <w:tcW w:w="0" w:type="auto"/>
            <w:tcBorders>
              <w:top w:val="single" w:sz="6" w:space="0" w:color="auto"/>
              <w:left w:val="single" w:sz="6" w:space="0" w:color="auto"/>
              <w:bottom w:val="single" w:sz="6" w:space="0" w:color="auto"/>
              <w:right w:val="single" w:sz="6" w:space="0" w:color="auto"/>
            </w:tcBorders>
            <w:hideMark/>
          </w:tcPr>
          <w:p w14:paraId="2CB10163"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4648E1B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8C30C7" w14:textId="77777777" w:rsidR="007F0AE0" w:rsidRPr="00781F59" w:rsidRDefault="007F0AE0" w:rsidP="00453DE3">
            <w:pPr>
              <w:contextualSpacing/>
              <w:rPr>
                <w:sz w:val="20"/>
                <w:szCs w:val="20"/>
              </w:rPr>
            </w:pPr>
            <w:r w:rsidRPr="00781F59">
              <w:rPr>
                <w:sz w:val="20"/>
                <w:szCs w:val="20"/>
              </w:rPr>
              <w:t>584</w:t>
            </w:r>
          </w:p>
        </w:tc>
        <w:tc>
          <w:tcPr>
            <w:tcW w:w="0" w:type="auto"/>
            <w:tcBorders>
              <w:top w:val="single" w:sz="6" w:space="0" w:color="auto"/>
              <w:left w:val="single" w:sz="6" w:space="0" w:color="auto"/>
              <w:bottom w:val="single" w:sz="6" w:space="0" w:color="auto"/>
              <w:right w:val="single" w:sz="6" w:space="0" w:color="auto"/>
            </w:tcBorders>
            <w:hideMark/>
          </w:tcPr>
          <w:p w14:paraId="04380A3A" w14:textId="77777777" w:rsidR="007F0AE0" w:rsidRPr="00781F59" w:rsidRDefault="007F0AE0" w:rsidP="00453DE3">
            <w:pPr>
              <w:contextualSpacing/>
              <w:rPr>
                <w:sz w:val="20"/>
                <w:szCs w:val="20"/>
              </w:rPr>
            </w:pPr>
            <w:r w:rsidRPr="00781F59">
              <w:rPr>
                <w:sz w:val="20"/>
                <w:szCs w:val="20"/>
              </w:rPr>
              <w:t>Pamela I Clark, Phillip Gardiner 2011 Menthol should not be given a free pass based on studies of biomarkers of toxicity.. Cancer epidemiology, biomarkers &amp; prevention : a publication of the American Association for Cancer Research, cosponsored by the American Society of Preventive Oncology; 20.1269.</w:t>
            </w:r>
          </w:p>
        </w:tc>
        <w:tc>
          <w:tcPr>
            <w:tcW w:w="0" w:type="auto"/>
            <w:tcBorders>
              <w:top w:val="single" w:sz="6" w:space="0" w:color="auto"/>
              <w:left w:val="single" w:sz="6" w:space="0" w:color="auto"/>
              <w:bottom w:val="single" w:sz="6" w:space="0" w:color="auto"/>
              <w:right w:val="single" w:sz="6" w:space="0" w:color="auto"/>
            </w:tcBorders>
            <w:hideMark/>
          </w:tcPr>
          <w:p w14:paraId="74ED14EE"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01262C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50777F3" w14:textId="77777777" w:rsidR="007F0AE0" w:rsidRPr="00781F59" w:rsidRDefault="007F0AE0" w:rsidP="00453DE3">
            <w:pPr>
              <w:contextualSpacing/>
              <w:rPr>
                <w:sz w:val="20"/>
                <w:szCs w:val="20"/>
              </w:rPr>
            </w:pPr>
            <w:r w:rsidRPr="00781F59">
              <w:rPr>
                <w:sz w:val="20"/>
                <w:szCs w:val="20"/>
              </w:rPr>
              <w:t>586</w:t>
            </w:r>
          </w:p>
        </w:tc>
        <w:tc>
          <w:tcPr>
            <w:tcW w:w="0" w:type="auto"/>
            <w:tcBorders>
              <w:top w:val="single" w:sz="6" w:space="0" w:color="auto"/>
              <w:left w:val="single" w:sz="6" w:space="0" w:color="auto"/>
              <w:bottom w:val="single" w:sz="6" w:space="0" w:color="auto"/>
              <w:right w:val="single" w:sz="6" w:space="0" w:color="auto"/>
            </w:tcBorders>
            <w:hideMark/>
          </w:tcPr>
          <w:p w14:paraId="3A91A302" w14:textId="77777777" w:rsidR="007F0AE0" w:rsidRPr="00781F59" w:rsidRDefault="007F0AE0" w:rsidP="00453DE3">
            <w:pPr>
              <w:contextualSpacing/>
              <w:rPr>
                <w:sz w:val="20"/>
                <w:szCs w:val="20"/>
              </w:rPr>
            </w:pPr>
            <w:r w:rsidRPr="00781F59">
              <w:rPr>
                <w:sz w:val="20"/>
                <w:szCs w:val="20"/>
              </w:rPr>
              <w:t>George R Uhl, Donna Walther, Frederique M Behm, Jed E Rose 2011 Menthol preference among smokers: association with TRPA1 variants.. Nicotine &amp; tobacco research : official journal of the Society for Research on Nicotine and Tobacco; 13.1311.</w:t>
            </w:r>
          </w:p>
        </w:tc>
        <w:tc>
          <w:tcPr>
            <w:tcW w:w="0" w:type="auto"/>
            <w:tcBorders>
              <w:top w:val="single" w:sz="6" w:space="0" w:color="auto"/>
              <w:left w:val="single" w:sz="6" w:space="0" w:color="auto"/>
              <w:bottom w:val="single" w:sz="6" w:space="0" w:color="auto"/>
              <w:right w:val="single" w:sz="6" w:space="0" w:color="auto"/>
            </w:tcBorders>
            <w:hideMark/>
          </w:tcPr>
          <w:p w14:paraId="002755C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D22BE9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650C18" w14:textId="77777777" w:rsidR="007F0AE0" w:rsidRPr="00781F59" w:rsidRDefault="007F0AE0" w:rsidP="00453DE3">
            <w:pPr>
              <w:contextualSpacing/>
              <w:rPr>
                <w:sz w:val="20"/>
                <w:szCs w:val="20"/>
              </w:rPr>
            </w:pPr>
            <w:r w:rsidRPr="00781F59">
              <w:rPr>
                <w:sz w:val="20"/>
                <w:szCs w:val="20"/>
              </w:rPr>
              <w:t>587</w:t>
            </w:r>
          </w:p>
        </w:tc>
        <w:tc>
          <w:tcPr>
            <w:tcW w:w="0" w:type="auto"/>
            <w:tcBorders>
              <w:top w:val="single" w:sz="6" w:space="0" w:color="auto"/>
              <w:left w:val="single" w:sz="6" w:space="0" w:color="auto"/>
              <w:bottom w:val="single" w:sz="6" w:space="0" w:color="auto"/>
              <w:right w:val="single" w:sz="6" w:space="0" w:color="auto"/>
            </w:tcBorders>
            <w:hideMark/>
          </w:tcPr>
          <w:p w14:paraId="2B8DD0B8" w14:textId="77777777" w:rsidR="007F0AE0" w:rsidRPr="00781F59" w:rsidRDefault="007F0AE0" w:rsidP="00453DE3">
            <w:pPr>
              <w:contextualSpacing/>
              <w:rPr>
                <w:sz w:val="20"/>
                <w:szCs w:val="20"/>
              </w:rPr>
            </w:pPr>
            <w:r w:rsidRPr="00781F59">
              <w:rPr>
                <w:sz w:val="20"/>
                <w:szCs w:val="20"/>
              </w:rPr>
              <w:t>Paul M Wise, George Preti, Jason Eades, Charles J Wysocki 2011 The effect of menthol vapor on nasal sensitivity to chemical irritation.. Nicotine &amp; tobacco research : official journal of the Society for Research on Nicotine and Tobacco; 13.989.</w:t>
            </w:r>
          </w:p>
        </w:tc>
        <w:tc>
          <w:tcPr>
            <w:tcW w:w="0" w:type="auto"/>
            <w:tcBorders>
              <w:top w:val="single" w:sz="6" w:space="0" w:color="auto"/>
              <w:left w:val="single" w:sz="6" w:space="0" w:color="auto"/>
              <w:bottom w:val="single" w:sz="6" w:space="0" w:color="auto"/>
              <w:right w:val="single" w:sz="6" w:space="0" w:color="auto"/>
            </w:tcBorders>
            <w:hideMark/>
          </w:tcPr>
          <w:p w14:paraId="7A8CF86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DEBD18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F79196" w14:textId="77777777" w:rsidR="007F0AE0" w:rsidRPr="00781F59" w:rsidRDefault="007F0AE0" w:rsidP="00453DE3">
            <w:pPr>
              <w:contextualSpacing/>
              <w:rPr>
                <w:sz w:val="20"/>
                <w:szCs w:val="20"/>
              </w:rPr>
            </w:pPr>
            <w:r w:rsidRPr="00781F59">
              <w:rPr>
                <w:sz w:val="20"/>
                <w:szCs w:val="20"/>
              </w:rPr>
              <w:t>590</w:t>
            </w:r>
          </w:p>
        </w:tc>
        <w:tc>
          <w:tcPr>
            <w:tcW w:w="0" w:type="auto"/>
            <w:tcBorders>
              <w:top w:val="single" w:sz="6" w:space="0" w:color="auto"/>
              <w:left w:val="single" w:sz="6" w:space="0" w:color="auto"/>
              <w:bottom w:val="single" w:sz="6" w:space="0" w:color="auto"/>
              <w:right w:val="single" w:sz="6" w:space="0" w:color="auto"/>
            </w:tcBorders>
            <w:hideMark/>
          </w:tcPr>
          <w:p w14:paraId="1C98E755" w14:textId="77777777" w:rsidR="007F0AE0" w:rsidRPr="00781F59" w:rsidRDefault="007F0AE0" w:rsidP="00453DE3">
            <w:pPr>
              <w:contextualSpacing/>
              <w:rPr>
                <w:sz w:val="20"/>
                <w:szCs w:val="20"/>
              </w:rPr>
            </w:pPr>
            <w:r w:rsidRPr="00781F59">
              <w:rPr>
                <w:sz w:val="20"/>
                <w:szCs w:val="20"/>
              </w:rPr>
              <w:t>David T Levy, Jennifer L Pearson, Andrea C Villanti, Kenneth Blackman, Donna M Vallone, Raymond S Niaura, David B Abrams 2011 Modeling the future effects of a menthol ban on smoking prevalence and smoking-attributable deaths in the United States.. American journal of public health; 101.1236.</w:t>
            </w:r>
          </w:p>
        </w:tc>
        <w:tc>
          <w:tcPr>
            <w:tcW w:w="0" w:type="auto"/>
            <w:tcBorders>
              <w:top w:val="single" w:sz="6" w:space="0" w:color="auto"/>
              <w:left w:val="single" w:sz="6" w:space="0" w:color="auto"/>
              <w:bottom w:val="single" w:sz="6" w:space="0" w:color="auto"/>
              <w:right w:val="single" w:sz="6" w:space="0" w:color="auto"/>
            </w:tcBorders>
            <w:hideMark/>
          </w:tcPr>
          <w:p w14:paraId="30EF786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E282DD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AD2F3E7" w14:textId="77777777" w:rsidR="007F0AE0" w:rsidRPr="00781F59" w:rsidRDefault="007F0AE0" w:rsidP="00453DE3">
            <w:pPr>
              <w:contextualSpacing/>
              <w:rPr>
                <w:sz w:val="20"/>
                <w:szCs w:val="20"/>
              </w:rPr>
            </w:pPr>
            <w:r w:rsidRPr="00781F59">
              <w:rPr>
                <w:sz w:val="20"/>
                <w:szCs w:val="20"/>
              </w:rPr>
              <w:t>593</w:t>
            </w:r>
          </w:p>
        </w:tc>
        <w:tc>
          <w:tcPr>
            <w:tcW w:w="0" w:type="auto"/>
            <w:tcBorders>
              <w:top w:val="single" w:sz="6" w:space="0" w:color="auto"/>
              <w:left w:val="single" w:sz="6" w:space="0" w:color="auto"/>
              <w:bottom w:val="single" w:sz="6" w:space="0" w:color="auto"/>
              <w:right w:val="single" w:sz="6" w:space="0" w:color="auto"/>
            </w:tcBorders>
            <w:hideMark/>
          </w:tcPr>
          <w:p w14:paraId="59E3AB20" w14:textId="77777777" w:rsidR="007F0AE0" w:rsidRPr="00781F59" w:rsidRDefault="007F0AE0" w:rsidP="00453DE3">
            <w:pPr>
              <w:contextualSpacing/>
              <w:rPr>
                <w:sz w:val="20"/>
                <w:szCs w:val="20"/>
              </w:rPr>
            </w:pPr>
            <w:r w:rsidRPr="00781F59">
              <w:rPr>
                <w:sz w:val="20"/>
                <w:szCs w:val="20"/>
              </w:rPr>
              <w:t>Youn Ok Lee, Stanton A Glantz 2011 Menthol: putting the pieces together.. Tobacco control; 20 Suppl 2.ii1.</w:t>
            </w:r>
          </w:p>
        </w:tc>
        <w:tc>
          <w:tcPr>
            <w:tcW w:w="0" w:type="auto"/>
            <w:tcBorders>
              <w:top w:val="single" w:sz="6" w:space="0" w:color="auto"/>
              <w:left w:val="single" w:sz="6" w:space="0" w:color="auto"/>
              <w:bottom w:val="single" w:sz="6" w:space="0" w:color="auto"/>
              <w:right w:val="single" w:sz="6" w:space="0" w:color="auto"/>
            </w:tcBorders>
            <w:hideMark/>
          </w:tcPr>
          <w:p w14:paraId="0E28CC0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99E809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6737043" w14:textId="77777777" w:rsidR="007F0AE0" w:rsidRPr="00781F59" w:rsidRDefault="007F0AE0" w:rsidP="00453DE3">
            <w:pPr>
              <w:contextualSpacing/>
              <w:rPr>
                <w:sz w:val="20"/>
                <w:szCs w:val="20"/>
              </w:rPr>
            </w:pPr>
            <w:r w:rsidRPr="00781F59">
              <w:rPr>
                <w:sz w:val="20"/>
                <w:szCs w:val="20"/>
              </w:rPr>
              <w:t>594</w:t>
            </w:r>
          </w:p>
        </w:tc>
        <w:tc>
          <w:tcPr>
            <w:tcW w:w="0" w:type="auto"/>
            <w:tcBorders>
              <w:top w:val="single" w:sz="6" w:space="0" w:color="auto"/>
              <w:left w:val="single" w:sz="6" w:space="0" w:color="auto"/>
              <w:bottom w:val="single" w:sz="6" w:space="0" w:color="auto"/>
              <w:right w:val="single" w:sz="6" w:space="0" w:color="auto"/>
            </w:tcBorders>
            <w:hideMark/>
          </w:tcPr>
          <w:p w14:paraId="45A6AE67" w14:textId="77777777" w:rsidR="007F0AE0" w:rsidRPr="00781F59" w:rsidRDefault="007F0AE0" w:rsidP="00453DE3">
            <w:pPr>
              <w:contextualSpacing/>
              <w:rPr>
                <w:sz w:val="20"/>
                <w:szCs w:val="20"/>
              </w:rPr>
            </w:pPr>
            <w:r w:rsidRPr="00781F59">
              <w:rPr>
                <w:sz w:val="20"/>
                <w:szCs w:val="20"/>
              </w:rPr>
              <w:t>Peter N Lee 2011 Systematic review of the epidemiological evidence comparing lung cancer risk in smokers of mentholated and unmentholated cigarettes.. BMC pulmonary medicine; 11.18.</w:t>
            </w:r>
          </w:p>
        </w:tc>
        <w:tc>
          <w:tcPr>
            <w:tcW w:w="0" w:type="auto"/>
            <w:tcBorders>
              <w:top w:val="single" w:sz="6" w:space="0" w:color="auto"/>
              <w:left w:val="single" w:sz="6" w:space="0" w:color="auto"/>
              <w:bottom w:val="single" w:sz="6" w:space="0" w:color="auto"/>
              <w:right w:val="single" w:sz="6" w:space="0" w:color="auto"/>
            </w:tcBorders>
            <w:hideMark/>
          </w:tcPr>
          <w:p w14:paraId="267D8D3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427D9B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B8215C" w14:textId="77777777" w:rsidR="007F0AE0" w:rsidRPr="00781F59" w:rsidRDefault="007F0AE0" w:rsidP="00453DE3">
            <w:pPr>
              <w:contextualSpacing/>
              <w:rPr>
                <w:sz w:val="20"/>
                <w:szCs w:val="20"/>
              </w:rPr>
            </w:pPr>
            <w:r w:rsidRPr="00781F59">
              <w:rPr>
                <w:sz w:val="20"/>
                <w:szCs w:val="20"/>
              </w:rPr>
              <w:t>595</w:t>
            </w:r>
          </w:p>
        </w:tc>
        <w:tc>
          <w:tcPr>
            <w:tcW w:w="0" w:type="auto"/>
            <w:tcBorders>
              <w:top w:val="single" w:sz="6" w:space="0" w:color="auto"/>
              <w:left w:val="single" w:sz="6" w:space="0" w:color="auto"/>
              <w:bottom w:val="single" w:sz="6" w:space="0" w:color="auto"/>
              <w:right w:val="single" w:sz="6" w:space="0" w:color="auto"/>
            </w:tcBorders>
            <w:hideMark/>
          </w:tcPr>
          <w:p w14:paraId="02E48D9C" w14:textId="77777777" w:rsidR="007F0AE0" w:rsidRPr="00781F59" w:rsidRDefault="007F0AE0" w:rsidP="00453DE3">
            <w:pPr>
              <w:contextualSpacing/>
              <w:rPr>
                <w:sz w:val="20"/>
                <w:szCs w:val="20"/>
              </w:rPr>
            </w:pPr>
            <w:r w:rsidRPr="00781F59">
              <w:rPr>
                <w:sz w:val="20"/>
                <w:szCs w:val="20"/>
              </w:rPr>
              <w:t>Merrill Goozner 2011 FDA finding may curb mentholated cigarette availability.. Journal of the National Cancer Institute; 103.620.</w:t>
            </w:r>
          </w:p>
        </w:tc>
        <w:tc>
          <w:tcPr>
            <w:tcW w:w="0" w:type="auto"/>
            <w:tcBorders>
              <w:top w:val="single" w:sz="6" w:space="0" w:color="auto"/>
              <w:left w:val="single" w:sz="6" w:space="0" w:color="auto"/>
              <w:bottom w:val="single" w:sz="6" w:space="0" w:color="auto"/>
              <w:right w:val="single" w:sz="6" w:space="0" w:color="auto"/>
            </w:tcBorders>
            <w:hideMark/>
          </w:tcPr>
          <w:p w14:paraId="15193C37"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1A81669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7D7C96D" w14:textId="77777777" w:rsidR="007F0AE0" w:rsidRPr="00781F59" w:rsidRDefault="007F0AE0" w:rsidP="00453DE3">
            <w:pPr>
              <w:contextualSpacing/>
              <w:rPr>
                <w:sz w:val="20"/>
                <w:szCs w:val="20"/>
              </w:rPr>
            </w:pPr>
            <w:r w:rsidRPr="00781F59">
              <w:rPr>
                <w:sz w:val="20"/>
                <w:szCs w:val="20"/>
              </w:rPr>
              <w:t>597</w:t>
            </w:r>
          </w:p>
        </w:tc>
        <w:tc>
          <w:tcPr>
            <w:tcW w:w="0" w:type="auto"/>
            <w:tcBorders>
              <w:top w:val="single" w:sz="6" w:space="0" w:color="auto"/>
              <w:left w:val="single" w:sz="6" w:space="0" w:color="auto"/>
              <w:bottom w:val="single" w:sz="6" w:space="0" w:color="auto"/>
              <w:right w:val="single" w:sz="6" w:space="0" w:color="auto"/>
            </w:tcBorders>
            <w:hideMark/>
          </w:tcPr>
          <w:p w14:paraId="7C5717D0" w14:textId="77777777" w:rsidR="007F0AE0" w:rsidRPr="00781F59" w:rsidRDefault="007F0AE0" w:rsidP="00453DE3">
            <w:pPr>
              <w:contextualSpacing/>
              <w:rPr>
                <w:sz w:val="20"/>
                <w:szCs w:val="20"/>
              </w:rPr>
            </w:pPr>
            <w:r w:rsidRPr="00781F59">
              <w:rPr>
                <w:sz w:val="20"/>
                <w:szCs w:val="20"/>
              </w:rPr>
              <w:t>Cai Chen, Wentai Luo, Lorne M Isabelle, Keith D Gareau, James F Pankow 2011 The stereoisomers of menthol in selected tobacco products. A brief report.. Nicotine &amp; tobacco research : official journal of the Society for Research on Nicotine and Tobacco; 13.741.</w:t>
            </w:r>
          </w:p>
        </w:tc>
        <w:tc>
          <w:tcPr>
            <w:tcW w:w="0" w:type="auto"/>
            <w:tcBorders>
              <w:top w:val="single" w:sz="6" w:space="0" w:color="auto"/>
              <w:left w:val="single" w:sz="6" w:space="0" w:color="auto"/>
              <w:bottom w:val="single" w:sz="6" w:space="0" w:color="auto"/>
              <w:right w:val="single" w:sz="6" w:space="0" w:color="auto"/>
            </w:tcBorders>
            <w:hideMark/>
          </w:tcPr>
          <w:p w14:paraId="34396FC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02E4C0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491454" w14:textId="77777777" w:rsidR="007F0AE0" w:rsidRPr="00781F59" w:rsidRDefault="007F0AE0" w:rsidP="00453DE3">
            <w:pPr>
              <w:contextualSpacing/>
              <w:rPr>
                <w:sz w:val="20"/>
                <w:szCs w:val="20"/>
              </w:rPr>
            </w:pPr>
            <w:r w:rsidRPr="00781F59">
              <w:rPr>
                <w:sz w:val="20"/>
                <w:szCs w:val="20"/>
              </w:rPr>
              <w:t>599</w:t>
            </w:r>
          </w:p>
        </w:tc>
        <w:tc>
          <w:tcPr>
            <w:tcW w:w="0" w:type="auto"/>
            <w:tcBorders>
              <w:top w:val="single" w:sz="6" w:space="0" w:color="auto"/>
              <w:left w:val="single" w:sz="6" w:space="0" w:color="auto"/>
              <w:bottom w:val="single" w:sz="6" w:space="0" w:color="auto"/>
              <w:right w:val="single" w:sz="6" w:space="0" w:color="auto"/>
            </w:tcBorders>
            <w:hideMark/>
          </w:tcPr>
          <w:p w14:paraId="1B9DCF2E" w14:textId="77777777" w:rsidR="007F0AE0" w:rsidRPr="00781F59" w:rsidRDefault="007F0AE0" w:rsidP="00453DE3">
            <w:pPr>
              <w:contextualSpacing/>
              <w:rPr>
                <w:sz w:val="20"/>
                <w:szCs w:val="20"/>
              </w:rPr>
            </w:pPr>
            <w:r w:rsidRPr="00781F59">
              <w:rPr>
                <w:sz w:val="20"/>
                <w:szCs w:val="20"/>
              </w:rPr>
              <w:t>Ralph S Caraballo, David B Holiday, Steven D Stellman, Paul D Mowery, Gary A Giovino, Joshua E Muscat, Michael P Eriksen, John T Bernert, Patricia A Richter, Lynn T Kozlowski 2011 Comparison of serum cotinine concentration within and across smokers of menthol and nonmenthol cigarette brands among non-Hispanic black and non-Hispanic white U.S. adult smokers, 2001-2006.. Cancer epidemiology, biomarkers &amp; prevention : a publication of the American Association for Cancer Research, cosponsored by the American Society of Preventive Oncology; 20.1329.</w:t>
            </w:r>
          </w:p>
        </w:tc>
        <w:tc>
          <w:tcPr>
            <w:tcW w:w="0" w:type="auto"/>
            <w:tcBorders>
              <w:top w:val="single" w:sz="6" w:space="0" w:color="auto"/>
              <w:left w:val="single" w:sz="6" w:space="0" w:color="auto"/>
              <w:bottom w:val="single" w:sz="6" w:space="0" w:color="auto"/>
              <w:right w:val="single" w:sz="6" w:space="0" w:color="auto"/>
            </w:tcBorders>
            <w:hideMark/>
          </w:tcPr>
          <w:p w14:paraId="1021EA8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19D1A8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B286BDD" w14:textId="77777777" w:rsidR="007F0AE0" w:rsidRPr="00781F59" w:rsidRDefault="007F0AE0" w:rsidP="00453DE3">
            <w:pPr>
              <w:contextualSpacing/>
              <w:rPr>
                <w:sz w:val="20"/>
                <w:szCs w:val="20"/>
              </w:rPr>
            </w:pPr>
            <w:r w:rsidRPr="00781F59">
              <w:rPr>
                <w:sz w:val="20"/>
                <w:szCs w:val="20"/>
              </w:rPr>
              <w:t>600</w:t>
            </w:r>
          </w:p>
        </w:tc>
        <w:tc>
          <w:tcPr>
            <w:tcW w:w="0" w:type="auto"/>
            <w:tcBorders>
              <w:top w:val="single" w:sz="6" w:space="0" w:color="auto"/>
              <w:left w:val="single" w:sz="6" w:space="0" w:color="auto"/>
              <w:bottom w:val="single" w:sz="6" w:space="0" w:color="auto"/>
              <w:right w:val="single" w:sz="6" w:space="0" w:color="auto"/>
            </w:tcBorders>
            <w:hideMark/>
          </w:tcPr>
          <w:p w14:paraId="28BEA84C" w14:textId="77777777" w:rsidR="007F0AE0" w:rsidRPr="00781F59" w:rsidRDefault="007F0AE0" w:rsidP="00453DE3">
            <w:pPr>
              <w:contextualSpacing/>
              <w:rPr>
                <w:sz w:val="20"/>
                <w:szCs w:val="20"/>
              </w:rPr>
            </w:pPr>
            <w:r w:rsidRPr="00781F59">
              <w:rPr>
                <w:sz w:val="20"/>
                <w:szCs w:val="20"/>
              </w:rPr>
              <w:t>Clare Dyer 2011 Tobacco firms move to stop FDA banning menthol cigarettes.. BMJ (Clinical research ed.); 342.d1368.</w:t>
            </w:r>
          </w:p>
        </w:tc>
        <w:tc>
          <w:tcPr>
            <w:tcW w:w="0" w:type="auto"/>
            <w:tcBorders>
              <w:top w:val="single" w:sz="6" w:space="0" w:color="auto"/>
              <w:left w:val="single" w:sz="6" w:space="0" w:color="auto"/>
              <w:bottom w:val="single" w:sz="6" w:space="0" w:color="auto"/>
              <w:right w:val="single" w:sz="6" w:space="0" w:color="auto"/>
            </w:tcBorders>
            <w:hideMark/>
          </w:tcPr>
          <w:p w14:paraId="354B378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FB06A6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0F9A41" w14:textId="77777777" w:rsidR="007F0AE0" w:rsidRPr="00781F59" w:rsidRDefault="007F0AE0" w:rsidP="00453DE3">
            <w:pPr>
              <w:contextualSpacing/>
              <w:rPr>
                <w:sz w:val="20"/>
                <w:szCs w:val="20"/>
              </w:rPr>
            </w:pPr>
            <w:r w:rsidRPr="00781F59">
              <w:rPr>
                <w:sz w:val="20"/>
                <w:szCs w:val="20"/>
              </w:rPr>
              <w:t>602</w:t>
            </w:r>
          </w:p>
        </w:tc>
        <w:tc>
          <w:tcPr>
            <w:tcW w:w="0" w:type="auto"/>
            <w:tcBorders>
              <w:top w:val="single" w:sz="6" w:space="0" w:color="auto"/>
              <w:left w:val="single" w:sz="6" w:space="0" w:color="auto"/>
              <w:bottom w:val="single" w:sz="6" w:space="0" w:color="auto"/>
              <w:right w:val="single" w:sz="6" w:space="0" w:color="auto"/>
            </w:tcBorders>
            <w:hideMark/>
          </w:tcPr>
          <w:p w14:paraId="289D6C58" w14:textId="77777777" w:rsidR="007F0AE0" w:rsidRPr="00781F59" w:rsidRDefault="007F0AE0" w:rsidP="00453DE3">
            <w:pPr>
              <w:contextualSpacing/>
              <w:rPr>
                <w:sz w:val="20"/>
                <w:szCs w:val="20"/>
              </w:rPr>
            </w:pPr>
            <w:r w:rsidRPr="00781F59">
              <w:rPr>
                <w:sz w:val="20"/>
                <w:szCs w:val="20"/>
              </w:rPr>
              <w:t>Mansoo Yu 2011 Tobacco use among American Indian or Alaska Native middle- and high-school students in the United States.. Nicotine &amp; tobacco research : official journal of the Society for Research on Nicotine and Tobacco; 13.173.</w:t>
            </w:r>
          </w:p>
        </w:tc>
        <w:tc>
          <w:tcPr>
            <w:tcW w:w="0" w:type="auto"/>
            <w:tcBorders>
              <w:top w:val="single" w:sz="6" w:space="0" w:color="auto"/>
              <w:left w:val="single" w:sz="6" w:space="0" w:color="auto"/>
              <w:bottom w:val="single" w:sz="6" w:space="0" w:color="auto"/>
              <w:right w:val="single" w:sz="6" w:space="0" w:color="auto"/>
            </w:tcBorders>
            <w:hideMark/>
          </w:tcPr>
          <w:p w14:paraId="3A523B0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15D147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EFD421" w14:textId="77777777" w:rsidR="007F0AE0" w:rsidRPr="00781F59" w:rsidRDefault="007F0AE0" w:rsidP="00453DE3">
            <w:pPr>
              <w:contextualSpacing/>
              <w:rPr>
                <w:sz w:val="20"/>
                <w:szCs w:val="20"/>
              </w:rPr>
            </w:pPr>
            <w:r w:rsidRPr="00781F59">
              <w:rPr>
                <w:sz w:val="20"/>
                <w:szCs w:val="20"/>
              </w:rPr>
              <w:lastRenderedPageBreak/>
              <w:t>608</w:t>
            </w:r>
          </w:p>
        </w:tc>
        <w:tc>
          <w:tcPr>
            <w:tcW w:w="0" w:type="auto"/>
            <w:tcBorders>
              <w:top w:val="single" w:sz="6" w:space="0" w:color="auto"/>
              <w:left w:val="single" w:sz="6" w:space="0" w:color="auto"/>
              <w:bottom w:val="single" w:sz="6" w:space="0" w:color="auto"/>
              <w:right w:val="single" w:sz="6" w:space="0" w:color="auto"/>
            </w:tcBorders>
            <w:hideMark/>
          </w:tcPr>
          <w:p w14:paraId="64A9CBA1" w14:textId="77777777" w:rsidR="007F0AE0" w:rsidRPr="00781F59" w:rsidRDefault="007F0AE0" w:rsidP="00453DE3">
            <w:pPr>
              <w:contextualSpacing/>
              <w:rPr>
                <w:sz w:val="20"/>
                <w:szCs w:val="20"/>
              </w:rPr>
            </w:pPr>
            <w:r w:rsidRPr="00781F59">
              <w:rPr>
                <w:sz w:val="20"/>
                <w:szCs w:val="20"/>
              </w:rPr>
              <w:t>Cheryl G Healton, Amber Thornton Bullock, William S Robinson, Stacy E Beck, Julia Cartwright, Sharon Y Eubanks 2010 Why we should make menthol cigarettes history.. Nicotine &amp; tobacco research : official journal of the Society for Research on Nicotine and Tobacco; 12 Suppl 2.S94.</w:t>
            </w:r>
          </w:p>
        </w:tc>
        <w:tc>
          <w:tcPr>
            <w:tcW w:w="0" w:type="auto"/>
            <w:tcBorders>
              <w:top w:val="single" w:sz="6" w:space="0" w:color="auto"/>
              <w:left w:val="single" w:sz="6" w:space="0" w:color="auto"/>
              <w:bottom w:val="single" w:sz="6" w:space="0" w:color="auto"/>
              <w:right w:val="single" w:sz="6" w:space="0" w:color="auto"/>
            </w:tcBorders>
            <w:hideMark/>
          </w:tcPr>
          <w:p w14:paraId="60F5D0E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5E16B3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E65F62" w14:textId="77777777" w:rsidR="007F0AE0" w:rsidRPr="00781F59" w:rsidRDefault="007F0AE0" w:rsidP="00453DE3">
            <w:pPr>
              <w:contextualSpacing/>
              <w:rPr>
                <w:sz w:val="20"/>
                <w:szCs w:val="20"/>
              </w:rPr>
            </w:pPr>
            <w:r w:rsidRPr="00781F59">
              <w:rPr>
                <w:sz w:val="20"/>
                <w:szCs w:val="20"/>
              </w:rPr>
              <w:t>609</w:t>
            </w:r>
          </w:p>
        </w:tc>
        <w:tc>
          <w:tcPr>
            <w:tcW w:w="0" w:type="auto"/>
            <w:tcBorders>
              <w:top w:val="single" w:sz="6" w:space="0" w:color="auto"/>
              <w:left w:val="single" w:sz="6" w:space="0" w:color="auto"/>
              <w:bottom w:val="single" w:sz="6" w:space="0" w:color="auto"/>
              <w:right w:val="single" w:sz="6" w:space="0" w:color="auto"/>
            </w:tcBorders>
            <w:hideMark/>
          </w:tcPr>
          <w:p w14:paraId="72E62A1C" w14:textId="77777777" w:rsidR="007F0AE0" w:rsidRPr="00781F59" w:rsidRDefault="007F0AE0" w:rsidP="00453DE3">
            <w:pPr>
              <w:contextualSpacing/>
              <w:rPr>
                <w:sz w:val="20"/>
                <w:szCs w:val="20"/>
              </w:rPr>
            </w:pPr>
            <w:r w:rsidRPr="00781F59">
              <w:rPr>
                <w:sz w:val="20"/>
                <w:szCs w:val="20"/>
              </w:rPr>
              <w:t>Phillip Gardiner, Pamela I Clark 2010 Menthol cigarettes: moving toward a broader definition of harm.. Nicotine &amp; tobacco research : official journal of the Society for Research on Nicotine and Tobacco; 12 Suppl 2.S85.</w:t>
            </w:r>
          </w:p>
        </w:tc>
        <w:tc>
          <w:tcPr>
            <w:tcW w:w="0" w:type="auto"/>
            <w:tcBorders>
              <w:top w:val="single" w:sz="6" w:space="0" w:color="auto"/>
              <w:left w:val="single" w:sz="6" w:space="0" w:color="auto"/>
              <w:bottom w:val="single" w:sz="6" w:space="0" w:color="auto"/>
              <w:right w:val="single" w:sz="6" w:space="0" w:color="auto"/>
            </w:tcBorders>
            <w:hideMark/>
          </w:tcPr>
          <w:p w14:paraId="02EA6997"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30F2CD0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3DC1BDD" w14:textId="77777777" w:rsidR="007F0AE0" w:rsidRPr="00781F59" w:rsidRDefault="007F0AE0" w:rsidP="00453DE3">
            <w:pPr>
              <w:contextualSpacing/>
              <w:rPr>
                <w:sz w:val="20"/>
                <w:szCs w:val="20"/>
              </w:rPr>
            </w:pPr>
            <w:r w:rsidRPr="00781F59">
              <w:rPr>
                <w:sz w:val="20"/>
                <w:szCs w:val="20"/>
              </w:rPr>
              <w:t>612</w:t>
            </w:r>
          </w:p>
        </w:tc>
        <w:tc>
          <w:tcPr>
            <w:tcW w:w="0" w:type="auto"/>
            <w:tcBorders>
              <w:top w:val="single" w:sz="6" w:space="0" w:color="auto"/>
              <w:left w:val="single" w:sz="6" w:space="0" w:color="auto"/>
              <w:bottom w:val="single" w:sz="6" w:space="0" w:color="auto"/>
              <w:right w:val="single" w:sz="6" w:space="0" w:color="auto"/>
            </w:tcBorders>
            <w:hideMark/>
          </w:tcPr>
          <w:p w14:paraId="0E25E540" w14:textId="77777777" w:rsidR="007F0AE0" w:rsidRPr="00781F59" w:rsidRDefault="007F0AE0" w:rsidP="00453DE3">
            <w:pPr>
              <w:contextualSpacing/>
              <w:rPr>
                <w:sz w:val="20"/>
                <w:szCs w:val="20"/>
              </w:rPr>
            </w:pPr>
            <w:r w:rsidRPr="00781F59">
              <w:rPr>
                <w:sz w:val="20"/>
                <w:szCs w:val="20"/>
              </w:rPr>
              <w:t>Shane P Davis, Annette K McClave-Regan, Valerie J Rock, Judy Kruger, Bridgette E Garrett 2010 Perceptions of menthol cigarette use among U.S. adults and adult smokers: findings from the 2009 HealthStyles survey.. Nicotine &amp; tobacco research : official journal of the Society for Research on Nicotine and Tobacco; 12 Suppl 2.S125.</w:t>
            </w:r>
          </w:p>
        </w:tc>
        <w:tc>
          <w:tcPr>
            <w:tcW w:w="0" w:type="auto"/>
            <w:tcBorders>
              <w:top w:val="single" w:sz="6" w:space="0" w:color="auto"/>
              <w:left w:val="single" w:sz="6" w:space="0" w:color="auto"/>
              <w:bottom w:val="single" w:sz="6" w:space="0" w:color="auto"/>
              <w:right w:val="single" w:sz="6" w:space="0" w:color="auto"/>
            </w:tcBorders>
            <w:hideMark/>
          </w:tcPr>
          <w:p w14:paraId="5ED8744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986185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DB110BC" w14:textId="77777777" w:rsidR="007F0AE0" w:rsidRPr="00781F59" w:rsidRDefault="007F0AE0" w:rsidP="00453DE3">
            <w:pPr>
              <w:contextualSpacing/>
              <w:rPr>
                <w:sz w:val="20"/>
                <w:szCs w:val="20"/>
              </w:rPr>
            </w:pPr>
            <w:r w:rsidRPr="00781F59">
              <w:rPr>
                <w:sz w:val="20"/>
                <w:szCs w:val="20"/>
              </w:rPr>
              <w:t>613</w:t>
            </w:r>
          </w:p>
        </w:tc>
        <w:tc>
          <w:tcPr>
            <w:tcW w:w="0" w:type="auto"/>
            <w:tcBorders>
              <w:top w:val="single" w:sz="6" w:space="0" w:color="auto"/>
              <w:left w:val="single" w:sz="6" w:space="0" w:color="auto"/>
              <w:bottom w:val="single" w:sz="6" w:space="0" w:color="auto"/>
              <w:right w:val="single" w:sz="6" w:space="0" w:color="auto"/>
            </w:tcBorders>
            <w:hideMark/>
          </w:tcPr>
          <w:p w14:paraId="3CDBF229" w14:textId="77777777" w:rsidR="007F0AE0" w:rsidRPr="00781F59" w:rsidRDefault="007F0AE0" w:rsidP="00453DE3">
            <w:pPr>
              <w:contextualSpacing/>
              <w:rPr>
                <w:sz w:val="20"/>
                <w:szCs w:val="20"/>
              </w:rPr>
            </w:pPr>
            <w:r w:rsidRPr="00781F59">
              <w:rPr>
                <w:sz w:val="20"/>
                <w:szCs w:val="20"/>
              </w:rPr>
              <w:t>Valerie J Rock, Shane P Davis, Stacy L Thorne, Kat J Asman, Ralph S Caraballo 2010 Menthol cigarette use among racial and ethnic groups in the United States, 2004-2008.. Nicotine &amp; tobacco research : official journal of the Society for Research on Nicotine and Tobacco; 12 Suppl 2.S117.</w:t>
            </w:r>
          </w:p>
        </w:tc>
        <w:tc>
          <w:tcPr>
            <w:tcW w:w="0" w:type="auto"/>
            <w:tcBorders>
              <w:top w:val="single" w:sz="6" w:space="0" w:color="auto"/>
              <w:left w:val="single" w:sz="6" w:space="0" w:color="auto"/>
              <w:bottom w:val="single" w:sz="6" w:space="0" w:color="auto"/>
              <w:right w:val="single" w:sz="6" w:space="0" w:color="auto"/>
            </w:tcBorders>
            <w:hideMark/>
          </w:tcPr>
          <w:p w14:paraId="5CE5DE1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673C83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605803" w14:textId="77777777" w:rsidR="007F0AE0" w:rsidRPr="00781F59" w:rsidRDefault="007F0AE0" w:rsidP="00453DE3">
            <w:pPr>
              <w:contextualSpacing/>
              <w:rPr>
                <w:sz w:val="20"/>
                <w:szCs w:val="20"/>
              </w:rPr>
            </w:pPr>
            <w:r w:rsidRPr="00781F59">
              <w:rPr>
                <w:sz w:val="20"/>
                <w:szCs w:val="20"/>
              </w:rPr>
              <w:t>614</w:t>
            </w:r>
          </w:p>
        </w:tc>
        <w:tc>
          <w:tcPr>
            <w:tcW w:w="0" w:type="auto"/>
            <w:tcBorders>
              <w:top w:val="single" w:sz="6" w:space="0" w:color="auto"/>
              <w:left w:val="single" w:sz="6" w:space="0" w:color="auto"/>
              <w:bottom w:val="single" w:sz="6" w:space="0" w:color="auto"/>
              <w:right w:val="single" w:sz="6" w:space="0" w:color="auto"/>
            </w:tcBorders>
            <w:hideMark/>
          </w:tcPr>
          <w:p w14:paraId="131D2A8F" w14:textId="77777777" w:rsidR="007F0AE0" w:rsidRPr="00781F59" w:rsidRDefault="007F0AE0" w:rsidP="00453DE3">
            <w:pPr>
              <w:contextualSpacing/>
              <w:rPr>
                <w:sz w:val="20"/>
                <w:szCs w:val="20"/>
              </w:rPr>
            </w:pPr>
            <w:r w:rsidRPr="00781F59">
              <w:rPr>
                <w:sz w:val="20"/>
                <w:szCs w:val="20"/>
              </w:rPr>
              <w:t>Karen Ahijevych, Bridgette E Garrett 2010 The role of menthol in cigarettes as a reinforcer of smoking behavior.. Nicotine &amp; tobacco research : official journal of the Society for Research on Nicotine and Tobacco; 12 Suppl 2.S110.</w:t>
            </w:r>
          </w:p>
        </w:tc>
        <w:tc>
          <w:tcPr>
            <w:tcW w:w="0" w:type="auto"/>
            <w:tcBorders>
              <w:top w:val="single" w:sz="6" w:space="0" w:color="auto"/>
              <w:left w:val="single" w:sz="6" w:space="0" w:color="auto"/>
              <w:bottom w:val="single" w:sz="6" w:space="0" w:color="auto"/>
              <w:right w:val="single" w:sz="6" w:space="0" w:color="auto"/>
            </w:tcBorders>
            <w:hideMark/>
          </w:tcPr>
          <w:p w14:paraId="60F65DA7"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3651AE" w14:paraId="0CCE042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D53CE1" w14:textId="77777777" w:rsidR="007F0AE0" w:rsidRPr="00781F59" w:rsidRDefault="007F0AE0" w:rsidP="00453DE3">
            <w:pPr>
              <w:contextualSpacing/>
              <w:rPr>
                <w:sz w:val="20"/>
                <w:szCs w:val="20"/>
              </w:rPr>
            </w:pPr>
            <w:r w:rsidRPr="00781F59">
              <w:rPr>
                <w:sz w:val="20"/>
                <w:szCs w:val="20"/>
              </w:rPr>
              <w:t>615</w:t>
            </w:r>
          </w:p>
        </w:tc>
        <w:tc>
          <w:tcPr>
            <w:tcW w:w="0" w:type="auto"/>
            <w:tcBorders>
              <w:top w:val="single" w:sz="6" w:space="0" w:color="auto"/>
              <w:left w:val="single" w:sz="6" w:space="0" w:color="auto"/>
              <w:bottom w:val="single" w:sz="6" w:space="0" w:color="auto"/>
              <w:right w:val="single" w:sz="6" w:space="0" w:color="auto"/>
            </w:tcBorders>
            <w:hideMark/>
          </w:tcPr>
          <w:p w14:paraId="498D351E" w14:textId="77777777" w:rsidR="007F0AE0" w:rsidRPr="00781F59" w:rsidRDefault="007F0AE0" w:rsidP="00453DE3">
            <w:pPr>
              <w:contextualSpacing/>
              <w:rPr>
                <w:sz w:val="20"/>
                <w:szCs w:val="20"/>
              </w:rPr>
            </w:pPr>
            <w:r w:rsidRPr="00781F59">
              <w:rPr>
                <w:sz w:val="20"/>
                <w:szCs w:val="20"/>
              </w:rPr>
              <w:t>Jonathan Foulds, Monica Webb Hooper, Mark J Pletcher, Kolawole S Okuyemi 2010 Do smokers of menthol cigarettes find it harder to quit smoking?.. Nicotine &amp; tobacco research : official journal of the Society for Research on Nicotine and Tobacco; 12 Suppl 2.S102.</w:t>
            </w:r>
          </w:p>
        </w:tc>
        <w:tc>
          <w:tcPr>
            <w:tcW w:w="0" w:type="auto"/>
            <w:tcBorders>
              <w:top w:val="single" w:sz="6" w:space="0" w:color="auto"/>
              <w:left w:val="single" w:sz="6" w:space="0" w:color="auto"/>
              <w:bottom w:val="single" w:sz="6" w:space="0" w:color="auto"/>
              <w:right w:val="single" w:sz="6" w:space="0" w:color="auto"/>
            </w:tcBorders>
            <w:hideMark/>
          </w:tcPr>
          <w:p w14:paraId="493B8E47" w14:textId="77777777" w:rsidR="007F0AE0" w:rsidRPr="00EA69AA" w:rsidRDefault="007F0AE0" w:rsidP="00453DE3">
            <w:pPr>
              <w:contextualSpacing/>
              <w:rPr>
                <w:sz w:val="20"/>
                <w:szCs w:val="20"/>
                <w:lang w:val="fr-FR"/>
              </w:rPr>
            </w:pPr>
            <w:r w:rsidRPr="00EA69AA">
              <w:rPr>
                <w:sz w:val="20"/>
                <w:szCs w:val="20"/>
                <w:lang w:val="fr-FR"/>
              </w:rPr>
              <w:t>Ineligible comparison (menthol vs non)</w:t>
            </w:r>
          </w:p>
        </w:tc>
      </w:tr>
      <w:tr w:rsidR="007F0AE0" w:rsidRPr="00781F59" w14:paraId="17AA5E9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80FA4B" w14:textId="77777777" w:rsidR="007F0AE0" w:rsidRPr="00781F59" w:rsidRDefault="007F0AE0" w:rsidP="00453DE3">
            <w:pPr>
              <w:contextualSpacing/>
              <w:rPr>
                <w:sz w:val="20"/>
                <w:szCs w:val="20"/>
              </w:rPr>
            </w:pPr>
            <w:r w:rsidRPr="00781F59">
              <w:rPr>
                <w:sz w:val="20"/>
                <w:szCs w:val="20"/>
              </w:rPr>
              <w:t>619</w:t>
            </w:r>
          </w:p>
        </w:tc>
        <w:tc>
          <w:tcPr>
            <w:tcW w:w="0" w:type="auto"/>
            <w:tcBorders>
              <w:top w:val="single" w:sz="6" w:space="0" w:color="auto"/>
              <w:left w:val="single" w:sz="6" w:space="0" w:color="auto"/>
              <w:bottom w:val="single" w:sz="6" w:space="0" w:color="auto"/>
              <w:right w:val="single" w:sz="6" w:space="0" w:color="auto"/>
            </w:tcBorders>
            <w:hideMark/>
          </w:tcPr>
          <w:p w14:paraId="2D0EF1B4" w14:textId="77777777" w:rsidR="007F0AE0" w:rsidRPr="00781F59" w:rsidRDefault="007F0AE0" w:rsidP="00453DE3">
            <w:pPr>
              <w:contextualSpacing/>
              <w:rPr>
                <w:sz w:val="20"/>
                <w:szCs w:val="20"/>
              </w:rPr>
            </w:pPr>
            <w:r w:rsidRPr="00781F59">
              <w:rPr>
                <w:sz w:val="20"/>
                <w:szCs w:val="20"/>
              </w:rPr>
              <w:t>Anita Fernander, Mary Kay Rayens, Ellen Hahn, Mei Zhang, Sarah M Adkins 2010 Menthol smoking, smoke-free policies and cessation services.. Addiction (Abingdon, England); 105 Suppl 1.105.</w:t>
            </w:r>
          </w:p>
        </w:tc>
        <w:tc>
          <w:tcPr>
            <w:tcW w:w="0" w:type="auto"/>
            <w:tcBorders>
              <w:top w:val="single" w:sz="6" w:space="0" w:color="auto"/>
              <w:left w:val="single" w:sz="6" w:space="0" w:color="auto"/>
              <w:bottom w:val="single" w:sz="6" w:space="0" w:color="auto"/>
              <w:right w:val="single" w:sz="6" w:space="0" w:color="auto"/>
            </w:tcBorders>
            <w:hideMark/>
          </w:tcPr>
          <w:p w14:paraId="315B53C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A6FBCE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FB0058" w14:textId="77777777" w:rsidR="007F0AE0" w:rsidRPr="00781F59" w:rsidRDefault="007F0AE0" w:rsidP="00453DE3">
            <w:pPr>
              <w:contextualSpacing/>
              <w:rPr>
                <w:sz w:val="20"/>
                <w:szCs w:val="20"/>
              </w:rPr>
            </w:pPr>
            <w:r w:rsidRPr="00781F59">
              <w:rPr>
                <w:sz w:val="20"/>
                <w:szCs w:val="20"/>
              </w:rPr>
              <w:t>630</w:t>
            </w:r>
          </w:p>
        </w:tc>
        <w:tc>
          <w:tcPr>
            <w:tcW w:w="0" w:type="auto"/>
            <w:tcBorders>
              <w:top w:val="single" w:sz="6" w:space="0" w:color="auto"/>
              <w:left w:val="single" w:sz="6" w:space="0" w:color="auto"/>
              <w:bottom w:val="single" w:sz="6" w:space="0" w:color="auto"/>
              <w:right w:val="single" w:sz="6" w:space="0" w:color="auto"/>
            </w:tcBorders>
            <w:hideMark/>
          </w:tcPr>
          <w:p w14:paraId="21493318" w14:textId="77777777" w:rsidR="007F0AE0" w:rsidRPr="00781F59" w:rsidRDefault="007F0AE0" w:rsidP="00453DE3">
            <w:pPr>
              <w:contextualSpacing/>
              <w:rPr>
                <w:sz w:val="20"/>
                <w:szCs w:val="20"/>
              </w:rPr>
            </w:pPr>
            <w:r w:rsidRPr="00781F59">
              <w:rPr>
                <w:sz w:val="20"/>
                <w:szCs w:val="20"/>
              </w:rPr>
              <w:t>Karyn Hede 2010 Drilling down to the causes of racial disparities in lung cancer.. Journal of the National Cancer Institute; 102.1385.</w:t>
            </w:r>
          </w:p>
        </w:tc>
        <w:tc>
          <w:tcPr>
            <w:tcW w:w="0" w:type="auto"/>
            <w:tcBorders>
              <w:top w:val="single" w:sz="6" w:space="0" w:color="auto"/>
              <w:left w:val="single" w:sz="6" w:space="0" w:color="auto"/>
              <w:bottom w:val="single" w:sz="6" w:space="0" w:color="auto"/>
              <w:right w:val="single" w:sz="6" w:space="0" w:color="auto"/>
            </w:tcBorders>
            <w:hideMark/>
          </w:tcPr>
          <w:p w14:paraId="1039F4C4"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AEE48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BAE9826" w14:textId="77777777" w:rsidR="007F0AE0" w:rsidRPr="00781F59" w:rsidRDefault="007F0AE0" w:rsidP="00453DE3">
            <w:pPr>
              <w:contextualSpacing/>
              <w:rPr>
                <w:sz w:val="20"/>
                <w:szCs w:val="20"/>
              </w:rPr>
            </w:pPr>
            <w:r w:rsidRPr="00781F59">
              <w:rPr>
                <w:sz w:val="20"/>
                <w:szCs w:val="20"/>
              </w:rPr>
              <w:t>635</w:t>
            </w:r>
          </w:p>
        </w:tc>
        <w:tc>
          <w:tcPr>
            <w:tcW w:w="0" w:type="auto"/>
            <w:tcBorders>
              <w:top w:val="single" w:sz="6" w:space="0" w:color="auto"/>
              <w:left w:val="single" w:sz="6" w:space="0" w:color="auto"/>
              <w:bottom w:val="single" w:sz="6" w:space="0" w:color="auto"/>
              <w:right w:val="single" w:sz="6" w:space="0" w:color="auto"/>
            </w:tcBorders>
            <w:hideMark/>
          </w:tcPr>
          <w:p w14:paraId="040FC66C" w14:textId="77777777" w:rsidR="007F0AE0" w:rsidRPr="00781F59" w:rsidRDefault="007F0AE0" w:rsidP="00453DE3">
            <w:pPr>
              <w:contextualSpacing/>
              <w:rPr>
                <w:sz w:val="20"/>
                <w:szCs w:val="20"/>
              </w:rPr>
            </w:pPr>
            <w:r w:rsidRPr="00781F59">
              <w:rPr>
                <w:sz w:val="20"/>
                <w:szCs w:val="20"/>
              </w:rPr>
              <w:t>J Daniel Heck 2010 A review and assessment of menthol employed as a cigarette flavoring ingredient.. Food and chemical toxicology : an international journal published for the British Industrial Biological Research Association; 48 Suppl 2.S1.</w:t>
            </w:r>
          </w:p>
        </w:tc>
        <w:tc>
          <w:tcPr>
            <w:tcW w:w="0" w:type="auto"/>
            <w:tcBorders>
              <w:top w:val="single" w:sz="6" w:space="0" w:color="auto"/>
              <w:left w:val="single" w:sz="6" w:space="0" w:color="auto"/>
              <w:bottom w:val="single" w:sz="6" w:space="0" w:color="auto"/>
              <w:right w:val="single" w:sz="6" w:space="0" w:color="auto"/>
            </w:tcBorders>
            <w:hideMark/>
          </w:tcPr>
          <w:p w14:paraId="6C3BBDD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1A4998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5B8D7A" w14:textId="77777777" w:rsidR="007F0AE0" w:rsidRPr="00781F59" w:rsidRDefault="007F0AE0" w:rsidP="00453DE3">
            <w:pPr>
              <w:contextualSpacing/>
              <w:rPr>
                <w:sz w:val="20"/>
                <w:szCs w:val="20"/>
              </w:rPr>
            </w:pPr>
            <w:r w:rsidRPr="00781F59">
              <w:rPr>
                <w:sz w:val="20"/>
                <w:szCs w:val="20"/>
              </w:rPr>
              <w:t>641</w:t>
            </w:r>
          </w:p>
        </w:tc>
        <w:tc>
          <w:tcPr>
            <w:tcW w:w="0" w:type="auto"/>
            <w:tcBorders>
              <w:top w:val="single" w:sz="6" w:space="0" w:color="auto"/>
              <w:left w:val="single" w:sz="6" w:space="0" w:color="auto"/>
              <w:bottom w:val="single" w:sz="6" w:space="0" w:color="auto"/>
              <w:right w:val="single" w:sz="6" w:space="0" w:color="auto"/>
            </w:tcBorders>
            <w:hideMark/>
          </w:tcPr>
          <w:p w14:paraId="7D4F4BCC" w14:textId="77777777" w:rsidR="007F0AE0" w:rsidRPr="00781F59" w:rsidRDefault="007F0AE0" w:rsidP="00453DE3">
            <w:pPr>
              <w:contextualSpacing/>
              <w:rPr>
                <w:sz w:val="20"/>
                <w:szCs w:val="20"/>
              </w:rPr>
            </w:pPr>
            <w:r w:rsidRPr="00781F59">
              <w:rPr>
                <w:sz w:val="20"/>
                <w:szCs w:val="20"/>
              </w:rPr>
              <w:t>Lisa B Signorello, Qiuyin Cai, Robert E Tarone, Joseph K McLaughlin, William J Blot 2009 Racial differences in serum cotinine levels of smokers.. Disease markers; 27.187.</w:t>
            </w:r>
          </w:p>
        </w:tc>
        <w:tc>
          <w:tcPr>
            <w:tcW w:w="0" w:type="auto"/>
            <w:tcBorders>
              <w:top w:val="single" w:sz="6" w:space="0" w:color="auto"/>
              <w:left w:val="single" w:sz="6" w:space="0" w:color="auto"/>
              <w:bottom w:val="single" w:sz="6" w:space="0" w:color="auto"/>
              <w:right w:val="single" w:sz="6" w:space="0" w:color="auto"/>
            </w:tcBorders>
            <w:hideMark/>
          </w:tcPr>
          <w:p w14:paraId="661BC014" w14:textId="77777777" w:rsidR="007F0AE0" w:rsidRPr="00781F59" w:rsidRDefault="007F0AE0" w:rsidP="00453DE3">
            <w:pPr>
              <w:contextualSpacing/>
              <w:rPr>
                <w:sz w:val="20"/>
                <w:szCs w:val="20"/>
              </w:rPr>
            </w:pPr>
            <w:r w:rsidRPr="00781F59">
              <w:rPr>
                <w:sz w:val="20"/>
                <w:szCs w:val="20"/>
              </w:rPr>
              <w:t>Duplicate article</w:t>
            </w:r>
          </w:p>
        </w:tc>
      </w:tr>
      <w:tr w:rsidR="007F0AE0" w:rsidRPr="003651AE" w14:paraId="61F436F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A3B1B5" w14:textId="77777777" w:rsidR="007F0AE0" w:rsidRPr="00781F59" w:rsidRDefault="007F0AE0" w:rsidP="00453DE3">
            <w:pPr>
              <w:contextualSpacing/>
              <w:rPr>
                <w:sz w:val="20"/>
                <w:szCs w:val="20"/>
              </w:rPr>
            </w:pPr>
            <w:r w:rsidRPr="00781F59">
              <w:rPr>
                <w:sz w:val="20"/>
                <w:szCs w:val="20"/>
              </w:rPr>
              <w:t>646</w:t>
            </w:r>
          </w:p>
        </w:tc>
        <w:tc>
          <w:tcPr>
            <w:tcW w:w="0" w:type="auto"/>
            <w:tcBorders>
              <w:top w:val="single" w:sz="6" w:space="0" w:color="auto"/>
              <w:left w:val="single" w:sz="6" w:space="0" w:color="auto"/>
              <w:bottom w:val="single" w:sz="6" w:space="0" w:color="auto"/>
              <w:right w:val="single" w:sz="6" w:space="0" w:color="auto"/>
            </w:tcBorders>
            <w:hideMark/>
          </w:tcPr>
          <w:p w14:paraId="4CE52D6B" w14:textId="77777777" w:rsidR="007F0AE0" w:rsidRPr="00781F59" w:rsidRDefault="007F0AE0" w:rsidP="00453DE3">
            <w:pPr>
              <w:contextualSpacing/>
              <w:rPr>
                <w:sz w:val="20"/>
                <w:szCs w:val="20"/>
              </w:rPr>
            </w:pPr>
            <w:r w:rsidRPr="00781F59">
              <w:rPr>
                <w:sz w:val="20"/>
                <w:szCs w:val="20"/>
              </w:rPr>
              <w:t>Raphaela Finkenauer, Cynthia S Pomerleau, Sandy M Snedecor, Ovide F Pomerleau 2009 Race differences in factors relating to smoking initiation.. Addictive behaviors; 34.1056.</w:t>
            </w:r>
          </w:p>
        </w:tc>
        <w:tc>
          <w:tcPr>
            <w:tcW w:w="0" w:type="auto"/>
            <w:tcBorders>
              <w:top w:val="single" w:sz="6" w:space="0" w:color="auto"/>
              <w:left w:val="single" w:sz="6" w:space="0" w:color="auto"/>
              <w:bottom w:val="single" w:sz="6" w:space="0" w:color="auto"/>
              <w:right w:val="single" w:sz="6" w:space="0" w:color="auto"/>
            </w:tcBorders>
            <w:hideMark/>
          </w:tcPr>
          <w:p w14:paraId="0F0C3259" w14:textId="77777777" w:rsidR="007F0AE0" w:rsidRPr="00EA69AA" w:rsidRDefault="007F0AE0" w:rsidP="00453DE3">
            <w:pPr>
              <w:contextualSpacing/>
              <w:rPr>
                <w:sz w:val="20"/>
                <w:szCs w:val="20"/>
                <w:lang w:val="fr-FR"/>
              </w:rPr>
            </w:pPr>
            <w:r w:rsidRPr="00EA69AA">
              <w:rPr>
                <w:sz w:val="20"/>
                <w:szCs w:val="20"/>
                <w:lang w:val="fr-FR"/>
              </w:rPr>
              <w:t>Ineligible comparison (menthol vs non)</w:t>
            </w:r>
          </w:p>
        </w:tc>
      </w:tr>
      <w:tr w:rsidR="007F0AE0" w:rsidRPr="003651AE" w14:paraId="3951191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0ED1870" w14:textId="77777777" w:rsidR="007F0AE0" w:rsidRPr="00781F59" w:rsidRDefault="007F0AE0" w:rsidP="00453DE3">
            <w:pPr>
              <w:contextualSpacing/>
              <w:rPr>
                <w:sz w:val="20"/>
                <w:szCs w:val="20"/>
              </w:rPr>
            </w:pPr>
            <w:r w:rsidRPr="00781F59">
              <w:rPr>
                <w:sz w:val="20"/>
                <w:szCs w:val="20"/>
              </w:rPr>
              <w:t>656</w:t>
            </w:r>
          </w:p>
        </w:tc>
        <w:tc>
          <w:tcPr>
            <w:tcW w:w="0" w:type="auto"/>
            <w:tcBorders>
              <w:top w:val="single" w:sz="6" w:space="0" w:color="auto"/>
              <w:left w:val="single" w:sz="6" w:space="0" w:color="auto"/>
              <w:bottom w:val="single" w:sz="6" w:space="0" w:color="auto"/>
              <w:right w:val="single" w:sz="6" w:space="0" w:color="auto"/>
            </w:tcBorders>
            <w:hideMark/>
          </w:tcPr>
          <w:p w14:paraId="52CF6CCF" w14:textId="77777777" w:rsidR="007F0AE0" w:rsidRPr="00781F59" w:rsidRDefault="007F0AE0" w:rsidP="00453DE3">
            <w:pPr>
              <w:contextualSpacing/>
              <w:rPr>
                <w:sz w:val="20"/>
                <w:szCs w:val="20"/>
              </w:rPr>
            </w:pPr>
            <w:r w:rsidRPr="00781F59">
              <w:rPr>
                <w:sz w:val="20"/>
                <w:szCs w:val="20"/>
              </w:rPr>
              <w:t>Anita Fernander, Mitzi Schumacher, Xiaochen Wei, Peter Crooks, Peter Wedlund 2008 Smoking risk and the likelihood of quitting among African-American female light and heavy smokers.. Journal of the National Medical Association; 100.1199.</w:t>
            </w:r>
          </w:p>
        </w:tc>
        <w:tc>
          <w:tcPr>
            <w:tcW w:w="0" w:type="auto"/>
            <w:tcBorders>
              <w:top w:val="single" w:sz="6" w:space="0" w:color="auto"/>
              <w:left w:val="single" w:sz="6" w:space="0" w:color="auto"/>
              <w:bottom w:val="single" w:sz="6" w:space="0" w:color="auto"/>
              <w:right w:val="single" w:sz="6" w:space="0" w:color="auto"/>
            </w:tcBorders>
            <w:hideMark/>
          </w:tcPr>
          <w:p w14:paraId="7A8E1F3B" w14:textId="77777777" w:rsidR="007F0AE0" w:rsidRPr="00EA69AA" w:rsidRDefault="007F0AE0" w:rsidP="00453DE3">
            <w:pPr>
              <w:contextualSpacing/>
              <w:rPr>
                <w:sz w:val="20"/>
                <w:szCs w:val="20"/>
                <w:lang w:val="fr-FR"/>
              </w:rPr>
            </w:pPr>
            <w:r w:rsidRPr="00EA69AA">
              <w:rPr>
                <w:sz w:val="20"/>
                <w:szCs w:val="20"/>
                <w:lang w:val="fr-FR"/>
              </w:rPr>
              <w:t>Ineligible comparison (menthol vs non)</w:t>
            </w:r>
          </w:p>
        </w:tc>
      </w:tr>
      <w:tr w:rsidR="007F0AE0" w:rsidRPr="00781F59" w14:paraId="768F582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73B53C0" w14:textId="77777777" w:rsidR="007F0AE0" w:rsidRPr="00781F59" w:rsidRDefault="007F0AE0" w:rsidP="00453DE3">
            <w:pPr>
              <w:contextualSpacing/>
              <w:rPr>
                <w:sz w:val="20"/>
                <w:szCs w:val="20"/>
              </w:rPr>
            </w:pPr>
            <w:r w:rsidRPr="00781F59">
              <w:rPr>
                <w:sz w:val="20"/>
                <w:szCs w:val="20"/>
              </w:rPr>
              <w:t>657</w:t>
            </w:r>
          </w:p>
        </w:tc>
        <w:tc>
          <w:tcPr>
            <w:tcW w:w="0" w:type="auto"/>
            <w:tcBorders>
              <w:top w:val="single" w:sz="6" w:space="0" w:color="auto"/>
              <w:left w:val="single" w:sz="6" w:space="0" w:color="auto"/>
              <w:bottom w:val="single" w:sz="6" w:space="0" w:color="auto"/>
              <w:right w:val="single" w:sz="6" w:space="0" w:color="auto"/>
            </w:tcBorders>
            <w:hideMark/>
          </w:tcPr>
          <w:p w14:paraId="3A08DDE4" w14:textId="77777777" w:rsidR="007F0AE0" w:rsidRPr="00781F59" w:rsidRDefault="007F0AE0" w:rsidP="00453DE3">
            <w:pPr>
              <w:contextualSpacing/>
              <w:rPr>
                <w:sz w:val="20"/>
                <w:szCs w:val="20"/>
              </w:rPr>
            </w:pPr>
            <w:r w:rsidRPr="00781F59">
              <w:rPr>
                <w:sz w:val="20"/>
                <w:szCs w:val="20"/>
              </w:rPr>
              <w:t>Wen Qi Gan, Sigal Ben-Zaken Cohen, S F Paul Man, Don D Sin 2008 Sex-related differences in serum cotinine concentrations in daily cigarette smokers.. Nicotine &amp; tobacco research : official journal of the Society for Research on Nicotine and Tobacco; 10.1293.</w:t>
            </w:r>
          </w:p>
        </w:tc>
        <w:tc>
          <w:tcPr>
            <w:tcW w:w="0" w:type="auto"/>
            <w:tcBorders>
              <w:top w:val="single" w:sz="6" w:space="0" w:color="auto"/>
              <w:left w:val="single" w:sz="6" w:space="0" w:color="auto"/>
              <w:bottom w:val="single" w:sz="6" w:space="0" w:color="auto"/>
              <w:right w:val="single" w:sz="6" w:space="0" w:color="auto"/>
            </w:tcBorders>
            <w:hideMark/>
          </w:tcPr>
          <w:p w14:paraId="0135587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4230F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365764" w14:textId="77777777" w:rsidR="007F0AE0" w:rsidRPr="00781F59" w:rsidRDefault="007F0AE0" w:rsidP="00453DE3">
            <w:pPr>
              <w:contextualSpacing/>
              <w:rPr>
                <w:sz w:val="20"/>
                <w:szCs w:val="20"/>
              </w:rPr>
            </w:pPr>
            <w:r w:rsidRPr="00781F59">
              <w:rPr>
                <w:sz w:val="20"/>
                <w:szCs w:val="20"/>
              </w:rPr>
              <w:t>658</w:t>
            </w:r>
          </w:p>
        </w:tc>
        <w:tc>
          <w:tcPr>
            <w:tcW w:w="0" w:type="auto"/>
            <w:tcBorders>
              <w:top w:val="single" w:sz="6" w:space="0" w:color="auto"/>
              <w:left w:val="single" w:sz="6" w:space="0" w:color="auto"/>
              <w:bottom w:val="single" w:sz="6" w:space="0" w:color="auto"/>
              <w:right w:val="single" w:sz="6" w:space="0" w:color="auto"/>
            </w:tcBorders>
            <w:hideMark/>
          </w:tcPr>
          <w:p w14:paraId="63C380C0" w14:textId="77777777" w:rsidR="007F0AE0" w:rsidRPr="00781F59" w:rsidRDefault="007F0AE0" w:rsidP="00453DE3">
            <w:pPr>
              <w:contextualSpacing/>
              <w:rPr>
                <w:sz w:val="20"/>
                <w:szCs w:val="20"/>
              </w:rPr>
            </w:pPr>
            <w:r w:rsidRPr="00781F59">
              <w:rPr>
                <w:sz w:val="20"/>
                <w:szCs w:val="20"/>
              </w:rPr>
              <w:t>Jennifer M Kreslake, Geoffrey Ferris Wayne, Hillel R Alpert, Howard K Koh, Gregory N Connolly 2008 Tobacco industry control of menthol in cigarettes and targeting of adolescents and young adults.. American journal of public health; 98.1685.</w:t>
            </w:r>
          </w:p>
        </w:tc>
        <w:tc>
          <w:tcPr>
            <w:tcW w:w="0" w:type="auto"/>
            <w:tcBorders>
              <w:top w:val="single" w:sz="6" w:space="0" w:color="auto"/>
              <w:left w:val="single" w:sz="6" w:space="0" w:color="auto"/>
              <w:bottom w:val="single" w:sz="6" w:space="0" w:color="auto"/>
              <w:right w:val="single" w:sz="6" w:space="0" w:color="auto"/>
            </w:tcBorders>
            <w:hideMark/>
          </w:tcPr>
          <w:p w14:paraId="5E2F3577"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E75687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209D81" w14:textId="77777777" w:rsidR="007F0AE0" w:rsidRPr="00781F59" w:rsidRDefault="007F0AE0" w:rsidP="00453DE3">
            <w:pPr>
              <w:contextualSpacing/>
              <w:rPr>
                <w:sz w:val="20"/>
                <w:szCs w:val="20"/>
              </w:rPr>
            </w:pPr>
            <w:r w:rsidRPr="00781F59">
              <w:rPr>
                <w:sz w:val="20"/>
                <w:szCs w:val="20"/>
              </w:rPr>
              <w:t>659</w:t>
            </w:r>
          </w:p>
        </w:tc>
        <w:tc>
          <w:tcPr>
            <w:tcW w:w="0" w:type="auto"/>
            <w:tcBorders>
              <w:top w:val="single" w:sz="6" w:space="0" w:color="auto"/>
              <w:left w:val="single" w:sz="6" w:space="0" w:color="auto"/>
              <w:bottom w:val="single" w:sz="6" w:space="0" w:color="auto"/>
              <w:right w:val="single" w:sz="6" w:space="0" w:color="auto"/>
            </w:tcBorders>
            <w:hideMark/>
          </w:tcPr>
          <w:p w14:paraId="5E474CC1" w14:textId="77777777" w:rsidR="007F0AE0" w:rsidRPr="00781F59" w:rsidRDefault="007F0AE0" w:rsidP="00453DE3">
            <w:pPr>
              <w:contextualSpacing/>
              <w:rPr>
                <w:sz w:val="20"/>
                <w:szCs w:val="20"/>
              </w:rPr>
            </w:pPr>
            <w:r w:rsidRPr="00781F59">
              <w:rPr>
                <w:sz w:val="20"/>
                <w:szCs w:val="20"/>
              </w:rPr>
              <w:t>Gisela I Robles, Devada Singh-Franco, Hoytin Lee Ghin 2008 A review of the efficacy of smoking-cessation pharmacotherapies in nonwhite populations.. Clinical therapeutics; 30.800.</w:t>
            </w:r>
          </w:p>
        </w:tc>
        <w:tc>
          <w:tcPr>
            <w:tcW w:w="0" w:type="auto"/>
            <w:tcBorders>
              <w:top w:val="single" w:sz="6" w:space="0" w:color="auto"/>
              <w:left w:val="single" w:sz="6" w:space="0" w:color="auto"/>
              <w:bottom w:val="single" w:sz="6" w:space="0" w:color="auto"/>
              <w:right w:val="single" w:sz="6" w:space="0" w:color="auto"/>
            </w:tcBorders>
            <w:hideMark/>
          </w:tcPr>
          <w:p w14:paraId="705881B8"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3EED44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935FB3E" w14:textId="77777777" w:rsidR="007F0AE0" w:rsidRPr="00781F59" w:rsidRDefault="007F0AE0" w:rsidP="00453DE3">
            <w:pPr>
              <w:contextualSpacing/>
              <w:rPr>
                <w:sz w:val="20"/>
                <w:szCs w:val="20"/>
              </w:rPr>
            </w:pPr>
            <w:r w:rsidRPr="00781F59">
              <w:rPr>
                <w:sz w:val="20"/>
                <w:szCs w:val="20"/>
              </w:rPr>
              <w:lastRenderedPageBreak/>
              <w:t>661</w:t>
            </w:r>
          </w:p>
        </w:tc>
        <w:tc>
          <w:tcPr>
            <w:tcW w:w="0" w:type="auto"/>
            <w:tcBorders>
              <w:top w:val="single" w:sz="6" w:space="0" w:color="auto"/>
              <w:left w:val="single" w:sz="6" w:space="0" w:color="auto"/>
              <w:bottom w:val="single" w:sz="6" w:space="0" w:color="auto"/>
              <w:right w:val="single" w:sz="6" w:space="0" w:color="auto"/>
            </w:tcBorders>
            <w:hideMark/>
          </w:tcPr>
          <w:p w14:paraId="36F45B15" w14:textId="77777777" w:rsidR="007F0AE0" w:rsidRPr="00781F59" w:rsidRDefault="007F0AE0" w:rsidP="00453DE3">
            <w:pPr>
              <w:contextualSpacing/>
              <w:rPr>
                <w:sz w:val="20"/>
                <w:szCs w:val="20"/>
              </w:rPr>
            </w:pPr>
            <w:r w:rsidRPr="00781F59">
              <w:rPr>
                <w:sz w:val="20"/>
                <w:szCs w:val="20"/>
              </w:rPr>
              <w:t>Patricia Richter, Diane Beistle, Linda Pederson, Michelle O'Hegarty 2008 Small-group discussions on menthol cigarettes: listening to adult African American smokers in Atlanta, Georgia.. Ethnicity &amp; health; 13.171.</w:t>
            </w:r>
          </w:p>
        </w:tc>
        <w:tc>
          <w:tcPr>
            <w:tcW w:w="0" w:type="auto"/>
            <w:tcBorders>
              <w:top w:val="single" w:sz="6" w:space="0" w:color="auto"/>
              <w:left w:val="single" w:sz="6" w:space="0" w:color="auto"/>
              <w:bottom w:val="single" w:sz="6" w:space="0" w:color="auto"/>
              <w:right w:val="single" w:sz="6" w:space="0" w:color="auto"/>
            </w:tcBorders>
            <w:hideMark/>
          </w:tcPr>
          <w:p w14:paraId="5756FB2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E150C3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F6EC94E" w14:textId="77777777" w:rsidR="007F0AE0" w:rsidRPr="00781F59" w:rsidRDefault="007F0AE0" w:rsidP="00453DE3">
            <w:pPr>
              <w:contextualSpacing/>
              <w:rPr>
                <w:sz w:val="20"/>
                <w:szCs w:val="20"/>
              </w:rPr>
            </w:pPr>
            <w:r w:rsidRPr="00781F59">
              <w:rPr>
                <w:sz w:val="20"/>
                <w:szCs w:val="20"/>
              </w:rPr>
              <w:t>662</w:t>
            </w:r>
          </w:p>
        </w:tc>
        <w:tc>
          <w:tcPr>
            <w:tcW w:w="0" w:type="auto"/>
            <w:tcBorders>
              <w:top w:val="single" w:sz="6" w:space="0" w:color="auto"/>
              <w:left w:val="single" w:sz="6" w:space="0" w:color="auto"/>
              <w:bottom w:val="single" w:sz="6" w:space="0" w:color="auto"/>
              <w:right w:val="single" w:sz="6" w:space="0" w:color="auto"/>
            </w:tcBorders>
            <w:hideMark/>
          </w:tcPr>
          <w:p w14:paraId="482D6FA1" w14:textId="77777777" w:rsidR="007F0AE0" w:rsidRPr="00781F59" w:rsidRDefault="007F0AE0" w:rsidP="00453DE3">
            <w:pPr>
              <w:contextualSpacing/>
              <w:rPr>
                <w:sz w:val="20"/>
                <w:szCs w:val="20"/>
              </w:rPr>
            </w:pPr>
            <w:r w:rsidRPr="00781F59">
              <w:rPr>
                <w:sz w:val="20"/>
                <w:szCs w:val="20"/>
              </w:rPr>
              <w:t>Jennifer M Kreslake, Geoffrey Ferris Wayne, Gregory N Connolly 2008 The menthol smoker: tobacco industry research on consumer sensory perception of menthol cigarettes and its role in smoking behavior.. Nicotine &amp; tobacco research : official journal of the Society for Research on Nicotine and Tobacco; 10.705.</w:t>
            </w:r>
          </w:p>
        </w:tc>
        <w:tc>
          <w:tcPr>
            <w:tcW w:w="0" w:type="auto"/>
            <w:tcBorders>
              <w:top w:val="single" w:sz="6" w:space="0" w:color="auto"/>
              <w:left w:val="single" w:sz="6" w:space="0" w:color="auto"/>
              <w:bottom w:val="single" w:sz="6" w:space="0" w:color="auto"/>
              <w:right w:val="single" w:sz="6" w:space="0" w:color="auto"/>
            </w:tcBorders>
            <w:hideMark/>
          </w:tcPr>
          <w:p w14:paraId="1220597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021FC8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8834A1E" w14:textId="77777777" w:rsidR="007F0AE0" w:rsidRPr="00781F59" w:rsidRDefault="007F0AE0" w:rsidP="00453DE3">
            <w:pPr>
              <w:contextualSpacing/>
              <w:rPr>
                <w:sz w:val="20"/>
                <w:szCs w:val="20"/>
              </w:rPr>
            </w:pPr>
            <w:r w:rsidRPr="00781F59">
              <w:rPr>
                <w:sz w:val="20"/>
                <w:szCs w:val="20"/>
              </w:rPr>
              <w:t>667</w:t>
            </w:r>
          </w:p>
        </w:tc>
        <w:tc>
          <w:tcPr>
            <w:tcW w:w="0" w:type="auto"/>
            <w:tcBorders>
              <w:top w:val="single" w:sz="6" w:space="0" w:color="auto"/>
              <w:left w:val="single" w:sz="6" w:space="0" w:color="auto"/>
              <w:bottom w:val="single" w:sz="6" w:space="0" w:color="auto"/>
              <w:right w:val="single" w:sz="6" w:space="0" w:color="auto"/>
            </w:tcBorders>
            <w:hideMark/>
          </w:tcPr>
          <w:p w14:paraId="2FBF1F2A" w14:textId="77777777" w:rsidR="007F0AE0" w:rsidRPr="00781F59" w:rsidRDefault="007F0AE0" w:rsidP="00453DE3">
            <w:pPr>
              <w:contextualSpacing/>
              <w:rPr>
                <w:sz w:val="20"/>
                <w:szCs w:val="20"/>
              </w:rPr>
            </w:pPr>
            <w:r w:rsidRPr="00781F59">
              <w:rPr>
                <w:sz w:val="20"/>
                <w:szCs w:val="20"/>
              </w:rPr>
              <w:t>Amie L Haas, James L Sorensen, Sharon M Hall, Christine Lin, Kevin Delucchi, Karl Sporer, TeChieh Chen 2008 Cigarette smoking in opioid-using patients presenting for hospital-based medical services.. The American journal on addictions; 17.65.</w:t>
            </w:r>
          </w:p>
        </w:tc>
        <w:tc>
          <w:tcPr>
            <w:tcW w:w="0" w:type="auto"/>
            <w:tcBorders>
              <w:top w:val="single" w:sz="6" w:space="0" w:color="auto"/>
              <w:left w:val="single" w:sz="6" w:space="0" w:color="auto"/>
              <w:bottom w:val="single" w:sz="6" w:space="0" w:color="auto"/>
              <w:right w:val="single" w:sz="6" w:space="0" w:color="auto"/>
            </w:tcBorders>
            <w:hideMark/>
          </w:tcPr>
          <w:p w14:paraId="521B65E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9BE032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E0BEAD" w14:textId="77777777" w:rsidR="007F0AE0" w:rsidRPr="00781F59" w:rsidRDefault="007F0AE0" w:rsidP="00453DE3">
            <w:pPr>
              <w:contextualSpacing/>
              <w:rPr>
                <w:sz w:val="20"/>
                <w:szCs w:val="20"/>
              </w:rPr>
            </w:pPr>
            <w:r w:rsidRPr="00781F59">
              <w:rPr>
                <w:sz w:val="20"/>
                <w:szCs w:val="20"/>
              </w:rPr>
              <w:t>673</w:t>
            </w:r>
          </w:p>
        </w:tc>
        <w:tc>
          <w:tcPr>
            <w:tcW w:w="0" w:type="auto"/>
            <w:tcBorders>
              <w:top w:val="single" w:sz="6" w:space="0" w:color="auto"/>
              <w:left w:val="single" w:sz="6" w:space="0" w:color="auto"/>
              <w:bottom w:val="single" w:sz="6" w:space="0" w:color="auto"/>
              <w:right w:val="single" w:sz="6" w:space="0" w:color="auto"/>
            </w:tcBorders>
            <w:hideMark/>
          </w:tcPr>
          <w:p w14:paraId="72FFB635" w14:textId="77777777" w:rsidR="007F0AE0" w:rsidRPr="00781F59" w:rsidRDefault="007F0AE0" w:rsidP="00453DE3">
            <w:pPr>
              <w:contextualSpacing/>
              <w:rPr>
                <w:sz w:val="20"/>
                <w:szCs w:val="20"/>
              </w:rPr>
            </w:pPr>
            <w:r w:rsidRPr="00781F59">
              <w:rPr>
                <w:sz w:val="20"/>
                <w:szCs w:val="20"/>
              </w:rPr>
              <w:t>Gregory N Connolly, Hillel R Alpert, Geoffrey Ferris Wayne, Howard Koh 2007 Trends in nicotine yield in smoke and its relationship with design characteristics among popular US cigarette brands, 1997-2005.. Tobacco control; 16.e5.</w:t>
            </w:r>
          </w:p>
        </w:tc>
        <w:tc>
          <w:tcPr>
            <w:tcW w:w="0" w:type="auto"/>
            <w:tcBorders>
              <w:top w:val="single" w:sz="6" w:space="0" w:color="auto"/>
              <w:left w:val="single" w:sz="6" w:space="0" w:color="auto"/>
              <w:bottom w:val="single" w:sz="6" w:space="0" w:color="auto"/>
              <w:right w:val="single" w:sz="6" w:space="0" w:color="auto"/>
            </w:tcBorders>
            <w:hideMark/>
          </w:tcPr>
          <w:p w14:paraId="56FE02C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22FB3D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8CE8F5" w14:textId="77777777" w:rsidR="007F0AE0" w:rsidRPr="00781F59" w:rsidRDefault="007F0AE0" w:rsidP="00453DE3">
            <w:pPr>
              <w:contextualSpacing/>
              <w:rPr>
                <w:sz w:val="20"/>
                <w:szCs w:val="20"/>
              </w:rPr>
            </w:pPr>
            <w:r w:rsidRPr="00781F59">
              <w:rPr>
                <w:sz w:val="20"/>
                <w:szCs w:val="20"/>
              </w:rPr>
              <w:t>682</w:t>
            </w:r>
          </w:p>
        </w:tc>
        <w:tc>
          <w:tcPr>
            <w:tcW w:w="0" w:type="auto"/>
            <w:tcBorders>
              <w:top w:val="single" w:sz="6" w:space="0" w:color="auto"/>
              <w:left w:val="single" w:sz="6" w:space="0" w:color="auto"/>
              <w:bottom w:val="single" w:sz="6" w:space="0" w:color="auto"/>
              <w:right w:val="single" w:sz="6" w:space="0" w:color="auto"/>
            </w:tcBorders>
            <w:hideMark/>
          </w:tcPr>
          <w:p w14:paraId="6DD1D266" w14:textId="77777777" w:rsidR="007F0AE0" w:rsidRPr="00781F59" w:rsidRDefault="007F0AE0" w:rsidP="00453DE3">
            <w:pPr>
              <w:contextualSpacing/>
              <w:rPr>
                <w:sz w:val="20"/>
                <w:szCs w:val="20"/>
              </w:rPr>
            </w:pPr>
            <w:r w:rsidRPr="00781F59">
              <w:rPr>
                <w:sz w:val="20"/>
                <w:szCs w:val="20"/>
              </w:rPr>
              <w:t>Michael S Werley, Christopher R E Coggins, Peter N Lee 2007 Possible effects on smokers of cigarette mentholation: a review of the evidence relating to key research questions.. Regulatory toxicology and pharmacology : RTP; 47.189.</w:t>
            </w:r>
          </w:p>
        </w:tc>
        <w:tc>
          <w:tcPr>
            <w:tcW w:w="0" w:type="auto"/>
            <w:tcBorders>
              <w:top w:val="single" w:sz="6" w:space="0" w:color="auto"/>
              <w:left w:val="single" w:sz="6" w:space="0" w:color="auto"/>
              <w:bottom w:val="single" w:sz="6" w:space="0" w:color="auto"/>
              <w:right w:val="single" w:sz="6" w:space="0" w:color="auto"/>
            </w:tcBorders>
            <w:hideMark/>
          </w:tcPr>
          <w:p w14:paraId="25817344"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314CFBD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B144662" w14:textId="77777777" w:rsidR="007F0AE0" w:rsidRPr="00781F59" w:rsidRDefault="007F0AE0" w:rsidP="00453DE3">
            <w:pPr>
              <w:contextualSpacing/>
              <w:rPr>
                <w:sz w:val="20"/>
                <w:szCs w:val="20"/>
              </w:rPr>
            </w:pPr>
            <w:r w:rsidRPr="00781F59">
              <w:rPr>
                <w:sz w:val="20"/>
                <w:szCs w:val="20"/>
              </w:rPr>
              <w:t>684</w:t>
            </w:r>
          </w:p>
        </w:tc>
        <w:tc>
          <w:tcPr>
            <w:tcW w:w="0" w:type="auto"/>
            <w:tcBorders>
              <w:top w:val="single" w:sz="6" w:space="0" w:color="auto"/>
              <w:left w:val="single" w:sz="6" w:space="0" w:color="auto"/>
              <w:bottom w:val="single" w:sz="6" w:space="0" w:color="auto"/>
              <w:right w:val="single" w:sz="6" w:space="0" w:color="auto"/>
            </w:tcBorders>
            <w:hideMark/>
          </w:tcPr>
          <w:p w14:paraId="43DCE575" w14:textId="77777777" w:rsidR="007F0AE0" w:rsidRPr="00781F59" w:rsidRDefault="007F0AE0" w:rsidP="00453DE3">
            <w:pPr>
              <w:contextualSpacing/>
              <w:rPr>
                <w:sz w:val="20"/>
                <w:szCs w:val="20"/>
              </w:rPr>
            </w:pPr>
            <w:r w:rsidRPr="00781F59">
              <w:rPr>
                <w:sz w:val="20"/>
                <w:szCs w:val="20"/>
              </w:rPr>
              <w:t>Richard Hebert 2006 What's new in Nicotine &amp; Tobacco Research?.. Nicotine &amp; tobacco research : official journal of the Society for Research on Nicotine and Tobacco; 8.481.</w:t>
            </w:r>
          </w:p>
        </w:tc>
        <w:tc>
          <w:tcPr>
            <w:tcW w:w="0" w:type="auto"/>
            <w:tcBorders>
              <w:top w:val="single" w:sz="6" w:space="0" w:color="auto"/>
              <w:left w:val="single" w:sz="6" w:space="0" w:color="auto"/>
              <w:bottom w:val="single" w:sz="6" w:space="0" w:color="auto"/>
              <w:right w:val="single" w:sz="6" w:space="0" w:color="auto"/>
            </w:tcBorders>
            <w:hideMark/>
          </w:tcPr>
          <w:p w14:paraId="0C5B9AC4"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BB6BD2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1662824" w14:textId="77777777" w:rsidR="007F0AE0" w:rsidRPr="00781F59" w:rsidRDefault="007F0AE0" w:rsidP="00453DE3">
            <w:pPr>
              <w:contextualSpacing/>
              <w:rPr>
                <w:sz w:val="20"/>
                <w:szCs w:val="20"/>
              </w:rPr>
            </w:pPr>
            <w:r w:rsidRPr="00781F59">
              <w:rPr>
                <w:sz w:val="20"/>
                <w:szCs w:val="20"/>
              </w:rPr>
              <w:t>688</w:t>
            </w:r>
          </w:p>
        </w:tc>
        <w:tc>
          <w:tcPr>
            <w:tcW w:w="0" w:type="auto"/>
            <w:tcBorders>
              <w:top w:val="single" w:sz="6" w:space="0" w:color="auto"/>
              <w:left w:val="single" w:sz="6" w:space="0" w:color="auto"/>
              <w:bottom w:val="single" w:sz="6" w:space="0" w:color="auto"/>
              <w:right w:val="single" w:sz="6" w:space="0" w:color="auto"/>
            </w:tcBorders>
            <w:hideMark/>
          </w:tcPr>
          <w:p w14:paraId="771EE064" w14:textId="77777777" w:rsidR="007F0AE0" w:rsidRPr="00781F59" w:rsidRDefault="007F0AE0" w:rsidP="00453DE3">
            <w:pPr>
              <w:contextualSpacing/>
              <w:rPr>
                <w:sz w:val="20"/>
                <w:szCs w:val="20"/>
              </w:rPr>
            </w:pPr>
            <w:r w:rsidRPr="00781F59">
              <w:rPr>
                <w:sz w:val="20"/>
                <w:szCs w:val="20"/>
              </w:rPr>
              <w:t>Eric T Moolchan, Frederick H Franken, Maria Jaszyna-Gasior 2006 Adolescent nicotine metabolism: ethnoracial differences among dependent smokers.. Ethnicity &amp; disease; 16.239.</w:t>
            </w:r>
          </w:p>
        </w:tc>
        <w:tc>
          <w:tcPr>
            <w:tcW w:w="0" w:type="auto"/>
            <w:tcBorders>
              <w:top w:val="single" w:sz="6" w:space="0" w:color="auto"/>
              <w:left w:val="single" w:sz="6" w:space="0" w:color="auto"/>
              <w:bottom w:val="single" w:sz="6" w:space="0" w:color="auto"/>
              <w:right w:val="single" w:sz="6" w:space="0" w:color="auto"/>
            </w:tcBorders>
            <w:hideMark/>
          </w:tcPr>
          <w:p w14:paraId="76934B2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572C3E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C8384F7" w14:textId="77777777" w:rsidR="007F0AE0" w:rsidRPr="00781F59" w:rsidRDefault="007F0AE0" w:rsidP="00453DE3">
            <w:pPr>
              <w:contextualSpacing/>
              <w:rPr>
                <w:sz w:val="20"/>
                <w:szCs w:val="20"/>
              </w:rPr>
            </w:pPr>
            <w:r w:rsidRPr="00781F59">
              <w:rPr>
                <w:sz w:val="20"/>
                <w:szCs w:val="20"/>
              </w:rPr>
              <w:t>693</w:t>
            </w:r>
          </w:p>
        </w:tc>
        <w:tc>
          <w:tcPr>
            <w:tcW w:w="0" w:type="auto"/>
            <w:tcBorders>
              <w:top w:val="single" w:sz="6" w:space="0" w:color="auto"/>
              <w:left w:val="single" w:sz="6" w:space="0" w:color="auto"/>
              <w:bottom w:val="single" w:sz="6" w:space="0" w:color="auto"/>
              <w:right w:val="single" w:sz="6" w:space="0" w:color="auto"/>
            </w:tcBorders>
            <w:hideMark/>
          </w:tcPr>
          <w:p w14:paraId="5C90E4F9" w14:textId="77777777" w:rsidR="007F0AE0" w:rsidRPr="00781F59" w:rsidRDefault="007F0AE0" w:rsidP="00453DE3">
            <w:pPr>
              <w:contextualSpacing/>
              <w:rPr>
                <w:sz w:val="20"/>
                <w:szCs w:val="20"/>
              </w:rPr>
            </w:pPr>
            <w:r w:rsidRPr="00781F59">
              <w:rPr>
                <w:sz w:val="20"/>
                <w:szCs w:val="20"/>
              </w:rPr>
              <w:t>Carolyn C Celebucki, Geoffrey Ferris Wayne, Gregory N Connolly, James F Pankow, Elsa I Chang 2005 Characterization of measured menthol in 48 U.S. cigarette sub-brands.. Nicotine &amp; tobacco research : official journal of the Society for Research on Nicotine and Tobacco; 7.523.</w:t>
            </w:r>
          </w:p>
        </w:tc>
        <w:tc>
          <w:tcPr>
            <w:tcW w:w="0" w:type="auto"/>
            <w:tcBorders>
              <w:top w:val="single" w:sz="6" w:space="0" w:color="auto"/>
              <w:left w:val="single" w:sz="6" w:space="0" w:color="auto"/>
              <w:bottom w:val="single" w:sz="6" w:space="0" w:color="auto"/>
              <w:right w:val="single" w:sz="6" w:space="0" w:color="auto"/>
            </w:tcBorders>
            <w:hideMark/>
          </w:tcPr>
          <w:p w14:paraId="3DAD1E5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FE30D5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ED35BC1" w14:textId="77777777" w:rsidR="007F0AE0" w:rsidRPr="00781F59" w:rsidRDefault="007F0AE0" w:rsidP="00453DE3">
            <w:pPr>
              <w:contextualSpacing/>
              <w:rPr>
                <w:sz w:val="20"/>
                <w:szCs w:val="20"/>
              </w:rPr>
            </w:pPr>
            <w:r w:rsidRPr="00781F59">
              <w:rPr>
                <w:sz w:val="20"/>
                <w:szCs w:val="20"/>
              </w:rPr>
              <w:t>695</w:t>
            </w:r>
          </w:p>
        </w:tc>
        <w:tc>
          <w:tcPr>
            <w:tcW w:w="0" w:type="auto"/>
            <w:tcBorders>
              <w:top w:val="single" w:sz="6" w:space="0" w:color="auto"/>
              <w:left w:val="single" w:sz="6" w:space="0" w:color="auto"/>
              <w:bottom w:val="single" w:sz="6" w:space="0" w:color="auto"/>
              <w:right w:val="single" w:sz="6" w:space="0" w:color="auto"/>
            </w:tcBorders>
            <w:hideMark/>
          </w:tcPr>
          <w:p w14:paraId="5D73A9DE" w14:textId="77777777" w:rsidR="007F0AE0" w:rsidRPr="00781F59" w:rsidRDefault="007F0AE0" w:rsidP="00453DE3">
            <w:pPr>
              <w:contextualSpacing/>
              <w:rPr>
                <w:sz w:val="20"/>
                <w:szCs w:val="20"/>
              </w:rPr>
            </w:pPr>
            <w:r w:rsidRPr="00781F59">
              <w:rPr>
                <w:sz w:val="20"/>
                <w:szCs w:val="20"/>
              </w:rPr>
              <w:t>Anita F Fernander, Christi A Patten, Darrell R Schroeder, Susanna R Stevens, Kay M Eberman, Richard D Hurt 2005 Exploring the association of John Henry active coping and education on smoking behavior and nicotine dependence among Blacks in the USA.. Social science &amp; medicine (1982); 60.491.</w:t>
            </w:r>
          </w:p>
        </w:tc>
        <w:tc>
          <w:tcPr>
            <w:tcW w:w="0" w:type="auto"/>
            <w:tcBorders>
              <w:top w:val="single" w:sz="6" w:space="0" w:color="auto"/>
              <w:left w:val="single" w:sz="6" w:space="0" w:color="auto"/>
              <w:bottom w:val="single" w:sz="6" w:space="0" w:color="auto"/>
              <w:right w:val="single" w:sz="6" w:space="0" w:color="auto"/>
            </w:tcBorders>
            <w:hideMark/>
          </w:tcPr>
          <w:p w14:paraId="394890A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8517B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82DFC7" w14:textId="77777777" w:rsidR="007F0AE0" w:rsidRPr="00781F59" w:rsidRDefault="007F0AE0" w:rsidP="00453DE3">
            <w:pPr>
              <w:contextualSpacing/>
              <w:rPr>
                <w:sz w:val="20"/>
                <w:szCs w:val="20"/>
              </w:rPr>
            </w:pPr>
            <w:r w:rsidRPr="00781F59">
              <w:rPr>
                <w:sz w:val="20"/>
                <w:szCs w:val="20"/>
              </w:rPr>
              <w:t>699</w:t>
            </w:r>
          </w:p>
        </w:tc>
        <w:tc>
          <w:tcPr>
            <w:tcW w:w="0" w:type="auto"/>
            <w:tcBorders>
              <w:top w:val="single" w:sz="6" w:space="0" w:color="auto"/>
              <w:left w:val="single" w:sz="6" w:space="0" w:color="auto"/>
              <w:bottom w:val="single" w:sz="6" w:space="0" w:color="auto"/>
              <w:right w:val="single" w:sz="6" w:space="0" w:color="auto"/>
            </w:tcBorders>
            <w:hideMark/>
          </w:tcPr>
          <w:p w14:paraId="1BCF98BB" w14:textId="77777777" w:rsidR="007F0AE0" w:rsidRPr="00781F59" w:rsidRDefault="007F0AE0" w:rsidP="00453DE3">
            <w:pPr>
              <w:contextualSpacing/>
              <w:rPr>
                <w:sz w:val="20"/>
                <w:szCs w:val="20"/>
              </w:rPr>
            </w:pPr>
            <w:r w:rsidRPr="00781F59">
              <w:rPr>
                <w:sz w:val="20"/>
                <w:szCs w:val="20"/>
              </w:rPr>
              <w:t>Eric T Moolchan, Darrell L Hudson, Jennifer R Schroeder, Shelley S Sehnert 2004 Heart rate and blood pressure responses to tobacco smoking among African-American adolescents.. Journal of the National Medical Association; 96.767.</w:t>
            </w:r>
          </w:p>
        </w:tc>
        <w:tc>
          <w:tcPr>
            <w:tcW w:w="0" w:type="auto"/>
            <w:tcBorders>
              <w:top w:val="single" w:sz="6" w:space="0" w:color="auto"/>
              <w:left w:val="single" w:sz="6" w:space="0" w:color="auto"/>
              <w:bottom w:val="single" w:sz="6" w:space="0" w:color="auto"/>
              <w:right w:val="single" w:sz="6" w:space="0" w:color="auto"/>
            </w:tcBorders>
            <w:hideMark/>
          </w:tcPr>
          <w:p w14:paraId="062303B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4D454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F28AA3" w14:textId="77777777" w:rsidR="007F0AE0" w:rsidRPr="00781F59" w:rsidRDefault="007F0AE0" w:rsidP="00453DE3">
            <w:pPr>
              <w:contextualSpacing/>
              <w:rPr>
                <w:sz w:val="20"/>
                <w:szCs w:val="20"/>
              </w:rPr>
            </w:pPr>
            <w:r w:rsidRPr="00781F59">
              <w:rPr>
                <w:sz w:val="20"/>
                <w:szCs w:val="20"/>
              </w:rPr>
              <w:t>700</w:t>
            </w:r>
          </w:p>
        </w:tc>
        <w:tc>
          <w:tcPr>
            <w:tcW w:w="0" w:type="auto"/>
            <w:tcBorders>
              <w:top w:val="single" w:sz="6" w:space="0" w:color="auto"/>
              <w:left w:val="single" w:sz="6" w:space="0" w:color="auto"/>
              <w:bottom w:val="single" w:sz="6" w:space="0" w:color="auto"/>
              <w:right w:val="single" w:sz="6" w:space="0" w:color="auto"/>
            </w:tcBorders>
            <w:hideMark/>
          </w:tcPr>
          <w:p w14:paraId="4BBD6C20" w14:textId="77777777" w:rsidR="007F0AE0" w:rsidRPr="00781F59" w:rsidRDefault="007F0AE0" w:rsidP="00453DE3">
            <w:pPr>
              <w:contextualSpacing/>
              <w:rPr>
                <w:sz w:val="20"/>
                <w:szCs w:val="20"/>
              </w:rPr>
            </w:pPr>
            <w:r w:rsidRPr="00781F59">
              <w:rPr>
                <w:sz w:val="20"/>
                <w:szCs w:val="20"/>
              </w:rPr>
              <w:t>Jed E Rose, Frederique M Behm 2004 Extinguishing the rewarding value of smoke cues: pharmacological and behavioral treatments.. Nicotine &amp; tobacco research : official journal of the Society for Research on Nicotine and Tobacco; 6.523.</w:t>
            </w:r>
          </w:p>
        </w:tc>
        <w:tc>
          <w:tcPr>
            <w:tcW w:w="0" w:type="auto"/>
            <w:tcBorders>
              <w:top w:val="single" w:sz="6" w:space="0" w:color="auto"/>
              <w:left w:val="single" w:sz="6" w:space="0" w:color="auto"/>
              <w:bottom w:val="single" w:sz="6" w:space="0" w:color="auto"/>
              <w:right w:val="single" w:sz="6" w:space="0" w:color="auto"/>
            </w:tcBorders>
            <w:hideMark/>
          </w:tcPr>
          <w:p w14:paraId="3CE9EA7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78CDAD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B61131" w14:textId="77777777" w:rsidR="007F0AE0" w:rsidRPr="00781F59" w:rsidRDefault="007F0AE0" w:rsidP="00453DE3">
            <w:pPr>
              <w:contextualSpacing/>
              <w:rPr>
                <w:sz w:val="20"/>
                <w:szCs w:val="20"/>
              </w:rPr>
            </w:pPr>
            <w:r w:rsidRPr="00781F59">
              <w:rPr>
                <w:sz w:val="20"/>
                <w:szCs w:val="20"/>
              </w:rPr>
              <w:t>701</w:t>
            </w:r>
          </w:p>
        </w:tc>
        <w:tc>
          <w:tcPr>
            <w:tcW w:w="0" w:type="auto"/>
            <w:tcBorders>
              <w:top w:val="single" w:sz="6" w:space="0" w:color="auto"/>
              <w:left w:val="single" w:sz="6" w:space="0" w:color="auto"/>
              <w:bottom w:val="single" w:sz="6" w:space="0" w:color="auto"/>
              <w:right w:val="single" w:sz="6" w:space="0" w:color="auto"/>
            </w:tcBorders>
            <w:hideMark/>
          </w:tcPr>
          <w:p w14:paraId="33BE3355" w14:textId="77777777" w:rsidR="007F0AE0" w:rsidRPr="00781F59" w:rsidRDefault="007F0AE0" w:rsidP="00453DE3">
            <w:pPr>
              <w:contextualSpacing/>
              <w:rPr>
                <w:sz w:val="20"/>
                <w:szCs w:val="20"/>
              </w:rPr>
            </w:pPr>
            <w:r w:rsidRPr="00781F59">
              <w:rPr>
                <w:sz w:val="20"/>
                <w:szCs w:val="20"/>
              </w:rPr>
              <w:t>Samuel Garten, R Victor Falkner 2004 Role of mentholated cigarettes in increased nicotine dependence and greater risk of tobacco-attributable disease.. Preventive medicine; 38.793.</w:t>
            </w:r>
          </w:p>
        </w:tc>
        <w:tc>
          <w:tcPr>
            <w:tcW w:w="0" w:type="auto"/>
            <w:tcBorders>
              <w:top w:val="single" w:sz="6" w:space="0" w:color="auto"/>
              <w:left w:val="single" w:sz="6" w:space="0" w:color="auto"/>
              <w:bottom w:val="single" w:sz="6" w:space="0" w:color="auto"/>
              <w:right w:val="single" w:sz="6" w:space="0" w:color="auto"/>
            </w:tcBorders>
            <w:hideMark/>
          </w:tcPr>
          <w:p w14:paraId="22C4160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CA9ACF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B41F9B" w14:textId="77777777" w:rsidR="007F0AE0" w:rsidRPr="00781F59" w:rsidRDefault="007F0AE0" w:rsidP="00453DE3">
            <w:pPr>
              <w:contextualSpacing/>
              <w:rPr>
                <w:sz w:val="20"/>
                <w:szCs w:val="20"/>
              </w:rPr>
            </w:pPr>
            <w:r w:rsidRPr="00781F59">
              <w:rPr>
                <w:sz w:val="20"/>
                <w:szCs w:val="20"/>
              </w:rPr>
              <w:t>704</w:t>
            </w:r>
          </w:p>
        </w:tc>
        <w:tc>
          <w:tcPr>
            <w:tcW w:w="0" w:type="auto"/>
            <w:tcBorders>
              <w:top w:val="single" w:sz="6" w:space="0" w:color="auto"/>
              <w:left w:val="single" w:sz="6" w:space="0" w:color="auto"/>
              <w:bottom w:val="single" w:sz="6" w:space="0" w:color="auto"/>
              <w:right w:val="single" w:sz="6" w:space="0" w:color="auto"/>
            </w:tcBorders>
            <w:hideMark/>
          </w:tcPr>
          <w:p w14:paraId="062D4B50" w14:textId="77777777" w:rsidR="007F0AE0" w:rsidRPr="00781F59" w:rsidRDefault="007F0AE0" w:rsidP="00453DE3">
            <w:pPr>
              <w:contextualSpacing/>
              <w:rPr>
                <w:sz w:val="20"/>
                <w:szCs w:val="20"/>
              </w:rPr>
            </w:pPr>
            <w:r w:rsidRPr="00781F59">
              <w:rPr>
                <w:sz w:val="20"/>
                <w:szCs w:val="20"/>
              </w:rPr>
              <w:t>Eric T Moolchan 2004 Adolescent menthol smokers: will they be a harder target for cessation?.. Nicotine &amp; tobacco research : official journal of the Society for Research on Nicotine and Tobacco; 6 Suppl 1.S93.</w:t>
            </w:r>
          </w:p>
        </w:tc>
        <w:tc>
          <w:tcPr>
            <w:tcW w:w="0" w:type="auto"/>
            <w:tcBorders>
              <w:top w:val="single" w:sz="6" w:space="0" w:color="auto"/>
              <w:left w:val="single" w:sz="6" w:space="0" w:color="auto"/>
              <w:bottom w:val="single" w:sz="6" w:space="0" w:color="auto"/>
              <w:right w:val="single" w:sz="6" w:space="0" w:color="auto"/>
            </w:tcBorders>
            <w:hideMark/>
          </w:tcPr>
          <w:p w14:paraId="12AEF2E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501B26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5E1F4D" w14:textId="77777777" w:rsidR="007F0AE0" w:rsidRPr="00781F59" w:rsidRDefault="007F0AE0" w:rsidP="00453DE3">
            <w:pPr>
              <w:contextualSpacing/>
              <w:rPr>
                <w:sz w:val="20"/>
                <w:szCs w:val="20"/>
              </w:rPr>
            </w:pPr>
            <w:r w:rsidRPr="00781F59">
              <w:rPr>
                <w:sz w:val="20"/>
                <w:szCs w:val="20"/>
              </w:rPr>
              <w:t>708</w:t>
            </w:r>
          </w:p>
        </w:tc>
        <w:tc>
          <w:tcPr>
            <w:tcW w:w="0" w:type="auto"/>
            <w:tcBorders>
              <w:top w:val="single" w:sz="6" w:space="0" w:color="auto"/>
              <w:left w:val="single" w:sz="6" w:space="0" w:color="auto"/>
              <w:bottom w:val="single" w:sz="6" w:space="0" w:color="auto"/>
              <w:right w:val="single" w:sz="6" w:space="0" w:color="auto"/>
            </w:tcBorders>
            <w:hideMark/>
          </w:tcPr>
          <w:p w14:paraId="59E3D26B" w14:textId="77777777" w:rsidR="007F0AE0" w:rsidRPr="00781F59" w:rsidRDefault="007F0AE0" w:rsidP="00453DE3">
            <w:pPr>
              <w:contextualSpacing/>
              <w:rPr>
                <w:sz w:val="20"/>
                <w:szCs w:val="20"/>
              </w:rPr>
            </w:pPr>
            <w:r w:rsidRPr="00781F59">
              <w:rPr>
                <w:sz w:val="20"/>
                <w:szCs w:val="20"/>
              </w:rPr>
              <w:t>Geoffrey Ferris Wayne, Gregory N Connolly 2004 Application, function, and effects of menthol in cigarettes: a survey of tobacco industry documents.. Nicotine &amp; tobacco research : official journal of the Society for Research on Nicotine and Tobacco; 6 Suppl 1.S43.</w:t>
            </w:r>
          </w:p>
        </w:tc>
        <w:tc>
          <w:tcPr>
            <w:tcW w:w="0" w:type="auto"/>
            <w:tcBorders>
              <w:top w:val="single" w:sz="6" w:space="0" w:color="auto"/>
              <w:left w:val="single" w:sz="6" w:space="0" w:color="auto"/>
              <w:bottom w:val="single" w:sz="6" w:space="0" w:color="auto"/>
              <w:right w:val="single" w:sz="6" w:space="0" w:color="auto"/>
            </w:tcBorders>
            <w:hideMark/>
          </w:tcPr>
          <w:p w14:paraId="140C400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E3A6F6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26BD91" w14:textId="77777777" w:rsidR="007F0AE0" w:rsidRPr="00781F59" w:rsidRDefault="007F0AE0" w:rsidP="00453DE3">
            <w:pPr>
              <w:contextualSpacing/>
              <w:rPr>
                <w:sz w:val="20"/>
                <w:szCs w:val="20"/>
              </w:rPr>
            </w:pPr>
            <w:r w:rsidRPr="00781F59">
              <w:rPr>
                <w:sz w:val="20"/>
                <w:szCs w:val="20"/>
              </w:rPr>
              <w:t>710</w:t>
            </w:r>
          </w:p>
        </w:tc>
        <w:tc>
          <w:tcPr>
            <w:tcW w:w="0" w:type="auto"/>
            <w:tcBorders>
              <w:top w:val="single" w:sz="6" w:space="0" w:color="auto"/>
              <w:left w:val="single" w:sz="6" w:space="0" w:color="auto"/>
              <w:bottom w:val="single" w:sz="6" w:space="0" w:color="auto"/>
              <w:right w:val="single" w:sz="6" w:space="0" w:color="auto"/>
            </w:tcBorders>
            <w:hideMark/>
          </w:tcPr>
          <w:p w14:paraId="72431F77" w14:textId="77777777" w:rsidR="007F0AE0" w:rsidRPr="00781F59" w:rsidRDefault="007F0AE0" w:rsidP="00453DE3">
            <w:pPr>
              <w:contextualSpacing/>
              <w:rPr>
                <w:sz w:val="20"/>
                <w:szCs w:val="20"/>
              </w:rPr>
            </w:pPr>
            <w:r w:rsidRPr="00781F59">
              <w:rPr>
                <w:sz w:val="20"/>
                <w:szCs w:val="20"/>
              </w:rPr>
              <w:t>Karen Ahijevych, Bridgette E Garrett 2004 Menthol pharmacology and its potential impact on cigarette smoking behavior.. Nicotine &amp; tobacco research : official journal of the Society for Research on Nicotine and Tobacco; 6 Suppl 1.S17.</w:t>
            </w:r>
          </w:p>
        </w:tc>
        <w:tc>
          <w:tcPr>
            <w:tcW w:w="0" w:type="auto"/>
            <w:tcBorders>
              <w:top w:val="single" w:sz="6" w:space="0" w:color="auto"/>
              <w:left w:val="single" w:sz="6" w:space="0" w:color="auto"/>
              <w:bottom w:val="single" w:sz="6" w:space="0" w:color="auto"/>
              <w:right w:val="single" w:sz="6" w:space="0" w:color="auto"/>
            </w:tcBorders>
            <w:hideMark/>
          </w:tcPr>
          <w:p w14:paraId="141B167D"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5713239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D1CDBD" w14:textId="77777777" w:rsidR="007F0AE0" w:rsidRPr="00781F59" w:rsidRDefault="007F0AE0" w:rsidP="00453DE3">
            <w:pPr>
              <w:contextualSpacing/>
              <w:rPr>
                <w:sz w:val="20"/>
                <w:szCs w:val="20"/>
              </w:rPr>
            </w:pPr>
            <w:r w:rsidRPr="00781F59">
              <w:rPr>
                <w:sz w:val="20"/>
                <w:szCs w:val="20"/>
              </w:rPr>
              <w:lastRenderedPageBreak/>
              <w:t>717</w:t>
            </w:r>
          </w:p>
        </w:tc>
        <w:tc>
          <w:tcPr>
            <w:tcW w:w="0" w:type="auto"/>
            <w:tcBorders>
              <w:top w:val="single" w:sz="6" w:space="0" w:color="auto"/>
              <w:left w:val="single" w:sz="6" w:space="0" w:color="auto"/>
              <w:bottom w:val="single" w:sz="6" w:space="0" w:color="auto"/>
              <w:right w:val="single" w:sz="6" w:space="0" w:color="auto"/>
            </w:tcBorders>
            <w:hideMark/>
          </w:tcPr>
          <w:p w14:paraId="55CEB263" w14:textId="77777777" w:rsidR="007F0AE0" w:rsidRPr="00781F59" w:rsidRDefault="007F0AE0" w:rsidP="00453DE3">
            <w:pPr>
              <w:contextualSpacing/>
              <w:rPr>
                <w:sz w:val="20"/>
                <w:szCs w:val="20"/>
              </w:rPr>
            </w:pPr>
            <w:r w:rsidRPr="00781F59">
              <w:rPr>
                <w:sz w:val="20"/>
                <w:szCs w:val="20"/>
              </w:rPr>
              <w:t>James M MacDougall, Keith Fandrick, Xiaodong Zhang, Scott V Serafin, John R Cashman 2003 Inhibition of human liver microsomal (S)-nicotine oxidation by (-)-menthol and analogues.. Chemical research in toxicology; 16.988.</w:t>
            </w:r>
          </w:p>
        </w:tc>
        <w:tc>
          <w:tcPr>
            <w:tcW w:w="0" w:type="auto"/>
            <w:tcBorders>
              <w:top w:val="single" w:sz="6" w:space="0" w:color="auto"/>
              <w:left w:val="single" w:sz="6" w:space="0" w:color="auto"/>
              <w:bottom w:val="single" w:sz="6" w:space="0" w:color="auto"/>
              <w:right w:val="single" w:sz="6" w:space="0" w:color="auto"/>
            </w:tcBorders>
            <w:hideMark/>
          </w:tcPr>
          <w:p w14:paraId="759E5AED"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24369C8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485A0E" w14:textId="77777777" w:rsidR="007F0AE0" w:rsidRPr="00781F59" w:rsidRDefault="007F0AE0" w:rsidP="00453DE3">
            <w:pPr>
              <w:contextualSpacing/>
              <w:rPr>
                <w:sz w:val="20"/>
                <w:szCs w:val="20"/>
              </w:rPr>
            </w:pPr>
            <w:r w:rsidRPr="00781F59">
              <w:rPr>
                <w:sz w:val="20"/>
                <w:szCs w:val="20"/>
              </w:rPr>
              <w:t>722</w:t>
            </w:r>
          </w:p>
        </w:tc>
        <w:tc>
          <w:tcPr>
            <w:tcW w:w="0" w:type="auto"/>
            <w:tcBorders>
              <w:top w:val="single" w:sz="6" w:space="0" w:color="auto"/>
              <w:left w:val="single" w:sz="6" w:space="0" w:color="auto"/>
              <w:bottom w:val="single" w:sz="6" w:space="0" w:color="auto"/>
              <w:right w:val="single" w:sz="6" w:space="0" w:color="auto"/>
            </w:tcBorders>
            <w:hideMark/>
          </w:tcPr>
          <w:p w14:paraId="36B37F89" w14:textId="77777777" w:rsidR="007F0AE0" w:rsidRPr="00781F59" w:rsidRDefault="007F0AE0" w:rsidP="00453DE3">
            <w:pPr>
              <w:contextualSpacing/>
              <w:rPr>
                <w:sz w:val="20"/>
                <w:szCs w:val="20"/>
              </w:rPr>
            </w:pPr>
            <w:r w:rsidRPr="00781F59">
              <w:rPr>
                <w:sz w:val="20"/>
                <w:szCs w:val="20"/>
              </w:rPr>
              <w:t>Kathryn I Pollak, Babafemi Taiwo, Pauline Lyna, Mary Baldwin, Isaac M Lipkus, Gerold Bepler, Colleen M McBride 2002 Reported cessation advice given to African Americans by health care providers in a community health clinic.. Journal of community health; 27.381.</w:t>
            </w:r>
          </w:p>
        </w:tc>
        <w:tc>
          <w:tcPr>
            <w:tcW w:w="0" w:type="auto"/>
            <w:tcBorders>
              <w:top w:val="single" w:sz="6" w:space="0" w:color="auto"/>
              <w:left w:val="single" w:sz="6" w:space="0" w:color="auto"/>
              <w:bottom w:val="single" w:sz="6" w:space="0" w:color="auto"/>
              <w:right w:val="single" w:sz="6" w:space="0" w:color="auto"/>
            </w:tcBorders>
            <w:hideMark/>
          </w:tcPr>
          <w:p w14:paraId="1F308A4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B0D266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E1F470C" w14:textId="77777777" w:rsidR="007F0AE0" w:rsidRPr="00781F59" w:rsidRDefault="007F0AE0" w:rsidP="00453DE3">
            <w:pPr>
              <w:contextualSpacing/>
              <w:rPr>
                <w:sz w:val="20"/>
                <w:szCs w:val="20"/>
              </w:rPr>
            </w:pPr>
            <w:r w:rsidRPr="00781F59">
              <w:rPr>
                <w:sz w:val="20"/>
                <w:szCs w:val="20"/>
              </w:rPr>
              <w:t>727</w:t>
            </w:r>
          </w:p>
        </w:tc>
        <w:tc>
          <w:tcPr>
            <w:tcW w:w="0" w:type="auto"/>
            <w:tcBorders>
              <w:top w:val="single" w:sz="6" w:space="0" w:color="auto"/>
              <w:left w:val="single" w:sz="6" w:space="0" w:color="auto"/>
              <w:bottom w:val="single" w:sz="6" w:space="0" w:color="auto"/>
              <w:right w:val="single" w:sz="6" w:space="0" w:color="auto"/>
            </w:tcBorders>
            <w:hideMark/>
          </w:tcPr>
          <w:p w14:paraId="70F5820E" w14:textId="77777777" w:rsidR="007F0AE0" w:rsidRPr="00781F59" w:rsidRDefault="007F0AE0" w:rsidP="00453DE3">
            <w:pPr>
              <w:contextualSpacing/>
              <w:rPr>
                <w:sz w:val="20"/>
                <w:szCs w:val="20"/>
              </w:rPr>
            </w:pPr>
            <w:r w:rsidRPr="00781F59">
              <w:rPr>
                <w:sz w:val="20"/>
                <w:szCs w:val="20"/>
              </w:rPr>
              <w:t>Wallace B Pickworth, Eric T Moolchan, Ivan Berlin, Ram Murty 2002 Sensory and physiologic effects of menthol and non-menthol cigarettes with differing nicotine delivery.. Pharmacology, biochemistry, and behavior; 71.55.</w:t>
            </w:r>
          </w:p>
        </w:tc>
        <w:tc>
          <w:tcPr>
            <w:tcW w:w="0" w:type="auto"/>
            <w:tcBorders>
              <w:top w:val="single" w:sz="6" w:space="0" w:color="auto"/>
              <w:left w:val="single" w:sz="6" w:space="0" w:color="auto"/>
              <w:bottom w:val="single" w:sz="6" w:space="0" w:color="auto"/>
              <w:right w:val="single" w:sz="6" w:space="0" w:color="auto"/>
            </w:tcBorders>
            <w:hideMark/>
          </w:tcPr>
          <w:p w14:paraId="158B461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21405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86A716" w14:textId="77777777" w:rsidR="007F0AE0" w:rsidRPr="00781F59" w:rsidRDefault="007F0AE0" w:rsidP="00453DE3">
            <w:pPr>
              <w:contextualSpacing/>
              <w:rPr>
                <w:sz w:val="20"/>
                <w:szCs w:val="20"/>
              </w:rPr>
            </w:pPr>
            <w:r w:rsidRPr="00781F59">
              <w:rPr>
                <w:sz w:val="20"/>
                <w:szCs w:val="20"/>
              </w:rPr>
              <w:t>728</w:t>
            </w:r>
          </w:p>
        </w:tc>
        <w:tc>
          <w:tcPr>
            <w:tcW w:w="0" w:type="auto"/>
            <w:tcBorders>
              <w:top w:val="single" w:sz="6" w:space="0" w:color="auto"/>
              <w:left w:val="single" w:sz="6" w:space="0" w:color="auto"/>
              <w:bottom w:val="single" w:sz="6" w:space="0" w:color="auto"/>
              <w:right w:val="single" w:sz="6" w:space="0" w:color="auto"/>
            </w:tcBorders>
            <w:hideMark/>
          </w:tcPr>
          <w:p w14:paraId="62C4F23F" w14:textId="77777777" w:rsidR="007F0AE0" w:rsidRPr="00781F59" w:rsidRDefault="007F0AE0" w:rsidP="00453DE3">
            <w:pPr>
              <w:contextualSpacing/>
              <w:rPr>
                <w:sz w:val="20"/>
                <w:szCs w:val="20"/>
              </w:rPr>
            </w:pPr>
            <w:r w:rsidRPr="00781F59">
              <w:rPr>
                <w:sz w:val="20"/>
                <w:szCs w:val="20"/>
              </w:rPr>
              <w:t>J Appleyard, P Messeri, M L Haviland 2001 Smoking among Asian American and Hawaiian/Pacific Islander youth: data from the 2000 National Youth Tobacco Survey.. Asian American and Pacific Islander journal of health; 9.5.</w:t>
            </w:r>
          </w:p>
        </w:tc>
        <w:tc>
          <w:tcPr>
            <w:tcW w:w="0" w:type="auto"/>
            <w:tcBorders>
              <w:top w:val="single" w:sz="6" w:space="0" w:color="auto"/>
              <w:left w:val="single" w:sz="6" w:space="0" w:color="auto"/>
              <w:bottom w:val="single" w:sz="6" w:space="0" w:color="auto"/>
              <w:right w:val="single" w:sz="6" w:space="0" w:color="auto"/>
            </w:tcBorders>
            <w:hideMark/>
          </w:tcPr>
          <w:p w14:paraId="388E535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38841E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AE7231" w14:textId="77777777" w:rsidR="007F0AE0" w:rsidRPr="00781F59" w:rsidRDefault="007F0AE0" w:rsidP="00453DE3">
            <w:pPr>
              <w:contextualSpacing/>
              <w:rPr>
                <w:sz w:val="20"/>
                <w:szCs w:val="20"/>
              </w:rPr>
            </w:pPr>
            <w:r w:rsidRPr="00781F59">
              <w:rPr>
                <w:sz w:val="20"/>
                <w:szCs w:val="20"/>
              </w:rPr>
              <w:t>732</w:t>
            </w:r>
          </w:p>
        </w:tc>
        <w:tc>
          <w:tcPr>
            <w:tcW w:w="0" w:type="auto"/>
            <w:tcBorders>
              <w:top w:val="single" w:sz="6" w:space="0" w:color="auto"/>
              <w:left w:val="single" w:sz="6" w:space="0" w:color="auto"/>
              <w:bottom w:val="single" w:sz="6" w:space="0" w:color="auto"/>
              <w:right w:val="single" w:sz="6" w:space="0" w:color="auto"/>
            </w:tcBorders>
            <w:hideMark/>
          </w:tcPr>
          <w:p w14:paraId="7C5FB629" w14:textId="77777777" w:rsidR="007F0AE0" w:rsidRPr="00781F59" w:rsidRDefault="007F0AE0" w:rsidP="00453DE3">
            <w:pPr>
              <w:contextualSpacing/>
              <w:rPr>
                <w:sz w:val="20"/>
                <w:szCs w:val="20"/>
              </w:rPr>
            </w:pPr>
            <w:r w:rsidRPr="00781F59">
              <w:rPr>
                <w:sz w:val="20"/>
                <w:szCs w:val="20"/>
              </w:rPr>
              <w:t>Anonymous 1999 Women who smoke menthol cigarettes have greater nicotine exposure.. Oncology (Williston Park, N.Y.); 13.915.</w:t>
            </w:r>
          </w:p>
        </w:tc>
        <w:tc>
          <w:tcPr>
            <w:tcW w:w="0" w:type="auto"/>
            <w:tcBorders>
              <w:top w:val="single" w:sz="6" w:space="0" w:color="auto"/>
              <w:left w:val="single" w:sz="6" w:space="0" w:color="auto"/>
              <w:bottom w:val="single" w:sz="6" w:space="0" w:color="auto"/>
              <w:right w:val="single" w:sz="6" w:space="0" w:color="auto"/>
            </w:tcBorders>
            <w:hideMark/>
          </w:tcPr>
          <w:p w14:paraId="7EDC4677"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41D641F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564DA7" w14:textId="77777777" w:rsidR="007F0AE0" w:rsidRPr="00781F59" w:rsidRDefault="007F0AE0" w:rsidP="00453DE3">
            <w:pPr>
              <w:contextualSpacing/>
              <w:rPr>
                <w:sz w:val="20"/>
                <w:szCs w:val="20"/>
              </w:rPr>
            </w:pPr>
            <w:r w:rsidRPr="00781F59">
              <w:rPr>
                <w:sz w:val="20"/>
                <w:szCs w:val="20"/>
              </w:rPr>
              <w:t>733</w:t>
            </w:r>
          </w:p>
        </w:tc>
        <w:tc>
          <w:tcPr>
            <w:tcW w:w="0" w:type="auto"/>
            <w:tcBorders>
              <w:top w:val="single" w:sz="6" w:space="0" w:color="auto"/>
              <w:left w:val="single" w:sz="6" w:space="0" w:color="auto"/>
              <w:bottom w:val="single" w:sz="6" w:space="0" w:color="auto"/>
              <w:right w:val="single" w:sz="6" w:space="0" w:color="auto"/>
            </w:tcBorders>
            <w:hideMark/>
          </w:tcPr>
          <w:p w14:paraId="72EE0C15" w14:textId="77777777" w:rsidR="007F0AE0" w:rsidRPr="00781F59" w:rsidRDefault="007F0AE0" w:rsidP="00453DE3">
            <w:pPr>
              <w:contextualSpacing/>
              <w:rPr>
                <w:sz w:val="20"/>
                <w:szCs w:val="20"/>
              </w:rPr>
            </w:pPr>
            <w:r w:rsidRPr="00781F59">
              <w:rPr>
                <w:sz w:val="20"/>
                <w:szCs w:val="20"/>
              </w:rPr>
              <w:t>W S Pritchard, M E Houlihan, T D Guy, J H Robinson 1999 Little evidence that "denicotinized" menthol cigarettes have pharmacological effects: an EEG/heart-rate/sujective-response study.. Psychopharmacology; 143.273.</w:t>
            </w:r>
          </w:p>
        </w:tc>
        <w:tc>
          <w:tcPr>
            <w:tcW w:w="0" w:type="auto"/>
            <w:tcBorders>
              <w:top w:val="single" w:sz="6" w:space="0" w:color="auto"/>
              <w:left w:val="single" w:sz="6" w:space="0" w:color="auto"/>
              <w:bottom w:val="single" w:sz="6" w:space="0" w:color="auto"/>
              <w:right w:val="single" w:sz="6" w:space="0" w:color="auto"/>
            </w:tcBorders>
            <w:hideMark/>
          </w:tcPr>
          <w:p w14:paraId="31526AC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D74EB6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AD37A8" w14:textId="77777777" w:rsidR="007F0AE0" w:rsidRPr="00781F59" w:rsidRDefault="007F0AE0" w:rsidP="00453DE3">
            <w:pPr>
              <w:contextualSpacing/>
              <w:rPr>
                <w:sz w:val="20"/>
                <w:szCs w:val="20"/>
              </w:rPr>
            </w:pPr>
            <w:r w:rsidRPr="00781F59">
              <w:rPr>
                <w:sz w:val="20"/>
                <w:szCs w:val="20"/>
              </w:rPr>
              <w:t>738</w:t>
            </w:r>
          </w:p>
        </w:tc>
        <w:tc>
          <w:tcPr>
            <w:tcW w:w="0" w:type="auto"/>
            <w:tcBorders>
              <w:top w:val="single" w:sz="6" w:space="0" w:color="auto"/>
              <w:left w:val="single" w:sz="6" w:space="0" w:color="auto"/>
              <w:bottom w:val="single" w:sz="6" w:space="0" w:color="auto"/>
              <w:right w:val="single" w:sz="6" w:space="0" w:color="auto"/>
            </w:tcBorders>
            <w:hideMark/>
          </w:tcPr>
          <w:p w14:paraId="373D1833" w14:textId="77777777" w:rsidR="007F0AE0" w:rsidRPr="00781F59" w:rsidRDefault="007F0AE0" w:rsidP="00453DE3">
            <w:pPr>
              <w:contextualSpacing/>
              <w:rPr>
                <w:sz w:val="20"/>
                <w:szCs w:val="20"/>
              </w:rPr>
            </w:pPr>
            <w:r w:rsidRPr="00781F59">
              <w:rPr>
                <w:sz w:val="20"/>
                <w:szCs w:val="20"/>
              </w:rPr>
              <w:t>G D Friedman, M Sadler, I S Tekawa, S Sidney 1998 Mentholated cigarettes and non-lung smoking related cancers in California, USA.. Journal of epidemiology and community health; 52.202.</w:t>
            </w:r>
          </w:p>
        </w:tc>
        <w:tc>
          <w:tcPr>
            <w:tcW w:w="0" w:type="auto"/>
            <w:tcBorders>
              <w:top w:val="single" w:sz="6" w:space="0" w:color="auto"/>
              <w:left w:val="single" w:sz="6" w:space="0" w:color="auto"/>
              <w:bottom w:val="single" w:sz="6" w:space="0" w:color="auto"/>
              <w:right w:val="single" w:sz="6" w:space="0" w:color="auto"/>
            </w:tcBorders>
            <w:hideMark/>
          </w:tcPr>
          <w:p w14:paraId="3DD6332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550150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76D961" w14:textId="77777777" w:rsidR="007F0AE0" w:rsidRPr="00781F59" w:rsidRDefault="007F0AE0" w:rsidP="00453DE3">
            <w:pPr>
              <w:contextualSpacing/>
              <w:rPr>
                <w:sz w:val="20"/>
                <w:szCs w:val="20"/>
              </w:rPr>
            </w:pPr>
            <w:r w:rsidRPr="00781F59">
              <w:rPr>
                <w:sz w:val="20"/>
                <w:szCs w:val="20"/>
              </w:rPr>
              <w:t>739</w:t>
            </w:r>
          </w:p>
        </w:tc>
        <w:tc>
          <w:tcPr>
            <w:tcW w:w="0" w:type="auto"/>
            <w:tcBorders>
              <w:top w:val="single" w:sz="6" w:space="0" w:color="auto"/>
              <w:left w:val="single" w:sz="6" w:space="0" w:color="auto"/>
              <w:bottom w:val="single" w:sz="6" w:space="0" w:color="auto"/>
              <w:right w:val="single" w:sz="6" w:space="0" w:color="auto"/>
            </w:tcBorders>
            <w:hideMark/>
          </w:tcPr>
          <w:p w14:paraId="0F7E42B8" w14:textId="77777777" w:rsidR="007F0AE0" w:rsidRPr="00781F59" w:rsidRDefault="007F0AE0" w:rsidP="00453DE3">
            <w:pPr>
              <w:contextualSpacing/>
              <w:rPr>
                <w:sz w:val="20"/>
                <w:szCs w:val="20"/>
              </w:rPr>
            </w:pPr>
            <w:r w:rsidRPr="00781F59">
              <w:rPr>
                <w:sz w:val="20"/>
                <w:szCs w:val="20"/>
              </w:rPr>
              <w:t>J P Jr Richie, S G Carmella, J E Muscat, D G Scott, S A Akerkar, S S Hecht 1997 Differences in the urinary metabolites of the tobacco-specific lung carcinogen 4-(methylnitrosamino)-1-(3-pyridyl)-1-butanone in black and white smokers.. Cancer epidemiology, biomarkers &amp; prevention : a publication of the American Association for Cancer Research, cosponsored by the American Society of Preventive Oncology; 6.783.</w:t>
            </w:r>
          </w:p>
        </w:tc>
        <w:tc>
          <w:tcPr>
            <w:tcW w:w="0" w:type="auto"/>
            <w:tcBorders>
              <w:top w:val="single" w:sz="6" w:space="0" w:color="auto"/>
              <w:left w:val="single" w:sz="6" w:space="0" w:color="auto"/>
              <w:bottom w:val="single" w:sz="6" w:space="0" w:color="auto"/>
              <w:right w:val="single" w:sz="6" w:space="0" w:color="auto"/>
            </w:tcBorders>
            <w:hideMark/>
          </w:tcPr>
          <w:p w14:paraId="79D2569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7E9A85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C4470DC" w14:textId="77777777" w:rsidR="007F0AE0" w:rsidRPr="00781F59" w:rsidRDefault="007F0AE0" w:rsidP="00453DE3">
            <w:pPr>
              <w:contextualSpacing/>
              <w:rPr>
                <w:sz w:val="20"/>
                <w:szCs w:val="20"/>
              </w:rPr>
            </w:pPr>
            <w:r w:rsidRPr="00781F59">
              <w:rPr>
                <w:sz w:val="20"/>
                <w:szCs w:val="20"/>
              </w:rPr>
              <w:t>741</w:t>
            </w:r>
          </w:p>
        </w:tc>
        <w:tc>
          <w:tcPr>
            <w:tcW w:w="0" w:type="auto"/>
            <w:tcBorders>
              <w:top w:val="single" w:sz="6" w:space="0" w:color="auto"/>
              <w:left w:val="single" w:sz="6" w:space="0" w:color="auto"/>
              <w:bottom w:val="single" w:sz="6" w:space="0" w:color="auto"/>
              <w:right w:val="single" w:sz="6" w:space="0" w:color="auto"/>
            </w:tcBorders>
            <w:hideMark/>
          </w:tcPr>
          <w:p w14:paraId="28AA794C" w14:textId="77777777" w:rsidR="007F0AE0" w:rsidRPr="00781F59" w:rsidRDefault="007F0AE0" w:rsidP="00453DE3">
            <w:pPr>
              <w:contextualSpacing/>
              <w:rPr>
                <w:sz w:val="20"/>
                <w:szCs w:val="20"/>
              </w:rPr>
            </w:pPr>
            <w:r w:rsidRPr="00781F59">
              <w:rPr>
                <w:sz w:val="20"/>
                <w:szCs w:val="20"/>
              </w:rPr>
              <w:t>T L Richardson 1997 African-American smokers and cancers of the lung and of the upper respiratory and digestive tracts. Is menthol part of the puzzle?.. The Western journal of medicine; 166.189.</w:t>
            </w:r>
          </w:p>
        </w:tc>
        <w:tc>
          <w:tcPr>
            <w:tcW w:w="0" w:type="auto"/>
            <w:tcBorders>
              <w:top w:val="single" w:sz="6" w:space="0" w:color="auto"/>
              <w:left w:val="single" w:sz="6" w:space="0" w:color="auto"/>
              <w:bottom w:val="single" w:sz="6" w:space="0" w:color="auto"/>
              <w:right w:val="single" w:sz="6" w:space="0" w:color="auto"/>
            </w:tcBorders>
            <w:hideMark/>
          </w:tcPr>
          <w:p w14:paraId="2EFC162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814129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9EBB57E" w14:textId="77777777" w:rsidR="007F0AE0" w:rsidRPr="00781F59" w:rsidRDefault="007F0AE0" w:rsidP="00453DE3">
            <w:pPr>
              <w:contextualSpacing/>
              <w:rPr>
                <w:sz w:val="20"/>
                <w:szCs w:val="20"/>
              </w:rPr>
            </w:pPr>
            <w:r w:rsidRPr="00781F59">
              <w:rPr>
                <w:sz w:val="20"/>
                <w:szCs w:val="20"/>
              </w:rPr>
              <w:t>742</w:t>
            </w:r>
          </w:p>
        </w:tc>
        <w:tc>
          <w:tcPr>
            <w:tcW w:w="0" w:type="auto"/>
            <w:tcBorders>
              <w:top w:val="single" w:sz="6" w:space="0" w:color="auto"/>
              <w:left w:val="single" w:sz="6" w:space="0" w:color="auto"/>
              <w:bottom w:val="single" w:sz="6" w:space="0" w:color="auto"/>
              <w:right w:val="single" w:sz="6" w:space="0" w:color="auto"/>
            </w:tcBorders>
            <w:hideMark/>
          </w:tcPr>
          <w:p w14:paraId="629EA333" w14:textId="77777777" w:rsidR="007F0AE0" w:rsidRPr="00781F59" w:rsidRDefault="007F0AE0" w:rsidP="00453DE3">
            <w:pPr>
              <w:contextualSpacing/>
              <w:rPr>
                <w:sz w:val="20"/>
                <w:szCs w:val="20"/>
              </w:rPr>
            </w:pPr>
            <w:r w:rsidRPr="00781F59">
              <w:rPr>
                <w:sz w:val="20"/>
                <w:szCs w:val="20"/>
              </w:rPr>
              <w:t>T Richardson 1996 Menthol cigarette use in African Americans.. Hospital practice (1995); 31.22H.</w:t>
            </w:r>
          </w:p>
        </w:tc>
        <w:tc>
          <w:tcPr>
            <w:tcW w:w="0" w:type="auto"/>
            <w:tcBorders>
              <w:top w:val="single" w:sz="6" w:space="0" w:color="auto"/>
              <w:left w:val="single" w:sz="6" w:space="0" w:color="auto"/>
              <w:bottom w:val="single" w:sz="6" w:space="0" w:color="auto"/>
              <w:right w:val="single" w:sz="6" w:space="0" w:color="auto"/>
            </w:tcBorders>
            <w:hideMark/>
          </w:tcPr>
          <w:p w14:paraId="7AE7C24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1E41795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197F06" w14:textId="77777777" w:rsidR="007F0AE0" w:rsidRPr="00781F59" w:rsidRDefault="007F0AE0" w:rsidP="00453DE3">
            <w:pPr>
              <w:contextualSpacing/>
              <w:rPr>
                <w:sz w:val="20"/>
                <w:szCs w:val="20"/>
              </w:rPr>
            </w:pPr>
            <w:r w:rsidRPr="00781F59">
              <w:rPr>
                <w:sz w:val="20"/>
                <w:szCs w:val="20"/>
              </w:rPr>
              <w:t>743</w:t>
            </w:r>
          </w:p>
        </w:tc>
        <w:tc>
          <w:tcPr>
            <w:tcW w:w="0" w:type="auto"/>
            <w:tcBorders>
              <w:top w:val="single" w:sz="6" w:space="0" w:color="auto"/>
              <w:left w:val="single" w:sz="6" w:space="0" w:color="auto"/>
              <w:bottom w:val="single" w:sz="6" w:space="0" w:color="auto"/>
              <w:right w:val="single" w:sz="6" w:space="0" w:color="auto"/>
            </w:tcBorders>
            <w:hideMark/>
          </w:tcPr>
          <w:p w14:paraId="5E2AD90D" w14:textId="77777777" w:rsidR="007F0AE0" w:rsidRPr="00781F59" w:rsidRDefault="007F0AE0" w:rsidP="00453DE3">
            <w:pPr>
              <w:contextualSpacing/>
              <w:rPr>
                <w:sz w:val="20"/>
                <w:szCs w:val="20"/>
              </w:rPr>
            </w:pPr>
            <w:r w:rsidRPr="00781F59">
              <w:rPr>
                <w:sz w:val="20"/>
                <w:szCs w:val="20"/>
              </w:rPr>
              <w:t>P I Clark, S Gautam, L W Gerson 1996 Effect of menthol cigarettes on biochemical markers of smoke exposure among black and white smokers.. Chest; 110.1194.</w:t>
            </w:r>
          </w:p>
        </w:tc>
        <w:tc>
          <w:tcPr>
            <w:tcW w:w="0" w:type="auto"/>
            <w:tcBorders>
              <w:top w:val="single" w:sz="6" w:space="0" w:color="auto"/>
              <w:left w:val="single" w:sz="6" w:space="0" w:color="auto"/>
              <w:bottom w:val="single" w:sz="6" w:space="0" w:color="auto"/>
              <w:right w:val="single" w:sz="6" w:space="0" w:color="auto"/>
            </w:tcBorders>
            <w:hideMark/>
          </w:tcPr>
          <w:p w14:paraId="2CD5B9B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2486F3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0D8E7BB" w14:textId="77777777" w:rsidR="007F0AE0" w:rsidRPr="00781F59" w:rsidRDefault="007F0AE0" w:rsidP="00453DE3">
            <w:pPr>
              <w:contextualSpacing/>
              <w:rPr>
                <w:sz w:val="20"/>
                <w:szCs w:val="20"/>
              </w:rPr>
            </w:pPr>
            <w:r w:rsidRPr="00781F59">
              <w:rPr>
                <w:sz w:val="20"/>
                <w:szCs w:val="20"/>
              </w:rPr>
              <w:t>744</w:t>
            </w:r>
          </w:p>
        </w:tc>
        <w:tc>
          <w:tcPr>
            <w:tcW w:w="0" w:type="auto"/>
            <w:tcBorders>
              <w:top w:val="single" w:sz="6" w:space="0" w:color="auto"/>
              <w:left w:val="single" w:sz="6" w:space="0" w:color="auto"/>
              <w:bottom w:val="single" w:sz="6" w:space="0" w:color="auto"/>
              <w:right w:val="single" w:sz="6" w:space="0" w:color="auto"/>
            </w:tcBorders>
            <w:hideMark/>
          </w:tcPr>
          <w:p w14:paraId="2C3EC4B4" w14:textId="77777777" w:rsidR="007F0AE0" w:rsidRPr="00781F59" w:rsidRDefault="007F0AE0" w:rsidP="00453DE3">
            <w:pPr>
              <w:contextualSpacing/>
              <w:rPr>
                <w:sz w:val="20"/>
                <w:szCs w:val="20"/>
              </w:rPr>
            </w:pPr>
            <w:r w:rsidRPr="00781F59">
              <w:rPr>
                <w:sz w:val="20"/>
                <w:szCs w:val="20"/>
              </w:rPr>
              <w:t>G C Kabat 1996 Aspects of the epidemiology of lung cancer in smokers and nonsmokers in the United States.. Lung cancer (Amsterdam, Netherlands); 15.1.</w:t>
            </w:r>
          </w:p>
        </w:tc>
        <w:tc>
          <w:tcPr>
            <w:tcW w:w="0" w:type="auto"/>
            <w:tcBorders>
              <w:top w:val="single" w:sz="6" w:space="0" w:color="auto"/>
              <w:left w:val="single" w:sz="6" w:space="0" w:color="auto"/>
              <w:bottom w:val="single" w:sz="6" w:space="0" w:color="auto"/>
              <w:right w:val="single" w:sz="6" w:space="0" w:color="auto"/>
            </w:tcBorders>
            <w:hideMark/>
          </w:tcPr>
          <w:p w14:paraId="7F0D0A1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202E9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DE810C" w14:textId="77777777" w:rsidR="007F0AE0" w:rsidRPr="00781F59" w:rsidRDefault="007F0AE0" w:rsidP="00453DE3">
            <w:pPr>
              <w:contextualSpacing/>
              <w:rPr>
                <w:sz w:val="20"/>
                <w:szCs w:val="20"/>
              </w:rPr>
            </w:pPr>
            <w:r w:rsidRPr="00781F59">
              <w:rPr>
                <w:sz w:val="20"/>
                <w:szCs w:val="20"/>
              </w:rPr>
              <w:t>746</w:t>
            </w:r>
          </w:p>
        </w:tc>
        <w:tc>
          <w:tcPr>
            <w:tcW w:w="0" w:type="auto"/>
            <w:tcBorders>
              <w:top w:val="single" w:sz="6" w:space="0" w:color="auto"/>
              <w:left w:val="single" w:sz="6" w:space="0" w:color="auto"/>
              <w:bottom w:val="single" w:sz="6" w:space="0" w:color="auto"/>
              <w:right w:val="single" w:sz="6" w:space="0" w:color="auto"/>
            </w:tcBorders>
            <w:hideMark/>
          </w:tcPr>
          <w:p w14:paraId="36095F75" w14:textId="77777777" w:rsidR="007F0AE0" w:rsidRPr="00781F59" w:rsidRDefault="007F0AE0" w:rsidP="00453DE3">
            <w:pPr>
              <w:contextualSpacing/>
              <w:rPr>
                <w:sz w:val="20"/>
                <w:szCs w:val="20"/>
              </w:rPr>
            </w:pPr>
            <w:r w:rsidRPr="00781F59">
              <w:rPr>
                <w:sz w:val="20"/>
                <w:szCs w:val="20"/>
              </w:rPr>
              <w:t>N Hymowitz, D Corle, J Royce, T Hartwell, K Corbett, M Orlandi, N Piland 1995 Smokers' baseline characteristics in the COMMIT trial.. Preventive medicine; 24.503.</w:t>
            </w:r>
          </w:p>
        </w:tc>
        <w:tc>
          <w:tcPr>
            <w:tcW w:w="0" w:type="auto"/>
            <w:tcBorders>
              <w:top w:val="single" w:sz="6" w:space="0" w:color="auto"/>
              <w:left w:val="single" w:sz="6" w:space="0" w:color="auto"/>
              <w:bottom w:val="single" w:sz="6" w:space="0" w:color="auto"/>
              <w:right w:val="single" w:sz="6" w:space="0" w:color="auto"/>
            </w:tcBorders>
            <w:hideMark/>
          </w:tcPr>
          <w:p w14:paraId="209FEAE4" w14:textId="77777777" w:rsidR="007F0AE0" w:rsidRPr="00781F59" w:rsidRDefault="007F0AE0" w:rsidP="00453DE3">
            <w:pPr>
              <w:contextualSpacing/>
              <w:rPr>
                <w:sz w:val="20"/>
                <w:szCs w:val="20"/>
              </w:rPr>
            </w:pPr>
            <w:r w:rsidRPr="00781F59">
              <w:rPr>
                <w:sz w:val="20"/>
                <w:szCs w:val="20"/>
              </w:rPr>
              <w:t>Duplicate article</w:t>
            </w:r>
          </w:p>
        </w:tc>
      </w:tr>
      <w:tr w:rsidR="007F0AE0" w:rsidRPr="00781F59" w14:paraId="252F3E8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4B432E1" w14:textId="77777777" w:rsidR="007F0AE0" w:rsidRPr="00781F59" w:rsidRDefault="007F0AE0" w:rsidP="00453DE3">
            <w:pPr>
              <w:contextualSpacing/>
              <w:rPr>
                <w:sz w:val="20"/>
                <w:szCs w:val="20"/>
              </w:rPr>
            </w:pPr>
            <w:r w:rsidRPr="00781F59">
              <w:rPr>
                <w:sz w:val="20"/>
                <w:szCs w:val="20"/>
              </w:rPr>
              <w:t>752</w:t>
            </w:r>
          </w:p>
        </w:tc>
        <w:tc>
          <w:tcPr>
            <w:tcW w:w="0" w:type="auto"/>
            <w:tcBorders>
              <w:top w:val="single" w:sz="6" w:space="0" w:color="auto"/>
              <w:left w:val="single" w:sz="6" w:space="0" w:color="auto"/>
              <w:bottom w:val="single" w:sz="6" w:space="0" w:color="auto"/>
              <w:right w:val="single" w:sz="6" w:space="0" w:color="auto"/>
            </w:tcBorders>
            <w:hideMark/>
          </w:tcPr>
          <w:p w14:paraId="0010A554" w14:textId="77777777" w:rsidR="007F0AE0" w:rsidRPr="00781F59" w:rsidRDefault="007F0AE0" w:rsidP="00453DE3">
            <w:pPr>
              <w:contextualSpacing/>
              <w:rPr>
                <w:sz w:val="20"/>
                <w:szCs w:val="20"/>
              </w:rPr>
            </w:pPr>
            <w:r w:rsidRPr="00781F59">
              <w:rPr>
                <w:sz w:val="20"/>
                <w:szCs w:val="20"/>
              </w:rPr>
              <w:t>J M Royce, N Hymowitz, K Corbett, T D Hartwell, M A Orlandi 1993 Smoking cessation factors among African Americans and whites. COMMIT Research Group.. American journal of public health; 83.220.</w:t>
            </w:r>
          </w:p>
        </w:tc>
        <w:tc>
          <w:tcPr>
            <w:tcW w:w="0" w:type="auto"/>
            <w:tcBorders>
              <w:top w:val="single" w:sz="6" w:space="0" w:color="auto"/>
              <w:left w:val="single" w:sz="6" w:space="0" w:color="auto"/>
              <w:bottom w:val="single" w:sz="6" w:space="0" w:color="auto"/>
              <w:right w:val="single" w:sz="6" w:space="0" w:color="auto"/>
            </w:tcBorders>
            <w:hideMark/>
          </w:tcPr>
          <w:p w14:paraId="19A334D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C312A4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07F86ED" w14:textId="77777777" w:rsidR="007F0AE0" w:rsidRPr="00781F59" w:rsidRDefault="007F0AE0" w:rsidP="00453DE3">
            <w:pPr>
              <w:contextualSpacing/>
              <w:rPr>
                <w:sz w:val="20"/>
                <w:szCs w:val="20"/>
              </w:rPr>
            </w:pPr>
            <w:r w:rsidRPr="00781F59">
              <w:rPr>
                <w:sz w:val="20"/>
                <w:szCs w:val="20"/>
              </w:rPr>
              <w:t>753</w:t>
            </w:r>
          </w:p>
        </w:tc>
        <w:tc>
          <w:tcPr>
            <w:tcW w:w="0" w:type="auto"/>
            <w:tcBorders>
              <w:top w:val="single" w:sz="6" w:space="0" w:color="auto"/>
              <w:left w:val="single" w:sz="6" w:space="0" w:color="auto"/>
              <w:bottom w:val="single" w:sz="6" w:space="0" w:color="auto"/>
              <w:right w:val="single" w:sz="6" w:space="0" w:color="auto"/>
            </w:tcBorders>
            <w:hideMark/>
          </w:tcPr>
          <w:p w14:paraId="57680258" w14:textId="77777777" w:rsidR="007F0AE0" w:rsidRPr="00781F59" w:rsidRDefault="007F0AE0" w:rsidP="00453DE3">
            <w:pPr>
              <w:contextualSpacing/>
              <w:rPr>
                <w:sz w:val="20"/>
                <w:szCs w:val="20"/>
              </w:rPr>
            </w:pPr>
            <w:r w:rsidRPr="00781F59">
              <w:rPr>
                <w:sz w:val="20"/>
                <w:szCs w:val="20"/>
              </w:rPr>
              <w:t>K Ahijevych, M E Wewers 1993 Factors associated with nicotine dependence among African American women cigarette smokers.. Research in nursing &amp; health; 16.283.</w:t>
            </w:r>
          </w:p>
        </w:tc>
        <w:tc>
          <w:tcPr>
            <w:tcW w:w="0" w:type="auto"/>
            <w:tcBorders>
              <w:top w:val="single" w:sz="6" w:space="0" w:color="auto"/>
              <w:left w:val="single" w:sz="6" w:space="0" w:color="auto"/>
              <w:bottom w:val="single" w:sz="6" w:space="0" w:color="auto"/>
              <w:right w:val="single" w:sz="6" w:space="0" w:color="auto"/>
            </w:tcBorders>
            <w:hideMark/>
          </w:tcPr>
          <w:p w14:paraId="4C2ED86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7FF1F1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30DD55" w14:textId="77777777" w:rsidR="007F0AE0" w:rsidRPr="00781F59" w:rsidRDefault="007F0AE0" w:rsidP="00453DE3">
            <w:pPr>
              <w:contextualSpacing/>
              <w:rPr>
                <w:sz w:val="20"/>
                <w:szCs w:val="20"/>
              </w:rPr>
            </w:pPr>
            <w:r w:rsidRPr="00781F59">
              <w:rPr>
                <w:sz w:val="20"/>
                <w:szCs w:val="20"/>
              </w:rPr>
              <w:t>755</w:t>
            </w:r>
          </w:p>
        </w:tc>
        <w:tc>
          <w:tcPr>
            <w:tcW w:w="0" w:type="auto"/>
            <w:tcBorders>
              <w:top w:val="single" w:sz="6" w:space="0" w:color="auto"/>
              <w:left w:val="single" w:sz="6" w:space="0" w:color="auto"/>
              <w:bottom w:val="single" w:sz="6" w:space="0" w:color="auto"/>
              <w:right w:val="single" w:sz="6" w:space="0" w:color="auto"/>
            </w:tcBorders>
            <w:hideMark/>
          </w:tcPr>
          <w:p w14:paraId="7EA7EE66" w14:textId="77777777" w:rsidR="007F0AE0" w:rsidRPr="00781F59" w:rsidRDefault="007F0AE0" w:rsidP="00453DE3">
            <w:pPr>
              <w:contextualSpacing/>
              <w:rPr>
                <w:sz w:val="20"/>
                <w:szCs w:val="20"/>
              </w:rPr>
            </w:pPr>
            <w:r w:rsidRPr="00781F59">
              <w:rPr>
                <w:sz w:val="20"/>
                <w:szCs w:val="20"/>
              </w:rPr>
              <w:t>G C Kabat, J R Hebert 1991 Use of mentholated cigarettes and lung cancer risk.. Cancer research; 51.6510.</w:t>
            </w:r>
          </w:p>
        </w:tc>
        <w:tc>
          <w:tcPr>
            <w:tcW w:w="0" w:type="auto"/>
            <w:tcBorders>
              <w:top w:val="single" w:sz="6" w:space="0" w:color="auto"/>
              <w:left w:val="single" w:sz="6" w:space="0" w:color="auto"/>
              <w:bottom w:val="single" w:sz="6" w:space="0" w:color="auto"/>
              <w:right w:val="single" w:sz="6" w:space="0" w:color="auto"/>
            </w:tcBorders>
            <w:hideMark/>
          </w:tcPr>
          <w:p w14:paraId="0B71CE2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3BA39B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5781AE" w14:textId="77777777" w:rsidR="007F0AE0" w:rsidRPr="00781F59" w:rsidRDefault="007F0AE0" w:rsidP="00453DE3">
            <w:pPr>
              <w:contextualSpacing/>
              <w:rPr>
                <w:sz w:val="20"/>
                <w:szCs w:val="20"/>
              </w:rPr>
            </w:pPr>
            <w:r w:rsidRPr="00781F59">
              <w:rPr>
                <w:sz w:val="20"/>
                <w:szCs w:val="20"/>
              </w:rPr>
              <w:lastRenderedPageBreak/>
              <w:t>761</w:t>
            </w:r>
          </w:p>
        </w:tc>
        <w:tc>
          <w:tcPr>
            <w:tcW w:w="0" w:type="auto"/>
            <w:tcBorders>
              <w:top w:val="single" w:sz="6" w:space="0" w:color="auto"/>
              <w:left w:val="single" w:sz="6" w:space="0" w:color="auto"/>
              <w:bottom w:val="single" w:sz="6" w:space="0" w:color="auto"/>
              <w:right w:val="single" w:sz="6" w:space="0" w:color="auto"/>
            </w:tcBorders>
            <w:hideMark/>
          </w:tcPr>
          <w:p w14:paraId="1516B406" w14:textId="77777777" w:rsidR="007F0AE0" w:rsidRPr="00781F59" w:rsidRDefault="007F0AE0" w:rsidP="00453DE3">
            <w:pPr>
              <w:contextualSpacing/>
              <w:rPr>
                <w:sz w:val="20"/>
                <w:szCs w:val="20"/>
              </w:rPr>
            </w:pPr>
            <w:r w:rsidRPr="00781F59">
              <w:rPr>
                <w:sz w:val="20"/>
                <w:szCs w:val="20"/>
              </w:rPr>
              <w:t>C T Orleans, V J Schoenbach, M A Salmon, V J Strecher, W Kalsbeek, D Quade, E F Brooks, T R Konrad, C Blackmon, C D Watts 1989 A survey of smoking and quitting patterns among black Americans.. American journal of public health; 79.176.</w:t>
            </w:r>
          </w:p>
        </w:tc>
        <w:tc>
          <w:tcPr>
            <w:tcW w:w="0" w:type="auto"/>
            <w:tcBorders>
              <w:top w:val="single" w:sz="6" w:space="0" w:color="auto"/>
              <w:left w:val="single" w:sz="6" w:space="0" w:color="auto"/>
              <w:bottom w:val="single" w:sz="6" w:space="0" w:color="auto"/>
              <w:right w:val="single" w:sz="6" w:space="0" w:color="auto"/>
            </w:tcBorders>
            <w:hideMark/>
          </w:tcPr>
          <w:p w14:paraId="23050C6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396392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457663" w14:textId="77777777" w:rsidR="007F0AE0" w:rsidRPr="00781F59" w:rsidRDefault="007F0AE0" w:rsidP="00453DE3">
            <w:pPr>
              <w:contextualSpacing/>
              <w:rPr>
                <w:sz w:val="20"/>
                <w:szCs w:val="20"/>
              </w:rPr>
            </w:pPr>
            <w:r w:rsidRPr="00781F59">
              <w:rPr>
                <w:sz w:val="20"/>
                <w:szCs w:val="20"/>
              </w:rPr>
              <w:t>765</w:t>
            </w:r>
          </w:p>
        </w:tc>
        <w:tc>
          <w:tcPr>
            <w:tcW w:w="0" w:type="auto"/>
            <w:tcBorders>
              <w:top w:val="single" w:sz="6" w:space="0" w:color="auto"/>
              <w:left w:val="single" w:sz="6" w:space="0" w:color="auto"/>
              <w:bottom w:val="single" w:sz="6" w:space="0" w:color="auto"/>
              <w:right w:val="single" w:sz="6" w:space="0" w:color="auto"/>
            </w:tcBorders>
            <w:hideMark/>
          </w:tcPr>
          <w:p w14:paraId="05DBA60C" w14:textId="77777777" w:rsidR="007F0AE0" w:rsidRPr="00781F59" w:rsidRDefault="007F0AE0" w:rsidP="00453DE3">
            <w:pPr>
              <w:contextualSpacing/>
              <w:rPr>
                <w:sz w:val="20"/>
                <w:szCs w:val="20"/>
              </w:rPr>
            </w:pPr>
            <w:r w:rsidRPr="00781F59">
              <w:rPr>
                <w:sz w:val="20"/>
                <w:szCs w:val="20"/>
              </w:rPr>
              <w:t>J R Hebert, G C Kabat 1988 Menthol cigarettes and esophageal cancer.. American journal of public health; 78.986.</w:t>
            </w:r>
          </w:p>
        </w:tc>
        <w:tc>
          <w:tcPr>
            <w:tcW w:w="0" w:type="auto"/>
            <w:tcBorders>
              <w:top w:val="single" w:sz="6" w:space="0" w:color="auto"/>
              <w:left w:val="single" w:sz="6" w:space="0" w:color="auto"/>
              <w:bottom w:val="single" w:sz="6" w:space="0" w:color="auto"/>
              <w:right w:val="single" w:sz="6" w:space="0" w:color="auto"/>
            </w:tcBorders>
            <w:hideMark/>
          </w:tcPr>
          <w:p w14:paraId="567DCFB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26D34C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1C7F2A" w14:textId="77777777" w:rsidR="007F0AE0" w:rsidRPr="00781F59" w:rsidRDefault="007F0AE0" w:rsidP="00453DE3">
            <w:pPr>
              <w:contextualSpacing/>
              <w:rPr>
                <w:sz w:val="20"/>
                <w:szCs w:val="20"/>
              </w:rPr>
            </w:pPr>
            <w:r w:rsidRPr="00781F59">
              <w:rPr>
                <w:sz w:val="20"/>
                <w:szCs w:val="20"/>
              </w:rPr>
              <w:t>768</w:t>
            </w:r>
          </w:p>
        </w:tc>
        <w:tc>
          <w:tcPr>
            <w:tcW w:w="0" w:type="auto"/>
            <w:tcBorders>
              <w:top w:val="single" w:sz="6" w:space="0" w:color="auto"/>
              <w:left w:val="single" w:sz="6" w:space="0" w:color="auto"/>
              <w:bottom w:val="single" w:sz="6" w:space="0" w:color="auto"/>
              <w:right w:val="single" w:sz="6" w:space="0" w:color="auto"/>
            </w:tcBorders>
            <w:hideMark/>
          </w:tcPr>
          <w:p w14:paraId="514745D9" w14:textId="77777777" w:rsidR="007F0AE0" w:rsidRPr="00781F59" w:rsidRDefault="007F0AE0" w:rsidP="00453DE3">
            <w:pPr>
              <w:contextualSpacing/>
              <w:rPr>
                <w:sz w:val="20"/>
                <w:szCs w:val="20"/>
              </w:rPr>
            </w:pPr>
            <w:r w:rsidRPr="00781F59">
              <w:rPr>
                <w:sz w:val="20"/>
                <w:szCs w:val="20"/>
              </w:rPr>
              <w:t>G Camarasa, A Alomar 1978 Menthol dermatitis from cigarettes.. Contact dermatitis; 4.169.</w:t>
            </w:r>
          </w:p>
        </w:tc>
        <w:tc>
          <w:tcPr>
            <w:tcW w:w="0" w:type="auto"/>
            <w:tcBorders>
              <w:top w:val="single" w:sz="6" w:space="0" w:color="auto"/>
              <w:left w:val="single" w:sz="6" w:space="0" w:color="auto"/>
              <w:bottom w:val="single" w:sz="6" w:space="0" w:color="auto"/>
              <w:right w:val="single" w:sz="6" w:space="0" w:color="auto"/>
            </w:tcBorders>
            <w:hideMark/>
          </w:tcPr>
          <w:p w14:paraId="364F7CA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AEBDE0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8EC601" w14:textId="77777777" w:rsidR="007F0AE0" w:rsidRPr="00781F59" w:rsidRDefault="007F0AE0" w:rsidP="00453DE3">
            <w:pPr>
              <w:contextualSpacing/>
              <w:rPr>
                <w:sz w:val="20"/>
                <w:szCs w:val="20"/>
              </w:rPr>
            </w:pPr>
            <w:r w:rsidRPr="00781F59">
              <w:rPr>
                <w:sz w:val="20"/>
                <w:szCs w:val="20"/>
              </w:rPr>
              <w:t>769</w:t>
            </w:r>
          </w:p>
        </w:tc>
        <w:tc>
          <w:tcPr>
            <w:tcW w:w="0" w:type="auto"/>
            <w:tcBorders>
              <w:top w:val="single" w:sz="6" w:space="0" w:color="auto"/>
              <w:left w:val="single" w:sz="6" w:space="0" w:color="auto"/>
              <w:bottom w:val="single" w:sz="6" w:space="0" w:color="auto"/>
              <w:right w:val="single" w:sz="6" w:space="0" w:color="auto"/>
            </w:tcBorders>
            <w:hideMark/>
          </w:tcPr>
          <w:p w14:paraId="4A4EFD0A" w14:textId="77777777" w:rsidR="007F0AE0" w:rsidRPr="00781F59" w:rsidRDefault="007F0AE0" w:rsidP="00453DE3">
            <w:pPr>
              <w:contextualSpacing/>
              <w:rPr>
                <w:sz w:val="20"/>
                <w:szCs w:val="20"/>
              </w:rPr>
            </w:pPr>
            <w:r w:rsidRPr="00781F59">
              <w:rPr>
                <w:sz w:val="20"/>
                <w:szCs w:val="20"/>
              </w:rPr>
              <w:t>B B Chrisman 1978 Menthol and dermatitis.. Archives of dermatology; 114.286.</w:t>
            </w:r>
          </w:p>
        </w:tc>
        <w:tc>
          <w:tcPr>
            <w:tcW w:w="0" w:type="auto"/>
            <w:tcBorders>
              <w:top w:val="single" w:sz="6" w:space="0" w:color="auto"/>
              <w:left w:val="single" w:sz="6" w:space="0" w:color="auto"/>
              <w:bottom w:val="single" w:sz="6" w:space="0" w:color="auto"/>
              <w:right w:val="single" w:sz="6" w:space="0" w:color="auto"/>
            </w:tcBorders>
            <w:hideMark/>
          </w:tcPr>
          <w:p w14:paraId="534E38F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EAFFDD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B28AC3" w14:textId="77777777" w:rsidR="007F0AE0" w:rsidRPr="00781F59" w:rsidRDefault="007F0AE0" w:rsidP="00453DE3">
            <w:pPr>
              <w:contextualSpacing/>
              <w:rPr>
                <w:sz w:val="20"/>
                <w:szCs w:val="20"/>
              </w:rPr>
            </w:pPr>
            <w:r w:rsidRPr="00781F59">
              <w:rPr>
                <w:sz w:val="20"/>
                <w:szCs w:val="20"/>
              </w:rPr>
              <w:t>770</w:t>
            </w:r>
          </w:p>
        </w:tc>
        <w:tc>
          <w:tcPr>
            <w:tcW w:w="0" w:type="auto"/>
            <w:tcBorders>
              <w:top w:val="single" w:sz="6" w:space="0" w:color="auto"/>
              <w:left w:val="single" w:sz="6" w:space="0" w:color="auto"/>
              <w:bottom w:val="single" w:sz="6" w:space="0" w:color="auto"/>
              <w:right w:val="single" w:sz="6" w:space="0" w:color="auto"/>
            </w:tcBorders>
            <w:hideMark/>
          </w:tcPr>
          <w:p w14:paraId="6D82465C" w14:textId="77777777" w:rsidR="007F0AE0" w:rsidRPr="00781F59" w:rsidRDefault="007F0AE0" w:rsidP="00453DE3">
            <w:pPr>
              <w:contextualSpacing/>
              <w:rPr>
                <w:sz w:val="20"/>
                <w:szCs w:val="20"/>
              </w:rPr>
            </w:pPr>
            <w:r w:rsidRPr="00781F59">
              <w:rPr>
                <w:sz w:val="20"/>
                <w:szCs w:val="20"/>
              </w:rPr>
              <w:t>P K Das, R S Rathor, P S Sinha, A K Sanyal 1970 Effect on ciliary movements of some agents which come in contact with the respiratory tract.. Indian journal of physiology and pharmacology; 14.297.</w:t>
            </w:r>
          </w:p>
        </w:tc>
        <w:tc>
          <w:tcPr>
            <w:tcW w:w="0" w:type="auto"/>
            <w:tcBorders>
              <w:top w:val="single" w:sz="6" w:space="0" w:color="auto"/>
              <w:left w:val="single" w:sz="6" w:space="0" w:color="auto"/>
              <w:bottom w:val="single" w:sz="6" w:space="0" w:color="auto"/>
              <w:right w:val="single" w:sz="6" w:space="0" w:color="auto"/>
            </w:tcBorders>
            <w:hideMark/>
          </w:tcPr>
          <w:p w14:paraId="39D22A5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320606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0A9E298" w14:textId="77777777" w:rsidR="007F0AE0" w:rsidRPr="00781F59" w:rsidRDefault="007F0AE0" w:rsidP="00453DE3">
            <w:pPr>
              <w:contextualSpacing/>
              <w:rPr>
                <w:sz w:val="20"/>
                <w:szCs w:val="20"/>
              </w:rPr>
            </w:pPr>
            <w:r w:rsidRPr="00781F59">
              <w:rPr>
                <w:sz w:val="20"/>
                <w:szCs w:val="20"/>
              </w:rPr>
              <w:t>771</w:t>
            </w:r>
          </w:p>
        </w:tc>
        <w:tc>
          <w:tcPr>
            <w:tcW w:w="0" w:type="auto"/>
            <w:tcBorders>
              <w:top w:val="single" w:sz="6" w:space="0" w:color="auto"/>
              <w:left w:val="single" w:sz="6" w:space="0" w:color="auto"/>
              <w:bottom w:val="single" w:sz="6" w:space="0" w:color="auto"/>
              <w:right w:val="single" w:sz="6" w:space="0" w:color="auto"/>
            </w:tcBorders>
            <w:hideMark/>
          </w:tcPr>
          <w:p w14:paraId="2066B19E" w14:textId="77777777" w:rsidR="007F0AE0" w:rsidRPr="00781F59" w:rsidRDefault="007F0AE0" w:rsidP="00453DE3">
            <w:pPr>
              <w:contextualSpacing/>
              <w:rPr>
                <w:sz w:val="20"/>
                <w:szCs w:val="20"/>
              </w:rPr>
            </w:pPr>
            <w:r w:rsidRPr="00781F59">
              <w:rPr>
                <w:sz w:val="20"/>
                <w:szCs w:val="20"/>
              </w:rPr>
              <w:t>I Schmeltz, W S Schlotzhauer 1968 Benzo(a)pyrene, phenols and other products from pyrolysis of the cigarette additive, (d,1)-menthol.. Nature; 219.370.</w:t>
            </w:r>
          </w:p>
        </w:tc>
        <w:tc>
          <w:tcPr>
            <w:tcW w:w="0" w:type="auto"/>
            <w:tcBorders>
              <w:top w:val="single" w:sz="6" w:space="0" w:color="auto"/>
              <w:left w:val="single" w:sz="6" w:space="0" w:color="auto"/>
              <w:bottom w:val="single" w:sz="6" w:space="0" w:color="auto"/>
              <w:right w:val="single" w:sz="6" w:space="0" w:color="auto"/>
            </w:tcBorders>
            <w:hideMark/>
          </w:tcPr>
          <w:p w14:paraId="1EB8D06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5C6EC93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C202157" w14:textId="77777777" w:rsidR="007F0AE0" w:rsidRPr="00781F59" w:rsidRDefault="007F0AE0" w:rsidP="00453DE3">
            <w:pPr>
              <w:contextualSpacing/>
              <w:rPr>
                <w:sz w:val="20"/>
                <w:szCs w:val="20"/>
              </w:rPr>
            </w:pPr>
            <w:r w:rsidRPr="00781F59">
              <w:rPr>
                <w:sz w:val="20"/>
                <w:szCs w:val="20"/>
              </w:rPr>
              <w:t>772</w:t>
            </w:r>
          </w:p>
        </w:tc>
        <w:tc>
          <w:tcPr>
            <w:tcW w:w="0" w:type="auto"/>
            <w:tcBorders>
              <w:top w:val="single" w:sz="6" w:space="0" w:color="auto"/>
              <w:left w:val="single" w:sz="6" w:space="0" w:color="auto"/>
              <w:bottom w:val="single" w:sz="6" w:space="0" w:color="auto"/>
              <w:right w:val="single" w:sz="6" w:space="0" w:color="auto"/>
            </w:tcBorders>
            <w:hideMark/>
          </w:tcPr>
          <w:p w14:paraId="77AC0E73" w14:textId="77777777" w:rsidR="007F0AE0" w:rsidRPr="00781F59" w:rsidRDefault="007F0AE0" w:rsidP="00453DE3">
            <w:pPr>
              <w:contextualSpacing/>
              <w:rPr>
                <w:sz w:val="20"/>
                <w:szCs w:val="20"/>
              </w:rPr>
            </w:pPr>
            <w:r w:rsidRPr="00781F59">
              <w:rPr>
                <w:sz w:val="20"/>
                <w:szCs w:val="20"/>
              </w:rPr>
              <w:t>E M McGowan 1966 Menthol urticaria.. Archives of dermatology; 94.62.</w:t>
            </w:r>
          </w:p>
        </w:tc>
        <w:tc>
          <w:tcPr>
            <w:tcW w:w="0" w:type="auto"/>
            <w:tcBorders>
              <w:top w:val="single" w:sz="6" w:space="0" w:color="auto"/>
              <w:left w:val="single" w:sz="6" w:space="0" w:color="auto"/>
              <w:bottom w:val="single" w:sz="6" w:space="0" w:color="auto"/>
              <w:right w:val="single" w:sz="6" w:space="0" w:color="auto"/>
            </w:tcBorders>
            <w:hideMark/>
          </w:tcPr>
          <w:p w14:paraId="1EB337C2"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7FE8C7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295417" w14:textId="77777777" w:rsidR="007F0AE0" w:rsidRPr="00781F59" w:rsidRDefault="007F0AE0" w:rsidP="00453DE3">
            <w:pPr>
              <w:contextualSpacing/>
              <w:rPr>
                <w:sz w:val="20"/>
                <w:szCs w:val="20"/>
              </w:rPr>
            </w:pPr>
            <w:r w:rsidRPr="00781F59">
              <w:rPr>
                <w:sz w:val="20"/>
                <w:szCs w:val="20"/>
              </w:rPr>
              <w:t>773</w:t>
            </w:r>
          </w:p>
        </w:tc>
        <w:tc>
          <w:tcPr>
            <w:tcW w:w="0" w:type="auto"/>
            <w:tcBorders>
              <w:top w:val="single" w:sz="6" w:space="0" w:color="auto"/>
              <w:left w:val="single" w:sz="6" w:space="0" w:color="auto"/>
              <w:bottom w:val="single" w:sz="6" w:space="0" w:color="auto"/>
              <w:right w:val="single" w:sz="6" w:space="0" w:color="auto"/>
            </w:tcBorders>
            <w:hideMark/>
          </w:tcPr>
          <w:p w14:paraId="498BB06D" w14:textId="77777777" w:rsidR="007F0AE0" w:rsidRPr="00781F59" w:rsidRDefault="007F0AE0" w:rsidP="00453DE3">
            <w:pPr>
              <w:contextualSpacing/>
              <w:rPr>
                <w:sz w:val="20"/>
                <w:szCs w:val="20"/>
              </w:rPr>
            </w:pPr>
            <w:r w:rsidRPr="00781F59">
              <w:rPr>
                <w:sz w:val="20"/>
                <w:szCs w:val="20"/>
              </w:rPr>
              <w:t>W SIMON, R J LUCERO 1960 Consumption of mentholated cigarettes by alcoholics.. Diseases of the nervous system; 21.213.</w:t>
            </w:r>
          </w:p>
        </w:tc>
        <w:tc>
          <w:tcPr>
            <w:tcW w:w="0" w:type="auto"/>
            <w:tcBorders>
              <w:top w:val="single" w:sz="6" w:space="0" w:color="auto"/>
              <w:left w:val="single" w:sz="6" w:space="0" w:color="auto"/>
              <w:bottom w:val="single" w:sz="6" w:space="0" w:color="auto"/>
              <w:right w:val="single" w:sz="6" w:space="0" w:color="auto"/>
            </w:tcBorders>
            <w:hideMark/>
          </w:tcPr>
          <w:p w14:paraId="0EFC16A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B419B8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B60869A" w14:textId="77777777" w:rsidR="007F0AE0" w:rsidRPr="00781F59" w:rsidRDefault="007F0AE0" w:rsidP="00453DE3">
            <w:pPr>
              <w:contextualSpacing/>
              <w:rPr>
                <w:sz w:val="20"/>
                <w:szCs w:val="20"/>
              </w:rPr>
            </w:pPr>
            <w:r w:rsidRPr="00781F59">
              <w:rPr>
                <w:sz w:val="20"/>
                <w:szCs w:val="20"/>
              </w:rPr>
              <w:t>774</w:t>
            </w:r>
          </w:p>
        </w:tc>
        <w:tc>
          <w:tcPr>
            <w:tcW w:w="0" w:type="auto"/>
            <w:tcBorders>
              <w:top w:val="single" w:sz="6" w:space="0" w:color="auto"/>
              <w:left w:val="single" w:sz="6" w:space="0" w:color="auto"/>
              <w:bottom w:val="single" w:sz="6" w:space="0" w:color="auto"/>
              <w:right w:val="single" w:sz="6" w:space="0" w:color="auto"/>
            </w:tcBorders>
            <w:hideMark/>
          </w:tcPr>
          <w:p w14:paraId="4118B110" w14:textId="77777777" w:rsidR="007F0AE0" w:rsidRPr="00781F59" w:rsidRDefault="007F0AE0" w:rsidP="00453DE3">
            <w:pPr>
              <w:contextualSpacing/>
              <w:rPr>
                <w:sz w:val="20"/>
                <w:szCs w:val="20"/>
              </w:rPr>
            </w:pPr>
            <w:r w:rsidRPr="00781F59">
              <w:rPr>
                <w:sz w:val="20"/>
                <w:szCs w:val="20"/>
              </w:rPr>
              <w:t>N RAKIETEN, M L RAKIETEN, D FELDMAN, M J Jr BOYKIN 1952 Mammalian ciliated respiratory epithelium; studies with particular reference to effects of menthol, nicotine, and smoke of mentholated and nonmentholated cigarettes.. A.M.A. archives of otolaryngology; 56.494.</w:t>
            </w:r>
          </w:p>
        </w:tc>
        <w:tc>
          <w:tcPr>
            <w:tcW w:w="0" w:type="auto"/>
            <w:tcBorders>
              <w:top w:val="single" w:sz="6" w:space="0" w:color="auto"/>
              <w:left w:val="single" w:sz="6" w:space="0" w:color="auto"/>
              <w:bottom w:val="single" w:sz="6" w:space="0" w:color="auto"/>
              <w:right w:val="single" w:sz="6" w:space="0" w:color="auto"/>
            </w:tcBorders>
            <w:hideMark/>
          </w:tcPr>
          <w:p w14:paraId="6B4D9B09"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B3E9E0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EF7B227" w14:textId="77777777" w:rsidR="007F0AE0" w:rsidRPr="00781F59" w:rsidRDefault="007F0AE0" w:rsidP="00453DE3">
            <w:pPr>
              <w:contextualSpacing/>
              <w:rPr>
                <w:sz w:val="20"/>
                <w:szCs w:val="20"/>
              </w:rPr>
            </w:pPr>
            <w:r w:rsidRPr="00781F59">
              <w:rPr>
                <w:sz w:val="20"/>
                <w:szCs w:val="20"/>
              </w:rPr>
              <w:t>775</w:t>
            </w:r>
          </w:p>
        </w:tc>
        <w:tc>
          <w:tcPr>
            <w:tcW w:w="0" w:type="auto"/>
            <w:tcBorders>
              <w:top w:val="single" w:sz="6" w:space="0" w:color="auto"/>
              <w:left w:val="single" w:sz="6" w:space="0" w:color="auto"/>
              <w:bottom w:val="single" w:sz="6" w:space="0" w:color="auto"/>
              <w:right w:val="single" w:sz="6" w:space="0" w:color="auto"/>
            </w:tcBorders>
            <w:hideMark/>
          </w:tcPr>
          <w:p w14:paraId="3F7A5989" w14:textId="77777777" w:rsidR="007F0AE0" w:rsidRPr="00781F59" w:rsidRDefault="007F0AE0" w:rsidP="00453DE3">
            <w:pPr>
              <w:contextualSpacing/>
              <w:rPr>
                <w:sz w:val="20"/>
                <w:szCs w:val="20"/>
              </w:rPr>
            </w:pPr>
            <w:r w:rsidRPr="00781F59">
              <w:rPr>
                <w:sz w:val="20"/>
                <w:szCs w:val="20"/>
              </w:rPr>
              <w:t>B HIGHSTEIN, I ZELIGMAN 1951 Nonthrombocytopenic purpura caused by mentholated cigarettes.. Journal of the American Medical Association; 146.816.</w:t>
            </w:r>
          </w:p>
        </w:tc>
        <w:tc>
          <w:tcPr>
            <w:tcW w:w="0" w:type="auto"/>
            <w:tcBorders>
              <w:top w:val="single" w:sz="6" w:space="0" w:color="auto"/>
              <w:left w:val="single" w:sz="6" w:space="0" w:color="auto"/>
              <w:bottom w:val="single" w:sz="6" w:space="0" w:color="auto"/>
              <w:right w:val="single" w:sz="6" w:space="0" w:color="auto"/>
            </w:tcBorders>
            <w:hideMark/>
          </w:tcPr>
          <w:p w14:paraId="53C9AEAA"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F2B493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C4240F3" w14:textId="77777777" w:rsidR="007F0AE0" w:rsidRPr="00781F59" w:rsidRDefault="007F0AE0" w:rsidP="00453DE3">
            <w:pPr>
              <w:contextualSpacing/>
              <w:rPr>
                <w:sz w:val="20"/>
                <w:szCs w:val="20"/>
              </w:rPr>
            </w:pPr>
            <w:r w:rsidRPr="00781F59">
              <w:rPr>
                <w:sz w:val="20"/>
                <w:szCs w:val="20"/>
              </w:rPr>
              <w:t>776</w:t>
            </w:r>
          </w:p>
        </w:tc>
        <w:tc>
          <w:tcPr>
            <w:tcW w:w="0" w:type="auto"/>
            <w:tcBorders>
              <w:top w:val="single" w:sz="6" w:space="0" w:color="auto"/>
              <w:left w:val="single" w:sz="6" w:space="0" w:color="auto"/>
              <w:bottom w:val="single" w:sz="6" w:space="0" w:color="auto"/>
              <w:right w:val="single" w:sz="6" w:space="0" w:color="auto"/>
            </w:tcBorders>
            <w:hideMark/>
          </w:tcPr>
          <w:p w14:paraId="04C2773C" w14:textId="77777777" w:rsidR="007F0AE0" w:rsidRPr="00781F59" w:rsidRDefault="007F0AE0" w:rsidP="00453DE3">
            <w:pPr>
              <w:contextualSpacing/>
              <w:rPr>
                <w:sz w:val="20"/>
                <w:szCs w:val="20"/>
              </w:rPr>
            </w:pPr>
            <w:r w:rsidRPr="00781F59">
              <w:rPr>
                <w:sz w:val="20"/>
                <w:szCs w:val="20"/>
              </w:rPr>
              <w:t>Valeria Lallai, Christie D Fowler 2017 More than just chillin': Interactive effects of menthol and nicotine in drug reward.. Neuropsychopharmacology; 42.2283.</w:t>
            </w:r>
          </w:p>
        </w:tc>
        <w:tc>
          <w:tcPr>
            <w:tcW w:w="0" w:type="auto"/>
            <w:tcBorders>
              <w:top w:val="single" w:sz="6" w:space="0" w:color="auto"/>
              <w:left w:val="single" w:sz="6" w:space="0" w:color="auto"/>
              <w:bottom w:val="single" w:sz="6" w:space="0" w:color="auto"/>
              <w:right w:val="single" w:sz="6" w:space="0" w:color="auto"/>
            </w:tcBorders>
            <w:hideMark/>
          </w:tcPr>
          <w:p w14:paraId="3364DAD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07D2147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AA55D4F" w14:textId="77777777" w:rsidR="007F0AE0" w:rsidRPr="00781F59" w:rsidRDefault="007F0AE0" w:rsidP="00453DE3">
            <w:pPr>
              <w:contextualSpacing/>
              <w:rPr>
                <w:sz w:val="20"/>
                <w:szCs w:val="20"/>
              </w:rPr>
            </w:pPr>
            <w:r w:rsidRPr="00781F59">
              <w:rPr>
                <w:sz w:val="20"/>
                <w:szCs w:val="20"/>
              </w:rPr>
              <w:t>783</w:t>
            </w:r>
          </w:p>
        </w:tc>
        <w:tc>
          <w:tcPr>
            <w:tcW w:w="0" w:type="auto"/>
            <w:tcBorders>
              <w:top w:val="single" w:sz="6" w:space="0" w:color="auto"/>
              <w:left w:val="single" w:sz="6" w:space="0" w:color="auto"/>
              <w:bottom w:val="single" w:sz="6" w:space="0" w:color="auto"/>
              <w:right w:val="single" w:sz="6" w:space="0" w:color="auto"/>
            </w:tcBorders>
            <w:hideMark/>
          </w:tcPr>
          <w:p w14:paraId="34F989B9" w14:textId="77777777" w:rsidR="007F0AE0" w:rsidRPr="00781F59" w:rsidRDefault="007F0AE0" w:rsidP="00453DE3">
            <w:pPr>
              <w:contextualSpacing/>
              <w:rPr>
                <w:sz w:val="20"/>
                <w:szCs w:val="20"/>
              </w:rPr>
            </w:pPr>
            <w:r w:rsidRPr="00781F59">
              <w:rPr>
                <w:sz w:val="20"/>
                <w:szCs w:val="20"/>
              </w:rPr>
              <w:t>Eniye Emmanuel Eguae 2018 Factors associated with menthol cigarettes smoking among youths ages 12 to 19.. Dissertation Abstracts International: Section B: The Sciences and Engineering; 79.No.</w:t>
            </w:r>
          </w:p>
        </w:tc>
        <w:tc>
          <w:tcPr>
            <w:tcW w:w="0" w:type="auto"/>
            <w:tcBorders>
              <w:top w:val="single" w:sz="6" w:space="0" w:color="auto"/>
              <w:left w:val="single" w:sz="6" w:space="0" w:color="auto"/>
              <w:bottom w:val="single" w:sz="6" w:space="0" w:color="auto"/>
              <w:right w:val="single" w:sz="6" w:space="0" w:color="auto"/>
            </w:tcBorders>
            <w:hideMark/>
          </w:tcPr>
          <w:p w14:paraId="642558F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98A6AF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6880FC" w14:textId="77777777" w:rsidR="007F0AE0" w:rsidRPr="00781F59" w:rsidRDefault="007F0AE0" w:rsidP="00453DE3">
            <w:pPr>
              <w:contextualSpacing/>
              <w:rPr>
                <w:sz w:val="20"/>
                <w:szCs w:val="20"/>
              </w:rPr>
            </w:pPr>
            <w:r w:rsidRPr="00781F59">
              <w:rPr>
                <w:sz w:val="20"/>
                <w:szCs w:val="20"/>
              </w:rPr>
              <w:t>786</w:t>
            </w:r>
          </w:p>
        </w:tc>
        <w:tc>
          <w:tcPr>
            <w:tcW w:w="0" w:type="auto"/>
            <w:tcBorders>
              <w:top w:val="single" w:sz="6" w:space="0" w:color="auto"/>
              <w:left w:val="single" w:sz="6" w:space="0" w:color="auto"/>
              <w:bottom w:val="single" w:sz="6" w:space="0" w:color="auto"/>
              <w:right w:val="single" w:sz="6" w:space="0" w:color="auto"/>
            </w:tcBorders>
            <w:hideMark/>
          </w:tcPr>
          <w:p w14:paraId="41291645" w14:textId="77777777" w:rsidR="007F0AE0" w:rsidRPr="00781F59" w:rsidRDefault="007F0AE0" w:rsidP="00453DE3">
            <w:pPr>
              <w:contextualSpacing/>
              <w:rPr>
                <w:sz w:val="20"/>
                <w:szCs w:val="20"/>
              </w:rPr>
            </w:pPr>
            <w:r w:rsidRPr="00781F59">
              <w:rPr>
                <w:sz w:val="20"/>
                <w:szCs w:val="20"/>
              </w:rPr>
              <w:t>Davide Risso, Eduardo Sainz, Joanne Gutierrez, Thomas Kirchner, Raymond Niaura, Dennis Drayna 2017 Association of TAS2R38 haplotypes and menthol cigarette preference in an African American cohort.. Nicotine &amp; Tobacco Research; 19.493.</w:t>
            </w:r>
          </w:p>
        </w:tc>
        <w:tc>
          <w:tcPr>
            <w:tcW w:w="0" w:type="auto"/>
            <w:tcBorders>
              <w:top w:val="single" w:sz="6" w:space="0" w:color="auto"/>
              <w:left w:val="single" w:sz="6" w:space="0" w:color="auto"/>
              <w:bottom w:val="single" w:sz="6" w:space="0" w:color="auto"/>
              <w:right w:val="single" w:sz="6" w:space="0" w:color="auto"/>
            </w:tcBorders>
            <w:hideMark/>
          </w:tcPr>
          <w:p w14:paraId="60481CE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C73083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E376345" w14:textId="77777777" w:rsidR="007F0AE0" w:rsidRPr="00781F59" w:rsidRDefault="007F0AE0" w:rsidP="00453DE3">
            <w:pPr>
              <w:contextualSpacing/>
              <w:rPr>
                <w:sz w:val="20"/>
                <w:szCs w:val="20"/>
              </w:rPr>
            </w:pPr>
            <w:r w:rsidRPr="00781F59">
              <w:rPr>
                <w:sz w:val="20"/>
                <w:szCs w:val="20"/>
              </w:rPr>
              <w:t>789</w:t>
            </w:r>
          </w:p>
        </w:tc>
        <w:tc>
          <w:tcPr>
            <w:tcW w:w="0" w:type="auto"/>
            <w:tcBorders>
              <w:top w:val="single" w:sz="6" w:space="0" w:color="auto"/>
              <w:left w:val="single" w:sz="6" w:space="0" w:color="auto"/>
              <w:bottom w:val="single" w:sz="6" w:space="0" w:color="auto"/>
              <w:right w:val="single" w:sz="6" w:space="0" w:color="auto"/>
            </w:tcBorders>
            <w:hideMark/>
          </w:tcPr>
          <w:p w14:paraId="0DE83579" w14:textId="77777777" w:rsidR="007F0AE0" w:rsidRPr="00781F59" w:rsidRDefault="007F0AE0" w:rsidP="00453DE3">
            <w:pPr>
              <w:contextualSpacing/>
              <w:rPr>
                <w:sz w:val="20"/>
                <w:szCs w:val="20"/>
              </w:rPr>
            </w:pPr>
            <w:r w:rsidRPr="00781F59">
              <w:rPr>
                <w:sz w:val="20"/>
                <w:szCs w:val="20"/>
              </w:rPr>
              <w:t>Teagan Rose Wall 2016 Effects of TI-299423 on neuronal nicotinic acetylcholine receptors.. Dissertation Abstracts International: Section B: The Sciences and Engineering; 76.No.</w:t>
            </w:r>
          </w:p>
        </w:tc>
        <w:tc>
          <w:tcPr>
            <w:tcW w:w="0" w:type="auto"/>
            <w:tcBorders>
              <w:top w:val="single" w:sz="6" w:space="0" w:color="auto"/>
              <w:left w:val="single" w:sz="6" w:space="0" w:color="auto"/>
              <w:bottom w:val="single" w:sz="6" w:space="0" w:color="auto"/>
              <w:right w:val="single" w:sz="6" w:space="0" w:color="auto"/>
            </w:tcBorders>
            <w:hideMark/>
          </w:tcPr>
          <w:p w14:paraId="2058098C"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3765B3C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0FF7D6" w14:textId="77777777" w:rsidR="007F0AE0" w:rsidRPr="00781F59" w:rsidRDefault="007F0AE0" w:rsidP="00453DE3">
            <w:pPr>
              <w:contextualSpacing/>
              <w:rPr>
                <w:sz w:val="20"/>
                <w:szCs w:val="20"/>
              </w:rPr>
            </w:pPr>
            <w:r w:rsidRPr="00781F59">
              <w:rPr>
                <w:sz w:val="20"/>
                <w:szCs w:val="20"/>
              </w:rPr>
              <w:t>791</w:t>
            </w:r>
          </w:p>
        </w:tc>
        <w:tc>
          <w:tcPr>
            <w:tcW w:w="0" w:type="auto"/>
            <w:tcBorders>
              <w:top w:val="single" w:sz="6" w:space="0" w:color="auto"/>
              <w:left w:val="single" w:sz="6" w:space="0" w:color="auto"/>
              <w:bottom w:val="single" w:sz="6" w:space="0" w:color="auto"/>
              <w:right w:val="single" w:sz="6" w:space="0" w:color="auto"/>
            </w:tcBorders>
            <w:hideMark/>
          </w:tcPr>
          <w:p w14:paraId="43A380F8" w14:textId="77777777" w:rsidR="007F0AE0" w:rsidRPr="00781F59" w:rsidRDefault="007F0AE0" w:rsidP="00453DE3">
            <w:pPr>
              <w:contextualSpacing/>
              <w:rPr>
                <w:sz w:val="20"/>
                <w:szCs w:val="20"/>
              </w:rPr>
            </w:pPr>
            <w:r w:rsidRPr="00781F59">
              <w:rPr>
                <w:sz w:val="20"/>
                <w:szCs w:val="20"/>
              </w:rPr>
              <w:t>Esteban Petruzzello 2016 Studies in the economics of addiction.. Dissertation Abstracts International Section A: Humanities and Social Sciences; 76.No.</w:t>
            </w:r>
          </w:p>
        </w:tc>
        <w:tc>
          <w:tcPr>
            <w:tcW w:w="0" w:type="auto"/>
            <w:tcBorders>
              <w:top w:val="single" w:sz="6" w:space="0" w:color="auto"/>
              <w:left w:val="single" w:sz="6" w:space="0" w:color="auto"/>
              <w:bottom w:val="single" w:sz="6" w:space="0" w:color="auto"/>
              <w:right w:val="single" w:sz="6" w:space="0" w:color="auto"/>
            </w:tcBorders>
            <w:hideMark/>
          </w:tcPr>
          <w:p w14:paraId="729774B8"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2E2BDF7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3AD9ECC" w14:textId="77777777" w:rsidR="007F0AE0" w:rsidRPr="00781F59" w:rsidRDefault="007F0AE0" w:rsidP="00453DE3">
            <w:pPr>
              <w:contextualSpacing/>
              <w:rPr>
                <w:sz w:val="20"/>
                <w:szCs w:val="20"/>
              </w:rPr>
            </w:pPr>
            <w:r w:rsidRPr="00781F59">
              <w:rPr>
                <w:sz w:val="20"/>
                <w:szCs w:val="20"/>
              </w:rPr>
              <w:t>794</w:t>
            </w:r>
          </w:p>
        </w:tc>
        <w:tc>
          <w:tcPr>
            <w:tcW w:w="0" w:type="auto"/>
            <w:tcBorders>
              <w:top w:val="single" w:sz="6" w:space="0" w:color="auto"/>
              <w:left w:val="single" w:sz="6" w:space="0" w:color="auto"/>
              <w:bottom w:val="single" w:sz="6" w:space="0" w:color="auto"/>
              <w:right w:val="single" w:sz="6" w:space="0" w:color="auto"/>
            </w:tcBorders>
            <w:hideMark/>
          </w:tcPr>
          <w:p w14:paraId="46B1CDFA" w14:textId="77777777" w:rsidR="007F0AE0" w:rsidRPr="00781F59" w:rsidRDefault="007F0AE0" w:rsidP="00453DE3">
            <w:pPr>
              <w:contextualSpacing/>
              <w:rPr>
                <w:sz w:val="20"/>
                <w:szCs w:val="20"/>
              </w:rPr>
            </w:pPr>
            <w:r w:rsidRPr="00781F59">
              <w:rPr>
                <w:sz w:val="20"/>
                <w:szCs w:val="20"/>
              </w:rPr>
              <w:t>R. F Gillum, B West 2015 Religion and menthol cigarette use in a US national sample.. Preventive Medicine: An International Journal Devoted to Practice and Theory; 81.444.</w:t>
            </w:r>
          </w:p>
        </w:tc>
        <w:tc>
          <w:tcPr>
            <w:tcW w:w="0" w:type="auto"/>
            <w:tcBorders>
              <w:top w:val="single" w:sz="6" w:space="0" w:color="auto"/>
              <w:left w:val="single" w:sz="6" w:space="0" w:color="auto"/>
              <w:bottom w:val="single" w:sz="6" w:space="0" w:color="auto"/>
              <w:right w:val="single" w:sz="6" w:space="0" w:color="auto"/>
            </w:tcBorders>
            <w:hideMark/>
          </w:tcPr>
          <w:p w14:paraId="2E37CFCE"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9B930C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4289299" w14:textId="77777777" w:rsidR="007F0AE0" w:rsidRPr="00781F59" w:rsidRDefault="007F0AE0" w:rsidP="00453DE3">
            <w:pPr>
              <w:contextualSpacing/>
              <w:rPr>
                <w:sz w:val="20"/>
                <w:szCs w:val="20"/>
              </w:rPr>
            </w:pPr>
            <w:r w:rsidRPr="00781F59">
              <w:rPr>
                <w:sz w:val="20"/>
                <w:szCs w:val="20"/>
              </w:rPr>
              <w:t>795</w:t>
            </w:r>
          </w:p>
        </w:tc>
        <w:tc>
          <w:tcPr>
            <w:tcW w:w="0" w:type="auto"/>
            <w:tcBorders>
              <w:top w:val="single" w:sz="6" w:space="0" w:color="auto"/>
              <w:left w:val="single" w:sz="6" w:space="0" w:color="auto"/>
              <w:bottom w:val="single" w:sz="6" w:space="0" w:color="auto"/>
              <w:right w:val="single" w:sz="6" w:space="0" w:color="auto"/>
            </w:tcBorders>
            <w:hideMark/>
          </w:tcPr>
          <w:p w14:paraId="038CE488" w14:textId="77777777" w:rsidR="007F0AE0" w:rsidRPr="00781F59" w:rsidRDefault="007F0AE0" w:rsidP="00453DE3">
            <w:pPr>
              <w:contextualSpacing/>
              <w:rPr>
                <w:sz w:val="20"/>
                <w:szCs w:val="20"/>
              </w:rPr>
            </w:pPr>
            <w:r w:rsidRPr="00781F59">
              <w:rPr>
                <w:sz w:val="20"/>
                <w:szCs w:val="20"/>
              </w:rPr>
              <w:t>Emily Brennan, Laura Gibson, Ani Momjian, Robert C Hornik 2015 "Are young people's beliefs about menthol cigarettes associated with smoking-related intentions and behaviors?": Erratum.. Nicotine &amp; Tobacco Research; 17.1403.</w:t>
            </w:r>
          </w:p>
        </w:tc>
        <w:tc>
          <w:tcPr>
            <w:tcW w:w="0" w:type="auto"/>
            <w:tcBorders>
              <w:top w:val="single" w:sz="6" w:space="0" w:color="auto"/>
              <w:left w:val="single" w:sz="6" w:space="0" w:color="auto"/>
              <w:bottom w:val="single" w:sz="6" w:space="0" w:color="auto"/>
              <w:right w:val="single" w:sz="6" w:space="0" w:color="auto"/>
            </w:tcBorders>
            <w:hideMark/>
          </w:tcPr>
          <w:p w14:paraId="4F27ECED"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582A32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91966A" w14:textId="77777777" w:rsidR="007F0AE0" w:rsidRPr="00781F59" w:rsidRDefault="007F0AE0" w:rsidP="00453DE3">
            <w:pPr>
              <w:contextualSpacing/>
              <w:rPr>
                <w:sz w:val="20"/>
                <w:szCs w:val="20"/>
              </w:rPr>
            </w:pPr>
            <w:r w:rsidRPr="00781F59">
              <w:rPr>
                <w:sz w:val="20"/>
                <w:szCs w:val="20"/>
              </w:rPr>
              <w:t>796</w:t>
            </w:r>
          </w:p>
        </w:tc>
        <w:tc>
          <w:tcPr>
            <w:tcW w:w="0" w:type="auto"/>
            <w:tcBorders>
              <w:top w:val="single" w:sz="6" w:space="0" w:color="auto"/>
              <w:left w:val="single" w:sz="6" w:space="0" w:color="auto"/>
              <w:bottom w:val="single" w:sz="6" w:space="0" w:color="auto"/>
              <w:right w:val="single" w:sz="6" w:space="0" w:color="auto"/>
            </w:tcBorders>
            <w:hideMark/>
          </w:tcPr>
          <w:p w14:paraId="4C4442F7" w14:textId="77777777" w:rsidR="007F0AE0" w:rsidRPr="00781F59" w:rsidRDefault="007F0AE0" w:rsidP="00453DE3">
            <w:pPr>
              <w:contextualSpacing/>
              <w:rPr>
                <w:sz w:val="20"/>
                <w:szCs w:val="20"/>
              </w:rPr>
            </w:pPr>
            <w:r w:rsidRPr="00781F59">
              <w:rPr>
                <w:sz w:val="20"/>
                <w:szCs w:val="20"/>
              </w:rPr>
              <w:t>Olivia A Wackowski, Cristine D Delnevo, Jennifer L Pearson 2015 Switching to E-cigarettes in the event of a menthol cigarette ban.. Nicotine &amp; Tobacco Research; 17.1286.</w:t>
            </w:r>
          </w:p>
        </w:tc>
        <w:tc>
          <w:tcPr>
            <w:tcW w:w="0" w:type="auto"/>
            <w:tcBorders>
              <w:top w:val="single" w:sz="6" w:space="0" w:color="auto"/>
              <w:left w:val="single" w:sz="6" w:space="0" w:color="auto"/>
              <w:bottom w:val="single" w:sz="6" w:space="0" w:color="auto"/>
              <w:right w:val="single" w:sz="6" w:space="0" w:color="auto"/>
            </w:tcBorders>
            <w:hideMark/>
          </w:tcPr>
          <w:p w14:paraId="71C9CB21"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4745CB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BAEEA8" w14:textId="77777777" w:rsidR="007F0AE0" w:rsidRPr="00781F59" w:rsidRDefault="007F0AE0" w:rsidP="00453DE3">
            <w:pPr>
              <w:contextualSpacing/>
              <w:rPr>
                <w:sz w:val="20"/>
                <w:szCs w:val="20"/>
              </w:rPr>
            </w:pPr>
            <w:r w:rsidRPr="00781F59">
              <w:rPr>
                <w:sz w:val="20"/>
                <w:szCs w:val="20"/>
              </w:rPr>
              <w:t>799</w:t>
            </w:r>
          </w:p>
        </w:tc>
        <w:tc>
          <w:tcPr>
            <w:tcW w:w="0" w:type="auto"/>
            <w:tcBorders>
              <w:top w:val="single" w:sz="6" w:space="0" w:color="auto"/>
              <w:left w:val="single" w:sz="6" w:space="0" w:color="auto"/>
              <w:bottom w:val="single" w:sz="6" w:space="0" w:color="auto"/>
              <w:right w:val="single" w:sz="6" w:space="0" w:color="auto"/>
            </w:tcBorders>
            <w:hideMark/>
          </w:tcPr>
          <w:p w14:paraId="21627FCB" w14:textId="77777777" w:rsidR="007F0AE0" w:rsidRPr="00781F59" w:rsidRDefault="007F0AE0" w:rsidP="00453DE3">
            <w:pPr>
              <w:contextualSpacing/>
              <w:rPr>
                <w:sz w:val="20"/>
                <w:szCs w:val="20"/>
              </w:rPr>
            </w:pPr>
            <w:r w:rsidRPr="00781F59">
              <w:rPr>
                <w:sz w:val="20"/>
                <w:szCs w:val="20"/>
              </w:rPr>
              <w:t>Cristine D Delnevo, Andrea C Villanti, Gary A Giovino 2014 Trends in menthol and non-menthol cigarette consumption in the USA: 2000-2011.. Tobacco Control: An International Journal; 23.e154.</w:t>
            </w:r>
          </w:p>
        </w:tc>
        <w:tc>
          <w:tcPr>
            <w:tcW w:w="0" w:type="auto"/>
            <w:tcBorders>
              <w:top w:val="single" w:sz="6" w:space="0" w:color="auto"/>
              <w:left w:val="single" w:sz="6" w:space="0" w:color="auto"/>
              <w:bottom w:val="single" w:sz="6" w:space="0" w:color="auto"/>
              <w:right w:val="single" w:sz="6" w:space="0" w:color="auto"/>
            </w:tcBorders>
            <w:hideMark/>
          </w:tcPr>
          <w:p w14:paraId="5ACD63A3"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7EAB0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F151BDD" w14:textId="77777777" w:rsidR="007F0AE0" w:rsidRPr="00781F59" w:rsidRDefault="007F0AE0" w:rsidP="00453DE3">
            <w:pPr>
              <w:contextualSpacing/>
              <w:rPr>
                <w:sz w:val="20"/>
                <w:szCs w:val="20"/>
              </w:rPr>
            </w:pPr>
            <w:r w:rsidRPr="00781F59">
              <w:rPr>
                <w:sz w:val="20"/>
                <w:szCs w:val="20"/>
              </w:rPr>
              <w:lastRenderedPageBreak/>
              <w:t>801</w:t>
            </w:r>
          </w:p>
        </w:tc>
        <w:tc>
          <w:tcPr>
            <w:tcW w:w="0" w:type="auto"/>
            <w:tcBorders>
              <w:top w:val="single" w:sz="6" w:space="0" w:color="auto"/>
              <w:left w:val="single" w:sz="6" w:space="0" w:color="auto"/>
              <w:bottom w:val="single" w:sz="6" w:space="0" w:color="auto"/>
              <w:right w:val="single" w:sz="6" w:space="0" w:color="auto"/>
            </w:tcBorders>
            <w:hideMark/>
          </w:tcPr>
          <w:p w14:paraId="77DAC925" w14:textId="77777777" w:rsidR="007F0AE0" w:rsidRPr="00781F59" w:rsidRDefault="007F0AE0" w:rsidP="00453DE3">
            <w:pPr>
              <w:contextualSpacing/>
              <w:rPr>
                <w:sz w:val="20"/>
                <w:szCs w:val="20"/>
              </w:rPr>
            </w:pPr>
            <w:r w:rsidRPr="00781F59">
              <w:rPr>
                <w:sz w:val="20"/>
                <w:szCs w:val="20"/>
              </w:rPr>
              <w:t>Man Ki Ho 2014 Impact of CYP2A6 genetic variation on nicotine metabolism and smoking behaviours in light smoking populations of Black-African descent.. Dissertation Abstracts International: Section B: The Sciences and Engineering; 74.No.</w:t>
            </w:r>
          </w:p>
        </w:tc>
        <w:tc>
          <w:tcPr>
            <w:tcW w:w="0" w:type="auto"/>
            <w:tcBorders>
              <w:top w:val="single" w:sz="6" w:space="0" w:color="auto"/>
              <w:left w:val="single" w:sz="6" w:space="0" w:color="auto"/>
              <w:bottom w:val="single" w:sz="6" w:space="0" w:color="auto"/>
              <w:right w:val="single" w:sz="6" w:space="0" w:color="auto"/>
            </w:tcBorders>
            <w:hideMark/>
          </w:tcPr>
          <w:p w14:paraId="1F6384CF"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176B95E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737493" w14:textId="77777777" w:rsidR="007F0AE0" w:rsidRPr="00781F59" w:rsidRDefault="007F0AE0" w:rsidP="00453DE3">
            <w:pPr>
              <w:contextualSpacing/>
              <w:rPr>
                <w:sz w:val="20"/>
                <w:szCs w:val="20"/>
              </w:rPr>
            </w:pPr>
            <w:r w:rsidRPr="00781F59">
              <w:rPr>
                <w:sz w:val="20"/>
                <w:szCs w:val="20"/>
              </w:rPr>
              <w:t>806</w:t>
            </w:r>
          </w:p>
        </w:tc>
        <w:tc>
          <w:tcPr>
            <w:tcW w:w="0" w:type="auto"/>
            <w:tcBorders>
              <w:top w:val="single" w:sz="6" w:space="0" w:color="auto"/>
              <w:left w:val="single" w:sz="6" w:space="0" w:color="auto"/>
              <w:bottom w:val="single" w:sz="6" w:space="0" w:color="auto"/>
              <w:right w:val="single" w:sz="6" w:space="0" w:color="auto"/>
            </w:tcBorders>
            <w:hideMark/>
          </w:tcPr>
          <w:p w14:paraId="154BE0AE" w14:textId="77777777" w:rsidR="007F0AE0" w:rsidRPr="00781F59" w:rsidRDefault="007F0AE0" w:rsidP="00453DE3">
            <w:pPr>
              <w:contextualSpacing/>
              <w:rPr>
                <w:sz w:val="20"/>
                <w:szCs w:val="20"/>
              </w:rPr>
            </w:pPr>
            <w:r w:rsidRPr="00781F59">
              <w:rPr>
                <w:sz w:val="20"/>
                <w:szCs w:val="20"/>
              </w:rPr>
              <w:t>Matthew I Palmatier, Jaden E Lantz, Laura C O'Brien, Sarah P Metz 2013 Effects of nicotine on olfactogustatory incentives: Preference, palatability, and operant choice tests.. Nicotine &amp; Tobacco Research; 15.1545.</w:t>
            </w:r>
          </w:p>
        </w:tc>
        <w:tc>
          <w:tcPr>
            <w:tcW w:w="0" w:type="auto"/>
            <w:tcBorders>
              <w:top w:val="single" w:sz="6" w:space="0" w:color="auto"/>
              <w:left w:val="single" w:sz="6" w:space="0" w:color="auto"/>
              <w:bottom w:val="single" w:sz="6" w:space="0" w:color="auto"/>
              <w:right w:val="single" w:sz="6" w:space="0" w:color="auto"/>
            </w:tcBorders>
            <w:hideMark/>
          </w:tcPr>
          <w:p w14:paraId="1AF72C4F"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06299FE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62E2DD" w14:textId="77777777" w:rsidR="007F0AE0" w:rsidRPr="00781F59" w:rsidRDefault="007F0AE0" w:rsidP="00453DE3">
            <w:pPr>
              <w:contextualSpacing/>
              <w:rPr>
                <w:sz w:val="20"/>
                <w:szCs w:val="20"/>
              </w:rPr>
            </w:pPr>
            <w:r w:rsidRPr="00781F59">
              <w:rPr>
                <w:sz w:val="20"/>
                <w:szCs w:val="20"/>
              </w:rPr>
              <w:t>808</w:t>
            </w:r>
          </w:p>
        </w:tc>
        <w:tc>
          <w:tcPr>
            <w:tcW w:w="0" w:type="auto"/>
            <w:tcBorders>
              <w:top w:val="single" w:sz="6" w:space="0" w:color="auto"/>
              <w:left w:val="single" w:sz="6" w:space="0" w:color="auto"/>
              <w:bottom w:val="single" w:sz="6" w:space="0" w:color="auto"/>
              <w:right w:val="single" w:sz="6" w:space="0" w:color="auto"/>
            </w:tcBorders>
            <w:hideMark/>
          </w:tcPr>
          <w:p w14:paraId="0DA5FC40" w14:textId="77777777" w:rsidR="007F0AE0" w:rsidRPr="00781F59" w:rsidRDefault="007F0AE0" w:rsidP="00453DE3">
            <w:pPr>
              <w:contextualSpacing/>
              <w:rPr>
                <w:sz w:val="20"/>
                <w:szCs w:val="20"/>
              </w:rPr>
            </w:pPr>
            <w:r w:rsidRPr="00781F59">
              <w:rPr>
                <w:sz w:val="20"/>
                <w:szCs w:val="20"/>
              </w:rPr>
              <w:t>Brian Rostron 2013 Methodology, menthol, and mortality.. Nicotine &amp; Tobacco Research; 15.619.</w:t>
            </w:r>
          </w:p>
        </w:tc>
        <w:tc>
          <w:tcPr>
            <w:tcW w:w="0" w:type="auto"/>
            <w:tcBorders>
              <w:top w:val="single" w:sz="6" w:space="0" w:color="auto"/>
              <w:left w:val="single" w:sz="6" w:space="0" w:color="auto"/>
              <w:bottom w:val="single" w:sz="6" w:space="0" w:color="auto"/>
              <w:right w:val="single" w:sz="6" w:space="0" w:color="auto"/>
            </w:tcBorders>
            <w:hideMark/>
          </w:tcPr>
          <w:p w14:paraId="33CACD10"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6B9A0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E91B05" w14:textId="77777777" w:rsidR="007F0AE0" w:rsidRPr="00781F59" w:rsidRDefault="007F0AE0" w:rsidP="00453DE3">
            <w:pPr>
              <w:contextualSpacing/>
              <w:rPr>
                <w:sz w:val="20"/>
                <w:szCs w:val="20"/>
              </w:rPr>
            </w:pPr>
            <w:r w:rsidRPr="00781F59">
              <w:rPr>
                <w:sz w:val="20"/>
                <w:szCs w:val="20"/>
              </w:rPr>
              <w:t>809</w:t>
            </w:r>
          </w:p>
        </w:tc>
        <w:tc>
          <w:tcPr>
            <w:tcW w:w="0" w:type="auto"/>
            <w:tcBorders>
              <w:top w:val="single" w:sz="6" w:space="0" w:color="auto"/>
              <w:left w:val="single" w:sz="6" w:space="0" w:color="auto"/>
              <w:bottom w:val="single" w:sz="6" w:space="0" w:color="auto"/>
              <w:right w:val="single" w:sz="6" w:space="0" w:color="auto"/>
            </w:tcBorders>
            <w:hideMark/>
          </w:tcPr>
          <w:p w14:paraId="5ABE5313" w14:textId="77777777" w:rsidR="007F0AE0" w:rsidRPr="00781F59" w:rsidRDefault="007F0AE0" w:rsidP="00453DE3">
            <w:pPr>
              <w:contextualSpacing/>
              <w:rPr>
                <w:sz w:val="20"/>
                <w:szCs w:val="20"/>
              </w:rPr>
            </w:pPr>
            <w:r w:rsidRPr="00781F59">
              <w:rPr>
                <w:sz w:val="20"/>
                <w:szCs w:val="20"/>
              </w:rPr>
              <w:t>Andrea C Villanti, Gary A Giovino, David M Burns, David B Abrams 2013 Menthol cigarettes and mortality: Keeping focus on the public health standard.. Nicotine &amp; Tobacco Research; 15.617.</w:t>
            </w:r>
          </w:p>
        </w:tc>
        <w:tc>
          <w:tcPr>
            <w:tcW w:w="0" w:type="auto"/>
            <w:tcBorders>
              <w:top w:val="single" w:sz="6" w:space="0" w:color="auto"/>
              <w:left w:val="single" w:sz="6" w:space="0" w:color="auto"/>
              <w:bottom w:val="single" w:sz="6" w:space="0" w:color="auto"/>
              <w:right w:val="single" w:sz="6" w:space="0" w:color="auto"/>
            </w:tcBorders>
            <w:hideMark/>
          </w:tcPr>
          <w:p w14:paraId="5285EBF3"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563942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464C7C" w14:textId="77777777" w:rsidR="007F0AE0" w:rsidRPr="00781F59" w:rsidRDefault="007F0AE0" w:rsidP="00453DE3">
            <w:pPr>
              <w:contextualSpacing/>
              <w:rPr>
                <w:sz w:val="20"/>
                <w:szCs w:val="20"/>
              </w:rPr>
            </w:pPr>
            <w:r w:rsidRPr="00781F59">
              <w:rPr>
                <w:sz w:val="20"/>
                <w:szCs w:val="20"/>
              </w:rPr>
              <w:t>810</w:t>
            </w:r>
          </w:p>
        </w:tc>
        <w:tc>
          <w:tcPr>
            <w:tcW w:w="0" w:type="auto"/>
            <w:tcBorders>
              <w:top w:val="single" w:sz="6" w:space="0" w:color="auto"/>
              <w:left w:val="single" w:sz="6" w:space="0" w:color="auto"/>
              <w:bottom w:val="single" w:sz="6" w:space="0" w:color="auto"/>
              <w:right w:val="single" w:sz="6" w:space="0" w:color="auto"/>
            </w:tcBorders>
            <w:hideMark/>
          </w:tcPr>
          <w:p w14:paraId="05F10D96" w14:textId="77777777" w:rsidR="007F0AE0" w:rsidRPr="00781F59" w:rsidRDefault="007F0AE0" w:rsidP="00453DE3">
            <w:pPr>
              <w:contextualSpacing/>
              <w:rPr>
                <w:sz w:val="20"/>
                <w:szCs w:val="20"/>
              </w:rPr>
            </w:pPr>
            <w:r w:rsidRPr="00781F59">
              <w:rPr>
                <w:sz w:val="20"/>
                <w:szCs w:val="20"/>
              </w:rPr>
              <w:t>Lawrence Carter 2013 Commentary on nonnemaker et al. (2013): Banning menthol cigarettes-Is it time to conduct the experiment?. Addiction; 108.179.</w:t>
            </w:r>
          </w:p>
        </w:tc>
        <w:tc>
          <w:tcPr>
            <w:tcW w:w="0" w:type="auto"/>
            <w:tcBorders>
              <w:top w:val="single" w:sz="6" w:space="0" w:color="auto"/>
              <w:left w:val="single" w:sz="6" w:space="0" w:color="auto"/>
              <w:bottom w:val="single" w:sz="6" w:space="0" w:color="auto"/>
              <w:right w:val="single" w:sz="6" w:space="0" w:color="auto"/>
            </w:tcBorders>
            <w:hideMark/>
          </w:tcPr>
          <w:p w14:paraId="0BA2F37C"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740F8E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381155" w14:textId="77777777" w:rsidR="007F0AE0" w:rsidRPr="00781F59" w:rsidRDefault="007F0AE0" w:rsidP="00453DE3">
            <w:pPr>
              <w:contextualSpacing/>
              <w:rPr>
                <w:sz w:val="20"/>
                <w:szCs w:val="20"/>
              </w:rPr>
            </w:pPr>
            <w:r w:rsidRPr="00781F59">
              <w:rPr>
                <w:sz w:val="20"/>
                <w:szCs w:val="20"/>
              </w:rPr>
              <w:t>812</w:t>
            </w:r>
          </w:p>
        </w:tc>
        <w:tc>
          <w:tcPr>
            <w:tcW w:w="0" w:type="auto"/>
            <w:tcBorders>
              <w:top w:val="single" w:sz="6" w:space="0" w:color="auto"/>
              <w:left w:val="single" w:sz="6" w:space="0" w:color="auto"/>
              <w:bottom w:val="single" w:sz="6" w:space="0" w:color="auto"/>
              <w:right w:val="single" w:sz="6" w:space="0" w:color="auto"/>
            </w:tcBorders>
            <w:hideMark/>
          </w:tcPr>
          <w:p w14:paraId="79FDD04D" w14:textId="77777777" w:rsidR="007F0AE0" w:rsidRPr="00781F59" w:rsidRDefault="007F0AE0" w:rsidP="00453DE3">
            <w:pPr>
              <w:contextualSpacing/>
              <w:rPr>
                <w:sz w:val="20"/>
                <w:szCs w:val="20"/>
              </w:rPr>
            </w:pPr>
            <w:r w:rsidRPr="00781F59">
              <w:rPr>
                <w:sz w:val="20"/>
                <w:szCs w:val="20"/>
              </w:rPr>
              <w:t>Brian Rostron 2012 Response to "Menthol cigarettes and lung cancer mortality".. Nicotine &amp; Tobacco Research; 14.1248.</w:t>
            </w:r>
          </w:p>
        </w:tc>
        <w:tc>
          <w:tcPr>
            <w:tcW w:w="0" w:type="auto"/>
            <w:tcBorders>
              <w:top w:val="single" w:sz="6" w:space="0" w:color="auto"/>
              <w:left w:val="single" w:sz="6" w:space="0" w:color="auto"/>
              <w:bottom w:val="single" w:sz="6" w:space="0" w:color="auto"/>
              <w:right w:val="single" w:sz="6" w:space="0" w:color="auto"/>
            </w:tcBorders>
            <w:hideMark/>
          </w:tcPr>
          <w:p w14:paraId="192D25CB"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42A541A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CC3001" w14:textId="77777777" w:rsidR="007F0AE0" w:rsidRPr="00781F59" w:rsidRDefault="007F0AE0" w:rsidP="00453DE3">
            <w:pPr>
              <w:contextualSpacing/>
              <w:rPr>
                <w:sz w:val="20"/>
                <w:szCs w:val="20"/>
              </w:rPr>
            </w:pPr>
            <w:r w:rsidRPr="00781F59">
              <w:rPr>
                <w:sz w:val="20"/>
                <w:szCs w:val="20"/>
              </w:rPr>
              <w:t>813</w:t>
            </w:r>
          </w:p>
        </w:tc>
        <w:tc>
          <w:tcPr>
            <w:tcW w:w="0" w:type="auto"/>
            <w:tcBorders>
              <w:top w:val="single" w:sz="6" w:space="0" w:color="auto"/>
              <w:left w:val="single" w:sz="6" w:space="0" w:color="auto"/>
              <w:bottom w:val="single" w:sz="6" w:space="0" w:color="auto"/>
              <w:right w:val="single" w:sz="6" w:space="0" w:color="auto"/>
            </w:tcBorders>
            <w:hideMark/>
          </w:tcPr>
          <w:p w14:paraId="1B5A49D7" w14:textId="77777777" w:rsidR="007F0AE0" w:rsidRPr="00781F59" w:rsidRDefault="007F0AE0" w:rsidP="00453DE3">
            <w:pPr>
              <w:contextualSpacing/>
              <w:rPr>
                <w:sz w:val="20"/>
                <w:szCs w:val="20"/>
              </w:rPr>
            </w:pPr>
            <w:r w:rsidRPr="00781F59">
              <w:rPr>
                <w:sz w:val="20"/>
                <w:szCs w:val="20"/>
              </w:rPr>
              <w:t>Joshua E Muscat 2012 Menthol cigarettes and lung cancer mortality.. Nicotine &amp; Tobacco Research; 14.1246.</w:t>
            </w:r>
          </w:p>
        </w:tc>
        <w:tc>
          <w:tcPr>
            <w:tcW w:w="0" w:type="auto"/>
            <w:tcBorders>
              <w:top w:val="single" w:sz="6" w:space="0" w:color="auto"/>
              <w:left w:val="single" w:sz="6" w:space="0" w:color="auto"/>
              <w:bottom w:val="single" w:sz="6" w:space="0" w:color="auto"/>
              <w:right w:val="single" w:sz="6" w:space="0" w:color="auto"/>
            </w:tcBorders>
            <w:hideMark/>
          </w:tcPr>
          <w:p w14:paraId="71CF8EC6"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67A23E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D5A4E0" w14:textId="77777777" w:rsidR="007F0AE0" w:rsidRPr="00781F59" w:rsidRDefault="007F0AE0" w:rsidP="00453DE3">
            <w:pPr>
              <w:contextualSpacing/>
              <w:rPr>
                <w:sz w:val="20"/>
                <w:szCs w:val="20"/>
              </w:rPr>
            </w:pPr>
            <w:r w:rsidRPr="00781F59">
              <w:rPr>
                <w:sz w:val="20"/>
                <w:szCs w:val="20"/>
              </w:rPr>
              <w:t>815</w:t>
            </w:r>
          </w:p>
        </w:tc>
        <w:tc>
          <w:tcPr>
            <w:tcW w:w="0" w:type="auto"/>
            <w:tcBorders>
              <w:top w:val="single" w:sz="6" w:space="0" w:color="auto"/>
              <w:left w:val="single" w:sz="6" w:space="0" w:color="auto"/>
              <w:bottom w:val="single" w:sz="6" w:space="0" w:color="auto"/>
              <w:right w:val="single" w:sz="6" w:space="0" w:color="auto"/>
            </w:tcBorders>
            <w:hideMark/>
          </w:tcPr>
          <w:p w14:paraId="1722F819" w14:textId="77777777" w:rsidR="007F0AE0" w:rsidRPr="00781F59" w:rsidRDefault="007F0AE0" w:rsidP="00453DE3">
            <w:pPr>
              <w:contextualSpacing/>
              <w:rPr>
                <w:sz w:val="20"/>
                <w:szCs w:val="20"/>
              </w:rPr>
            </w:pPr>
            <w:r w:rsidRPr="00781F59">
              <w:rPr>
                <w:sz w:val="20"/>
                <w:szCs w:val="20"/>
              </w:rPr>
              <w:t>Valerie J Rock, Shane P Davis, Stacy L Thorne, Ralph S Caraballo 2012 Menthol cigarette use: The challenge to improve measurement and monitoring among adolescent smokers.. Nicotine &amp; Tobacco Research; 14.251.</w:t>
            </w:r>
          </w:p>
        </w:tc>
        <w:tc>
          <w:tcPr>
            <w:tcW w:w="0" w:type="auto"/>
            <w:tcBorders>
              <w:top w:val="single" w:sz="6" w:space="0" w:color="auto"/>
              <w:left w:val="single" w:sz="6" w:space="0" w:color="auto"/>
              <w:bottom w:val="single" w:sz="6" w:space="0" w:color="auto"/>
              <w:right w:val="single" w:sz="6" w:space="0" w:color="auto"/>
            </w:tcBorders>
            <w:hideMark/>
          </w:tcPr>
          <w:p w14:paraId="33949EF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1C7A55F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426C69" w14:textId="77777777" w:rsidR="007F0AE0" w:rsidRPr="00781F59" w:rsidRDefault="007F0AE0" w:rsidP="00453DE3">
            <w:pPr>
              <w:contextualSpacing/>
              <w:rPr>
                <w:sz w:val="20"/>
                <w:szCs w:val="20"/>
              </w:rPr>
            </w:pPr>
            <w:r w:rsidRPr="00781F59">
              <w:rPr>
                <w:sz w:val="20"/>
                <w:szCs w:val="20"/>
              </w:rPr>
              <w:t>817</w:t>
            </w:r>
          </w:p>
        </w:tc>
        <w:tc>
          <w:tcPr>
            <w:tcW w:w="0" w:type="auto"/>
            <w:tcBorders>
              <w:top w:val="single" w:sz="6" w:space="0" w:color="auto"/>
              <w:left w:val="single" w:sz="6" w:space="0" w:color="auto"/>
              <w:bottom w:val="single" w:sz="6" w:space="0" w:color="auto"/>
              <w:right w:val="single" w:sz="6" w:space="0" w:color="auto"/>
            </w:tcBorders>
            <w:hideMark/>
          </w:tcPr>
          <w:p w14:paraId="4D45DF8C" w14:textId="77777777" w:rsidR="007F0AE0" w:rsidRPr="00781F59" w:rsidRDefault="007F0AE0" w:rsidP="00453DE3">
            <w:pPr>
              <w:contextualSpacing/>
              <w:rPr>
                <w:sz w:val="20"/>
                <w:szCs w:val="20"/>
              </w:rPr>
            </w:pPr>
            <w:r w:rsidRPr="00781F59">
              <w:rPr>
                <w:sz w:val="20"/>
                <w:szCs w:val="20"/>
              </w:rPr>
              <w:t>Neal L Benowitz, Jonathan M Samet 2011 The threat of menthol cigarettes to U.S. public health.. The New England Journal of Medicine; 364.2179.</w:t>
            </w:r>
          </w:p>
        </w:tc>
        <w:tc>
          <w:tcPr>
            <w:tcW w:w="0" w:type="auto"/>
            <w:tcBorders>
              <w:top w:val="single" w:sz="6" w:space="0" w:color="auto"/>
              <w:left w:val="single" w:sz="6" w:space="0" w:color="auto"/>
              <w:bottom w:val="single" w:sz="6" w:space="0" w:color="auto"/>
              <w:right w:val="single" w:sz="6" w:space="0" w:color="auto"/>
            </w:tcBorders>
            <w:hideMark/>
          </w:tcPr>
          <w:p w14:paraId="0C9DCAD0"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5FD925C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C3FEA3A" w14:textId="77777777" w:rsidR="007F0AE0" w:rsidRPr="00781F59" w:rsidRDefault="007F0AE0" w:rsidP="00453DE3">
            <w:pPr>
              <w:contextualSpacing/>
              <w:rPr>
                <w:sz w:val="20"/>
                <w:szCs w:val="20"/>
              </w:rPr>
            </w:pPr>
            <w:r w:rsidRPr="00781F59">
              <w:rPr>
                <w:sz w:val="20"/>
                <w:szCs w:val="20"/>
              </w:rPr>
              <w:t>818</w:t>
            </w:r>
          </w:p>
        </w:tc>
        <w:tc>
          <w:tcPr>
            <w:tcW w:w="0" w:type="auto"/>
            <w:tcBorders>
              <w:top w:val="single" w:sz="6" w:space="0" w:color="auto"/>
              <w:left w:val="single" w:sz="6" w:space="0" w:color="auto"/>
              <w:bottom w:val="single" w:sz="6" w:space="0" w:color="auto"/>
              <w:right w:val="single" w:sz="6" w:space="0" w:color="auto"/>
            </w:tcBorders>
            <w:hideMark/>
          </w:tcPr>
          <w:p w14:paraId="5B096738" w14:textId="77777777" w:rsidR="007F0AE0" w:rsidRPr="00781F59" w:rsidRDefault="007F0AE0" w:rsidP="00453DE3">
            <w:pPr>
              <w:contextualSpacing/>
              <w:rPr>
                <w:sz w:val="20"/>
                <w:szCs w:val="20"/>
              </w:rPr>
            </w:pPr>
            <w:r w:rsidRPr="00781F59">
              <w:rPr>
                <w:sz w:val="20"/>
                <w:szCs w:val="20"/>
              </w:rPr>
              <w:t>Michael Siegel 2011 A lost opportunity for public health - The FDA Advisory Committee Report on Menthol.. The New England Journal of Medicine; 364.2177.</w:t>
            </w:r>
          </w:p>
        </w:tc>
        <w:tc>
          <w:tcPr>
            <w:tcW w:w="0" w:type="auto"/>
            <w:tcBorders>
              <w:top w:val="single" w:sz="6" w:space="0" w:color="auto"/>
              <w:left w:val="single" w:sz="6" w:space="0" w:color="auto"/>
              <w:bottom w:val="single" w:sz="6" w:space="0" w:color="auto"/>
              <w:right w:val="single" w:sz="6" w:space="0" w:color="auto"/>
            </w:tcBorders>
            <w:hideMark/>
          </w:tcPr>
          <w:p w14:paraId="12C9B95F"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5D868D4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88C6E29" w14:textId="77777777" w:rsidR="007F0AE0" w:rsidRPr="00781F59" w:rsidRDefault="007F0AE0" w:rsidP="00453DE3">
            <w:pPr>
              <w:contextualSpacing/>
              <w:rPr>
                <w:sz w:val="20"/>
                <w:szCs w:val="20"/>
              </w:rPr>
            </w:pPr>
            <w:r w:rsidRPr="00781F59">
              <w:rPr>
                <w:sz w:val="20"/>
                <w:szCs w:val="20"/>
              </w:rPr>
              <w:t>819</w:t>
            </w:r>
          </w:p>
        </w:tc>
        <w:tc>
          <w:tcPr>
            <w:tcW w:w="0" w:type="auto"/>
            <w:tcBorders>
              <w:top w:val="single" w:sz="6" w:space="0" w:color="auto"/>
              <w:left w:val="single" w:sz="6" w:space="0" w:color="auto"/>
              <w:bottom w:val="single" w:sz="6" w:space="0" w:color="auto"/>
              <w:right w:val="single" w:sz="6" w:space="0" w:color="auto"/>
            </w:tcBorders>
            <w:hideMark/>
          </w:tcPr>
          <w:p w14:paraId="2E6AED51" w14:textId="77777777" w:rsidR="007F0AE0" w:rsidRPr="00781F59" w:rsidRDefault="007F0AE0" w:rsidP="00453DE3">
            <w:pPr>
              <w:contextualSpacing/>
              <w:rPr>
                <w:sz w:val="20"/>
                <w:szCs w:val="20"/>
              </w:rPr>
            </w:pPr>
            <w:r w:rsidRPr="00781F59">
              <w:rPr>
                <w:sz w:val="20"/>
                <w:szCs w:val="20"/>
              </w:rPr>
              <w:t>Richard F Gillum 2011 Effect of religion on use of menthol cigarettes in African American smokers.. Preventive Medicine: An International Journal Devoted to Practice and Theory; 52.477.</w:t>
            </w:r>
          </w:p>
        </w:tc>
        <w:tc>
          <w:tcPr>
            <w:tcW w:w="0" w:type="auto"/>
            <w:tcBorders>
              <w:top w:val="single" w:sz="6" w:space="0" w:color="auto"/>
              <w:left w:val="single" w:sz="6" w:space="0" w:color="auto"/>
              <w:bottom w:val="single" w:sz="6" w:space="0" w:color="auto"/>
              <w:right w:val="single" w:sz="6" w:space="0" w:color="auto"/>
            </w:tcBorders>
            <w:hideMark/>
          </w:tcPr>
          <w:p w14:paraId="571F0EC5"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77C35F5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E7DF34" w14:textId="77777777" w:rsidR="007F0AE0" w:rsidRPr="00781F59" w:rsidRDefault="007F0AE0" w:rsidP="00453DE3">
            <w:pPr>
              <w:contextualSpacing/>
              <w:rPr>
                <w:sz w:val="20"/>
                <w:szCs w:val="20"/>
              </w:rPr>
            </w:pPr>
            <w:r w:rsidRPr="00781F59">
              <w:rPr>
                <w:sz w:val="20"/>
                <w:szCs w:val="20"/>
              </w:rPr>
              <w:t>820</w:t>
            </w:r>
          </w:p>
        </w:tc>
        <w:tc>
          <w:tcPr>
            <w:tcW w:w="0" w:type="auto"/>
            <w:tcBorders>
              <w:top w:val="single" w:sz="6" w:space="0" w:color="auto"/>
              <w:left w:val="single" w:sz="6" w:space="0" w:color="auto"/>
              <w:bottom w:val="single" w:sz="6" w:space="0" w:color="auto"/>
              <w:right w:val="single" w:sz="6" w:space="0" w:color="auto"/>
            </w:tcBorders>
            <w:hideMark/>
          </w:tcPr>
          <w:p w14:paraId="136A76A8" w14:textId="77777777" w:rsidR="007F0AE0" w:rsidRPr="00781F59" w:rsidRDefault="007F0AE0" w:rsidP="00453DE3">
            <w:pPr>
              <w:contextualSpacing/>
              <w:rPr>
                <w:sz w:val="20"/>
                <w:szCs w:val="20"/>
              </w:rPr>
            </w:pPr>
            <w:r w:rsidRPr="00781F59">
              <w:rPr>
                <w:sz w:val="20"/>
                <w:szCs w:val="20"/>
              </w:rPr>
              <w:t>Christian Andreas Arist Von Hehn 2010 TRPA1 as a sensory neuronal target of chemical irritants and counterirritants.. Dissertation Abstracts International: Section B: The Sciences and Engineering; 71.129.</w:t>
            </w:r>
          </w:p>
        </w:tc>
        <w:tc>
          <w:tcPr>
            <w:tcW w:w="0" w:type="auto"/>
            <w:tcBorders>
              <w:top w:val="single" w:sz="6" w:space="0" w:color="auto"/>
              <w:left w:val="single" w:sz="6" w:space="0" w:color="auto"/>
              <w:bottom w:val="single" w:sz="6" w:space="0" w:color="auto"/>
              <w:right w:val="single" w:sz="6" w:space="0" w:color="auto"/>
            </w:tcBorders>
            <w:hideMark/>
          </w:tcPr>
          <w:p w14:paraId="7656B750" w14:textId="77777777" w:rsidR="007F0AE0" w:rsidRPr="00781F59" w:rsidRDefault="007F0AE0" w:rsidP="00453DE3">
            <w:pPr>
              <w:contextualSpacing/>
              <w:rPr>
                <w:sz w:val="20"/>
                <w:szCs w:val="20"/>
              </w:rPr>
            </w:pPr>
            <w:r w:rsidRPr="00781F59">
              <w:rPr>
                <w:sz w:val="20"/>
                <w:szCs w:val="20"/>
              </w:rPr>
              <w:t>Ineligible population (not U.S., not humans)</w:t>
            </w:r>
          </w:p>
        </w:tc>
      </w:tr>
      <w:tr w:rsidR="007F0AE0" w:rsidRPr="00781F59" w14:paraId="6C73BEA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2C6598" w14:textId="77777777" w:rsidR="007F0AE0" w:rsidRPr="00781F59" w:rsidRDefault="007F0AE0" w:rsidP="00453DE3">
            <w:pPr>
              <w:contextualSpacing/>
              <w:rPr>
                <w:sz w:val="20"/>
                <w:szCs w:val="20"/>
              </w:rPr>
            </w:pPr>
            <w:r w:rsidRPr="00781F59">
              <w:rPr>
                <w:sz w:val="20"/>
                <w:szCs w:val="20"/>
              </w:rPr>
              <w:t>822</w:t>
            </w:r>
          </w:p>
        </w:tc>
        <w:tc>
          <w:tcPr>
            <w:tcW w:w="0" w:type="auto"/>
            <w:tcBorders>
              <w:top w:val="single" w:sz="6" w:space="0" w:color="auto"/>
              <w:left w:val="single" w:sz="6" w:space="0" w:color="auto"/>
              <w:bottom w:val="single" w:sz="6" w:space="0" w:color="auto"/>
              <w:right w:val="single" w:sz="6" w:space="0" w:color="auto"/>
            </w:tcBorders>
            <w:hideMark/>
          </w:tcPr>
          <w:p w14:paraId="4B42307D" w14:textId="77777777" w:rsidR="007F0AE0" w:rsidRPr="00781F59" w:rsidRDefault="007F0AE0" w:rsidP="00453DE3">
            <w:pPr>
              <w:contextualSpacing/>
              <w:rPr>
                <w:sz w:val="20"/>
                <w:szCs w:val="20"/>
              </w:rPr>
            </w:pPr>
            <w:r w:rsidRPr="00781F59">
              <w:rPr>
                <w:sz w:val="20"/>
                <w:szCs w:val="20"/>
              </w:rPr>
              <w:t>Brian P Flaherty 2010 Latent class and mixture models' potential contributions to understanding connections between menthol and other cigarette smoking characteristics.. Addiction; 105.11.</w:t>
            </w:r>
          </w:p>
        </w:tc>
        <w:tc>
          <w:tcPr>
            <w:tcW w:w="0" w:type="auto"/>
            <w:tcBorders>
              <w:top w:val="single" w:sz="6" w:space="0" w:color="auto"/>
              <w:left w:val="single" w:sz="6" w:space="0" w:color="auto"/>
              <w:bottom w:val="single" w:sz="6" w:space="0" w:color="auto"/>
              <w:right w:val="single" w:sz="6" w:space="0" w:color="auto"/>
            </w:tcBorders>
            <w:hideMark/>
          </w:tcPr>
          <w:p w14:paraId="454B150F"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1973F68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F65330E" w14:textId="77777777" w:rsidR="007F0AE0" w:rsidRPr="00781F59" w:rsidRDefault="007F0AE0" w:rsidP="00453DE3">
            <w:pPr>
              <w:contextualSpacing/>
              <w:rPr>
                <w:sz w:val="20"/>
                <w:szCs w:val="20"/>
              </w:rPr>
            </w:pPr>
            <w:r w:rsidRPr="00781F59">
              <w:rPr>
                <w:sz w:val="20"/>
                <w:szCs w:val="20"/>
              </w:rPr>
              <w:t>825</w:t>
            </w:r>
          </w:p>
        </w:tc>
        <w:tc>
          <w:tcPr>
            <w:tcW w:w="0" w:type="auto"/>
            <w:tcBorders>
              <w:top w:val="single" w:sz="6" w:space="0" w:color="auto"/>
              <w:left w:val="single" w:sz="6" w:space="0" w:color="auto"/>
              <w:bottom w:val="single" w:sz="6" w:space="0" w:color="auto"/>
              <w:right w:val="single" w:sz="6" w:space="0" w:color="auto"/>
            </w:tcBorders>
            <w:hideMark/>
          </w:tcPr>
          <w:p w14:paraId="586470A2" w14:textId="77777777" w:rsidR="007F0AE0" w:rsidRPr="00781F59" w:rsidRDefault="007F0AE0" w:rsidP="00453DE3">
            <w:pPr>
              <w:contextualSpacing/>
              <w:rPr>
                <w:sz w:val="20"/>
                <w:szCs w:val="20"/>
              </w:rPr>
            </w:pPr>
            <w:r w:rsidRPr="00781F59">
              <w:rPr>
                <w:sz w:val="20"/>
                <w:szCs w:val="20"/>
              </w:rPr>
              <w:t>Kolawole S Okuyemi, Deirdre Lawrence, George Hammons, Linda A Alexander 2010 Use of mentholated cigarettes: What can we learn from national data sets?. Addiction; 105.1.</w:t>
            </w:r>
          </w:p>
        </w:tc>
        <w:tc>
          <w:tcPr>
            <w:tcW w:w="0" w:type="auto"/>
            <w:tcBorders>
              <w:top w:val="single" w:sz="6" w:space="0" w:color="auto"/>
              <w:left w:val="single" w:sz="6" w:space="0" w:color="auto"/>
              <w:bottom w:val="single" w:sz="6" w:space="0" w:color="auto"/>
              <w:right w:val="single" w:sz="6" w:space="0" w:color="auto"/>
            </w:tcBorders>
            <w:hideMark/>
          </w:tcPr>
          <w:p w14:paraId="2041DACF"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06C76D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C4EC17" w14:textId="77777777" w:rsidR="007F0AE0" w:rsidRPr="00781F59" w:rsidRDefault="007F0AE0" w:rsidP="00453DE3">
            <w:pPr>
              <w:contextualSpacing/>
              <w:rPr>
                <w:sz w:val="20"/>
                <w:szCs w:val="20"/>
              </w:rPr>
            </w:pPr>
            <w:r w:rsidRPr="00781F59">
              <w:rPr>
                <w:sz w:val="20"/>
                <w:szCs w:val="20"/>
              </w:rPr>
              <w:t>832</w:t>
            </w:r>
          </w:p>
        </w:tc>
        <w:tc>
          <w:tcPr>
            <w:tcW w:w="0" w:type="auto"/>
            <w:tcBorders>
              <w:top w:val="single" w:sz="6" w:space="0" w:color="auto"/>
              <w:left w:val="single" w:sz="6" w:space="0" w:color="auto"/>
              <w:bottom w:val="single" w:sz="6" w:space="0" w:color="auto"/>
              <w:right w:val="single" w:sz="6" w:space="0" w:color="auto"/>
            </w:tcBorders>
            <w:hideMark/>
          </w:tcPr>
          <w:p w14:paraId="6DA1E26E" w14:textId="77777777" w:rsidR="007F0AE0" w:rsidRPr="00781F59" w:rsidRDefault="007F0AE0" w:rsidP="00453DE3">
            <w:pPr>
              <w:contextualSpacing/>
              <w:rPr>
                <w:sz w:val="20"/>
                <w:szCs w:val="20"/>
              </w:rPr>
            </w:pPr>
            <w:r w:rsidRPr="00781F59">
              <w:rPr>
                <w:sz w:val="20"/>
                <w:szCs w:val="20"/>
              </w:rPr>
              <w:t>Richard Hebert 2004 What's New in Nicotine &amp; Tobacco Research?. Nicotine &amp; Tobacco Research; 6.S1.</w:t>
            </w:r>
          </w:p>
        </w:tc>
        <w:tc>
          <w:tcPr>
            <w:tcW w:w="0" w:type="auto"/>
            <w:tcBorders>
              <w:top w:val="single" w:sz="6" w:space="0" w:color="auto"/>
              <w:left w:val="single" w:sz="6" w:space="0" w:color="auto"/>
              <w:bottom w:val="single" w:sz="6" w:space="0" w:color="auto"/>
              <w:right w:val="single" w:sz="6" w:space="0" w:color="auto"/>
            </w:tcBorders>
            <w:hideMark/>
          </w:tcPr>
          <w:p w14:paraId="76787903" w14:textId="77777777" w:rsidR="007F0AE0" w:rsidRPr="00781F59" w:rsidRDefault="007F0AE0" w:rsidP="00453DE3">
            <w:pPr>
              <w:contextualSpacing/>
              <w:rPr>
                <w:sz w:val="20"/>
                <w:szCs w:val="20"/>
              </w:rPr>
            </w:pPr>
            <w:r w:rsidRPr="00781F59">
              <w:rPr>
                <w:sz w:val="20"/>
                <w:szCs w:val="20"/>
              </w:rPr>
              <w:t>Not original research / data</w:t>
            </w:r>
          </w:p>
        </w:tc>
      </w:tr>
      <w:tr w:rsidR="007F0AE0" w:rsidRPr="00781F59" w14:paraId="60FC264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BBC4E33" w14:textId="77777777" w:rsidR="007F0AE0" w:rsidRPr="00781F59" w:rsidRDefault="007F0AE0" w:rsidP="00453DE3">
            <w:pPr>
              <w:contextualSpacing/>
              <w:rPr>
                <w:sz w:val="20"/>
                <w:szCs w:val="20"/>
              </w:rPr>
            </w:pPr>
            <w:r w:rsidRPr="00781F59">
              <w:rPr>
                <w:sz w:val="20"/>
                <w:szCs w:val="20"/>
              </w:rPr>
              <w:t>836</w:t>
            </w:r>
          </w:p>
        </w:tc>
        <w:tc>
          <w:tcPr>
            <w:tcW w:w="0" w:type="auto"/>
            <w:tcBorders>
              <w:top w:val="single" w:sz="6" w:space="0" w:color="auto"/>
              <w:left w:val="single" w:sz="6" w:space="0" w:color="auto"/>
              <w:bottom w:val="single" w:sz="6" w:space="0" w:color="auto"/>
              <w:right w:val="single" w:sz="6" w:space="0" w:color="auto"/>
            </w:tcBorders>
            <w:hideMark/>
          </w:tcPr>
          <w:p w14:paraId="7210CF32" w14:textId="77777777" w:rsidR="007F0AE0" w:rsidRPr="00781F59" w:rsidRDefault="007F0AE0" w:rsidP="00453DE3">
            <w:pPr>
              <w:contextualSpacing/>
              <w:rPr>
                <w:sz w:val="20"/>
                <w:szCs w:val="20"/>
              </w:rPr>
            </w:pPr>
            <w:r w:rsidRPr="00781F59">
              <w:rPr>
                <w:sz w:val="20"/>
                <w:szCs w:val="20"/>
              </w:rPr>
              <w:t>Wallace B Pickworth, Reginald V Fant, Richard A Nelson, Melissa S Rohrer, Jack E Henningfield 1999 Pharmacodynamic effects of new de-nicotinized cigarettes.. Nicotine &amp; Tobacco Research; 1.357.</w:t>
            </w:r>
          </w:p>
        </w:tc>
        <w:tc>
          <w:tcPr>
            <w:tcW w:w="0" w:type="auto"/>
            <w:tcBorders>
              <w:top w:val="single" w:sz="6" w:space="0" w:color="auto"/>
              <w:left w:val="single" w:sz="6" w:space="0" w:color="auto"/>
              <w:bottom w:val="single" w:sz="6" w:space="0" w:color="auto"/>
              <w:right w:val="single" w:sz="6" w:space="0" w:color="auto"/>
            </w:tcBorders>
            <w:hideMark/>
          </w:tcPr>
          <w:p w14:paraId="09E994BF" w14:textId="77777777" w:rsidR="007F0AE0" w:rsidRPr="00781F59" w:rsidRDefault="007F0AE0" w:rsidP="00453DE3">
            <w:pPr>
              <w:contextualSpacing/>
              <w:rPr>
                <w:sz w:val="20"/>
                <w:szCs w:val="20"/>
              </w:rPr>
            </w:pPr>
            <w:r w:rsidRPr="00781F59">
              <w:rPr>
                <w:sz w:val="20"/>
                <w:szCs w:val="20"/>
              </w:rPr>
              <w:t>Does not address a KQ</w:t>
            </w:r>
          </w:p>
        </w:tc>
      </w:tr>
      <w:tr w:rsidR="007F0AE0" w:rsidRPr="00781F59" w14:paraId="12E3322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561351" w14:textId="77777777" w:rsidR="007F0AE0" w:rsidRPr="00781F59" w:rsidRDefault="007F0AE0" w:rsidP="00453DE3">
            <w:pPr>
              <w:contextualSpacing/>
              <w:rPr>
                <w:sz w:val="20"/>
                <w:szCs w:val="20"/>
              </w:rPr>
            </w:pPr>
            <w:r w:rsidRPr="00781F59">
              <w:rPr>
                <w:sz w:val="20"/>
                <w:szCs w:val="20"/>
              </w:rPr>
              <w:t>838</w:t>
            </w:r>
          </w:p>
        </w:tc>
        <w:tc>
          <w:tcPr>
            <w:tcW w:w="0" w:type="auto"/>
            <w:tcBorders>
              <w:top w:val="single" w:sz="6" w:space="0" w:color="auto"/>
              <w:left w:val="single" w:sz="6" w:space="0" w:color="auto"/>
              <w:bottom w:val="single" w:sz="6" w:space="0" w:color="auto"/>
              <w:right w:val="single" w:sz="6" w:space="0" w:color="auto"/>
            </w:tcBorders>
            <w:hideMark/>
          </w:tcPr>
          <w:p w14:paraId="352FDEDF" w14:textId="77777777" w:rsidR="007F0AE0" w:rsidRPr="00781F59" w:rsidRDefault="007F0AE0" w:rsidP="00453DE3">
            <w:pPr>
              <w:contextualSpacing/>
              <w:rPr>
                <w:sz w:val="20"/>
                <w:szCs w:val="20"/>
              </w:rPr>
            </w:pPr>
            <w:r w:rsidRPr="00781F59">
              <w:rPr>
                <w:sz w:val="20"/>
                <w:szCs w:val="20"/>
              </w:rPr>
              <w:t>David P Schmahl, Edward Lichtenstein, Darrel E Harris 1972 Successful treatment of habitual smokers with warm, smoky air and rapid smoking.. Journal of Consulting and Clinical Psychology; 38.105.</w:t>
            </w:r>
          </w:p>
        </w:tc>
        <w:tc>
          <w:tcPr>
            <w:tcW w:w="0" w:type="auto"/>
            <w:tcBorders>
              <w:top w:val="single" w:sz="6" w:space="0" w:color="auto"/>
              <w:left w:val="single" w:sz="6" w:space="0" w:color="auto"/>
              <w:bottom w:val="single" w:sz="6" w:space="0" w:color="auto"/>
              <w:right w:val="single" w:sz="6" w:space="0" w:color="auto"/>
            </w:tcBorders>
            <w:hideMark/>
          </w:tcPr>
          <w:p w14:paraId="0885DFB1" w14:textId="77777777" w:rsidR="007F0AE0" w:rsidRPr="00781F59" w:rsidRDefault="007F0AE0" w:rsidP="00453DE3">
            <w:pPr>
              <w:contextualSpacing/>
              <w:rPr>
                <w:sz w:val="20"/>
                <w:szCs w:val="20"/>
              </w:rPr>
            </w:pPr>
            <w:r w:rsidRPr="00781F59">
              <w:rPr>
                <w:sz w:val="20"/>
                <w:szCs w:val="20"/>
              </w:rPr>
              <w:t>Does not address a KQ</w:t>
            </w:r>
          </w:p>
        </w:tc>
      </w:tr>
    </w:tbl>
    <w:p w14:paraId="31074255" w14:textId="77777777" w:rsidR="007F0AE0" w:rsidRDefault="007F0AE0" w:rsidP="007F0AE0">
      <w:pPr>
        <w:pStyle w:val="ChapterHeading"/>
        <w:spacing w:after="120"/>
        <w:outlineLvl w:val="9"/>
        <w:rPr>
          <w:rFonts w:asciiTheme="minorHAnsi" w:hAnsiTheme="minorHAnsi"/>
          <w:sz w:val="22"/>
          <w:szCs w:val="22"/>
        </w:rPr>
      </w:pPr>
    </w:p>
    <w:p w14:paraId="7E8873A4" w14:textId="77777777" w:rsidR="007F0AE0" w:rsidRDefault="007F0AE0" w:rsidP="007F0AE0">
      <w:pPr>
        <w:pStyle w:val="ChapterHeading"/>
        <w:spacing w:after="120"/>
        <w:outlineLvl w:val="9"/>
        <w:rPr>
          <w:rFonts w:asciiTheme="minorHAnsi" w:hAnsiTheme="minorHAnsi"/>
          <w:sz w:val="22"/>
          <w:szCs w:val="22"/>
        </w:rPr>
      </w:pPr>
    </w:p>
    <w:p w14:paraId="53C966B1" w14:textId="77777777" w:rsidR="007F0AE0" w:rsidRDefault="007F0AE0" w:rsidP="007F0AE0">
      <w:pPr>
        <w:pStyle w:val="ChapterHeading"/>
        <w:spacing w:after="120"/>
        <w:outlineLvl w:val="9"/>
        <w:rPr>
          <w:rFonts w:asciiTheme="minorHAnsi" w:hAnsiTheme="minorHAnsi"/>
          <w:sz w:val="22"/>
          <w:szCs w:val="22"/>
        </w:rPr>
      </w:pPr>
    </w:p>
    <w:p w14:paraId="707587EA" w14:textId="77777777" w:rsidR="007F0AE0" w:rsidRDefault="007F0AE0" w:rsidP="007F0AE0">
      <w:pPr>
        <w:pStyle w:val="ChapterHeading"/>
        <w:spacing w:after="120"/>
        <w:outlineLvl w:val="9"/>
        <w:rPr>
          <w:rFonts w:asciiTheme="minorHAnsi" w:hAnsiTheme="minorHAnsi"/>
          <w:sz w:val="22"/>
          <w:szCs w:val="22"/>
        </w:rPr>
      </w:pPr>
    </w:p>
    <w:p w14:paraId="67EC0043" w14:textId="77777777" w:rsidR="007F0AE0" w:rsidRDefault="007F0AE0" w:rsidP="007F0AE0">
      <w:pPr>
        <w:pStyle w:val="ChapterHeading"/>
        <w:spacing w:after="120"/>
        <w:outlineLvl w:val="9"/>
        <w:rPr>
          <w:rFonts w:asciiTheme="minorHAnsi" w:hAnsiTheme="minorHAnsi"/>
          <w:sz w:val="22"/>
          <w:szCs w:val="22"/>
        </w:rPr>
      </w:pPr>
    </w:p>
    <w:p w14:paraId="63D2E5AD" w14:textId="77777777" w:rsidR="007F0AE0" w:rsidRDefault="007F0AE0" w:rsidP="007F0AE0">
      <w:pPr>
        <w:pStyle w:val="ChapterHeading"/>
        <w:spacing w:after="120"/>
        <w:outlineLvl w:val="9"/>
        <w:rPr>
          <w:rFonts w:asciiTheme="minorHAnsi" w:hAnsiTheme="minorHAnsi"/>
          <w:sz w:val="22"/>
          <w:szCs w:val="22"/>
        </w:rPr>
      </w:pPr>
    </w:p>
    <w:p w14:paraId="2CC207CC" w14:textId="77777777" w:rsidR="007F0AE0" w:rsidRDefault="007F0AE0" w:rsidP="007F0AE0">
      <w:pPr>
        <w:rPr>
          <w:rFonts w:eastAsia="Times New Roman" w:cs="Times New Roman"/>
          <w:b/>
          <w:bCs/>
        </w:rPr>
      </w:pPr>
      <w:r>
        <w:br w:type="page"/>
      </w:r>
    </w:p>
    <w:p w14:paraId="2AB1F0CE" w14:textId="77777777" w:rsidR="007F0AE0" w:rsidRDefault="007F0AE0" w:rsidP="007F0AE0">
      <w:pPr>
        <w:outlineLvl w:val="0"/>
        <w:rPr>
          <w:b/>
        </w:rPr>
      </w:pPr>
      <w:r>
        <w:rPr>
          <w:b/>
        </w:rPr>
        <w:lastRenderedPageBreak/>
        <w:t>SUPPLEMENTAL SECTION 3: Included Studies List (n=118)</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464"/>
        <w:gridCol w:w="9168"/>
      </w:tblGrid>
      <w:tr w:rsidR="007F0AE0" w:rsidRPr="00204223" w14:paraId="146C35B9" w14:textId="77777777" w:rsidTr="00453DE3">
        <w:trPr>
          <w:cantSplit/>
          <w:tblHeader/>
        </w:trPr>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76FE48F" w14:textId="77777777" w:rsidR="007F0AE0" w:rsidRPr="00204223" w:rsidRDefault="007F0AE0" w:rsidP="00453DE3">
            <w:pPr>
              <w:contextualSpacing/>
              <w:rPr>
                <w:rFonts w:ascii="Calibri" w:hAnsi="Calibri"/>
                <w:b/>
                <w:noProof/>
                <w:sz w:val="20"/>
                <w:szCs w:val="20"/>
              </w:rPr>
            </w:pPr>
            <w:r w:rsidRPr="00204223">
              <w:rPr>
                <w:rFonts w:ascii="Calibri" w:hAnsi="Calibri"/>
                <w:b/>
                <w:noProof/>
                <w:sz w:val="20"/>
                <w:szCs w:val="20"/>
              </w:rPr>
              <w:t>Refid</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A9FEDA1" w14:textId="77777777" w:rsidR="007F0AE0" w:rsidRPr="00204223" w:rsidRDefault="007F0AE0" w:rsidP="00453DE3">
            <w:pPr>
              <w:contextualSpacing/>
              <w:rPr>
                <w:rFonts w:ascii="Calibri" w:hAnsi="Calibri"/>
                <w:b/>
                <w:noProof/>
                <w:sz w:val="20"/>
                <w:szCs w:val="20"/>
              </w:rPr>
            </w:pPr>
            <w:r w:rsidRPr="00204223">
              <w:rPr>
                <w:rFonts w:ascii="Calibri" w:hAnsi="Calibri"/>
                <w:b/>
                <w:noProof/>
                <w:sz w:val="20"/>
                <w:szCs w:val="20"/>
              </w:rPr>
              <w:t>Bibliography</w:t>
            </w:r>
          </w:p>
        </w:tc>
      </w:tr>
      <w:tr w:rsidR="007F0AE0" w:rsidRPr="00204223" w14:paraId="7373094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55B3D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77</w:t>
            </w:r>
          </w:p>
        </w:tc>
        <w:tc>
          <w:tcPr>
            <w:tcW w:w="0" w:type="auto"/>
            <w:tcBorders>
              <w:top w:val="single" w:sz="6" w:space="0" w:color="auto"/>
              <w:left w:val="single" w:sz="6" w:space="0" w:color="auto"/>
              <w:bottom w:val="single" w:sz="6" w:space="0" w:color="auto"/>
              <w:right w:val="single" w:sz="6" w:space="0" w:color="auto"/>
            </w:tcBorders>
            <w:hideMark/>
          </w:tcPr>
          <w:p w14:paraId="70E099A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Sulsky S.I.,​Fuller W.G.,​Van Landingham C.,​Ogden M.W.,​Swauger J.E.,​Curtin G.M. 2015 Corrigendum to "Evaluating the association between menthol cigarette use and the likelihood of being a former versus current smoker" [Regul. Toxicol. Pharmacol. 70/1 (2014) 231-241]. Regulatory Toxicology and Pharmacology; 73.114.</w:t>
            </w:r>
          </w:p>
        </w:tc>
      </w:tr>
      <w:tr w:rsidR="007F0AE0" w:rsidRPr="00204223" w14:paraId="1136FC1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3908B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121</w:t>
            </w:r>
          </w:p>
        </w:tc>
        <w:tc>
          <w:tcPr>
            <w:tcW w:w="0" w:type="auto"/>
            <w:tcBorders>
              <w:top w:val="single" w:sz="6" w:space="0" w:color="auto"/>
              <w:left w:val="single" w:sz="6" w:space="0" w:color="auto"/>
              <w:bottom w:val="single" w:sz="6" w:space="0" w:color="auto"/>
              <w:right w:val="single" w:sz="6" w:space="0" w:color="auto"/>
            </w:tcBorders>
            <w:hideMark/>
          </w:tcPr>
          <w:p w14:paraId="6A105FC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Sarkar M.,​Wang J.,​Liang Q. 2012 Metabolism of nicotine and 4-(methylnitrosamino)-l-(3-pyridyl)-l-butanone (NNK) in Menthol and Non-menthol Cigarette Smokers. Drug Metabolism Letters; 6.198.</w:t>
            </w:r>
          </w:p>
        </w:tc>
      </w:tr>
      <w:tr w:rsidR="007F0AE0" w:rsidRPr="00204223" w14:paraId="74185D2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572751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139</w:t>
            </w:r>
          </w:p>
        </w:tc>
        <w:tc>
          <w:tcPr>
            <w:tcW w:w="0" w:type="auto"/>
            <w:tcBorders>
              <w:top w:val="single" w:sz="6" w:space="0" w:color="auto"/>
              <w:left w:val="single" w:sz="6" w:space="0" w:color="auto"/>
              <w:bottom w:val="single" w:sz="6" w:space="0" w:color="auto"/>
              <w:right w:val="single" w:sz="6" w:space="0" w:color="auto"/>
            </w:tcBorders>
            <w:hideMark/>
          </w:tcPr>
          <w:p w14:paraId="1302F90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Kanyuch J.A.,​Bercz P.A.,​Chang J.,​Martinez F.J.,​Criner G.J.,​Lawrence M.J.,​Tomko P.A.,​Foreman M.G.,​Silverman E.,​Crapo J.D.,​Sciurba F.C. 2011 Menthol cigarette usage among african americans associated with persistent tobacco use. American Journal of Respiratory and Critical Care Medicine; 183.</w:t>
            </w:r>
          </w:p>
        </w:tc>
      </w:tr>
      <w:tr w:rsidR="007F0AE0" w:rsidRPr="00204223" w14:paraId="5AFED91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BB8D2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141</w:t>
            </w:r>
          </w:p>
        </w:tc>
        <w:tc>
          <w:tcPr>
            <w:tcW w:w="0" w:type="auto"/>
            <w:tcBorders>
              <w:top w:val="single" w:sz="6" w:space="0" w:color="auto"/>
              <w:left w:val="single" w:sz="6" w:space="0" w:color="auto"/>
              <w:bottom w:val="single" w:sz="6" w:space="0" w:color="auto"/>
              <w:right w:val="single" w:sz="6" w:space="0" w:color="auto"/>
            </w:tcBorders>
            <w:hideMark/>
          </w:tcPr>
          <w:p w14:paraId="6723945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Stellman S.D. 2011 Tobacco-related cancer risks and menthol cigarettes: A case-control study. American Journal of Epidemiology; 173.S86.</w:t>
            </w:r>
          </w:p>
        </w:tc>
      </w:tr>
      <w:tr w:rsidR="007F0AE0" w:rsidRPr="00204223" w14:paraId="7591474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DDC5C5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221</w:t>
            </w:r>
          </w:p>
        </w:tc>
        <w:tc>
          <w:tcPr>
            <w:tcW w:w="0" w:type="auto"/>
            <w:tcBorders>
              <w:top w:val="single" w:sz="6" w:space="0" w:color="auto"/>
              <w:left w:val="single" w:sz="6" w:space="0" w:color="auto"/>
              <w:bottom w:val="single" w:sz="6" w:space="0" w:color="auto"/>
              <w:right w:val="single" w:sz="6" w:space="0" w:color="auto"/>
            </w:tcBorders>
            <w:hideMark/>
          </w:tcPr>
          <w:p w14:paraId="09CF6CE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Courtney Keeler,​ Wendy Max,​ Valerie B Yerger,​ Tingting Yao,​ Yingning Wang,​ Michael K Ong,​ Hai-Yen Sung 2018 Effects of cigarette prices on intention to quit,​ quit attempts,​ and successful cessation among African American smokers.. Nicotine &amp; tobacco research : official journal of the Society for Research on Nicotine and Tobacco; .</w:t>
            </w:r>
          </w:p>
        </w:tc>
      </w:tr>
      <w:tr w:rsidR="007F0AE0" w:rsidRPr="00204223" w14:paraId="0FBB68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167A66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285</w:t>
            </w:r>
          </w:p>
        </w:tc>
        <w:tc>
          <w:tcPr>
            <w:tcW w:w="0" w:type="auto"/>
            <w:tcBorders>
              <w:top w:val="single" w:sz="6" w:space="0" w:color="auto"/>
              <w:left w:val="single" w:sz="6" w:space="0" w:color="auto"/>
              <w:bottom w:val="single" w:sz="6" w:space="0" w:color="auto"/>
              <w:right w:val="single" w:sz="6" w:space="0" w:color="auto"/>
            </w:tcBorders>
            <w:hideMark/>
          </w:tcPr>
          <w:p w14:paraId="6067F8A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Noah R Gubner,​ Denise D Williams,​ Anna Pagano,​ Barbara K Campbell,​ Joseph Guydish 2018 Menthol cigarette smoking among individuals in treatment for substance use disorders.. Addictive behaviors; 80.135.</w:t>
            </w:r>
          </w:p>
        </w:tc>
      </w:tr>
      <w:tr w:rsidR="007F0AE0" w:rsidRPr="00204223" w14:paraId="64C8054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3A5C38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298</w:t>
            </w:r>
          </w:p>
        </w:tc>
        <w:tc>
          <w:tcPr>
            <w:tcW w:w="0" w:type="auto"/>
            <w:tcBorders>
              <w:top w:val="single" w:sz="6" w:space="0" w:color="auto"/>
              <w:left w:val="single" w:sz="6" w:space="0" w:color="auto"/>
              <w:bottom w:val="single" w:sz="6" w:space="0" w:color="auto"/>
              <w:right w:val="single" w:sz="6" w:space="0" w:color="auto"/>
            </w:tcBorders>
            <w:hideMark/>
          </w:tcPr>
          <w:p w14:paraId="294C077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Judith Rosenbloom,​ Vaughan W Rees,​ Kathleen Reid,​ Jeannie Wong,​ Taru Kinnunen 2012 A cross-sectional study on tobacco use and dependence among women: Does menthol matter?.. Tobacco induced diseases; 10.19.</w:t>
            </w:r>
          </w:p>
        </w:tc>
      </w:tr>
      <w:tr w:rsidR="007F0AE0" w:rsidRPr="00204223" w14:paraId="18B713D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7F377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305</w:t>
            </w:r>
          </w:p>
        </w:tc>
        <w:tc>
          <w:tcPr>
            <w:tcW w:w="0" w:type="auto"/>
            <w:tcBorders>
              <w:top w:val="single" w:sz="6" w:space="0" w:color="auto"/>
              <w:left w:val="single" w:sz="6" w:space="0" w:color="auto"/>
              <w:bottom w:val="single" w:sz="6" w:space="0" w:color="auto"/>
              <w:right w:val="single" w:sz="6" w:space="0" w:color="auto"/>
            </w:tcBorders>
            <w:hideMark/>
          </w:tcPr>
          <w:p w14:paraId="7380367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Ralph S Caraballo,​ Katherine Asman 2011 Epidemiology of menthol cigarette use in the United States.. Tobacco induced diseases; 9 Suppl 1.S1.</w:t>
            </w:r>
          </w:p>
        </w:tc>
      </w:tr>
      <w:tr w:rsidR="007F0AE0" w:rsidRPr="00204223" w14:paraId="49A3F6E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81861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316</w:t>
            </w:r>
          </w:p>
        </w:tc>
        <w:tc>
          <w:tcPr>
            <w:tcW w:w="0" w:type="auto"/>
            <w:tcBorders>
              <w:top w:val="single" w:sz="6" w:space="0" w:color="auto"/>
              <w:left w:val="single" w:sz="6" w:space="0" w:color="auto"/>
              <w:bottom w:val="single" w:sz="6" w:space="0" w:color="auto"/>
              <w:right w:val="single" w:sz="6" w:space="0" w:color="auto"/>
            </w:tcBorders>
            <w:hideMark/>
          </w:tcPr>
          <w:p w14:paraId="7E02B9E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Julia N Soulakova,​ Ryan R Danczak 2017 Impact of Menthol Smoking on Nicotine Dependence for Diverse Racial/Ethnic Groups of Daily Smokers.. Healthcare (Basel,​ Switzerland); 5.</w:t>
            </w:r>
          </w:p>
        </w:tc>
      </w:tr>
      <w:tr w:rsidR="007F0AE0" w:rsidRPr="00204223" w14:paraId="0AEAF2A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43666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344</w:t>
            </w:r>
          </w:p>
        </w:tc>
        <w:tc>
          <w:tcPr>
            <w:tcW w:w="0" w:type="auto"/>
            <w:tcBorders>
              <w:top w:val="single" w:sz="6" w:space="0" w:color="auto"/>
              <w:left w:val="single" w:sz="6" w:space="0" w:color="auto"/>
              <w:bottom w:val="single" w:sz="6" w:space="0" w:color="auto"/>
              <w:right w:val="single" w:sz="6" w:space="0" w:color="auto"/>
            </w:tcBorders>
            <w:hideMark/>
          </w:tcPr>
          <w:p w14:paraId="5EBCC55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Courtney Keeler,​ Wendy Max,​ Valerie Yerger,​ Tingting Yao,​ Michael K Ong,​ Hai-Yen Sung 2017 The Association of Menthol Cigarette Use With Quit Attempts,​ Successful Cessation,​ and Intention to Quit Across Racial/Ethnic Groups in the United States.. Nicotine &amp; tobacco research : official journal of the Society for Research on Nicotine and Tobacco; 19.1450.</w:t>
            </w:r>
          </w:p>
        </w:tc>
      </w:tr>
      <w:tr w:rsidR="007F0AE0" w:rsidRPr="00204223" w14:paraId="0166F2B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6C6B1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365</w:t>
            </w:r>
          </w:p>
        </w:tc>
        <w:tc>
          <w:tcPr>
            <w:tcW w:w="0" w:type="auto"/>
            <w:tcBorders>
              <w:top w:val="single" w:sz="6" w:space="0" w:color="auto"/>
              <w:left w:val="single" w:sz="6" w:space="0" w:color="auto"/>
              <w:bottom w:val="single" w:sz="6" w:space="0" w:color="auto"/>
              <w:right w:val="single" w:sz="6" w:space="0" w:color="auto"/>
            </w:tcBorders>
            <w:hideMark/>
          </w:tcPr>
          <w:p w14:paraId="4454B9C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Kenneth A Perkins,​ Nicole Kunkle,​ Joshua L Karelitz 2017 Threshold dose for behavioral discrimination of cigarette nicotine content in menthol vs. non-menthol smokers.. Psychopharmacology; 234.1255.</w:t>
            </w:r>
          </w:p>
        </w:tc>
      </w:tr>
      <w:tr w:rsidR="007F0AE0" w:rsidRPr="00204223" w14:paraId="2D90578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7A028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381</w:t>
            </w:r>
          </w:p>
        </w:tc>
        <w:tc>
          <w:tcPr>
            <w:tcW w:w="0" w:type="auto"/>
            <w:tcBorders>
              <w:top w:val="single" w:sz="6" w:space="0" w:color="auto"/>
              <w:left w:val="single" w:sz="6" w:space="0" w:color="auto"/>
              <w:bottom w:val="single" w:sz="6" w:space="0" w:color="auto"/>
              <w:right w:val="single" w:sz="6" w:space="0" w:color="auto"/>
            </w:tcBorders>
            <w:hideMark/>
          </w:tcPr>
          <w:p w14:paraId="14C03A7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Seoung Ju Park,​ Marilyn G Foreman,​ Dawn L Demeo,​ Surya P Bhatt,​ Nadia N Hansel,​ Robert A Wise,​ Xavier Soler,​ Russell P Bowler 2015 Menthol cigarette smoking in the COPDGene cohort: relationship with COPD,​ comorbidities and CT metrics.. Respirology (Carlton,​ Vic.); 20.108.</w:t>
            </w:r>
          </w:p>
        </w:tc>
      </w:tr>
      <w:tr w:rsidR="007F0AE0" w:rsidRPr="00204223" w14:paraId="613D281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7A9D8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382</w:t>
            </w:r>
          </w:p>
        </w:tc>
        <w:tc>
          <w:tcPr>
            <w:tcW w:w="0" w:type="auto"/>
            <w:tcBorders>
              <w:top w:val="single" w:sz="6" w:space="0" w:color="auto"/>
              <w:left w:val="single" w:sz="6" w:space="0" w:color="auto"/>
              <w:bottom w:val="single" w:sz="6" w:space="0" w:color="auto"/>
              <w:right w:val="single" w:sz="6" w:space="0" w:color="auto"/>
            </w:tcBorders>
            <w:hideMark/>
          </w:tcPr>
          <w:p w14:paraId="1BFA027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Stevens S Smith,​ Michael C Fiore,​ Timothy B Baker 2014 Smoking cessation in smokers who smoke menthol and non-menthol cigarettes.. Addiction (Abingdon,​ England); 109.2107.</w:t>
            </w:r>
          </w:p>
        </w:tc>
      </w:tr>
      <w:tr w:rsidR="007F0AE0" w:rsidRPr="00204223" w14:paraId="7CD8B92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38795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384</w:t>
            </w:r>
          </w:p>
        </w:tc>
        <w:tc>
          <w:tcPr>
            <w:tcW w:w="0" w:type="auto"/>
            <w:tcBorders>
              <w:top w:val="single" w:sz="6" w:space="0" w:color="auto"/>
              <w:left w:val="single" w:sz="6" w:space="0" w:color="auto"/>
              <w:bottom w:val="single" w:sz="6" w:space="0" w:color="auto"/>
              <w:right w:val="single" w:sz="6" w:space="0" w:color="auto"/>
            </w:tcBorders>
            <w:hideMark/>
          </w:tcPr>
          <w:p w14:paraId="4B93B6C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Christine Muench,​ Laura M Juliano 2017 Predictors of smoking lapse during a 48-hour laboratory analogue smoking cessation attempt.. Psychology of addictive behaviors : journal of the Society of Psychologists in Addictive Behaviors; 31.415.</w:t>
            </w:r>
          </w:p>
        </w:tc>
      </w:tr>
      <w:tr w:rsidR="007F0AE0" w:rsidRPr="00204223" w14:paraId="65B801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44067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416</w:t>
            </w:r>
          </w:p>
        </w:tc>
        <w:tc>
          <w:tcPr>
            <w:tcW w:w="0" w:type="auto"/>
            <w:tcBorders>
              <w:top w:val="single" w:sz="6" w:space="0" w:color="auto"/>
              <w:left w:val="single" w:sz="6" w:space="0" w:color="auto"/>
              <w:bottom w:val="single" w:sz="6" w:space="0" w:color="auto"/>
              <w:right w:val="single" w:sz="6" w:space="0" w:color="auto"/>
            </w:tcBorders>
            <w:hideMark/>
          </w:tcPr>
          <w:p w14:paraId="49B9532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Cristine D Delnevo,​ Andrea C Villanti,​ Olivia A Wackowski,​ Daniel A Gundersen,​ Daniel P Giovenco 2016 The influence of menthol,​ e-cigarettes and other tobacco products on young adults' self-reported changes in past year smoking.. Tobacco control; 25.571.</w:t>
            </w:r>
          </w:p>
        </w:tc>
      </w:tr>
      <w:tr w:rsidR="007F0AE0" w:rsidRPr="00204223" w14:paraId="5AA0E5E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1A4DB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452</w:t>
            </w:r>
          </w:p>
        </w:tc>
        <w:tc>
          <w:tcPr>
            <w:tcW w:w="0" w:type="auto"/>
            <w:tcBorders>
              <w:top w:val="single" w:sz="6" w:space="0" w:color="auto"/>
              <w:left w:val="single" w:sz="6" w:space="0" w:color="auto"/>
              <w:bottom w:val="single" w:sz="6" w:space="0" w:color="auto"/>
              <w:right w:val="single" w:sz="6" w:space="0" w:color="auto"/>
            </w:tcBorders>
            <w:hideMark/>
          </w:tcPr>
          <w:p w14:paraId="0F235C8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Pebbles Fagan,​ Pallav Pokhrel,​ Thaddeus A Herzog,​ Ian S Pagano,​ Adrian A Franke,​ Mark S Clanton,​ Linda A Alexander,​ Dennis R Trinidad,​ Kari-Lyn K Sakuma,​ Carl A Johnson,​ Eric T Moolchan 2016 Nicotine Metabolism in Young Adult Daily Menthol and Nonmenthol Smokers.. Nicotine &amp; tobacco research : official journal of the Society for Research on Nicotine and Tobacco; 18.437.</w:t>
            </w:r>
          </w:p>
        </w:tc>
      </w:tr>
      <w:tr w:rsidR="007F0AE0" w:rsidRPr="00204223" w14:paraId="75D36CB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A1BB3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466</w:t>
            </w:r>
          </w:p>
        </w:tc>
        <w:tc>
          <w:tcPr>
            <w:tcW w:w="0" w:type="auto"/>
            <w:tcBorders>
              <w:top w:val="single" w:sz="6" w:space="0" w:color="auto"/>
              <w:left w:val="single" w:sz="6" w:space="0" w:color="auto"/>
              <w:bottom w:val="single" w:sz="6" w:space="0" w:color="auto"/>
              <w:right w:val="single" w:sz="6" w:space="0" w:color="auto"/>
            </w:tcBorders>
            <w:hideMark/>
          </w:tcPr>
          <w:p w14:paraId="7C98326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Minh-Anh H Nguyen,​ Lorraine R Reitzel,​ Darla E Kendzor,​ Michael S Businelle 2015 Perceived cessation treatment effectiveness,​ medication preferences,​ and barriers to quitting among light and moderate/heavy homeless smokers.. Drug and alcohol dependence; 153.341.</w:t>
            </w:r>
          </w:p>
        </w:tc>
      </w:tr>
      <w:tr w:rsidR="007F0AE0" w:rsidRPr="00204223" w14:paraId="081CDE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AFDAE1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468</w:t>
            </w:r>
          </w:p>
        </w:tc>
        <w:tc>
          <w:tcPr>
            <w:tcW w:w="0" w:type="auto"/>
            <w:tcBorders>
              <w:top w:val="single" w:sz="6" w:space="0" w:color="auto"/>
              <w:left w:val="single" w:sz="6" w:space="0" w:color="auto"/>
              <w:bottom w:val="single" w:sz="6" w:space="0" w:color="auto"/>
              <w:right w:val="single" w:sz="6" w:space="0" w:color="auto"/>
            </w:tcBorders>
            <w:hideMark/>
          </w:tcPr>
          <w:p w14:paraId="010DC3C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Cheryl Oncken,​ Richard Feinn,​ Jonathan Covault,​ Valerie Duffy,​ Ellen Dornelas,​ Henry R Kranzler,​ Heather Z Sankey 2015 Genetic Vulnerability to Menthol Cigarette Preference in Women.. Nicotine &amp; tobacco research : official journal of the Society for Research on Nicotine and Tobacco; 17.1416.</w:t>
            </w:r>
          </w:p>
        </w:tc>
      </w:tr>
      <w:tr w:rsidR="007F0AE0" w:rsidRPr="00204223" w14:paraId="3580BF5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69B02D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470</w:t>
            </w:r>
          </w:p>
        </w:tc>
        <w:tc>
          <w:tcPr>
            <w:tcW w:w="0" w:type="auto"/>
            <w:tcBorders>
              <w:top w:val="single" w:sz="6" w:space="0" w:color="auto"/>
              <w:left w:val="single" w:sz="6" w:space="0" w:color="auto"/>
              <w:bottom w:val="single" w:sz="6" w:space="0" w:color="auto"/>
              <w:right w:val="single" w:sz="6" w:space="0" w:color="auto"/>
            </w:tcBorders>
            <w:hideMark/>
          </w:tcPr>
          <w:p w14:paraId="13C9885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Pebbles Fagan,​ Pallav Pohkrel,​ Thaddeus Herzog,​ Ian Pagano,​ Donna Vallone,​ Dennis R Trinidad,​ Kari-Lyn Sakuma,​ Kymberle Sterling,​ Craig S Fryer,​ Eric Moolchan 2015 Comparisons of three nicotine dependence scales in a multiethnic sample of young adult menthol and non-menthol smokers.. Drug and alcohol dependence; 149.203.</w:t>
            </w:r>
          </w:p>
        </w:tc>
      </w:tr>
      <w:tr w:rsidR="007F0AE0" w:rsidRPr="00204223" w14:paraId="11BE6E8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739FE0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480</w:t>
            </w:r>
          </w:p>
        </w:tc>
        <w:tc>
          <w:tcPr>
            <w:tcW w:w="0" w:type="auto"/>
            <w:tcBorders>
              <w:top w:val="single" w:sz="6" w:space="0" w:color="auto"/>
              <w:left w:val="single" w:sz="6" w:space="0" w:color="auto"/>
              <w:bottom w:val="single" w:sz="6" w:space="0" w:color="auto"/>
              <w:right w:val="single" w:sz="6" w:space="0" w:color="auto"/>
            </w:tcBorders>
            <w:hideMark/>
          </w:tcPr>
          <w:p w14:paraId="76D2D83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Jessica M Rath,​ Andrea C Villanti,​ Valerie F Williams,​ Amanda Richardson,​ Jennifer L Pearson,​ Donna M Vallone 2015 Patterns of Longitudinal Transitions in Menthol Use Among US Young Adult Smokers.. Nicotine &amp; tobacco research : official journal of the Society for Research on Nicotine and Tobacco; 17.839.</w:t>
            </w:r>
          </w:p>
        </w:tc>
      </w:tr>
      <w:tr w:rsidR="007F0AE0" w:rsidRPr="00204223" w14:paraId="618C9F3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A23CA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484</w:t>
            </w:r>
          </w:p>
        </w:tc>
        <w:tc>
          <w:tcPr>
            <w:tcW w:w="0" w:type="auto"/>
            <w:tcBorders>
              <w:top w:val="single" w:sz="6" w:space="0" w:color="auto"/>
              <w:left w:val="single" w:sz="6" w:space="0" w:color="auto"/>
              <w:bottom w:val="single" w:sz="6" w:space="0" w:color="auto"/>
              <w:right w:val="single" w:sz="6" w:space="0" w:color="auto"/>
            </w:tcBorders>
            <w:hideMark/>
          </w:tcPr>
          <w:p w14:paraId="57FEB5A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Yantao Zuo,​ Alexey G Mukhin,​ Sudha Garg,​ Rachid Nazih,​ Frederique M Behm,​ Pradeep K Garg,​ Jed E Rose 2015 Sex-specific effects of cigarette mentholation on brain nicotine accumulation and smoking behavior.. Neuropsychopharmacology : official publication of the American College of Neuropsychopharmacology; 40.884.</w:t>
            </w:r>
          </w:p>
        </w:tc>
      </w:tr>
      <w:tr w:rsidR="007F0AE0" w:rsidRPr="00204223" w14:paraId="2997C1C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C4D40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485</w:t>
            </w:r>
          </w:p>
        </w:tc>
        <w:tc>
          <w:tcPr>
            <w:tcW w:w="0" w:type="auto"/>
            <w:tcBorders>
              <w:top w:val="single" w:sz="6" w:space="0" w:color="auto"/>
              <w:left w:val="single" w:sz="6" w:space="0" w:color="auto"/>
              <w:bottom w:val="single" w:sz="6" w:space="0" w:color="auto"/>
              <w:right w:val="single" w:sz="6" w:space="0" w:color="auto"/>
            </w:tcBorders>
            <w:hideMark/>
          </w:tcPr>
          <w:p w14:paraId="1C05E7B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Kelly C Young-Wolff,​ Norval J 3rd Hickman,​ Romina Kim,​ Kathleen Gali,​ Judith J Prochaska 2015 Correlates and prevalence of menthol cigarette use among adults with serious mental illness.. Nicotine &amp; tobacco research : official journal of the Society for Research on Nicotine and Tobacco; 17.285.</w:t>
            </w:r>
          </w:p>
        </w:tc>
      </w:tr>
      <w:tr w:rsidR="007F0AE0" w:rsidRPr="00204223" w14:paraId="19FB492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F1EF1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490</w:t>
            </w:r>
          </w:p>
        </w:tc>
        <w:tc>
          <w:tcPr>
            <w:tcW w:w="0" w:type="auto"/>
            <w:tcBorders>
              <w:top w:val="single" w:sz="6" w:space="0" w:color="auto"/>
              <w:left w:val="single" w:sz="6" w:space="0" w:color="auto"/>
              <w:bottom w:val="single" w:sz="6" w:space="0" w:color="auto"/>
              <w:right w:val="single" w:sz="6" w:space="0" w:color="auto"/>
            </w:tcBorders>
            <w:hideMark/>
          </w:tcPr>
          <w:p w14:paraId="056F4D7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Gary A Giovino,​ Andrea C Villanti,​ Paul D Mowery,​ Varadan Sevilimedu,​ Raymond S Niaura,​ Donna M Vallone,​ David B Abrams 2015 Differential trends in cigarette smoking in the USA: is menthol slowing progress?.. Tobacco control; 24.28.</w:t>
            </w:r>
          </w:p>
        </w:tc>
      </w:tr>
      <w:tr w:rsidR="007F0AE0" w:rsidRPr="00204223" w14:paraId="7F8AA30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831901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496</w:t>
            </w:r>
          </w:p>
        </w:tc>
        <w:tc>
          <w:tcPr>
            <w:tcW w:w="0" w:type="auto"/>
            <w:tcBorders>
              <w:top w:val="single" w:sz="6" w:space="0" w:color="auto"/>
              <w:left w:val="single" w:sz="6" w:space="0" w:color="auto"/>
              <w:bottom w:val="single" w:sz="6" w:space="0" w:color="auto"/>
              <w:right w:val="single" w:sz="6" w:space="0" w:color="auto"/>
            </w:tcBorders>
            <w:hideMark/>
          </w:tcPr>
          <w:p w14:paraId="0070B98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Geoffrey M Curtin,​ Sandra I Sulsky,​ Cynthia Van Landingham,​ Kristin M Marano,​ Monica J Graves,​ Michael W Ogden,​ James E Swauger 2014 Measures of initiation and progression to increased smoking among current menthol compared to non-menthol cigarette smokers based on data from four U.S. government surveys.. Regulatory toxicology and pharmacology : RTP; 70.446.</w:t>
            </w:r>
          </w:p>
        </w:tc>
      </w:tr>
      <w:tr w:rsidR="007F0AE0" w:rsidRPr="00204223" w14:paraId="3156BA6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9DDAE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498</w:t>
            </w:r>
          </w:p>
        </w:tc>
        <w:tc>
          <w:tcPr>
            <w:tcW w:w="0" w:type="auto"/>
            <w:tcBorders>
              <w:top w:val="single" w:sz="6" w:space="0" w:color="auto"/>
              <w:left w:val="single" w:sz="6" w:space="0" w:color="auto"/>
              <w:bottom w:val="single" w:sz="6" w:space="0" w:color="auto"/>
              <w:right w:val="single" w:sz="6" w:space="0" w:color="auto"/>
            </w:tcBorders>
            <w:hideMark/>
          </w:tcPr>
          <w:p w14:paraId="36E2AEC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Sandra I Sulsky,​ William G Fuller,​ Cynthia Van Landingham,​ Michael W Ogden,​ James E Swauger,​ Geoffrey M Curtin 2014 Evaluating the association between menthol cigarette use and the likelihood of being a former versus current smoker.. Regulatory toxicology and pharmacology : RTP; 70.231.</w:t>
            </w:r>
          </w:p>
        </w:tc>
      </w:tr>
      <w:tr w:rsidR="007F0AE0" w:rsidRPr="00204223" w14:paraId="15FCA5F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739627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500</w:t>
            </w:r>
          </w:p>
        </w:tc>
        <w:tc>
          <w:tcPr>
            <w:tcW w:w="0" w:type="auto"/>
            <w:tcBorders>
              <w:top w:val="single" w:sz="6" w:space="0" w:color="auto"/>
              <w:left w:val="single" w:sz="6" w:space="0" w:color="auto"/>
              <w:bottom w:val="single" w:sz="6" w:space="0" w:color="auto"/>
              <w:right w:val="single" w:sz="6" w:space="0" w:color="auto"/>
            </w:tcBorders>
            <w:hideMark/>
          </w:tcPr>
          <w:p w14:paraId="1F83952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Geoffrey M Curtin,​ Sandra I Sulsky,​ Cynthia Van Landingham,​ Kristin M Marano,​ Monica J Graves,​ Michael W Ogden,​ James E Swauger 2014 Patterns of menthol cigarette use among current smokers,​ overall and within demographic strata,​ based on data from four U.S. government surveys.. Regulatory toxicology and pharmacology : RTP; 70.189.</w:t>
            </w:r>
          </w:p>
        </w:tc>
      </w:tr>
      <w:tr w:rsidR="007F0AE0" w:rsidRPr="00204223" w14:paraId="4FDF1BE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8770D0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501</w:t>
            </w:r>
          </w:p>
        </w:tc>
        <w:tc>
          <w:tcPr>
            <w:tcW w:w="0" w:type="auto"/>
            <w:tcBorders>
              <w:top w:val="single" w:sz="6" w:space="0" w:color="auto"/>
              <w:left w:val="single" w:sz="6" w:space="0" w:color="auto"/>
              <w:bottom w:val="single" w:sz="6" w:space="0" w:color="auto"/>
              <w:right w:val="single" w:sz="6" w:space="0" w:color="auto"/>
            </w:tcBorders>
            <w:hideMark/>
          </w:tcPr>
          <w:p w14:paraId="2A3BB6C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Karin A Kasza,​ Andrew J Hyland,​ Maansi Bansal-Travers,​ Lisa M Vogl,​ Jiping Chen,​ Sarah E Evans,​ Geoffrey T Fong,​ Kenneth Michael Cummings,​ Richard J O'Connor 2014 Switching between menthol and nonmenthol cigarettes: findings from the U.S. Cohort of the International Tobacco Control Four Country Survey.. Nicotine &amp; tobacco research : official journal of the Society for Research on Nicotine and Tobacco; 16.1255.</w:t>
            </w:r>
          </w:p>
        </w:tc>
      </w:tr>
      <w:tr w:rsidR="007F0AE0" w:rsidRPr="00204223" w14:paraId="796856D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D3F18B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504</w:t>
            </w:r>
          </w:p>
        </w:tc>
        <w:tc>
          <w:tcPr>
            <w:tcW w:w="0" w:type="auto"/>
            <w:tcBorders>
              <w:top w:val="single" w:sz="6" w:space="0" w:color="auto"/>
              <w:left w:val="single" w:sz="6" w:space="0" w:color="auto"/>
              <w:bottom w:val="single" w:sz="6" w:space="0" w:color="auto"/>
              <w:right w:val="single" w:sz="6" w:space="0" w:color="auto"/>
            </w:tcBorders>
            <w:hideMark/>
          </w:tcPr>
          <w:p w14:paraId="38A3A7C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Geoffrey M Curtin,​ Sandra I Sulsky,​ Cynthia Van Landingham,​ Kristin M Marano,​ Monica J Graves,​ Michael W Ogden,​ James E Swauger 2014 Primary measures of dependence among menthol compared to non-menthol cigarette smokers in the United States.. Regulatory toxicology and pharmacology : RTP; 69.451.</w:t>
            </w:r>
          </w:p>
        </w:tc>
      </w:tr>
      <w:tr w:rsidR="007F0AE0" w:rsidRPr="00204223" w14:paraId="1523FE3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2D8058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506</w:t>
            </w:r>
          </w:p>
        </w:tc>
        <w:tc>
          <w:tcPr>
            <w:tcW w:w="0" w:type="auto"/>
            <w:tcBorders>
              <w:top w:val="single" w:sz="6" w:space="0" w:color="auto"/>
              <w:left w:val="single" w:sz="6" w:space="0" w:color="auto"/>
              <w:bottom w:val="single" w:sz="6" w:space="0" w:color="auto"/>
              <w:right w:val="single" w:sz="6" w:space="0" w:color="auto"/>
            </w:tcBorders>
            <w:hideMark/>
          </w:tcPr>
          <w:p w14:paraId="2459692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Michael Lewis,​ Yanwen Wang,​ Carla J Berg 2014 Tobacco control environment in the United States and individual consumer characteristics in relation to continued smoking: differential responses among menthol smokers?.. Preventive medicine; 65.47.</w:t>
            </w:r>
          </w:p>
        </w:tc>
      </w:tr>
      <w:tr w:rsidR="007F0AE0" w:rsidRPr="00204223" w14:paraId="4B67D8B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0DB95C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507</w:t>
            </w:r>
          </w:p>
        </w:tc>
        <w:tc>
          <w:tcPr>
            <w:tcW w:w="0" w:type="auto"/>
            <w:tcBorders>
              <w:top w:val="single" w:sz="6" w:space="0" w:color="auto"/>
              <w:left w:val="single" w:sz="6" w:space="0" w:color="auto"/>
              <w:bottom w:val="single" w:sz="6" w:space="0" w:color="auto"/>
              <w:right w:val="single" w:sz="6" w:space="0" w:color="auto"/>
            </w:tcBorders>
            <w:hideMark/>
          </w:tcPr>
          <w:p w14:paraId="230D2C4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Kimberly Frost-Pineda,​ Raheema Muhammad-Kah,​ Lonnie Rimmer,​ Qiwei Liang 2014 Predictors,​ indicators,​ and validated measures of dependence in menthol smokers.. Journal of addictive diseases; 33.94.</w:t>
            </w:r>
          </w:p>
        </w:tc>
      </w:tr>
      <w:tr w:rsidR="007F0AE0" w:rsidRPr="00204223" w14:paraId="1A73383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F0A35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512</w:t>
            </w:r>
          </w:p>
        </w:tc>
        <w:tc>
          <w:tcPr>
            <w:tcW w:w="0" w:type="auto"/>
            <w:tcBorders>
              <w:top w:val="single" w:sz="6" w:space="0" w:color="auto"/>
              <w:left w:val="single" w:sz="6" w:space="0" w:color="auto"/>
              <w:bottom w:val="single" w:sz="6" w:space="0" w:color="auto"/>
              <w:right w:val="single" w:sz="6" w:space="0" w:color="auto"/>
            </w:tcBorders>
            <w:hideMark/>
          </w:tcPr>
          <w:p w14:paraId="4FB629E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Ken Resnicow,​ Yan Zhou,​ Taneisha S Scheuermann,​ Nicole L Nollen,​ Jasjit S Ahluwalia 2014 Unplanned quitting in a triethnic sample of U.S. smokers.. Nicotine &amp; tobacco research : official journal of the Society for Research on Nicotine and Tobacco; 16.759.</w:t>
            </w:r>
          </w:p>
        </w:tc>
      </w:tr>
      <w:tr w:rsidR="007F0AE0" w:rsidRPr="00204223" w14:paraId="7AE83D4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140B55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515</w:t>
            </w:r>
          </w:p>
        </w:tc>
        <w:tc>
          <w:tcPr>
            <w:tcW w:w="0" w:type="auto"/>
            <w:tcBorders>
              <w:top w:val="single" w:sz="6" w:space="0" w:color="auto"/>
              <w:left w:val="single" w:sz="6" w:space="0" w:color="auto"/>
              <w:bottom w:val="single" w:sz="6" w:space="0" w:color="auto"/>
              <w:right w:val="single" w:sz="6" w:space="0" w:color="auto"/>
            </w:tcBorders>
            <w:hideMark/>
          </w:tcPr>
          <w:p w14:paraId="3A7A24F2"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Ram B Jain 2014 Trends in serum cotinine concentrations among daily cigarette smokers: data from NHANES 1999-2010.. The Science of the total environment; 472.72.</w:t>
            </w:r>
          </w:p>
        </w:tc>
      </w:tr>
      <w:tr w:rsidR="007F0AE0" w:rsidRPr="00204223" w14:paraId="2D903B9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8436D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516</w:t>
            </w:r>
          </w:p>
        </w:tc>
        <w:tc>
          <w:tcPr>
            <w:tcW w:w="0" w:type="auto"/>
            <w:tcBorders>
              <w:top w:val="single" w:sz="6" w:space="0" w:color="auto"/>
              <w:left w:val="single" w:sz="6" w:space="0" w:color="auto"/>
              <w:bottom w:val="single" w:sz="6" w:space="0" w:color="auto"/>
              <w:right w:val="single" w:sz="6" w:space="0" w:color="auto"/>
            </w:tcBorders>
            <w:hideMark/>
          </w:tcPr>
          <w:p w14:paraId="7D39CD9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Alana M Rojewski,​ Benjamin A Toll,​ Stephanie S O'Malley 2014 Menthol cigarette use predicts treatment outcomes of weight-concerned smokers.. Nicotine &amp; tobacco research : official journal of the Society for Research on Nicotine and Tobacco; 16.115.</w:t>
            </w:r>
          </w:p>
        </w:tc>
      </w:tr>
      <w:tr w:rsidR="007F0AE0" w:rsidRPr="00204223" w14:paraId="613A1FA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4B233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518</w:t>
            </w:r>
          </w:p>
        </w:tc>
        <w:tc>
          <w:tcPr>
            <w:tcW w:w="0" w:type="auto"/>
            <w:tcBorders>
              <w:top w:val="single" w:sz="6" w:space="0" w:color="auto"/>
              <w:left w:val="single" w:sz="6" w:space="0" w:color="auto"/>
              <w:bottom w:val="single" w:sz="6" w:space="0" w:color="auto"/>
              <w:right w:val="single" w:sz="6" w:space="0" w:color="auto"/>
            </w:tcBorders>
            <w:hideMark/>
          </w:tcPr>
          <w:p w14:paraId="0A93C00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Norval J 3rd Hickman,​ Kevin L Delucchi,​ Judith J Prochaska 2014 Menthol use among smokers with psychological distress: findings from the 2008 and 2009 National Survey on Drug Use and Health.. Tobacco control; 23.7.</w:t>
            </w:r>
          </w:p>
        </w:tc>
      </w:tr>
      <w:tr w:rsidR="007F0AE0" w:rsidRPr="00204223" w14:paraId="1F19BEF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DD77C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520</w:t>
            </w:r>
          </w:p>
        </w:tc>
        <w:tc>
          <w:tcPr>
            <w:tcW w:w="0" w:type="auto"/>
            <w:tcBorders>
              <w:top w:val="single" w:sz="6" w:space="0" w:color="auto"/>
              <w:left w:val="single" w:sz="6" w:space="0" w:color="auto"/>
              <w:bottom w:val="single" w:sz="6" w:space="0" w:color="auto"/>
              <w:right w:val="single" w:sz="6" w:space="0" w:color="auto"/>
            </w:tcBorders>
            <w:hideMark/>
          </w:tcPr>
          <w:p w14:paraId="0449D26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Theresa M Winhusen,​ Bryon Adinoff,​ Daniel F Lewis,​ Gregory S Brigham,​ John G 2nd Gardin,​ Susan C Sonne,​ Jeff Theobald,​ Udi Ghitza 2013 A tale of two stimulants: mentholated cigarettes may play a role in cocaine,​ but not methamphetamine,​ dependence.. Drug and alcohol dependence; 133.845.</w:t>
            </w:r>
          </w:p>
        </w:tc>
      </w:tr>
      <w:tr w:rsidR="007F0AE0" w:rsidRPr="00204223" w14:paraId="66E9521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9BEF14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524</w:t>
            </w:r>
          </w:p>
        </w:tc>
        <w:tc>
          <w:tcPr>
            <w:tcW w:w="0" w:type="auto"/>
            <w:tcBorders>
              <w:top w:val="single" w:sz="6" w:space="0" w:color="auto"/>
              <w:left w:val="single" w:sz="6" w:space="0" w:color="auto"/>
              <w:bottom w:val="single" w:sz="6" w:space="0" w:color="auto"/>
              <w:right w:val="single" w:sz="6" w:space="0" w:color="auto"/>
            </w:tcBorders>
            <w:hideMark/>
          </w:tcPr>
          <w:p w14:paraId="6D3A0BF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Lorraine R Reitzel,​ Carol J Etzel,​ Yumei Cao,​ Kolawole S Okuyemi,​ Jasjit S Ahluwalia 2013 Associations of menthol use with motivation and confidence to quit smoking.. American journal of health behavior; 37.629.</w:t>
            </w:r>
          </w:p>
        </w:tc>
      </w:tr>
      <w:tr w:rsidR="007F0AE0" w:rsidRPr="00204223" w14:paraId="50CA0D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FFF8DC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529</w:t>
            </w:r>
          </w:p>
        </w:tc>
        <w:tc>
          <w:tcPr>
            <w:tcW w:w="0" w:type="auto"/>
            <w:tcBorders>
              <w:top w:val="single" w:sz="6" w:space="0" w:color="auto"/>
              <w:left w:val="single" w:sz="6" w:space="0" w:color="auto"/>
              <w:bottom w:val="single" w:sz="6" w:space="0" w:color="auto"/>
              <w:right w:val="single" w:sz="6" w:space="0" w:color="auto"/>
            </w:tcBorders>
            <w:hideMark/>
          </w:tcPr>
          <w:p w14:paraId="29EEFF6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Grace Kong,​ Nisha Singh,​ Deepa Camenga,​ Dana Cavallo,​ Suchitra Krishnan-Sarin 2013 Menthol cigarette and marijuana use among adolescents.. Nicotine &amp; tobacco research : official journal of the Society for Research on Nicotine and Tobacco; 15.2094.</w:t>
            </w:r>
          </w:p>
        </w:tc>
      </w:tr>
      <w:tr w:rsidR="007F0AE0" w:rsidRPr="00204223" w14:paraId="7655580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79BE3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536</w:t>
            </w:r>
          </w:p>
        </w:tc>
        <w:tc>
          <w:tcPr>
            <w:tcW w:w="0" w:type="auto"/>
            <w:tcBorders>
              <w:top w:val="single" w:sz="6" w:space="0" w:color="auto"/>
              <w:left w:val="single" w:sz="6" w:space="0" w:color="auto"/>
              <w:bottom w:val="single" w:sz="6" w:space="0" w:color="auto"/>
              <w:right w:val="single" w:sz="6" w:space="0" w:color="auto"/>
            </w:tcBorders>
            <w:hideMark/>
          </w:tcPr>
          <w:p w14:paraId="43823C6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Lorraine R Reitzel,​ Yisheng Li,​ Diana W Stewart,​ Yumei Cao,​ David W Wetter,​ Andrew J Waters,​ Jennifer I Vidrine 2013 Race moderates the effect of menthol cigarette use on short-term smoking abstinence.. Nicotine &amp; tobacco research : official journal of the Society for Research on Nicotine and Tobacco; 15.883.</w:t>
            </w:r>
          </w:p>
        </w:tc>
      </w:tr>
      <w:tr w:rsidR="007F0AE0" w:rsidRPr="00204223" w14:paraId="740E9F2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31FA98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538</w:t>
            </w:r>
          </w:p>
        </w:tc>
        <w:tc>
          <w:tcPr>
            <w:tcW w:w="0" w:type="auto"/>
            <w:tcBorders>
              <w:top w:val="single" w:sz="6" w:space="0" w:color="auto"/>
              <w:left w:val="single" w:sz="6" w:space="0" w:color="auto"/>
              <w:bottom w:val="single" w:sz="6" w:space="0" w:color="auto"/>
              <w:right w:val="single" w:sz="6" w:space="0" w:color="auto"/>
            </w:tcBorders>
            <w:hideMark/>
          </w:tcPr>
          <w:p w14:paraId="30B6E8D2"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Babalola Faseru,​ Nicole L Nollen,​ Matthew S Mayo,​ Ron Krebill,​ Won S Choi,​ Neal L Benowitz,​ Rachel F Tyndale,​ Kolawole S Okuyemi,​ Jasjit S Ahluwalia,​ Lisa Sanderson Cox 2013 Predictors of cessation in African American light smokers enrolled in a bupropion clinical trial.. Addictive behaviors; 38.1796.</w:t>
            </w:r>
          </w:p>
        </w:tc>
      </w:tr>
      <w:tr w:rsidR="007F0AE0" w:rsidRPr="00204223" w14:paraId="750EE3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FC4CF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539</w:t>
            </w:r>
          </w:p>
        </w:tc>
        <w:tc>
          <w:tcPr>
            <w:tcW w:w="0" w:type="auto"/>
            <w:tcBorders>
              <w:top w:val="single" w:sz="6" w:space="0" w:color="auto"/>
              <w:left w:val="single" w:sz="6" w:space="0" w:color="auto"/>
              <w:bottom w:val="single" w:sz="6" w:space="0" w:color="auto"/>
              <w:right w:val="single" w:sz="6" w:space="0" w:color="auto"/>
            </w:tcBorders>
            <w:hideMark/>
          </w:tcPr>
          <w:p w14:paraId="3D22A48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Miranda R Jones,​ Benjamin J Apelberg,​ Maria Tellez-Plaza,​ Jonathan M Samet,​ Ana Navas-Acien 2013 Menthol cigarettes,​ race/ethnicity,​ and biomarkers of tobacco use in U.S. adults: the 1999-2010 National Health and Nutrition Examination Survey (NHANES).. Cancer epidemiology,​ biomarkers &amp; prevention : a publication of the American Association for Cancer Research,​ cosponsored by the American Society of Preventive Oncology; 22.224.</w:t>
            </w:r>
          </w:p>
        </w:tc>
      </w:tr>
      <w:tr w:rsidR="007F0AE0" w:rsidRPr="00204223" w14:paraId="7DFB576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745121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540</w:t>
            </w:r>
          </w:p>
        </w:tc>
        <w:tc>
          <w:tcPr>
            <w:tcW w:w="0" w:type="auto"/>
            <w:tcBorders>
              <w:top w:val="single" w:sz="6" w:space="0" w:color="auto"/>
              <w:left w:val="single" w:sz="6" w:space="0" w:color="auto"/>
              <w:bottom w:val="single" w:sz="6" w:space="0" w:color="auto"/>
              <w:right w:val="single" w:sz="6" w:space="0" w:color="auto"/>
            </w:tcBorders>
            <w:hideMark/>
          </w:tcPr>
          <w:p w14:paraId="0FD51E62"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Miranda R Jones,​ Benjamin J Apelberg,​ Jonathan M Samet,​ Ana Navas-Acien 2013 Smoking,​ menthol cigarettes,​ and peripheral artery disease in U.S. adults.. Nicotine &amp; tobacco research : official journal of the Society for Research on Nicotine and Tobacco; 15.1183.</w:t>
            </w:r>
          </w:p>
        </w:tc>
      </w:tr>
      <w:tr w:rsidR="007F0AE0" w:rsidRPr="00204223" w14:paraId="3E9BFF9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E545D3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541</w:t>
            </w:r>
          </w:p>
        </w:tc>
        <w:tc>
          <w:tcPr>
            <w:tcW w:w="0" w:type="auto"/>
            <w:tcBorders>
              <w:top w:val="single" w:sz="6" w:space="0" w:color="auto"/>
              <w:left w:val="single" w:sz="6" w:space="0" w:color="auto"/>
              <w:bottom w:val="single" w:sz="6" w:space="0" w:color="auto"/>
              <w:right w:val="single" w:sz="6" w:space="0" w:color="auto"/>
            </w:tcBorders>
            <w:hideMark/>
          </w:tcPr>
          <w:p w14:paraId="7589B2C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Arthur L Brody,​ Alexey G Mukhin,​ Jaime La Charite,​ Karen Ta,​ Judah Farahi,​ Catherine A Sugar,​ Michael S Mamoun,​ Evan Vellios,​ Meena Archie,​ Maggie Kozman,​ Jonathan Phuong,​ Franca Arlorio,​ Mark A Mandelkern 2013 Up-regulation of nicotinic acetylcholine receptors in menthol cigarette smokers.. The international journal of neuropsychopharmacology; 16.957.</w:t>
            </w:r>
          </w:p>
        </w:tc>
      </w:tr>
      <w:tr w:rsidR="007F0AE0" w:rsidRPr="00204223" w14:paraId="673DA01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1A91D6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544</w:t>
            </w:r>
          </w:p>
        </w:tc>
        <w:tc>
          <w:tcPr>
            <w:tcW w:w="0" w:type="auto"/>
            <w:tcBorders>
              <w:top w:val="single" w:sz="6" w:space="0" w:color="auto"/>
              <w:left w:val="single" w:sz="6" w:space="0" w:color="auto"/>
              <w:bottom w:val="single" w:sz="6" w:space="0" w:color="auto"/>
              <w:right w:val="single" w:sz="6" w:space="0" w:color="auto"/>
            </w:tcBorders>
            <w:hideMark/>
          </w:tcPr>
          <w:p w14:paraId="4FD987D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Brian Rostron 2013 NNAL exposure by race and menthol cigarette use among U.S. smokers.. Nicotine &amp; tobacco research : official journal of the Society for Research on Nicotine and Tobacco; 15.950.</w:t>
            </w:r>
          </w:p>
        </w:tc>
      </w:tr>
      <w:tr w:rsidR="007F0AE0" w:rsidRPr="00204223" w14:paraId="403368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232AAB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546</w:t>
            </w:r>
          </w:p>
        </w:tc>
        <w:tc>
          <w:tcPr>
            <w:tcW w:w="0" w:type="auto"/>
            <w:tcBorders>
              <w:top w:val="single" w:sz="6" w:space="0" w:color="auto"/>
              <w:left w:val="single" w:sz="6" w:space="0" w:color="auto"/>
              <w:bottom w:val="single" w:sz="6" w:space="0" w:color="auto"/>
              <w:right w:val="single" w:sz="6" w:space="0" w:color="auto"/>
            </w:tcBorders>
            <w:hideMark/>
          </w:tcPr>
          <w:p w14:paraId="2CCC99C2"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James Nonnemaker,​ James Hersey,​ Ghada Homsi,​ Andrew Busey,​ Jane Allen,​ Donna Vallone 2013 Initiation with menthol cigarettes and youth smoking uptake.. Addiction (Abingdon,​ England); 108.171.</w:t>
            </w:r>
          </w:p>
        </w:tc>
      </w:tr>
      <w:tr w:rsidR="007F0AE0" w:rsidRPr="00204223" w14:paraId="6F0106D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F3A7D0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550</w:t>
            </w:r>
          </w:p>
        </w:tc>
        <w:tc>
          <w:tcPr>
            <w:tcW w:w="0" w:type="auto"/>
            <w:tcBorders>
              <w:top w:val="single" w:sz="6" w:space="0" w:color="auto"/>
              <w:left w:val="single" w:sz="6" w:space="0" w:color="auto"/>
              <w:bottom w:val="single" w:sz="6" w:space="0" w:color="auto"/>
              <w:right w:val="single" w:sz="6" w:space="0" w:color="auto"/>
            </w:tcBorders>
            <w:hideMark/>
          </w:tcPr>
          <w:p w14:paraId="51DB8EC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Joanne D'Silva,​ Raymond G Boyle,​ Rebecca Lien,​ Peter Rode,​ Kolawole S Okuyemi 2012 Cessation outcomes among treatment-seeking menthol and nonmenthol smokers.. American journal of preventive medicine; 43.S242.</w:t>
            </w:r>
          </w:p>
        </w:tc>
      </w:tr>
      <w:tr w:rsidR="007F0AE0" w:rsidRPr="00204223" w14:paraId="661B25B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5712A5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552</w:t>
            </w:r>
          </w:p>
        </w:tc>
        <w:tc>
          <w:tcPr>
            <w:tcW w:w="0" w:type="auto"/>
            <w:tcBorders>
              <w:top w:val="single" w:sz="6" w:space="0" w:color="auto"/>
              <w:left w:val="single" w:sz="6" w:space="0" w:color="auto"/>
              <w:bottom w:val="single" w:sz="6" w:space="0" w:color="auto"/>
              <w:right w:val="single" w:sz="6" w:space="0" w:color="auto"/>
            </w:tcBorders>
            <w:hideMark/>
          </w:tcPr>
          <w:p w14:paraId="3171642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Jennifer L Pearson,​ David B Abrams,​ Raymond S Niaura,​ Amanda Richardson,​ Donna M Vallone 2012 A ban on menthol cigarettes: impact on public opinion and smokers' intention to quit.. American journal of public health; 102.e107.</w:t>
            </w:r>
          </w:p>
        </w:tc>
      </w:tr>
      <w:tr w:rsidR="007F0AE0" w:rsidRPr="00204223" w14:paraId="35DB3AC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83EF7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560</w:t>
            </w:r>
          </w:p>
        </w:tc>
        <w:tc>
          <w:tcPr>
            <w:tcW w:w="0" w:type="auto"/>
            <w:tcBorders>
              <w:top w:val="single" w:sz="6" w:space="0" w:color="auto"/>
              <w:left w:val="single" w:sz="6" w:space="0" w:color="auto"/>
              <w:bottom w:val="single" w:sz="6" w:space="0" w:color="auto"/>
              <w:right w:val="single" w:sz="6" w:space="0" w:color="auto"/>
            </w:tcBorders>
            <w:hideMark/>
          </w:tcPr>
          <w:p w14:paraId="7286BBB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Andrea C Villanti,​ Gary A Giovino,​ Dianne C Barker,​ Paul D Mowery,​ Varadan Sevilimedu,​ David B Abrams 2012 Menthol brand switching among adolescents and young adults in the National Youth Smoking Cessation Survey.. American journal of public health; 102.1310.</w:t>
            </w:r>
          </w:p>
        </w:tc>
      </w:tr>
      <w:tr w:rsidR="007F0AE0" w:rsidRPr="00204223" w14:paraId="11271A0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6A0D0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565</w:t>
            </w:r>
          </w:p>
        </w:tc>
        <w:tc>
          <w:tcPr>
            <w:tcW w:w="0" w:type="auto"/>
            <w:tcBorders>
              <w:top w:val="single" w:sz="6" w:space="0" w:color="auto"/>
              <w:left w:val="single" w:sz="6" w:space="0" w:color="auto"/>
              <w:bottom w:val="single" w:sz="6" w:space="0" w:color="auto"/>
              <w:right w:val="single" w:sz="6" w:space="0" w:color="auto"/>
            </w:tcBorders>
            <w:hideMark/>
          </w:tcPr>
          <w:p w14:paraId="1D81A1C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Richard J O'Connor,​ Maansi Bansal-Travers,​ Lawrence P Carter,​ K Michael Cummings 2012 What would menthol smokers do if menthol in cigarettes were banned? Behavioral intentions and simulated demand.. Addiction (Abingdon,​ England); 107.1330.</w:t>
            </w:r>
          </w:p>
        </w:tc>
      </w:tr>
      <w:tr w:rsidR="007F0AE0" w:rsidRPr="00204223" w14:paraId="6E991BA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41EE2E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569</w:t>
            </w:r>
          </w:p>
        </w:tc>
        <w:tc>
          <w:tcPr>
            <w:tcW w:w="0" w:type="auto"/>
            <w:tcBorders>
              <w:top w:val="single" w:sz="6" w:space="0" w:color="auto"/>
              <w:left w:val="single" w:sz="6" w:space="0" w:color="auto"/>
              <w:bottom w:val="single" w:sz="6" w:space="0" w:color="auto"/>
              <w:right w:val="single" w:sz="6" w:space="0" w:color="auto"/>
            </w:tcBorders>
            <w:hideMark/>
          </w:tcPr>
          <w:p w14:paraId="4FF46A2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Brian Rostron 2012 Lung cancer mortality risk for U.S. menthol cigarette smokers.. Nicotine &amp; tobacco research : official journal of the Society for Research on Nicotine and Tobacco; 14.1140.</w:t>
            </w:r>
          </w:p>
        </w:tc>
      </w:tr>
      <w:tr w:rsidR="007F0AE0" w:rsidRPr="00204223" w14:paraId="7593DD9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C6CC6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578</w:t>
            </w:r>
          </w:p>
        </w:tc>
        <w:tc>
          <w:tcPr>
            <w:tcW w:w="0" w:type="auto"/>
            <w:tcBorders>
              <w:top w:val="single" w:sz="6" w:space="0" w:color="auto"/>
              <w:left w:val="single" w:sz="6" w:space="0" w:color="auto"/>
              <w:bottom w:val="single" w:sz="6" w:space="0" w:color="auto"/>
              <w:right w:val="single" w:sz="6" w:space="0" w:color="auto"/>
            </w:tcBorders>
            <w:hideMark/>
          </w:tcPr>
          <w:p w14:paraId="1F9D6E0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Jennifer W Kahende,​ Ann M Malarcher,​ Anna Teplinskaya,​ Kat J Asman 2011 Quit attempt correlates among smokers by race/ethnicity.. International journal of environmental research and public health; 8.3871.</w:t>
            </w:r>
          </w:p>
        </w:tc>
      </w:tr>
      <w:tr w:rsidR="007F0AE0" w:rsidRPr="00204223" w14:paraId="13D45DC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A9A84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579</w:t>
            </w:r>
          </w:p>
        </w:tc>
        <w:tc>
          <w:tcPr>
            <w:tcW w:w="0" w:type="auto"/>
            <w:tcBorders>
              <w:top w:val="single" w:sz="6" w:space="0" w:color="auto"/>
              <w:left w:val="single" w:sz="6" w:space="0" w:color="auto"/>
              <w:bottom w:val="single" w:sz="6" w:space="0" w:color="auto"/>
              <w:right w:val="single" w:sz="6" w:space="0" w:color="auto"/>
            </w:tcBorders>
            <w:hideMark/>
          </w:tcPr>
          <w:p w14:paraId="3BAA6AE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Cristine D Delnevo,​ Daniel A Gundersen,​ Mary Hrywna,​ Sandra E Echeverria,​ Michael B Steinberg 2011 Smoking-cessation prevalence among U.S. smokers of menthol versus non-menthol cigarettes.. American journal of preventive medicine; 41.357.</w:t>
            </w:r>
          </w:p>
        </w:tc>
      </w:tr>
      <w:tr w:rsidR="007F0AE0" w:rsidRPr="00204223" w14:paraId="7A4CEB1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51ECC7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582</w:t>
            </w:r>
          </w:p>
        </w:tc>
        <w:tc>
          <w:tcPr>
            <w:tcW w:w="0" w:type="auto"/>
            <w:tcBorders>
              <w:top w:val="single" w:sz="6" w:space="0" w:color="auto"/>
              <w:left w:val="single" w:sz="6" w:space="0" w:color="auto"/>
              <w:bottom w:val="single" w:sz="6" w:space="0" w:color="auto"/>
              <w:right w:val="single" w:sz="6" w:space="0" w:color="auto"/>
            </w:tcBorders>
            <w:hideMark/>
          </w:tcPr>
          <w:p w14:paraId="1998143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Babalola Faseru,​ Won S Choi,​ Ron Krebill,​ Matthew S Mayo,​ Nicole L Nollen,​ Kolawole S Okuyemi,​ Jasjit S Ahluwalia,​ Lisa Sanderson Cox 2011 Factors associated with smoking menthol cigarettes among treatment-seeking African American light smokers.. Addictive behaviors; 36.1321.</w:t>
            </w:r>
          </w:p>
        </w:tc>
      </w:tr>
      <w:tr w:rsidR="007F0AE0" w:rsidRPr="00204223" w14:paraId="0979DA3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3E361B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588</w:t>
            </w:r>
          </w:p>
        </w:tc>
        <w:tc>
          <w:tcPr>
            <w:tcW w:w="0" w:type="auto"/>
            <w:tcBorders>
              <w:top w:val="single" w:sz="6" w:space="0" w:color="auto"/>
              <w:left w:val="single" w:sz="6" w:space="0" w:color="auto"/>
              <w:bottom w:val="single" w:sz="6" w:space="0" w:color="auto"/>
              <w:right w:val="single" w:sz="6" w:space="0" w:color="auto"/>
            </w:tcBorders>
            <w:hideMark/>
          </w:tcPr>
          <w:p w14:paraId="75278DD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Lorraine R Reitzel,​ Nga Nguyen,​ Yumei Cao,​ Jennifer Irvin Vidrine,​ Patricia Daza,​ Patricia Dolan Mullen,​ Mary M Velasquez,​ Yisheng Li,​ Paul M Cinciripini,​ Ludmila Cofta-Woerpel,​ David W Wetter 2011 Race/ethnicity moderates the effect of prepartum menthol cigarette use on postpartum smoking abstinence.. Nicotine &amp; tobacco research : official journal of the Society for Research on Nicotine and Tobacco; 13.1305.</w:t>
            </w:r>
          </w:p>
        </w:tc>
      </w:tr>
      <w:tr w:rsidR="007F0AE0" w:rsidRPr="00204223" w14:paraId="75CC2FE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B5006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591</w:t>
            </w:r>
          </w:p>
        </w:tc>
        <w:tc>
          <w:tcPr>
            <w:tcW w:w="0" w:type="auto"/>
            <w:tcBorders>
              <w:top w:val="single" w:sz="6" w:space="0" w:color="auto"/>
              <w:left w:val="single" w:sz="6" w:space="0" w:color="auto"/>
              <w:bottom w:val="single" w:sz="6" w:space="0" w:color="auto"/>
              <w:right w:val="single" w:sz="6" w:space="0" w:color="auto"/>
            </w:tcBorders>
            <w:hideMark/>
          </w:tcPr>
          <w:p w14:paraId="14DCCDB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David T Levy,​ Kenneth Blackman,​ John Tauras,​ Frank J Chaloupka,​ Andrea C Villanti,​ Raymond S Niaura,​ Donna M Vallone,​ David B Abrams 2011 Quit attempts and quit rates among menthol and nonmenthol smokers in the United States.. American journal of public health; 101.1241.</w:t>
            </w:r>
          </w:p>
        </w:tc>
      </w:tr>
      <w:tr w:rsidR="007F0AE0" w:rsidRPr="00204223" w14:paraId="78AB641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56B5F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592</w:t>
            </w:r>
          </w:p>
        </w:tc>
        <w:tc>
          <w:tcPr>
            <w:tcW w:w="0" w:type="auto"/>
            <w:tcBorders>
              <w:top w:val="single" w:sz="6" w:space="0" w:color="auto"/>
              <w:left w:val="single" w:sz="6" w:space="0" w:color="auto"/>
              <w:bottom w:val="single" w:sz="6" w:space="0" w:color="auto"/>
              <w:right w:val="single" w:sz="6" w:space="0" w:color="auto"/>
            </w:tcBorders>
            <w:hideMark/>
          </w:tcPr>
          <w:p w14:paraId="5A909B8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Neal L Benowitz,​ Katherine M Dains,​ Delia Dempsey,​ Margaret Wilson,​ Peyton Jacob 2011 Racial differences in the relationship between number of cigarettes smoked and nicotine and carcinogen exposure.. Nicotine &amp; tobacco research : official journal of the Society for Research on Nicotine and Tobacco; 13.772.</w:t>
            </w:r>
          </w:p>
        </w:tc>
      </w:tr>
      <w:tr w:rsidR="007F0AE0" w:rsidRPr="00204223" w14:paraId="0CBC8F7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22C4662"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598</w:t>
            </w:r>
          </w:p>
        </w:tc>
        <w:tc>
          <w:tcPr>
            <w:tcW w:w="0" w:type="auto"/>
            <w:tcBorders>
              <w:top w:val="single" w:sz="6" w:space="0" w:color="auto"/>
              <w:left w:val="single" w:sz="6" w:space="0" w:color="auto"/>
              <w:bottom w:val="single" w:sz="6" w:space="0" w:color="auto"/>
              <w:right w:val="single" w:sz="6" w:space="0" w:color="auto"/>
            </w:tcBorders>
            <w:hideMark/>
          </w:tcPr>
          <w:p w14:paraId="5795111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William J Blot,​ Sarah S Cohen,​ Melinda Aldrich,​ Joseph K McLaughlin,​ Margaret K Hargreaves,​ Lisa B Signorello 2011 Lung cancer risk among smokers of menthol cigarettes.. Journal of the National Cancer Institute; 103.810.</w:t>
            </w:r>
          </w:p>
        </w:tc>
      </w:tr>
      <w:tr w:rsidR="007F0AE0" w:rsidRPr="00204223" w14:paraId="2A00812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D9B83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604</w:t>
            </w:r>
          </w:p>
        </w:tc>
        <w:tc>
          <w:tcPr>
            <w:tcW w:w="0" w:type="auto"/>
            <w:tcBorders>
              <w:top w:val="single" w:sz="6" w:space="0" w:color="auto"/>
              <w:left w:val="single" w:sz="6" w:space="0" w:color="auto"/>
              <w:bottom w:val="single" w:sz="6" w:space="0" w:color="auto"/>
              <w:right w:val="single" w:sz="6" w:space="0" w:color="auto"/>
            </w:tcBorders>
            <w:hideMark/>
          </w:tcPr>
          <w:p w14:paraId="137C7E2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Michael B Steinberg,​ Michelle T Bover,​ Donna L Richardson,​ Amy C Schmelzer,​ Jill M Williams,​ Jonathan Foulds 2011 Abstinence and psychological distress in co-morbid smokers using various pharmacotherapies.. Drug and alcohol dependence; 114.77.</w:t>
            </w:r>
          </w:p>
        </w:tc>
      </w:tr>
      <w:tr w:rsidR="007F0AE0" w:rsidRPr="00204223" w14:paraId="19F55C7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067669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605</w:t>
            </w:r>
          </w:p>
        </w:tc>
        <w:tc>
          <w:tcPr>
            <w:tcW w:w="0" w:type="auto"/>
            <w:tcBorders>
              <w:top w:val="single" w:sz="6" w:space="0" w:color="auto"/>
              <w:left w:val="single" w:sz="6" w:space="0" w:color="auto"/>
              <w:bottom w:val="single" w:sz="6" w:space="0" w:color="auto"/>
              <w:right w:val="single" w:sz="6" w:space="0" w:color="auto"/>
            </w:tcBorders>
            <w:hideMark/>
          </w:tcPr>
          <w:p w14:paraId="49D8B71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Monica Webb Hooper,​ Wei Zhao,​ Margaret M Byrne,​ Evelyn Davila,​ Alberto Caban-Martinez,​ Noella A Dietz,​ Dorothy F Parker,​ Youjie Huang,​ Antoine Messiah,​ David J Lee 2011 Menthol cigarette smoking and health,​ Florida 2007 BRFSS.. American journal of health behavior; 35.3.</w:t>
            </w:r>
          </w:p>
        </w:tc>
      </w:tr>
      <w:tr w:rsidR="007F0AE0" w:rsidRPr="00204223" w14:paraId="439A439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4E8993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611</w:t>
            </w:r>
          </w:p>
        </w:tc>
        <w:tc>
          <w:tcPr>
            <w:tcW w:w="0" w:type="auto"/>
            <w:tcBorders>
              <w:top w:val="single" w:sz="6" w:space="0" w:color="auto"/>
              <w:left w:val="single" w:sz="6" w:space="0" w:color="auto"/>
              <w:bottom w:val="single" w:sz="6" w:space="0" w:color="auto"/>
              <w:right w:val="single" w:sz="6" w:space="0" w:color="auto"/>
            </w:tcBorders>
            <w:hideMark/>
          </w:tcPr>
          <w:p w14:paraId="1A4AD35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James C Hersey,​ James M Nonnemaker,​ Ghada Homsi 2010 Menthol cigarettes contribute to the appeal and addiction potential of smoking for youth.. Nicotine &amp; tobacco research : official journal of the Society for Research on Nicotine and Tobacco; 12 Suppl 2.S136.</w:t>
            </w:r>
          </w:p>
        </w:tc>
      </w:tr>
      <w:tr w:rsidR="007F0AE0" w:rsidRPr="00204223" w14:paraId="2850A00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01EC36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617</w:t>
            </w:r>
          </w:p>
        </w:tc>
        <w:tc>
          <w:tcPr>
            <w:tcW w:w="0" w:type="auto"/>
            <w:tcBorders>
              <w:top w:val="single" w:sz="6" w:space="0" w:color="auto"/>
              <w:left w:val="single" w:sz="6" w:space="0" w:color="auto"/>
              <w:bottom w:val="single" w:sz="6" w:space="0" w:color="auto"/>
              <w:right w:val="single" w:sz="6" w:space="0" w:color="auto"/>
            </w:tcBorders>
            <w:hideMark/>
          </w:tcPr>
          <w:p w14:paraId="073C1DD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Marta S Mendiondo,​ Linda A Alexander,​ Tim Crawford 2010 Health profile differences for menthol and non-menthol smokers: findings from the National Health Interview Survey.. Addiction (Abingdon,​ England); 105 Suppl 1.124.</w:t>
            </w:r>
          </w:p>
        </w:tc>
      </w:tr>
      <w:tr w:rsidR="007F0AE0" w:rsidRPr="00204223" w14:paraId="48F31B4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81758B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620</w:t>
            </w:r>
          </w:p>
        </w:tc>
        <w:tc>
          <w:tcPr>
            <w:tcW w:w="0" w:type="auto"/>
            <w:tcBorders>
              <w:top w:val="single" w:sz="6" w:space="0" w:color="auto"/>
              <w:left w:val="single" w:sz="6" w:space="0" w:color="auto"/>
              <w:bottom w:val="single" w:sz="6" w:space="0" w:color="auto"/>
              <w:right w:val="single" w:sz="6" w:space="0" w:color="auto"/>
            </w:tcBorders>
            <w:hideMark/>
          </w:tcPr>
          <w:p w14:paraId="72B29B0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Dennis R Trinidad,​ Eliseo J Perez-Stable,​ Karen Messer,​ Martha M White,​ John P Pierce 2010 Menthol cigarettes and smoking cessation among racial/ethnic groups in the United States.. Addiction (Abingdon,​ England); 105 Suppl 1.84.</w:t>
            </w:r>
          </w:p>
        </w:tc>
      </w:tr>
      <w:tr w:rsidR="007F0AE0" w:rsidRPr="00204223" w14:paraId="093A6E7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169B59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621</w:t>
            </w:r>
          </w:p>
        </w:tc>
        <w:tc>
          <w:tcPr>
            <w:tcW w:w="0" w:type="auto"/>
            <w:tcBorders>
              <w:top w:val="single" w:sz="6" w:space="0" w:color="auto"/>
              <w:left w:val="single" w:sz="6" w:space="0" w:color="auto"/>
              <w:bottom w:val="single" w:sz="6" w:space="0" w:color="auto"/>
              <w:right w:val="single" w:sz="6" w:space="0" w:color="auto"/>
            </w:tcBorders>
            <w:hideMark/>
          </w:tcPr>
          <w:p w14:paraId="3F67B93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Linda A Alexander,​ Tim Crawford,​ Marta S Mendiondo 2010 Occupational status,​ work-site cessation programs and policies and menthol smoking on quitting behaviors of US smokers.. Addiction (Abingdon,​ England); 105 Suppl 1.95.</w:t>
            </w:r>
          </w:p>
        </w:tc>
      </w:tr>
      <w:tr w:rsidR="007F0AE0" w:rsidRPr="00204223" w14:paraId="3FD8FB9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1ADB1F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622</w:t>
            </w:r>
          </w:p>
        </w:tc>
        <w:tc>
          <w:tcPr>
            <w:tcW w:w="0" w:type="auto"/>
            <w:tcBorders>
              <w:top w:val="single" w:sz="6" w:space="0" w:color="auto"/>
              <w:left w:val="single" w:sz="6" w:space="0" w:color="auto"/>
              <w:bottom w:val="single" w:sz="6" w:space="0" w:color="auto"/>
              <w:right w:val="single" w:sz="6" w:space="0" w:color="auto"/>
            </w:tcBorders>
            <w:hideMark/>
          </w:tcPr>
          <w:p w14:paraId="1F92051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Mandy Stahre,​ Kolawole S Okuyemi,​ Anne M Joseph,​ Steven S Fu 2010 Racial/ethnic differences in menthol cigarette smoking,​ population quit ratios and utilization of evidence-based tobacco cessation treatments.. Addiction (Abingdon,​ England); 105 Suppl 1.75.</w:t>
            </w:r>
          </w:p>
        </w:tc>
      </w:tr>
      <w:tr w:rsidR="007F0AE0" w:rsidRPr="00204223" w14:paraId="194DFDE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238ECA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623</w:t>
            </w:r>
          </w:p>
        </w:tc>
        <w:tc>
          <w:tcPr>
            <w:tcW w:w="0" w:type="auto"/>
            <w:tcBorders>
              <w:top w:val="single" w:sz="6" w:space="0" w:color="auto"/>
              <w:left w:val="single" w:sz="6" w:space="0" w:color="auto"/>
              <w:bottom w:val="single" w:sz="6" w:space="0" w:color="auto"/>
              <w:right w:val="single" w:sz="6" w:space="0" w:color="auto"/>
            </w:tcBorders>
            <w:hideMark/>
          </w:tcPr>
          <w:p w14:paraId="5CDCAFB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Pebbles Fagan,​ Eric T Moolchan,​ Alton Jr Hart,​ Allison Rose,​ Deirdre Lawrence,​ Vickie L Shavers,​ James Todd Gibson 2010 Nicotine dependence and quitting behaviors among menthol and non-menthol smokers with similar consumptive patterns.. Addiction (Abingdon,​ England); 105 Suppl 1.55.</w:t>
            </w:r>
          </w:p>
        </w:tc>
      </w:tr>
      <w:tr w:rsidR="007F0AE0" w:rsidRPr="00204223" w14:paraId="24FA699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11C85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624</w:t>
            </w:r>
          </w:p>
        </w:tc>
        <w:tc>
          <w:tcPr>
            <w:tcW w:w="0" w:type="auto"/>
            <w:tcBorders>
              <w:top w:val="single" w:sz="6" w:space="0" w:color="auto"/>
              <w:left w:val="single" w:sz="6" w:space="0" w:color="auto"/>
              <w:bottom w:val="single" w:sz="6" w:space="0" w:color="auto"/>
              <w:right w:val="single" w:sz="6" w:space="0" w:color="auto"/>
            </w:tcBorders>
            <w:hideMark/>
          </w:tcPr>
          <w:p w14:paraId="25400B3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Karen Ahijevych,​ Jodi Ford 2010 The relationships between menthol cigarette preference and state tobacco control policies on smoking behaviors of young adult smokers in the 2006-07 Tobacco Use Supplements to the Current Population Surveys (TUS CPS).. Addiction (Abingdon,​ England); 105 Suppl 1.46.</w:t>
            </w:r>
          </w:p>
        </w:tc>
      </w:tr>
      <w:tr w:rsidR="007F0AE0" w:rsidRPr="00204223" w14:paraId="16CA68E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5B172F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625</w:t>
            </w:r>
          </w:p>
        </w:tc>
        <w:tc>
          <w:tcPr>
            <w:tcW w:w="0" w:type="auto"/>
            <w:tcBorders>
              <w:top w:val="single" w:sz="6" w:space="0" w:color="auto"/>
              <w:left w:val="single" w:sz="6" w:space="0" w:color="auto"/>
              <w:bottom w:val="single" w:sz="6" w:space="0" w:color="auto"/>
              <w:right w:val="single" w:sz="6" w:space="0" w:color="auto"/>
            </w:tcBorders>
            <w:hideMark/>
          </w:tcPr>
          <w:p w14:paraId="73942E8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Anita Fernander,​ Mary Kay Rayens,​ Mei Zhang,​ Sarah Adkins 2010 Are age of smoking initiation and purchasing patterns associated with menthol smoking?.. Addiction (Abingdon,​ England); 105 Suppl 1.39.</w:t>
            </w:r>
          </w:p>
        </w:tc>
      </w:tr>
      <w:tr w:rsidR="007F0AE0" w:rsidRPr="00204223" w14:paraId="6A957DC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27610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626</w:t>
            </w:r>
          </w:p>
        </w:tc>
        <w:tc>
          <w:tcPr>
            <w:tcW w:w="0" w:type="auto"/>
            <w:tcBorders>
              <w:top w:val="single" w:sz="6" w:space="0" w:color="auto"/>
              <w:left w:val="single" w:sz="6" w:space="0" w:color="auto"/>
              <w:bottom w:val="single" w:sz="6" w:space="0" w:color="auto"/>
              <w:right w:val="single" w:sz="6" w:space="0" w:color="auto"/>
            </w:tcBorders>
            <w:hideMark/>
          </w:tcPr>
          <w:p w14:paraId="77C20DB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Catherine Cubbin,​ Mah-Jabeen Soobader,​ Felicia B LeClere 2010 The intersection of gender and race/ethnicity in smoking behaviors among menthol and non-menthol smokers in the United States.. Addiction (Abingdon,​ England); 105 Suppl 1.32.</w:t>
            </w:r>
          </w:p>
        </w:tc>
      </w:tr>
      <w:tr w:rsidR="007F0AE0" w:rsidRPr="00204223" w14:paraId="489B885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07E43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627</w:t>
            </w:r>
          </w:p>
        </w:tc>
        <w:tc>
          <w:tcPr>
            <w:tcW w:w="0" w:type="auto"/>
            <w:tcBorders>
              <w:top w:val="single" w:sz="6" w:space="0" w:color="auto"/>
              <w:left w:val="single" w:sz="6" w:space="0" w:color="auto"/>
              <w:bottom w:val="single" w:sz="6" w:space="0" w:color="auto"/>
              <w:right w:val="single" w:sz="6" w:space="0" w:color="auto"/>
            </w:tcBorders>
            <w:hideMark/>
          </w:tcPr>
          <w:p w14:paraId="3DCBA59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Deirdre Lawrence,​ Allison Rose,​ Pebbles Fagan,​ Eric T Moolchan,​ James Todd Gibson,​ Cathy L Backinger 2010 National patterns and correlates of mentholated cigarette use in the United States.. Addiction (Abingdon,​ England); 105 Suppl 1.13.</w:t>
            </w:r>
          </w:p>
        </w:tc>
      </w:tr>
      <w:tr w:rsidR="007F0AE0" w:rsidRPr="00204223" w14:paraId="7AA5DEE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1CB25B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628</w:t>
            </w:r>
          </w:p>
        </w:tc>
        <w:tc>
          <w:tcPr>
            <w:tcW w:w="0" w:type="auto"/>
            <w:tcBorders>
              <w:top w:val="single" w:sz="6" w:space="0" w:color="auto"/>
              <w:left w:val="single" w:sz="6" w:space="0" w:color="auto"/>
              <w:bottom w:val="single" w:sz="6" w:space="0" w:color="auto"/>
              <w:right w:val="single" w:sz="6" w:space="0" w:color="auto"/>
            </w:tcBorders>
            <w:hideMark/>
          </w:tcPr>
          <w:p w14:paraId="39728D5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Neal L Benowitz,​ Katherine M Dains,​ Delia Dempsey,​ Christopher Havel,​ Margaret Wilson,​ Peyton 3rd Jacob 2010 Urine menthol as a biomarker of mentholated cigarette smoking.. Cancer epidemiology,​ biomarkers &amp; prevention : a publication of the American Association for Cancer Research,​ cosponsored by the American Society of Preventive Oncology; 19.3013.</w:t>
            </w:r>
          </w:p>
        </w:tc>
      </w:tr>
      <w:tr w:rsidR="007F0AE0" w:rsidRPr="00204223" w14:paraId="7229B7E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64637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634</w:t>
            </w:r>
          </w:p>
        </w:tc>
        <w:tc>
          <w:tcPr>
            <w:tcW w:w="0" w:type="auto"/>
            <w:tcBorders>
              <w:top w:val="single" w:sz="6" w:space="0" w:color="auto"/>
              <w:left w:val="single" w:sz="6" w:space="0" w:color="auto"/>
              <w:bottom w:val="single" w:sz="6" w:space="0" w:color="auto"/>
              <w:right w:val="single" w:sz="6" w:space="0" w:color="auto"/>
            </w:tcBorders>
            <w:hideMark/>
          </w:tcPr>
          <w:p w14:paraId="4E496EB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Jennifer B Unger,​ Bruce Jr Allen,​ Earl Leonard,​ Made Wenten,​ Tess Boley Cruz 2010 Menthol and non-menthol cigarette use among Black smokers in Southern California.. Nicotine &amp; tobacco research : official journal of the Society for Research on Nicotine and Tobacco; 12.398.</w:t>
            </w:r>
          </w:p>
        </w:tc>
      </w:tr>
      <w:tr w:rsidR="007F0AE0" w:rsidRPr="00204223" w14:paraId="1644F77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57FF23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638</w:t>
            </w:r>
          </w:p>
        </w:tc>
        <w:tc>
          <w:tcPr>
            <w:tcW w:w="0" w:type="auto"/>
            <w:tcBorders>
              <w:top w:val="single" w:sz="6" w:space="0" w:color="auto"/>
              <w:left w:val="single" w:sz="6" w:space="0" w:color="auto"/>
              <w:bottom w:val="single" w:sz="6" w:space="0" w:color="auto"/>
              <w:right w:val="single" w:sz="6" w:space="0" w:color="auto"/>
            </w:tcBorders>
            <w:hideMark/>
          </w:tcPr>
          <w:p w14:paraId="587B890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Jingzhu Wang,​ Hans J Roethig,​ Scott Appleton,​ Michael Werley,​ Raheema Muhammad-Kah,​ Paul Mendes 2010 The effect of menthol containing cigarettes on adult smokers' exposure to nicotine and carbon monoxide.. Regulatory toxicology and pharmacology : RTP; 57.24.</w:t>
            </w:r>
          </w:p>
        </w:tc>
      </w:tr>
      <w:tr w:rsidR="007F0AE0" w:rsidRPr="00204223" w14:paraId="58C1225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ED53D0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642</w:t>
            </w:r>
          </w:p>
        </w:tc>
        <w:tc>
          <w:tcPr>
            <w:tcW w:w="0" w:type="auto"/>
            <w:tcBorders>
              <w:top w:val="single" w:sz="6" w:space="0" w:color="auto"/>
              <w:left w:val="single" w:sz="6" w:space="0" w:color="auto"/>
              <w:bottom w:val="single" w:sz="6" w:space="0" w:color="auto"/>
              <w:right w:val="single" w:sz="6" w:space="0" w:color="auto"/>
            </w:tcBorders>
            <w:hideMark/>
          </w:tcPr>
          <w:p w14:paraId="05924DD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Daniel A Gundersen,​ Cristine D Delnevo,​ Olivia Wackowski 2009 Exploring the relationship between race/ethnicity,​ menthol smoking,​ and cessation,​ in a nationally representative sample of adults.. Preventive medicine; 49.553.</w:t>
            </w:r>
          </w:p>
        </w:tc>
      </w:tr>
      <w:tr w:rsidR="007F0AE0" w:rsidRPr="00204223" w14:paraId="44F7419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44E8F3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648</w:t>
            </w:r>
          </w:p>
        </w:tc>
        <w:tc>
          <w:tcPr>
            <w:tcW w:w="0" w:type="auto"/>
            <w:tcBorders>
              <w:top w:val="single" w:sz="6" w:space="0" w:color="auto"/>
              <w:left w:val="single" w:sz="6" w:space="0" w:color="auto"/>
              <w:bottom w:val="single" w:sz="6" w:space="0" w:color="auto"/>
              <w:right w:val="single" w:sz="6" w:space="0" w:color="auto"/>
            </w:tcBorders>
            <w:hideMark/>
          </w:tcPr>
          <w:p w14:paraId="54D9DCC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Karen L Cropsey,​ Michael F Weaver,​ Gloria D Eldridge,​ Gabriela C Villalobos,​ Al M Best,​ Maxine L Stitzer 2009 Differential success rates in racial groups: results of a clinical trial of smoking cessation among female prisoners.. Nicotine &amp; tobacco research : official journal of the Society for Research on Nicotine and Tobacco; 11.690.</w:t>
            </w:r>
          </w:p>
        </w:tc>
      </w:tr>
      <w:tr w:rsidR="007F0AE0" w:rsidRPr="00204223" w14:paraId="3895EA1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C9C176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650</w:t>
            </w:r>
          </w:p>
        </w:tc>
        <w:tc>
          <w:tcPr>
            <w:tcW w:w="0" w:type="auto"/>
            <w:tcBorders>
              <w:top w:val="single" w:sz="6" w:space="0" w:color="auto"/>
              <w:left w:val="single" w:sz="6" w:space="0" w:color="auto"/>
              <w:bottom w:val="single" w:sz="6" w:space="0" w:color="auto"/>
              <w:right w:val="single" w:sz="6" w:space="0" w:color="auto"/>
            </w:tcBorders>
            <w:hideMark/>
          </w:tcPr>
          <w:p w14:paraId="6B3A59D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 K Gandhi,​ J Foulds,​ M B Steinberg,​ S-E Lu,​ J M Williams 2009 Lower quit rates among African American and Latino menthol cigarette smokers at a tobacco treatment clinic.. International journal of clinical practice; 63.360.</w:t>
            </w:r>
          </w:p>
        </w:tc>
      </w:tr>
      <w:tr w:rsidR="007F0AE0" w:rsidRPr="00204223" w14:paraId="54EDFB0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41815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652</w:t>
            </w:r>
          </w:p>
        </w:tc>
        <w:tc>
          <w:tcPr>
            <w:tcW w:w="0" w:type="auto"/>
            <w:tcBorders>
              <w:top w:val="single" w:sz="6" w:space="0" w:color="auto"/>
              <w:left w:val="single" w:sz="6" w:space="0" w:color="auto"/>
              <w:bottom w:val="single" w:sz="6" w:space="0" w:color="auto"/>
              <w:right w:val="single" w:sz="6" w:space="0" w:color="auto"/>
            </w:tcBorders>
            <w:hideMark/>
          </w:tcPr>
          <w:p w14:paraId="6E0BC76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Joshua E Muscat,​ Gang Chen,​ Ashley Knipe,​ Steven D Stellman,​ Philip Lazarus,​ John P Jr Richie 2009 Effects of menthol on tobacco smoke exposure,​ nicotine dependence,​ and NNAL glucuronidation.. Cancer epidemiology,​ biomarkers &amp; prevention : a publication of the American Association for Cancer Research,​ cosponsored by the American Society of Preventive Oncology; 18.35.</w:t>
            </w:r>
          </w:p>
        </w:tc>
      </w:tr>
      <w:tr w:rsidR="007F0AE0" w:rsidRPr="00204223" w14:paraId="004EF0F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8C5484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654</w:t>
            </w:r>
          </w:p>
        </w:tc>
        <w:tc>
          <w:tcPr>
            <w:tcW w:w="0" w:type="auto"/>
            <w:tcBorders>
              <w:top w:val="single" w:sz="6" w:space="0" w:color="auto"/>
              <w:left w:val="single" w:sz="6" w:space="0" w:color="auto"/>
              <w:bottom w:val="single" w:sz="6" w:space="0" w:color="auto"/>
              <w:right w:val="single" w:sz="6" w:space="0" w:color="auto"/>
            </w:tcBorders>
            <w:hideMark/>
          </w:tcPr>
          <w:p w14:paraId="5373108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Jessica L Muilenburg,​ Jerome S Jr Legge 2008 African American adolescents and menthol cigarettes: smoking behavior among secondary school students.. The Journal of adolescent health : official publication of the Society for Adolescent Medicine; 43.570.</w:t>
            </w:r>
          </w:p>
        </w:tc>
      </w:tr>
      <w:tr w:rsidR="007F0AE0" w:rsidRPr="00204223" w14:paraId="096247F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F7F750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665</w:t>
            </w:r>
          </w:p>
        </w:tc>
        <w:tc>
          <w:tcPr>
            <w:tcW w:w="0" w:type="auto"/>
            <w:tcBorders>
              <w:top w:val="single" w:sz="6" w:space="0" w:color="auto"/>
              <w:left w:val="single" w:sz="6" w:space="0" w:color="auto"/>
              <w:bottom w:val="single" w:sz="6" w:space="0" w:color="auto"/>
              <w:right w:val="single" w:sz="6" w:space="0" w:color="auto"/>
            </w:tcBorders>
            <w:hideMark/>
          </w:tcPr>
          <w:p w14:paraId="07BA191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Steven S Fu,​ Kolawole S Okuyemi,​ Melissa R Partin,​ Jasjit S Ahluwalia,​ David B Nelson,​ Barbara A Clothier,​ Anne M Joseph 2008 Menthol cigarettes and smoking cessation during an aided quit attempt.. Nicotine &amp; tobacco research : official journal of the Society for Research on Nicotine and Tobacco; 10.457.</w:t>
            </w:r>
          </w:p>
        </w:tc>
      </w:tr>
      <w:tr w:rsidR="007F0AE0" w:rsidRPr="00204223" w14:paraId="3B5E221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6FFE8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668</w:t>
            </w:r>
          </w:p>
        </w:tc>
        <w:tc>
          <w:tcPr>
            <w:tcW w:w="0" w:type="auto"/>
            <w:tcBorders>
              <w:top w:val="single" w:sz="6" w:space="0" w:color="auto"/>
              <w:left w:val="single" w:sz="6" w:space="0" w:color="auto"/>
              <w:bottom w:val="single" w:sz="6" w:space="0" w:color="auto"/>
              <w:right w:val="single" w:sz="6" w:space="0" w:color="auto"/>
            </w:tcBorders>
            <w:hideMark/>
          </w:tcPr>
          <w:p w14:paraId="5583C66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 T Bover,​ J Foulds,​ M B Steinberg,​ D Richardson,​ S W Marcella 2008 Waking at night to smoke as a marker for tobacco dependence: patient characteristics and relationship to treatment outcome.. International journal of clinical practice; 62.182.</w:t>
            </w:r>
          </w:p>
        </w:tc>
      </w:tr>
      <w:tr w:rsidR="007F0AE0" w:rsidRPr="00204223" w14:paraId="5DF001D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54EEF0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672</w:t>
            </w:r>
          </w:p>
        </w:tc>
        <w:tc>
          <w:tcPr>
            <w:tcW w:w="0" w:type="auto"/>
            <w:tcBorders>
              <w:top w:val="single" w:sz="6" w:space="0" w:color="auto"/>
              <w:left w:val="single" w:sz="6" w:space="0" w:color="auto"/>
              <w:bottom w:val="single" w:sz="6" w:space="0" w:color="auto"/>
              <w:right w:val="single" w:sz="6" w:space="0" w:color="auto"/>
            </w:tcBorders>
            <w:hideMark/>
          </w:tcPr>
          <w:p w14:paraId="6034A02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Kolawole S Okuyemi,​ Babalola Faseru,​ Lisa Sanderson Cox,​ Carrie A Bronars,​ Jasjit S Ahluwalia 2007 Relationship between menthol cigarettes and smoking cessation among African American light smokers.. Addiction (Abingdon,​ England); 102.1979.</w:t>
            </w:r>
          </w:p>
        </w:tc>
      </w:tr>
      <w:tr w:rsidR="007F0AE0" w:rsidRPr="00204223" w14:paraId="357A925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840FA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678</w:t>
            </w:r>
          </w:p>
        </w:tc>
        <w:tc>
          <w:tcPr>
            <w:tcW w:w="0" w:type="auto"/>
            <w:tcBorders>
              <w:top w:val="single" w:sz="6" w:space="0" w:color="auto"/>
              <w:left w:val="single" w:sz="6" w:space="0" w:color="auto"/>
              <w:bottom w:val="single" w:sz="6" w:space="0" w:color="auto"/>
              <w:right w:val="single" w:sz="6" w:space="0" w:color="auto"/>
            </w:tcBorders>
            <w:hideMark/>
          </w:tcPr>
          <w:p w14:paraId="7459D62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Bruce Jr Allen,​ Jennifer B Unger 2007 Sociocultural correlates of menthol cigarette smoking among adult African Americans in Los Angeles.. Nicotine &amp; tobacco research : official journal of the Society for Research on Nicotine and Tobacco; 9.447.</w:t>
            </w:r>
          </w:p>
        </w:tc>
      </w:tr>
      <w:tr w:rsidR="007F0AE0" w:rsidRPr="00204223" w14:paraId="7362D12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A4D796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680</w:t>
            </w:r>
          </w:p>
        </w:tc>
        <w:tc>
          <w:tcPr>
            <w:tcW w:w="0" w:type="auto"/>
            <w:tcBorders>
              <w:top w:val="single" w:sz="6" w:space="0" w:color="auto"/>
              <w:left w:val="single" w:sz="6" w:space="0" w:color="auto"/>
              <w:bottom w:val="single" w:sz="6" w:space="0" w:color="auto"/>
              <w:right w:val="single" w:sz="6" w:space="0" w:color="auto"/>
            </w:tcBorders>
            <w:hideMark/>
          </w:tcPr>
          <w:p w14:paraId="49378E8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Robert P Murray,​ John E Connett,​ Melissa A Skeans,​ Donald P Tashkin 2007 Menthol cigarettes and health risks in Lung Health Study data.. Nicotine &amp; tobacco research : official journal of the Society for Research on Nicotine and Tobacco; 9.101.</w:t>
            </w:r>
          </w:p>
        </w:tc>
      </w:tr>
      <w:tr w:rsidR="007F0AE0" w:rsidRPr="00204223" w14:paraId="749FB4C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0FE299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681</w:t>
            </w:r>
          </w:p>
        </w:tc>
        <w:tc>
          <w:tcPr>
            <w:tcW w:w="0" w:type="auto"/>
            <w:tcBorders>
              <w:top w:val="single" w:sz="6" w:space="0" w:color="auto"/>
              <w:left w:val="single" w:sz="6" w:space="0" w:color="auto"/>
              <w:bottom w:val="single" w:sz="6" w:space="0" w:color="auto"/>
              <w:right w:val="single" w:sz="6" w:space="0" w:color="auto"/>
            </w:tcBorders>
            <w:hideMark/>
          </w:tcPr>
          <w:p w14:paraId="218E8C0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Olivia Wackowski,​ Cristine D Delnevo 2007 Menthol cigarettes and indicators of tobacco dependence among adolescents.. Addictive behaviors; 32.1964.</w:t>
            </w:r>
          </w:p>
        </w:tc>
      </w:tr>
      <w:tr w:rsidR="007F0AE0" w:rsidRPr="00204223" w14:paraId="2145F75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DE6F8E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683</w:t>
            </w:r>
          </w:p>
        </w:tc>
        <w:tc>
          <w:tcPr>
            <w:tcW w:w="0" w:type="auto"/>
            <w:tcBorders>
              <w:top w:val="single" w:sz="6" w:space="0" w:color="auto"/>
              <w:left w:val="single" w:sz="6" w:space="0" w:color="auto"/>
              <w:bottom w:val="single" w:sz="6" w:space="0" w:color="auto"/>
              <w:right w:val="single" w:sz="6" w:space="0" w:color="auto"/>
            </w:tcBorders>
            <w:hideMark/>
          </w:tcPr>
          <w:p w14:paraId="10E7A23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Mark J Pletcher,​ Benjamin J Hulley,​ Thomas Houston,​ Catarina I Kiefe,​ Neal Benowitz,​ Stephen Sidney 2006 Menthol cigarettes,​ smoking cessation,​ atherosclerosis,​ and pulmonary function: the Coronary Artery Risk Development in Young Adults (CARDIA) Study.. Archives of internal medicine; 166.1915.</w:t>
            </w:r>
          </w:p>
        </w:tc>
      </w:tr>
      <w:tr w:rsidR="007F0AE0" w:rsidRPr="00204223" w14:paraId="0006AED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42E674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685</w:t>
            </w:r>
          </w:p>
        </w:tc>
        <w:tc>
          <w:tcPr>
            <w:tcW w:w="0" w:type="auto"/>
            <w:tcBorders>
              <w:top w:val="single" w:sz="6" w:space="0" w:color="auto"/>
              <w:left w:val="single" w:sz="6" w:space="0" w:color="auto"/>
              <w:bottom w:val="single" w:sz="6" w:space="0" w:color="auto"/>
              <w:right w:val="single" w:sz="6" w:space="0" w:color="auto"/>
            </w:tcBorders>
            <w:hideMark/>
          </w:tcPr>
          <w:p w14:paraId="533DAC4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James C Hersey,​ Shu Wen Ng,​ James M Nonnemaker,​ Paul Mowery,​ Kristin Y Thomas,​ My-Charllins Vilsaint,​ Jane A Allen,​ M Lyndon Haviland 2006 Are menthol cigarettes a starter product for youth?.. Nicotine &amp; tobacco research : official journal of the Society for Research on Nicotine and Tobacco; 8.403.</w:t>
            </w:r>
          </w:p>
        </w:tc>
      </w:tr>
      <w:tr w:rsidR="007F0AE0" w:rsidRPr="00204223" w14:paraId="465C0F0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B6ECE9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690</w:t>
            </w:r>
          </w:p>
        </w:tc>
        <w:tc>
          <w:tcPr>
            <w:tcW w:w="0" w:type="auto"/>
            <w:tcBorders>
              <w:top w:val="single" w:sz="6" w:space="0" w:color="auto"/>
              <w:left w:val="single" w:sz="6" w:space="0" w:color="auto"/>
              <w:bottom w:val="single" w:sz="6" w:space="0" w:color="auto"/>
              <w:right w:val="single" w:sz="6" w:space="0" w:color="auto"/>
            </w:tcBorders>
            <w:hideMark/>
          </w:tcPr>
          <w:p w14:paraId="04F8583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Charles C Collins,​ Eric T Moolchan 2006 Shorter time to first cigarette of the day in menthol adolescent cigarette smokers.. Addictive behaviors; 31.1460.</w:t>
            </w:r>
          </w:p>
        </w:tc>
      </w:tr>
      <w:tr w:rsidR="007F0AE0" w:rsidRPr="00204223" w14:paraId="25DAF3D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4B9D82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692</w:t>
            </w:r>
          </w:p>
        </w:tc>
        <w:tc>
          <w:tcPr>
            <w:tcW w:w="0" w:type="auto"/>
            <w:tcBorders>
              <w:top w:val="single" w:sz="6" w:space="0" w:color="auto"/>
              <w:left w:val="single" w:sz="6" w:space="0" w:color="auto"/>
              <w:bottom w:val="single" w:sz="6" w:space="0" w:color="auto"/>
              <w:right w:val="single" w:sz="6" w:space="0" w:color="auto"/>
            </w:tcBorders>
            <w:hideMark/>
          </w:tcPr>
          <w:p w14:paraId="78A67B7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Taru Kinnunen Mustonen,​ Stacie M Spencer,​ Randall A Hoskinson,​ David P L Sachs,​ Arthur J Garvey 2005 The influence of gender,​ race,​ and menthol content on tobacco exposure measures.. Nicotine &amp; tobacco research : official journal of the Society for Research on Nicotine and Tobacco; 7.581.</w:t>
            </w:r>
          </w:p>
        </w:tc>
      </w:tr>
      <w:tr w:rsidR="007F0AE0" w:rsidRPr="00204223" w14:paraId="7F5C4C5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BC8A1A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698</w:t>
            </w:r>
          </w:p>
        </w:tc>
        <w:tc>
          <w:tcPr>
            <w:tcW w:w="0" w:type="auto"/>
            <w:tcBorders>
              <w:top w:val="single" w:sz="6" w:space="0" w:color="auto"/>
              <w:left w:val="single" w:sz="6" w:space="0" w:color="auto"/>
              <w:bottom w:val="single" w:sz="6" w:space="0" w:color="auto"/>
              <w:right w:val="single" w:sz="6" w:space="0" w:color="auto"/>
            </w:tcBorders>
            <w:hideMark/>
          </w:tcPr>
          <w:p w14:paraId="3AEF09E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Kolawole S Okuyemi,​ Maiko Ebersole-Robinson,​ Niaman Nazir,​ Jasjit S Ahluwalia 2004 African-American menthol and nonmenthol smokers: differences in smoking and cessation experiences.. Journal of the National Medical Association; 96.1208.</w:t>
            </w:r>
          </w:p>
        </w:tc>
      </w:tr>
      <w:tr w:rsidR="007F0AE0" w:rsidRPr="00204223" w14:paraId="59837FA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2E8B85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702</w:t>
            </w:r>
          </w:p>
        </w:tc>
        <w:tc>
          <w:tcPr>
            <w:tcW w:w="0" w:type="auto"/>
            <w:tcBorders>
              <w:top w:val="single" w:sz="6" w:space="0" w:color="auto"/>
              <w:left w:val="single" w:sz="6" w:space="0" w:color="auto"/>
              <w:bottom w:val="single" w:sz="6" w:space="0" w:color="auto"/>
              <w:right w:val="single" w:sz="6" w:space="0" w:color="auto"/>
            </w:tcBorders>
            <w:hideMark/>
          </w:tcPr>
          <w:p w14:paraId="04F581D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Neal L Benowitz,​ Brenda Herrera,​ Peyton 3rd Jacob 2004 Mentholated cigarette smoking inhibits nicotine metabolism.. The Journal of pharmacology and experimental therapeutics; 310.1208.</w:t>
            </w:r>
          </w:p>
        </w:tc>
      </w:tr>
      <w:tr w:rsidR="007F0AE0" w:rsidRPr="00204223" w14:paraId="0A7FEDD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4C431D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703</w:t>
            </w:r>
          </w:p>
        </w:tc>
        <w:tc>
          <w:tcPr>
            <w:tcW w:w="0" w:type="auto"/>
            <w:tcBorders>
              <w:top w:val="single" w:sz="6" w:space="0" w:color="auto"/>
              <w:left w:val="single" w:sz="6" w:space="0" w:color="auto"/>
              <w:bottom w:val="single" w:sz="6" w:space="0" w:color="auto"/>
              <w:right w:val="single" w:sz="6" w:space="0" w:color="auto"/>
            </w:tcBorders>
            <w:hideMark/>
          </w:tcPr>
          <w:p w14:paraId="15B98DC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Kari Jo Harris,​ Kolawole S Okuyemi,​ Delwyn Catley,​ Matthew S Mayo,​ Bin Ge,​ Jasjit S Ahluwalia 2004 Predictors of smoking cessation among African-Americans enrolled in a randomized controlled trial of bupropion.. Preventive medicine; 38.498.</w:t>
            </w:r>
          </w:p>
        </w:tc>
      </w:tr>
      <w:tr w:rsidR="007F0AE0" w:rsidRPr="00204223" w14:paraId="2D006823"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8D545C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706</w:t>
            </w:r>
          </w:p>
        </w:tc>
        <w:tc>
          <w:tcPr>
            <w:tcW w:w="0" w:type="auto"/>
            <w:tcBorders>
              <w:top w:val="single" w:sz="6" w:space="0" w:color="auto"/>
              <w:left w:val="single" w:sz="6" w:space="0" w:color="auto"/>
              <w:bottom w:val="single" w:sz="6" w:space="0" w:color="auto"/>
              <w:right w:val="single" w:sz="6" w:space="0" w:color="auto"/>
            </w:tcBorders>
            <w:hideMark/>
          </w:tcPr>
          <w:p w14:paraId="58E38F6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Gary A Giovino,​ Stephen Sidney,​ Joseph C Gfroerer,​ Patrick M O'Malley,​ Jane A Allen,​ Patricia A Richter,​ K Michael Cummings 2004 Epidemiology of menthol cigarette use.. Nicotine &amp; tobacco research : official journal of the Society for Research on Nicotine and Tobacco; 6 Suppl 1.S67.</w:t>
            </w:r>
          </w:p>
        </w:tc>
      </w:tr>
      <w:tr w:rsidR="007F0AE0" w:rsidRPr="00204223" w14:paraId="77C20AD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3A7CFC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712</w:t>
            </w:r>
          </w:p>
        </w:tc>
        <w:tc>
          <w:tcPr>
            <w:tcW w:w="0" w:type="auto"/>
            <w:tcBorders>
              <w:top w:val="single" w:sz="6" w:space="0" w:color="auto"/>
              <w:left w:val="single" w:sz="6" w:space="0" w:color="auto"/>
              <w:bottom w:val="single" w:sz="6" w:space="0" w:color="auto"/>
              <w:right w:val="single" w:sz="6" w:space="0" w:color="auto"/>
            </w:tcBorders>
            <w:hideMark/>
          </w:tcPr>
          <w:p w14:paraId="57DA963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Joseph R DiFranza,​ Judith A Savageau,​ Kenneth Fletcher,​ Judith K Ockene,​ Nancy A Rigotti,​ Ann D McNeill,​ Mardia Coleman,​ Constance Wood 2004 Recollections and repercussions of the first inhaled cigarette.. Addictive behaviors; 29.261.</w:t>
            </w:r>
          </w:p>
        </w:tc>
      </w:tr>
      <w:tr w:rsidR="007F0AE0" w:rsidRPr="00204223" w14:paraId="5DB8956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A2760F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713</w:t>
            </w:r>
          </w:p>
        </w:tc>
        <w:tc>
          <w:tcPr>
            <w:tcW w:w="0" w:type="auto"/>
            <w:tcBorders>
              <w:top w:val="single" w:sz="6" w:space="0" w:color="auto"/>
              <w:left w:val="single" w:sz="6" w:space="0" w:color="auto"/>
              <w:bottom w:val="single" w:sz="6" w:space="0" w:color="auto"/>
              <w:right w:val="single" w:sz="6" w:space="0" w:color="auto"/>
            </w:tcBorders>
            <w:hideMark/>
          </w:tcPr>
          <w:p w14:paraId="03BF51F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Kolawole S Okuyemi,​ Jasjit S Ahluwalia,​ Maiko Ebersole-Robinson,​ Delwyn Catley,​ Matthew S Mayo,​ Ken Resnicow 2003 Does menthol attenuate the effect of bupropion among African American smokers?.. Addiction (Abingdon,​ England); 98.1387.</w:t>
            </w:r>
          </w:p>
        </w:tc>
      </w:tr>
      <w:tr w:rsidR="007F0AE0" w:rsidRPr="00204223" w14:paraId="522BBB0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D49338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715</w:t>
            </w:r>
          </w:p>
        </w:tc>
        <w:tc>
          <w:tcPr>
            <w:tcW w:w="0" w:type="auto"/>
            <w:tcBorders>
              <w:top w:val="single" w:sz="6" w:space="0" w:color="auto"/>
              <w:left w:val="single" w:sz="6" w:space="0" w:color="auto"/>
              <w:bottom w:val="single" w:sz="6" w:space="0" w:color="auto"/>
              <w:right w:val="single" w:sz="6" w:space="0" w:color="auto"/>
            </w:tcBorders>
            <w:hideMark/>
          </w:tcPr>
          <w:p w14:paraId="4C4A1C4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Daniel R Brooks,​ Julie R Palmer,​ Brian L Strom,​ Lynn Rosenberg 2003 Menthol cigarettes and risk of lung cancer.. American journal of epidemiology; 158.609.</w:t>
            </w:r>
          </w:p>
        </w:tc>
      </w:tr>
      <w:tr w:rsidR="007F0AE0" w:rsidRPr="00204223" w14:paraId="733CCAE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2B25F8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723</w:t>
            </w:r>
          </w:p>
        </w:tc>
        <w:tc>
          <w:tcPr>
            <w:tcW w:w="0" w:type="auto"/>
            <w:tcBorders>
              <w:top w:val="single" w:sz="6" w:space="0" w:color="auto"/>
              <w:left w:val="single" w:sz="6" w:space="0" w:color="auto"/>
              <w:bottom w:val="single" w:sz="6" w:space="0" w:color="auto"/>
              <w:right w:val="single" w:sz="6" w:space="0" w:color="auto"/>
            </w:tcBorders>
            <w:hideMark/>
          </w:tcPr>
          <w:p w14:paraId="40074DB4"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 E Muscat,​ J P Jr Richie,​ S D Stellman 2002 Mentholated cigarettes and smoking habits in whites and blacks.. Tobacco control; 11.368.</w:t>
            </w:r>
          </w:p>
        </w:tc>
      </w:tr>
      <w:tr w:rsidR="007F0AE0" w:rsidRPr="00204223" w14:paraId="732EAD2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7E40076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725</w:t>
            </w:r>
          </w:p>
        </w:tc>
        <w:tc>
          <w:tcPr>
            <w:tcW w:w="0" w:type="auto"/>
            <w:tcBorders>
              <w:top w:val="single" w:sz="6" w:space="0" w:color="auto"/>
              <w:left w:val="single" w:sz="6" w:space="0" w:color="auto"/>
              <w:bottom w:val="single" w:sz="6" w:space="0" w:color="auto"/>
              <w:right w:val="single" w:sz="6" w:space="0" w:color="auto"/>
            </w:tcBorders>
            <w:hideMark/>
          </w:tcPr>
          <w:p w14:paraId="796A042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A Hyland,​ S Garten,​ G A Giovino,​ K M Cummings 2002 Mentholated cigarettes and smoking cessation: findings from COMMIT. Community Intervention Trial for Smoking Cessation.. Tobacco control; 11.135.</w:t>
            </w:r>
          </w:p>
        </w:tc>
      </w:tr>
      <w:tr w:rsidR="007F0AE0" w:rsidRPr="00204223" w14:paraId="3B7A013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0B6832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734</w:t>
            </w:r>
          </w:p>
        </w:tc>
        <w:tc>
          <w:tcPr>
            <w:tcW w:w="0" w:type="auto"/>
            <w:tcBorders>
              <w:top w:val="single" w:sz="6" w:space="0" w:color="auto"/>
              <w:left w:val="single" w:sz="6" w:space="0" w:color="auto"/>
              <w:bottom w:val="single" w:sz="6" w:space="0" w:color="auto"/>
              <w:right w:val="single" w:sz="6" w:space="0" w:color="auto"/>
            </w:tcBorders>
            <w:hideMark/>
          </w:tcPr>
          <w:p w14:paraId="54D2F12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 Ahijevych,​ L A Parsley 1999 Smoke constituent exposure and stage of change in black and white women cigarette smokers.. Addictive behaviors; 24.115.</w:t>
            </w:r>
          </w:p>
        </w:tc>
      </w:tr>
      <w:tr w:rsidR="007F0AE0" w:rsidRPr="00204223" w14:paraId="66818F5B"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8C8C1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748</w:t>
            </w:r>
          </w:p>
        </w:tc>
        <w:tc>
          <w:tcPr>
            <w:tcW w:w="0" w:type="auto"/>
            <w:tcBorders>
              <w:top w:val="single" w:sz="6" w:space="0" w:color="auto"/>
              <w:left w:val="single" w:sz="6" w:space="0" w:color="auto"/>
              <w:bottom w:val="single" w:sz="6" w:space="0" w:color="auto"/>
              <w:right w:val="single" w:sz="6" w:space="0" w:color="auto"/>
            </w:tcBorders>
            <w:hideMark/>
          </w:tcPr>
          <w:p w14:paraId="74E73FA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 Sidney,​ I S Tekawa,​ G D Friedman,​ M C Sadler,​ D P Tashkin 1995 Mentholated cigarette use and lung cancer.. Archives of internal medicine; 155.727.</w:t>
            </w:r>
          </w:p>
        </w:tc>
      </w:tr>
      <w:tr w:rsidR="007F0AE0" w:rsidRPr="00204223" w14:paraId="6A65F9E7"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3657DF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751</w:t>
            </w:r>
          </w:p>
        </w:tc>
        <w:tc>
          <w:tcPr>
            <w:tcW w:w="0" w:type="auto"/>
            <w:tcBorders>
              <w:top w:val="single" w:sz="6" w:space="0" w:color="auto"/>
              <w:left w:val="single" w:sz="6" w:space="0" w:color="auto"/>
              <w:bottom w:val="single" w:sz="6" w:space="0" w:color="auto"/>
              <w:right w:val="single" w:sz="6" w:space="0" w:color="auto"/>
            </w:tcBorders>
            <w:hideMark/>
          </w:tcPr>
          <w:p w14:paraId="379F03E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M E Jarvik,​ D P Tashkin,​ N H Caskey,​ W J McCarthy,​ M R Rosenblatt 1994 Mentholated cigarettes decrease puff volume of smoke and increase carbon monoxide absorption.. Physiology &amp; behavior; 56.563.</w:t>
            </w:r>
          </w:p>
        </w:tc>
      </w:tr>
      <w:tr w:rsidR="007F0AE0" w:rsidRPr="00204223" w14:paraId="6FDE975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310136"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762</w:t>
            </w:r>
          </w:p>
        </w:tc>
        <w:tc>
          <w:tcPr>
            <w:tcW w:w="0" w:type="auto"/>
            <w:tcBorders>
              <w:top w:val="single" w:sz="6" w:space="0" w:color="auto"/>
              <w:left w:val="single" w:sz="6" w:space="0" w:color="auto"/>
              <w:bottom w:val="single" w:sz="6" w:space="0" w:color="auto"/>
              <w:right w:val="single" w:sz="6" w:space="0" w:color="auto"/>
            </w:tcBorders>
            <w:hideMark/>
          </w:tcPr>
          <w:p w14:paraId="24085CD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 Sidney,​ I Tekawa,​ G D Friedman 1989 Mentholated cigarette use among multiphasic examinees,​ 1979-86.. American journal of public health; 79.1415.</w:t>
            </w:r>
          </w:p>
        </w:tc>
      </w:tr>
      <w:tr w:rsidR="007F0AE0" w:rsidRPr="00204223" w14:paraId="5C71D5E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960F2B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787</w:t>
            </w:r>
          </w:p>
        </w:tc>
        <w:tc>
          <w:tcPr>
            <w:tcW w:w="0" w:type="auto"/>
            <w:tcBorders>
              <w:top w:val="single" w:sz="6" w:space="0" w:color="auto"/>
              <w:left w:val="single" w:sz="6" w:space="0" w:color="auto"/>
              <w:bottom w:val="single" w:sz="6" w:space="0" w:color="auto"/>
              <w:right w:val="single" w:sz="6" w:space="0" w:color="auto"/>
            </w:tcBorders>
            <w:hideMark/>
          </w:tcPr>
          <w:p w14:paraId="274D52E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Ji-Yeun Park 2017 Tobacco use behaviors among vulnerable populations.. Dissertation Abstracts International: Section B: The Sciences and Engineering; 77.No.</w:t>
            </w:r>
          </w:p>
        </w:tc>
      </w:tr>
      <w:tr w:rsidR="007F0AE0" w:rsidRPr="00204223" w14:paraId="28B7409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6291B4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803</w:t>
            </w:r>
          </w:p>
        </w:tc>
        <w:tc>
          <w:tcPr>
            <w:tcW w:w="0" w:type="auto"/>
            <w:tcBorders>
              <w:top w:val="single" w:sz="6" w:space="0" w:color="auto"/>
              <w:left w:val="single" w:sz="6" w:space="0" w:color="auto"/>
              <w:bottom w:val="single" w:sz="6" w:space="0" w:color="auto"/>
              <w:right w:val="single" w:sz="6" w:space="0" w:color="auto"/>
            </w:tcBorders>
            <w:hideMark/>
          </w:tcPr>
          <w:p w14:paraId="42072F88"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Sayone Thihalolipavan,​ Molly Jung,​ John Jasek,​ Shadi Chamany 2014 Menthol smokers in large-scale nicotine replacement therapy program.. American Journal of Public Health; 104.e3.</w:t>
            </w:r>
          </w:p>
        </w:tc>
      </w:tr>
      <w:tr w:rsidR="007F0AE0" w:rsidRPr="00204223" w14:paraId="708EF5ED"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936701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811</w:t>
            </w:r>
          </w:p>
        </w:tc>
        <w:tc>
          <w:tcPr>
            <w:tcW w:w="0" w:type="auto"/>
            <w:tcBorders>
              <w:top w:val="single" w:sz="6" w:space="0" w:color="auto"/>
              <w:left w:val="single" w:sz="6" w:space="0" w:color="auto"/>
              <w:bottom w:val="single" w:sz="6" w:space="0" w:color="auto"/>
              <w:right w:val="single" w:sz="6" w:space="0" w:color="auto"/>
            </w:tcBorders>
            <w:hideMark/>
          </w:tcPr>
          <w:p w14:paraId="5877373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Jennifer Lynn Pearson 2012 Public reaction to potential food and drug administration actions under the Family Smoking Prevention and Tobacco Control Act: Regulating e-cigarettes,​ banning menthol,​ and reducing cigarette nicotine content.. Dissertation Abstracts International: Section B: The Sciences and Engineering; 73.2156.</w:t>
            </w:r>
          </w:p>
        </w:tc>
      </w:tr>
      <w:tr w:rsidR="007F0AE0" w:rsidRPr="00204223" w14:paraId="6F4A202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77D6BF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821</w:t>
            </w:r>
          </w:p>
        </w:tc>
        <w:tc>
          <w:tcPr>
            <w:tcW w:w="0" w:type="auto"/>
            <w:tcBorders>
              <w:top w:val="single" w:sz="6" w:space="0" w:color="auto"/>
              <w:left w:val="single" w:sz="6" w:space="0" w:color="auto"/>
              <w:bottom w:val="single" w:sz="6" w:space="0" w:color="auto"/>
              <w:right w:val="single" w:sz="6" w:space="0" w:color="auto"/>
            </w:tcBorders>
            <w:hideMark/>
          </w:tcPr>
          <w:p w14:paraId="61A4186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Stacy L Thorne 2010 Association between nicotine dependence as measured by the Heaviness of Smoking Index and types of cigarettes among adults in the United States.. Dissertation Abstracts International: Section B: The Sciences and Engineering; 70.7473.</w:t>
            </w:r>
          </w:p>
        </w:tc>
      </w:tr>
      <w:tr w:rsidR="007F0AE0" w:rsidRPr="00204223" w14:paraId="016A4A28"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09C0837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826</w:t>
            </w:r>
          </w:p>
        </w:tc>
        <w:tc>
          <w:tcPr>
            <w:tcW w:w="0" w:type="auto"/>
            <w:tcBorders>
              <w:top w:val="single" w:sz="6" w:space="0" w:color="auto"/>
              <w:left w:val="single" w:sz="6" w:space="0" w:color="auto"/>
              <w:bottom w:val="single" w:sz="6" w:space="0" w:color="auto"/>
              <w:right w:val="single" w:sz="6" w:space="0" w:color="auto"/>
            </w:tcBorders>
            <w:hideMark/>
          </w:tcPr>
          <w:p w14:paraId="3980131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William Anthony Garner 2009 The color of smoke: An examination of the relationship between menthol cigarettes and youth smoking.. Dissertation Abstracts International: Section B: The Sciences and Engineering; 70.2243.</w:t>
            </w:r>
          </w:p>
        </w:tc>
      </w:tr>
      <w:tr w:rsidR="007F0AE0" w:rsidRPr="00204223" w14:paraId="0E42B9F2"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5AB955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837</w:t>
            </w:r>
          </w:p>
        </w:tc>
        <w:tc>
          <w:tcPr>
            <w:tcW w:w="0" w:type="auto"/>
            <w:tcBorders>
              <w:top w:val="single" w:sz="6" w:space="0" w:color="auto"/>
              <w:left w:val="single" w:sz="6" w:space="0" w:color="auto"/>
              <w:bottom w:val="single" w:sz="6" w:space="0" w:color="auto"/>
              <w:right w:val="single" w:sz="6" w:space="0" w:color="auto"/>
            </w:tcBorders>
            <w:hideMark/>
          </w:tcPr>
          <w:p w14:paraId="028DA013"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Gregory E Miller,​ Murray E Jarvik,​ Nicholas H Caskey,​ Suzanne C Segerstrom,​ Martin R Rosenblatt,​ William J McCarthy 1994 Cigarette mentholation increases smokers' exhaled carbon monoxide levels.. Experimental and Clinical Psychopharmacology; 2.154.</w:t>
            </w:r>
          </w:p>
        </w:tc>
      </w:tr>
      <w:tr w:rsidR="007F0AE0" w:rsidRPr="00204223" w14:paraId="2C808E7E"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0E41F8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839</w:t>
            </w:r>
          </w:p>
        </w:tc>
        <w:tc>
          <w:tcPr>
            <w:tcW w:w="0" w:type="auto"/>
            <w:tcBorders>
              <w:top w:val="single" w:sz="6" w:space="0" w:color="auto"/>
              <w:left w:val="single" w:sz="6" w:space="0" w:color="auto"/>
              <w:bottom w:val="single" w:sz="6" w:space="0" w:color="auto"/>
              <w:right w:val="single" w:sz="6" w:space="0" w:color="auto"/>
            </w:tcBorders>
            <w:hideMark/>
          </w:tcPr>
          <w:p w14:paraId="3A99773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KL Ahijevych,​ ME Wewers 1994 Patterns of cigarette consumption and cotinine levels among African American women smokers.. American journal of respiratory and critical care medicine; 150.</w:t>
            </w:r>
          </w:p>
        </w:tc>
      </w:tr>
      <w:tr w:rsidR="007F0AE0" w:rsidRPr="00204223" w14:paraId="0F57CFF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AE7531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840</w:t>
            </w:r>
          </w:p>
        </w:tc>
        <w:tc>
          <w:tcPr>
            <w:tcW w:w="0" w:type="auto"/>
            <w:tcBorders>
              <w:top w:val="single" w:sz="6" w:space="0" w:color="auto"/>
              <w:left w:val="single" w:sz="6" w:space="0" w:color="auto"/>
              <w:bottom w:val="single" w:sz="6" w:space="0" w:color="auto"/>
              <w:right w:val="single" w:sz="6" w:space="0" w:color="auto"/>
            </w:tcBorders>
            <w:hideMark/>
          </w:tcPr>
          <w:p w14:paraId="776C431E"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CJ Berg,​ JL Thomas,​ H Guo,​ LC An,​ KS Okuyemi,​ TC Collins,​ JS Ahluwalia 2010 Predictors of smoking reduction among Blacks.. Nicotine &amp; tobacco research : official journal of the Society for Research on Nicotine and Tobacco; 12.</w:t>
            </w:r>
          </w:p>
        </w:tc>
      </w:tr>
      <w:tr w:rsidR="007F0AE0" w:rsidRPr="00204223" w14:paraId="516B735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36D1BFC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841</w:t>
            </w:r>
          </w:p>
        </w:tc>
        <w:tc>
          <w:tcPr>
            <w:tcW w:w="0" w:type="auto"/>
            <w:tcBorders>
              <w:top w:val="single" w:sz="6" w:space="0" w:color="auto"/>
              <w:left w:val="single" w:sz="6" w:space="0" w:color="auto"/>
              <w:bottom w:val="single" w:sz="6" w:space="0" w:color="auto"/>
              <w:right w:val="single" w:sz="6" w:space="0" w:color="auto"/>
            </w:tcBorders>
            <w:hideMark/>
          </w:tcPr>
          <w:p w14:paraId="27B7CE2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P Fagan,​ E Augustson,​ CL Backinger,​ ME O'Connell,​ RE Vollinger,​ A Kaufman,​ JT Gibson 2007 Quit attempts and intention to quit cigarette smoking among young adults in the United States.. American journal of public health; 97.</w:t>
            </w:r>
          </w:p>
        </w:tc>
      </w:tr>
      <w:tr w:rsidR="007F0AE0" w:rsidRPr="00204223" w14:paraId="589EC70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235E3D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842</w:t>
            </w:r>
          </w:p>
        </w:tc>
        <w:tc>
          <w:tcPr>
            <w:tcW w:w="0" w:type="auto"/>
            <w:tcBorders>
              <w:top w:val="single" w:sz="6" w:space="0" w:color="auto"/>
              <w:left w:val="single" w:sz="6" w:space="0" w:color="auto"/>
              <w:bottom w:val="single" w:sz="6" w:space="0" w:color="auto"/>
              <w:right w:val="single" w:sz="6" w:space="0" w:color="auto"/>
            </w:tcBorders>
            <w:hideMark/>
          </w:tcPr>
          <w:p w14:paraId="0873AC1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J Foulds,​ KK Gandhi,​ MB Steinberg,​ DL Richardson,​ JM Williams,​ MV Burke,​ GG Rhoads Factors associated with quitting smoking at a tobacco dependence treatment clinic.. American journal of health behavior; 30.</w:t>
            </w:r>
          </w:p>
        </w:tc>
      </w:tr>
      <w:tr w:rsidR="007F0AE0" w:rsidRPr="00204223" w14:paraId="7FB4B62F"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E461FF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843</w:t>
            </w:r>
          </w:p>
        </w:tc>
        <w:tc>
          <w:tcPr>
            <w:tcW w:w="0" w:type="auto"/>
            <w:tcBorders>
              <w:top w:val="single" w:sz="6" w:space="0" w:color="auto"/>
              <w:left w:val="single" w:sz="6" w:space="0" w:color="auto"/>
              <w:bottom w:val="single" w:sz="6" w:space="0" w:color="auto"/>
              <w:right w:val="single" w:sz="6" w:space="0" w:color="auto"/>
            </w:tcBorders>
            <w:hideMark/>
          </w:tcPr>
          <w:p w14:paraId="43466C4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Delnevo CD,​ Gunderson DA,​ Hrwyna M 2011 Examining the relationship between menthol smoking and cessation using data from the 2003 and 2006/7 Tobacco Use Supplement. Paper presented to: TPSAC,​ 10-11 Jan 2011.. #journal#; .</w:t>
            </w:r>
          </w:p>
        </w:tc>
      </w:tr>
      <w:tr w:rsidR="007F0AE0" w:rsidRPr="00204223" w14:paraId="068B0271"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2BE137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844</w:t>
            </w:r>
          </w:p>
        </w:tc>
        <w:tc>
          <w:tcPr>
            <w:tcW w:w="0" w:type="auto"/>
            <w:tcBorders>
              <w:top w:val="single" w:sz="6" w:space="0" w:color="auto"/>
              <w:left w:val="single" w:sz="6" w:space="0" w:color="auto"/>
              <w:bottom w:val="single" w:sz="6" w:space="0" w:color="auto"/>
              <w:right w:val="single" w:sz="6" w:space="0" w:color="auto"/>
            </w:tcBorders>
            <w:hideMark/>
          </w:tcPr>
          <w:p w14:paraId="60FDE019"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Hersey JC,​ Nonnemaker J,​ Homsi G,​ Allen J 2011 Menthol cigarettes,​ saliva cotinine,​ and nicotine dependence in adolescents. Paper presented to: TPSAC,​ 10-11 Jan 2011.. #journal#; .</w:t>
            </w:r>
          </w:p>
        </w:tc>
      </w:tr>
      <w:tr w:rsidR="007F0AE0" w:rsidRPr="00204223" w14:paraId="66BC41F5"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DE956F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845</w:t>
            </w:r>
          </w:p>
        </w:tc>
        <w:tc>
          <w:tcPr>
            <w:tcW w:w="0" w:type="auto"/>
            <w:tcBorders>
              <w:top w:val="single" w:sz="6" w:space="0" w:color="auto"/>
              <w:left w:val="single" w:sz="6" w:space="0" w:color="auto"/>
              <w:bottom w:val="single" w:sz="6" w:space="0" w:color="auto"/>
              <w:right w:val="single" w:sz="6" w:space="0" w:color="auto"/>
            </w:tcBorders>
            <w:hideMark/>
          </w:tcPr>
          <w:p w14:paraId="1BBAC24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Hyland A,​ Rivard C 2011 Analysis of mentholated cigarettes using the COMMIT Data. Paper presented to: TPSAC,​ 10-11 Jan 2011.. #journal#; .</w:t>
            </w:r>
          </w:p>
        </w:tc>
      </w:tr>
      <w:tr w:rsidR="007F0AE0" w:rsidRPr="00204223" w14:paraId="2B8C6AE9"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5F3B533B"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846</w:t>
            </w:r>
          </w:p>
        </w:tc>
        <w:tc>
          <w:tcPr>
            <w:tcW w:w="0" w:type="auto"/>
            <w:tcBorders>
              <w:top w:val="single" w:sz="6" w:space="0" w:color="auto"/>
              <w:left w:val="single" w:sz="6" w:space="0" w:color="auto"/>
              <w:bottom w:val="single" w:sz="6" w:space="0" w:color="auto"/>
              <w:right w:val="single" w:sz="6" w:space="0" w:color="auto"/>
            </w:tcBorders>
            <w:hideMark/>
          </w:tcPr>
          <w:p w14:paraId="01F4E89C"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King A,​ Cao D,​ Matthews A 2011 Influence of menthol use on smoking cessation outcomes in a smoking cessation treatment program. Paper presented to: TPSAC,​ 10-11 Jan 2011.. #journal#; .</w:t>
            </w:r>
          </w:p>
        </w:tc>
      </w:tr>
      <w:tr w:rsidR="007F0AE0" w:rsidRPr="00204223" w14:paraId="2066E896"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44EE3600"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847</w:t>
            </w:r>
          </w:p>
        </w:tc>
        <w:tc>
          <w:tcPr>
            <w:tcW w:w="0" w:type="auto"/>
            <w:tcBorders>
              <w:top w:val="single" w:sz="6" w:space="0" w:color="auto"/>
              <w:left w:val="single" w:sz="6" w:space="0" w:color="auto"/>
              <w:bottom w:val="single" w:sz="6" w:space="0" w:color="auto"/>
              <w:right w:val="single" w:sz="6" w:space="0" w:color="auto"/>
            </w:tcBorders>
            <w:hideMark/>
          </w:tcPr>
          <w:p w14:paraId="019A882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Reitzel L 2011 Menthol cigarettes,​ tobacco dependence,​ and smoking cessation: Project CARE. Paper presented to: TPSAC,​ 10-11 Jan 2011.. #journal#; .</w:t>
            </w:r>
          </w:p>
        </w:tc>
      </w:tr>
      <w:tr w:rsidR="007F0AE0" w:rsidRPr="00204223" w14:paraId="4AB848D0"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26F58BDA"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848</w:t>
            </w:r>
          </w:p>
        </w:tc>
        <w:tc>
          <w:tcPr>
            <w:tcW w:w="0" w:type="auto"/>
            <w:tcBorders>
              <w:top w:val="single" w:sz="6" w:space="0" w:color="auto"/>
              <w:left w:val="single" w:sz="6" w:space="0" w:color="auto"/>
              <w:bottom w:val="single" w:sz="6" w:space="0" w:color="auto"/>
              <w:right w:val="single" w:sz="6" w:space="0" w:color="auto"/>
            </w:tcBorders>
            <w:hideMark/>
          </w:tcPr>
          <w:p w14:paraId="3502E281"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Reitzel LA 2011 Menthol cigarettes,​ tobacco dependence,​ and smoking cessations: Project BREAK FREE. Paper presented to: TPSAC,​ 10-11 Jan 2011.. #journal#; .</w:t>
            </w:r>
          </w:p>
        </w:tc>
      </w:tr>
      <w:tr w:rsidR="007F0AE0" w:rsidRPr="00204223" w14:paraId="65E04F7C"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ACE42D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849</w:t>
            </w:r>
          </w:p>
        </w:tc>
        <w:tc>
          <w:tcPr>
            <w:tcW w:w="0" w:type="auto"/>
            <w:tcBorders>
              <w:top w:val="single" w:sz="6" w:space="0" w:color="auto"/>
              <w:left w:val="single" w:sz="6" w:space="0" w:color="auto"/>
              <w:bottom w:val="single" w:sz="6" w:space="0" w:color="auto"/>
              <w:right w:val="single" w:sz="6" w:space="0" w:color="auto"/>
            </w:tcBorders>
            <w:hideMark/>
          </w:tcPr>
          <w:p w14:paraId="75E824F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Reitzel LA 2011 Menthol cigarettes,​ tobacco dependence,​ and smoking cessations: Project MOM. Paper presented to: TPSAC,​ 10-11 Jan 2011.. #journal#; .</w:t>
            </w:r>
          </w:p>
        </w:tc>
      </w:tr>
      <w:tr w:rsidR="007F0AE0" w:rsidRPr="00204223" w14:paraId="0BFD8044"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695623D5"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lastRenderedPageBreak/>
              <w:t>850</w:t>
            </w:r>
          </w:p>
        </w:tc>
        <w:tc>
          <w:tcPr>
            <w:tcW w:w="0" w:type="auto"/>
            <w:tcBorders>
              <w:top w:val="single" w:sz="6" w:space="0" w:color="auto"/>
              <w:left w:val="single" w:sz="6" w:space="0" w:color="auto"/>
              <w:bottom w:val="single" w:sz="6" w:space="0" w:color="auto"/>
              <w:right w:val="single" w:sz="6" w:space="0" w:color="auto"/>
            </w:tcBorders>
            <w:hideMark/>
          </w:tcPr>
          <w:p w14:paraId="28A98FC7"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Unger JB,​ Cruz TB,​ Allen B Jr 2011 Nicotine dependence and intentions to quit among a community-based sample of African American menthol and non-menthol smokers in Los Angeles. Paper presented to: TPSAC,​ 10-11 Jan 2011.. #journal#; .</w:t>
            </w:r>
          </w:p>
        </w:tc>
      </w:tr>
      <w:tr w:rsidR="007F0AE0" w:rsidRPr="00204223" w14:paraId="28A8D3BA" w14:textId="77777777" w:rsidTr="00453DE3">
        <w:tc>
          <w:tcPr>
            <w:tcW w:w="0" w:type="auto"/>
            <w:tcBorders>
              <w:top w:val="single" w:sz="6" w:space="0" w:color="auto"/>
              <w:left w:val="single" w:sz="6" w:space="0" w:color="auto"/>
              <w:bottom w:val="single" w:sz="6" w:space="0" w:color="auto"/>
              <w:right w:val="single" w:sz="6" w:space="0" w:color="auto"/>
            </w:tcBorders>
            <w:hideMark/>
          </w:tcPr>
          <w:p w14:paraId="172E624F"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851</w:t>
            </w:r>
          </w:p>
        </w:tc>
        <w:tc>
          <w:tcPr>
            <w:tcW w:w="0" w:type="auto"/>
            <w:tcBorders>
              <w:top w:val="single" w:sz="6" w:space="0" w:color="auto"/>
              <w:left w:val="single" w:sz="6" w:space="0" w:color="auto"/>
              <w:bottom w:val="single" w:sz="6" w:space="0" w:color="auto"/>
              <w:right w:val="single" w:sz="6" w:space="0" w:color="auto"/>
            </w:tcBorders>
            <w:hideMark/>
          </w:tcPr>
          <w:p w14:paraId="697E2D9D" w14:textId="77777777" w:rsidR="007F0AE0" w:rsidRPr="00204223" w:rsidRDefault="007F0AE0" w:rsidP="00453DE3">
            <w:pPr>
              <w:contextualSpacing/>
              <w:rPr>
                <w:rFonts w:ascii="Calibri" w:hAnsi="Calibri"/>
                <w:noProof/>
                <w:sz w:val="20"/>
                <w:szCs w:val="20"/>
              </w:rPr>
            </w:pPr>
            <w:r w:rsidRPr="00204223">
              <w:rPr>
                <w:rFonts w:ascii="Calibri" w:hAnsi="Calibri"/>
                <w:noProof/>
                <w:sz w:val="20"/>
                <w:szCs w:val="20"/>
              </w:rPr>
              <w:t>Thorne S,​ Davis S,​ Caraballo RS 2010 Menthol use and nicotine dependence among US adults,​ 2001-2006. #journal#; .</w:t>
            </w:r>
          </w:p>
        </w:tc>
      </w:tr>
    </w:tbl>
    <w:p w14:paraId="6FCF4B6D" w14:textId="77777777" w:rsidR="007F0AE0" w:rsidRPr="00EA69AA" w:rsidRDefault="007F0AE0" w:rsidP="007F0AE0">
      <w:pPr>
        <w:pStyle w:val="ChapterHeading"/>
        <w:spacing w:after="120"/>
        <w:outlineLvl w:val="9"/>
        <w:rPr>
          <w:rFonts w:asciiTheme="minorHAnsi" w:hAnsiTheme="minorHAnsi"/>
          <w:sz w:val="22"/>
          <w:szCs w:val="22"/>
        </w:rPr>
      </w:pPr>
    </w:p>
    <w:p w14:paraId="7E8D9206" w14:textId="77777777" w:rsidR="007F0AE0" w:rsidRDefault="007F0AE0" w:rsidP="007F0AE0">
      <w:pPr>
        <w:rPr>
          <w:rFonts w:cstheme="minorHAnsi"/>
        </w:rPr>
      </w:pPr>
      <w:r>
        <w:rPr>
          <w:rFonts w:cstheme="minorHAnsi"/>
        </w:rPr>
        <w:br w:type="page"/>
      </w:r>
    </w:p>
    <w:p w14:paraId="1827F315" w14:textId="77777777" w:rsidR="007F0AE0" w:rsidRPr="00631611" w:rsidRDefault="007F0AE0" w:rsidP="007F0AE0">
      <w:pPr>
        <w:spacing w:after="240" w:line="240" w:lineRule="auto"/>
        <w:jc w:val="center"/>
        <w:rPr>
          <w:lang w:val="en-CA"/>
        </w:rPr>
      </w:pPr>
      <w:r>
        <w:rPr>
          <w:rFonts w:cstheme="minorHAnsi"/>
          <w:b/>
        </w:rPr>
        <w:lastRenderedPageBreak/>
        <w:t>REFERENCES</w:t>
      </w:r>
    </w:p>
    <w:p w14:paraId="4FA52CB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fldChar w:fldCharType="begin"/>
      </w:r>
      <w:r w:rsidRPr="00631611">
        <w:rPr>
          <w:rFonts w:ascii="Calibri" w:hAnsi="Calibri" w:cs="Calibri"/>
          <w:noProof/>
        </w:rPr>
        <w:instrText xml:space="preserve"> ADDIN EN.REFLIST </w:instrText>
      </w:r>
      <w:r w:rsidRPr="00631611">
        <w:rPr>
          <w:rFonts w:ascii="Calibri" w:hAnsi="Calibri" w:cs="Calibri"/>
          <w:noProof/>
        </w:rPr>
        <w:fldChar w:fldCharType="separate"/>
      </w:r>
      <w:r w:rsidRPr="00631611">
        <w:rPr>
          <w:rFonts w:ascii="Calibri" w:hAnsi="Calibri" w:cs="Calibri"/>
          <w:noProof/>
        </w:rPr>
        <w:t>Alexander, L.A., Crawford, T., Mendiondo, M.S., 2010. Occupational status, work-site cessation programs and policies and menthol smoking on quitting behaviors of US smokers. Addiction 105 Suppl 1, 95-104.</w:t>
      </w:r>
    </w:p>
    <w:p w14:paraId="0EB067C2"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Berg, C.J., Thomas, J.L., Guo, H., An, L.C., Okuyemi, K.S., Collins, T.C., Ahluwalia, J.S., 2010. Predictors of smoking reduction among Blacks. Nicotine Tob Res 12(4), 423-431.</w:t>
      </w:r>
    </w:p>
    <w:p w14:paraId="20892EB5"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Blot, W.J., Cohen, S.S., Aldrich, M., McLaughlin, J.K., Hargreaves, M.K., Signorello, L.B., 2011. Lung cancer risk among smokers of menthol cigarettes. J Natl Cancer Inst 103(10), 810-816.</w:t>
      </w:r>
    </w:p>
    <w:p w14:paraId="49D1963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Brooks, D.R., Palmer, J.R., Strom, B.L., Rosenberg, L., 2003. Menthol cigarettes and risk of lung cancer. Am J Epidemiol 158(7), 609-616; discussion 617-620.</w:t>
      </w:r>
    </w:p>
    <w:p w14:paraId="087BB7BC"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Cropsey, K.L., Weaver, M.F., Eldridge, G.D., Villalobos, G.C., Best, A.M., Stitzer, M.L., 2009. Differential success rates in racial groups: results of a clinical trial of smoking cessation among female prisoners. Nicotine Tob Res 11(6), 690-697.</w:t>
      </w:r>
    </w:p>
    <w:p w14:paraId="0D446A49"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Cubbin, C., Soobader, M.J., LeClere, F.B., 2010. The intersection of gender and race/ethnicity in smoking behaviors among menthol and non-menthol smokers in the United States. Addiction 105 Suppl 1, 32-38.</w:t>
      </w:r>
    </w:p>
    <w:p w14:paraId="14AE34D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D'Silva, J., Boyle, R.G., Lien, R., Rode, P., Okuyemi, K.S., 2012. Cessation outcomes among treatment-seeking menthol and nonmenthol smokers. Am J Prev Med 43(5 Suppl 3), S242-248.</w:t>
      </w:r>
    </w:p>
    <w:p w14:paraId="7A2D9FB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43548B7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Delnevo, C.D., Gundersen, D.A., Hrywna, M., Echeverria, S.E., Steinberg, M.B., 2011. Smoking-cessation prevalence among U.S. smokers of menthol versus non-menthol cigarettes. Am J Prev Med 41(4), 357-365.</w:t>
      </w:r>
    </w:p>
    <w:p w14:paraId="1D7639CE"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Delnevo, C.D., Villanti, A.C., Wackowski, O.A., Gundersen, D.A., Giovenco, D.P., 2015. The influence of menthol, e-cigarettes and other tobacco products on young adults' self-reported changes in past year smoking. Tob Control.</w:t>
      </w:r>
    </w:p>
    <w:p w14:paraId="5B945FD0"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Fagan, P., Augustson, E., Backinger, C.L., O'Connell, M.E., Vollinger, R.E., Jr., Kaufman, A., Gibson, J.T., 2007. Quit attempts and intention to quit cigarette smoking among young adults in the United States. Am J Public Health 97(8), 1412-1420.</w:t>
      </w:r>
    </w:p>
    <w:p w14:paraId="662C8F7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Fagan, P., Moolchan, E.T., Hart, A., Jr., Rose, A., Lawrence, D., Shavers, V.L., Gibson, J.T., 2010. Nicotine dependence and quitting behaviors among menthol and non-menthol smokers with similar consumptive patterns. Addiction 105 Suppl 1, 55-74.</w:t>
      </w:r>
    </w:p>
    <w:p w14:paraId="5687DCEF"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Fagan, P., Pohkrel, P., Herzog, T., Pagano, I., Vallone, D., Trinidad, D.R., Sakuma, K.L., Sterling, K., Fryer, C.S., Moolchan, E., 2015. Comparisons of three nicotine dependence scales in a multiethnic sample of young adult menthol and non-menthol smokers. Drug Alcohol Depend 149, 203-211.</w:t>
      </w:r>
    </w:p>
    <w:p w14:paraId="35339278"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Faseru, B., Choi, W.S., Krebill, R., Mayo, M.S., Nollen, N.L., Okuyemi, K.S., Ahluwalia, J.S., Cox, L.S., 2011. Factors associated with smoking menthol cigarettes among treatment-seeking African American light smokers. Addict Behav 36(12), 1321-1324.</w:t>
      </w:r>
    </w:p>
    <w:p w14:paraId="1686D0AD"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lastRenderedPageBreak/>
        <w:t>Faseru, B., Nollen, N.L., Mayo, M.S., Krebill, R., Choi, W.S., Benowitz, N.L., Tyndale, R.F., Okuyemi, K.S., Ahluwalia, J.S., Sanderson Cox, L., 2013. Predictors of cessation in African American light smokers enrolled in a bupropion clinical trial. Addict Behav 38(3), 1796-1803.</w:t>
      </w:r>
    </w:p>
    <w:p w14:paraId="4D003079"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Foulds, J., Gandhi, K.K., Steinberg, M.B., Richardson, D.L., Williams, J.M., Burke, M.V., Rhoads, G.G., 2006. Factors associated with quitting smoking at a tobacco dependence treatment clinic. Am J Health Behav 30(4), 400-412.</w:t>
      </w:r>
    </w:p>
    <w:p w14:paraId="1B50719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Fu, S.S., Okuyemi, K.S., Partin, M.R., Ahluwalia, J.S., Nelson, D.B., Clothier, B.A., Joseph, A.M., 2008. Menthol cigarettes and smoking cessation during an aided quit attempt. Nicotine Tob Res 10(3), 457-462.</w:t>
      </w:r>
    </w:p>
    <w:p w14:paraId="782198D2"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Gandhi, K.K., Foulds, J., Steinberg, M.B., Lu, S.E., Williams, J.M., 2009. Lower quit rates among African American and Latino menthol cigarette smokers at a tobacco treatment clinic. Int J Clin Pract 63(3), 360-367.</w:t>
      </w:r>
    </w:p>
    <w:p w14:paraId="3BF0A5A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Gubner, N.R., Williams, D.D., Pagano, A., Campbell, B.K., Guydish, J., 2018. Menthol cigarette smoking among individuals in treatment for substance use disorders. Addictive behaviors 80, 135-141.</w:t>
      </w:r>
    </w:p>
    <w:p w14:paraId="1A0ED65A"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Gundersen, D.A., Delnevo, C.D., Wackowski, O., 2009. Exploring the relationship between race/ethnicity, menthol smoking, and cessation, in a nationally representative sample of adults. Prev Med 49(6), 553-557.</w:t>
      </w:r>
    </w:p>
    <w:p w14:paraId="4641EB6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Harris, K.J., Okuyemi, K.S., Catley, D., Mayo, M.S., Ge, B., Ahluwalia, J.S., 2004. Predictors of smoking cessation among African-Americans enrolled in a randomized controlled trial of bupropion. Prev Med 38(4), 498-502.</w:t>
      </w:r>
    </w:p>
    <w:p w14:paraId="69F08470"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Hersey, J.C., Ng, S.W., Nonnemaker, J.M., Mowery, P., Thomas, K.Y., Vilsaint, M.C., Allen, J.A., Haviland, M.L., 2006. Are menthol cigarettes a starter product for youth? Nicotine Tob Res 8(3), 403-413.</w:t>
      </w:r>
    </w:p>
    <w:p w14:paraId="4B15BB77"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Hyland, A., Garten, S., Giovino, G.A., Cummings, K.M., 2002. Mentholated cigarettes and smoking cessation: Findings from COMMIT. Tob Control 11, 135-139.</w:t>
      </w:r>
    </w:p>
    <w:p w14:paraId="1BC5AAF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Hyland, A., Rivard, C., 2010. Analysis of mentholated cigarettes using the COMMIT data -- summary. Department of Health Behavior, Roswell Park Cancer Institute.</w:t>
      </w:r>
    </w:p>
    <w:p w14:paraId="093C53F8"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Jarvik, M.E., Tashkin, D.P., Caskey, N.H., McCarthy, W.J., Rosenblatt, M.R., 1994. Mentholated cigarettes decrease puff volume of smoke and increase carbon monoxide absorption. Physiol Behav 56(3), 563-570.</w:t>
      </w:r>
    </w:p>
    <w:p w14:paraId="6A6E183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Kahende, J.W., Malarcher, A.M., Teplinskaya, A., Asman, K.J., 2011. Quit attempt correlates among smokers by race/ethnicity. International journal of environmental research and public health 8(10), 3871-3888.</w:t>
      </w:r>
    </w:p>
    <w:p w14:paraId="1CA344D4"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Kanyuch, J.A., Bercz, P.A., Chang, J., Martinez, F.J., Criner, G.J., Lawrence, M.J., Tomko, P.A., Foreman, M.G., Silverman, E., Crapo, J.D., Sciurba, F.C., Investigators, C., 2011. Menthol cigarette use among African Americans associated with persistent tobacco use. Am J Respir Crit Care Med, p. A4568.</w:t>
      </w:r>
    </w:p>
    <w:p w14:paraId="3E944CDC"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Kasza, K.A., Hyland, A.J., Bansal-Travers, M., Vogl, L.M., Chen, J., Evans, S.E., Fong, G.T., Cummings, K.M., O'Connor, R.J., 2014. Switching between menthol and nonmenthol cigarettes: findings from the U.S. Cohort of the International Tobacco Control Four Country Survey. Nicotine Tob Res 16(9), 1255-1265.</w:t>
      </w:r>
    </w:p>
    <w:p w14:paraId="5A55779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 xml:space="preserve">Keeler, C., Max, W., Yerger, V., Yao, T., Ong, M.K., Sung, H.-Y., 2017. The Association of Menthol Cigarette Use With Quit Attempts, Successful Cessation, and Intention to Quit Across Racial/Ethnic Groups in the </w:t>
      </w:r>
      <w:r w:rsidRPr="00631611">
        <w:rPr>
          <w:rFonts w:ascii="Calibri" w:hAnsi="Calibri" w:cs="Calibri"/>
          <w:noProof/>
        </w:rPr>
        <w:lastRenderedPageBreak/>
        <w:t>United States. Nicotine &amp; tobacco research : official journal of the Society for Research on Nicotine and Tobacco 19(12), 1450-1464.</w:t>
      </w:r>
    </w:p>
    <w:p w14:paraId="1BD9329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Keeler, C., Max, W., Yerger, V.B., Yao, T., Wang, Y., Ong, M.K., Sung, H.-Y., 2018. Effects of cigarette prices on intention to quit, quit attempts, and successful cessation among African American smokers. Nicotine &amp; tobacco research : official journal of the Society for Research on Nicotine and Tobacco.</w:t>
      </w:r>
    </w:p>
    <w:p w14:paraId="7675E1A7"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King, A., Cao, D., Matthews, A., 2011. Influence of menthol use on smoking cessation outcomes in a smoking cessation treatment program.</w:t>
      </w:r>
    </w:p>
    <w:p w14:paraId="235EC2F9"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Levy, D.T., Blackman, K., Tauras, J., Chaloupka, F.J., Villanti, A.C., Niaura, R.S., Vallone, D.M., Abrams, D.B., 2011. Quit attempts and quit rates among menthol and nonmenthol smokers in the United States. Am J Public Health 101(7), 1241-1247.</w:t>
      </w:r>
    </w:p>
    <w:p w14:paraId="056A9550"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64EEE325"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Mendiondo, M.S., Alexander, L.A., Crawford, T., 2010. Health profile differences for menthol and non-menthol smokers: findings from the National Health Interview Survey. Addiction 105 Suppl 1, 124-140.</w:t>
      </w:r>
    </w:p>
    <w:p w14:paraId="3B8CEE6A"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Miller, G.E., Jarvik, M.E., Caskey, N.H., Segerstrom, S.C., Rosenblatt, M.R., McCarthy, W.J., 1994. Cigarette mentholation increases smokers' exhaled carbon monoxide levels. Exp Clin Psychopharm 2(2), 154-160.</w:t>
      </w:r>
    </w:p>
    <w:p w14:paraId="28A32888"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Muench, C., Juliano, L.M., 2017. Predictors of smoking lapse during a 48-hour laboratory analogue smoking cessation attempt. Psychology of addictive behaviors : journal of the Society of Psychologists in Addictive Behaviors 31(4), 415-422.</w:t>
      </w:r>
    </w:p>
    <w:p w14:paraId="1656C2F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Murray, R.P., Connett, J.E., Skeans, M.A., Tashkin, D.P., 2007. Menthol cigarettes and health risks in Lung Health Study data. Nicotine Tob Res 9(1), 101-107.</w:t>
      </w:r>
    </w:p>
    <w:p w14:paraId="19819A14"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Muscat, J.E., Richie, J.P., Jr., Stellman, S.D., 2002. Mentholated cigarettes and smoking habits in whites and blacks. Tob Control 11, 368-371.</w:t>
      </w:r>
    </w:p>
    <w:p w14:paraId="1C00B4C7"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Nonnemaker, J., Hersey, J., Homsi, G., Busey, A., Allen, J., Vallone, D., 2012. Initiation with menthol cigarettes and youth smoking uptake. Addiction 108(1), 171-178.</w:t>
      </w:r>
    </w:p>
    <w:p w14:paraId="62240305"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O'Connor, R.J., Bansal-Travers, M., Carter, L.P., Cummings, K.M., 2012. What would menthol smokers do if menthol in cigarettes were banned? Behavioral intentions and simulated demand. Addiction 107(7), 1330-1338.</w:t>
      </w:r>
    </w:p>
    <w:p w14:paraId="1A94B0A8"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Okuyemi, K.S., Ahluwalia, J.S., Ebersole-Robinson, M., Catley, D., Mayo, M.S., Resnicow, K., 2003. Does menthol attenuate the effect of bupropion among African American smokers? Addiction 98, 1387-1393.</w:t>
      </w:r>
    </w:p>
    <w:p w14:paraId="5549EEB4"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Okuyemi, K.S., Ebersole-Robinson, M., Nazir, N., Ahluwalia, J.S., 2004. African-American menthol and nonmenthol smokers: Differences in smoking and cessation experiences. J Natl Med Assoc 96(9), 1208-1211.</w:t>
      </w:r>
    </w:p>
    <w:p w14:paraId="105748C9"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Okuyemi, K.S., Faseru, B., Sanderson Cox, L., Bronars, C.A., Ahluwalia, J.S., 2007. Relationship between menthol cigarettes and smoking cessation among African American light smokers. Addiction 102(12), 1979-1986.</w:t>
      </w:r>
    </w:p>
    <w:p w14:paraId="7F8FEEE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lastRenderedPageBreak/>
        <w:t>Park, J.-Y., 2017. Tobacco use behaviors among vulnerable populations. Dissertation Abstracts International: Section B: The Sciences and Engineering 77(12-B(E)), No-Specified.</w:t>
      </w:r>
    </w:p>
    <w:p w14:paraId="4FCC1FDA"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Pearson, J.L., 2011. Public reaction to potential food and drug administration actions under the family smoking prevention and tobacco control act: Regulating e-cigarettes, banning menthol, and reducing cigarette nicotine content. Johns Hopkins University, p. 142.</w:t>
      </w:r>
    </w:p>
    <w:p w14:paraId="64EEE09C"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Pearson, J.L., Abrams, D.B., Niaura, R.S., Richardson, A., Vallone, D., 2012. A ban on menthol cigarettes: Impact on public opinion and smokers' intention to quit. Am J Public Health 102(11), e107-e114.</w:t>
      </w:r>
    </w:p>
    <w:p w14:paraId="3B2BA88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Pletcher, M.J., Hulley, B.J., Houston, T., Kiefe, C.I., Benowitz, N., Sidney, S., 2006. Menthol cigarettes, smoking cessation, atherosclerosis, and pulmonary function: the Coronary Artery Risk Development in Young Adults (CARDIA) Study. Arch Intern Med 166, 1915-1922.</w:t>
      </w:r>
    </w:p>
    <w:p w14:paraId="14ECED15"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Rath, J.M., Villanti, A.C., Williams, V.F., Richardson, A., Pearson, J.L., Vallone, D.M., 2015. Patterns of Longitudinal Transitions in Menthol Use Among US Young Adult Smokers. Nicotine Tob Res 17(7), 839-846.</w:t>
      </w:r>
    </w:p>
    <w:p w14:paraId="604FEE48"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Reitzel, L.R., 2011a. Menthol cigarettes, tobacco dependence, and smoking cessation: Project BREAK FREE final report. The University of Texas, MD Anderson Cancer Center.</w:t>
      </w:r>
    </w:p>
    <w:p w14:paraId="75752E1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Reitzel, L.R., 2011b. Menthol cigarettes, tobacco dependence, and smoking cessation: Project CARE final report. University of Texas, MD Anderson Cancer Center.</w:t>
      </w:r>
    </w:p>
    <w:p w14:paraId="2B757AA7"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Reitzel, L.R., 2011c. Menthol cigarettes, tobacco dependence, and smoking cessation: Project MOM final report. The University of Texas, MD Anderson Cancer Center.</w:t>
      </w:r>
    </w:p>
    <w:p w14:paraId="54EF13EF"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Reitzel, L.R., Li, Y., Stewart, D.W., Cao, Y., Wetter, D.W., Waters, A.J., Vidrine, J.I., 2013. Race moderates the effect of menthol cigarette use on short-term smoking abstinence. Nicotine Tob Res 15(5), 883-889.</w:t>
      </w:r>
    </w:p>
    <w:p w14:paraId="72DCABA9"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Rojewski, A.M., Toll, B.A., O'Malley, S.S., 2014. Menthol cigarette use predicts treatment outcomes of weight-concerned smokers. Nicotine Tob Res 16(1), 115-119.</w:t>
      </w:r>
    </w:p>
    <w:p w14:paraId="16B26B8E"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Rosenbloom, J., Rees, V.W., Reid, K., Wong, J., Kinnunen, T., 2012. A cross-sectional study on tobacco use and dependence among women: Does menthol matter? Tob Induc Dis 10(19), 1-6.</w:t>
      </w:r>
    </w:p>
    <w:p w14:paraId="55D4F57C"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Sidney, S., Tekawa, I.S., Friedman, G.D., 1989. Mentholated cigarette use among multiphasic examinees, 1979-86. Am J Public Health 79, 1415-1416.</w:t>
      </w:r>
    </w:p>
    <w:p w14:paraId="65DA7A2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Smith, S.S., Fiore, M.C., Baker, T.B., 2014. Smoking cessation in smokers who smoke menthol and non-menthol cigarettes. Addiction 109(12), 2107-2117.</w:t>
      </w:r>
    </w:p>
    <w:p w14:paraId="098CF76C"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Stahre, M., Okuyemi, K.S., Joseph, A.M., Fu, S.S., 2010. Racial/ethnic differences in menthol cigarette smoking, population quit ratios and utilization of evidence-based tobacco cessation treatments. Addiction 105 Suppl 1, 75-83.</w:t>
      </w:r>
    </w:p>
    <w:p w14:paraId="7FFCA81F"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Steinberg, M.B., Bover, M.T., Richardson, D.L., Schmelzer, A.C., Williams, J.M., Foulds, J., 2011. Abstinence and psychological distress in co-morbid smokers using various pharmacotherapies. Drug Alcohol Depend 114(1), 77-81.</w:t>
      </w:r>
    </w:p>
    <w:p w14:paraId="1ACAAED1"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lastRenderedPageBreak/>
        <w:t>Sulsky, S.I., Fuller, W.G., Van Landingham, C., Ogden, M.W., Swauger, J.E., Curtin, G.M., 2014. Evaluating the association between menthol cigarette use and the likelihood of being a former versus current smoker. Regul Toxicol Pharmacol 70(1), 231-241.</w:t>
      </w:r>
    </w:p>
    <w:p w14:paraId="6CA13DA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Thihalolipavan, S., Jung, M., Jasek, J., Chamany, S., 2014. Menthol smokers in large-scale nicotine replacement therapy program. Am J Public Health 104(11), e3-4.</w:t>
      </w:r>
    </w:p>
    <w:p w14:paraId="00C6EC37"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Trinidad, D.R., Perez-Stable, E.J., Messer, K., White, M.M., Pierce, J.P., 2010. Menthol cigarettes and smoking cessation among racial/ethnic groups in the United States. Addiction 105 Suppl 1, 84-94.</w:t>
      </w:r>
    </w:p>
    <w:p w14:paraId="6A60A476"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Webb Hooper, M., Zhao, W., Byrne, M.M., Davila, E., Caban-Martinez, A., Dietz, N.A., Parker, D.F., Huang, Y., Messiah, A., Lee, D.J., 2011. Menthol cigarette smoking and health, Florida 2007 BRFSS. Am J Health Behav 31(1), 3-14.</w:t>
      </w:r>
    </w:p>
    <w:p w14:paraId="189242B3" w14:textId="77777777" w:rsidR="007F0AE0" w:rsidRPr="00631611" w:rsidRDefault="007F0AE0" w:rsidP="007F0AE0">
      <w:pPr>
        <w:spacing w:after="240" w:line="240" w:lineRule="auto"/>
        <w:rPr>
          <w:rFonts w:ascii="Calibri" w:hAnsi="Calibri" w:cs="Calibri"/>
          <w:noProof/>
        </w:rPr>
      </w:pPr>
      <w:r w:rsidRPr="00631611">
        <w:rPr>
          <w:rFonts w:ascii="Calibri" w:hAnsi="Calibri" w:cs="Calibri"/>
          <w:noProof/>
        </w:rPr>
        <w:t>Winhusen, T.M., Adinoff, B., Lewis, D.F., Brigham, G.S., Gardin, J.G., 2nd, Sonne, S.C., Theobald, J., Ghitza, U., 2013. A tale of two stimulants: mentholated cigarettes may play a role in cocaine, but not methamphetamine, dependence. Drug Alcohol Depend 133(3), 845-851.</w:t>
      </w:r>
    </w:p>
    <w:p w14:paraId="3E158752" w14:textId="77777777" w:rsidR="007F0AE0" w:rsidRPr="00631611" w:rsidRDefault="007F0AE0" w:rsidP="007F0AE0">
      <w:pPr>
        <w:spacing w:after="240" w:line="240" w:lineRule="auto"/>
        <w:rPr>
          <w:lang w:val="en-CA"/>
        </w:rPr>
      </w:pPr>
      <w:r w:rsidRPr="00631611">
        <w:rPr>
          <w:lang w:val="en-CA"/>
        </w:rPr>
        <w:fldChar w:fldCharType="end"/>
      </w:r>
      <w:r>
        <w:rPr>
          <w:rFonts w:cstheme="minorHAnsi"/>
          <w:b/>
        </w:rPr>
        <w:br w:type="page"/>
      </w:r>
    </w:p>
    <w:p w14:paraId="5AF53AC4" w14:textId="77777777" w:rsidR="007F0AE0" w:rsidRPr="00494051" w:rsidRDefault="007F0AE0" w:rsidP="007F0AE0">
      <w:pPr>
        <w:outlineLvl w:val="0"/>
        <w:rPr>
          <w:rFonts w:cstheme="minorHAnsi"/>
          <w:b/>
        </w:rPr>
      </w:pPr>
      <w:r w:rsidRPr="00494051">
        <w:rPr>
          <w:rFonts w:cstheme="minorHAnsi"/>
          <w:b/>
        </w:rPr>
        <w:lastRenderedPageBreak/>
        <w:t xml:space="preserve">SUPPLEMENTAL SECTION </w:t>
      </w:r>
      <w:r>
        <w:rPr>
          <w:rFonts w:cstheme="minorHAnsi"/>
          <w:b/>
        </w:rPr>
        <w:t>4</w:t>
      </w:r>
      <w:r w:rsidRPr="00494051">
        <w:rPr>
          <w:rFonts w:cstheme="minorHAnsi"/>
          <w:b/>
        </w:rPr>
        <w:t>: Conceptual Framework</w:t>
      </w:r>
    </w:p>
    <w:bookmarkEnd w:id="0"/>
    <w:p w14:paraId="0CDC5336" w14:textId="77777777" w:rsidR="007F0AE0" w:rsidRPr="00494051" w:rsidRDefault="007F0AE0" w:rsidP="007F0AE0">
      <w:pPr>
        <w:spacing w:after="120" w:line="240" w:lineRule="auto"/>
        <w:jc w:val="both"/>
        <w:rPr>
          <w:rFonts w:cstheme="minorHAnsi"/>
          <w:color w:val="000000" w:themeColor="text1"/>
          <w:shd w:val="clear" w:color="auto" w:fill="FFFFFF"/>
        </w:rPr>
      </w:pPr>
      <w:r w:rsidRPr="00494051">
        <w:rPr>
          <w:rFonts w:cstheme="minorHAnsi"/>
          <w:color w:val="000000" w:themeColor="text1"/>
          <w:shd w:val="clear" w:color="auto" w:fill="FFFFFF"/>
        </w:rPr>
        <w:t>It is essential that the factors that influence smoking behaviors be considered to the extent possible based on available data. As applied to this review, the socio-ecological model includes three main levels of factors that influence an individual’s smoking behaviors: characteristics of the individual (“micro”); characteristics of the individual’s social environment (“meso”); and characteristics of the systems-level environment in which the individual exists (“macro</w:t>
      </w:r>
      <w:r w:rsidRPr="000C4760">
        <w:rPr>
          <w:rFonts w:cstheme="minorHAnsi"/>
          <w:shd w:val="clear" w:color="auto" w:fill="FFFFFF"/>
        </w:rPr>
        <w:t>”) (</w:t>
      </w:r>
      <w:hyperlink w:anchor="Fig1_1" w:history="1">
        <w:r w:rsidRPr="000C4760">
          <w:rPr>
            <w:rStyle w:val="Hyperlink"/>
            <w:rFonts w:cstheme="minorHAnsi"/>
            <w:b/>
            <w:shd w:val="clear" w:color="auto" w:fill="FFFFFF"/>
          </w:rPr>
          <w:t xml:space="preserve">Figure </w:t>
        </w:r>
        <w:r>
          <w:rPr>
            <w:rStyle w:val="Hyperlink"/>
            <w:rFonts w:cstheme="minorHAnsi"/>
            <w:b/>
            <w:shd w:val="clear" w:color="auto" w:fill="FFFFFF"/>
          </w:rPr>
          <w:t>4</w:t>
        </w:r>
        <w:r w:rsidRPr="000C4760">
          <w:rPr>
            <w:rStyle w:val="Hyperlink"/>
            <w:rFonts w:cstheme="minorHAnsi"/>
            <w:b/>
            <w:shd w:val="clear" w:color="auto" w:fill="FFFFFF"/>
          </w:rPr>
          <w:t>-1</w:t>
        </w:r>
      </w:hyperlink>
      <w:r w:rsidRPr="000C4760">
        <w:rPr>
          <w:rFonts w:cstheme="minorHAnsi"/>
          <w:shd w:val="clear" w:color="auto" w:fill="FFFFFF"/>
        </w:rPr>
        <w:t xml:space="preserve">). Examples </w:t>
      </w:r>
      <w:r w:rsidRPr="00494051">
        <w:rPr>
          <w:rFonts w:cstheme="minorHAnsi"/>
          <w:color w:val="000000" w:themeColor="text1"/>
          <w:shd w:val="clear" w:color="auto" w:fill="FFFFFF"/>
        </w:rPr>
        <w:t xml:space="preserve">of micro-level factors are age, race/ethnicity, gender, and education. Meso-level factors include living in a home where someone smokes, having friends who smoke, and whether someone lives in an urban or rural area, among others. Macro-level factors might include cigarette taxes, workplace smoking policies, and local or state tobacco control activities (e.g., smoking bans). </w:t>
      </w:r>
    </w:p>
    <w:p w14:paraId="7B710891" w14:textId="77777777" w:rsidR="007F0AE0" w:rsidRPr="00494051" w:rsidRDefault="007F0AE0" w:rsidP="007F0AE0">
      <w:pPr>
        <w:spacing w:after="120" w:line="240" w:lineRule="auto"/>
        <w:jc w:val="both"/>
        <w:rPr>
          <w:rStyle w:val="apple-converted-space"/>
          <w:rFonts w:cstheme="minorHAnsi"/>
          <w:b/>
          <w:color w:val="000000" w:themeColor="text1"/>
          <w:shd w:val="clear" w:color="auto" w:fill="FFFFFF"/>
        </w:rPr>
      </w:pPr>
      <w:bookmarkStart w:id="1" w:name="Fig1_1"/>
      <w:r w:rsidRPr="00494051">
        <w:rPr>
          <w:rFonts w:cstheme="minorHAnsi"/>
          <w:noProof/>
          <w:lang w:val="en-GB" w:eastAsia="en-GB"/>
        </w:rPr>
        <mc:AlternateContent>
          <mc:Choice Requires="wps">
            <w:drawing>
              <wp:anchor distT="0" distB="0" distL="114300" distR="114300" simplePos="0" relativeHeight="251660288" behindDoc="0" locked="0" layoutInCell="1" allowOverlap="1" wp14:anchorId="3A723AB4" wp14:editId="4B42D4BF">
                <wp:simplePos x="0" y="0"/>
                <wp:positionH relativeFrom="column">
                  <wp:posOffset>341251</wp:posOffset>
                </wp:positionH>
                <wp:positionV relativeFrom="paragraph">
                  <wp:posOffset>4566673</wp:posOffset>
                </wp:positionV>
                <wp:extent cx="5409968" cy="451933"/>
                <wp:effectExtent l="0" t="0" r="0" b="0"/>
                <wp:wrapNone/>
                <wp:docPr id="47" name="Text Box 47"/>
                <wp:cNvGraphicFramePr/>
                <a:graphic xmlns:a="http://schemas.openxmlformats.org/drawingml/2006/main">
                  <a:graphicData uri="http://schemas.microsoft.com/office/word/2010/wordprocessingShape">
                    <wps:wsp>
                      <wps:cNvSpPr txBox="1"/>
                      <wps:spPr>
                        <a:xfrm>
                          <a:off x="0" y="0"/>
                          <a:ext cx="5409968" cy="451933"/>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527F121" w14:textId="77777777" w:rsidR="007F0AE0" w:rsidRPr="00182607" w:rsidRDefault="007F0AE0" w:rsidP="007F0AE0">
                            <w:pPr>
                              <w:pStyle w:val="details"/>
                              <w:shd w:val="clear" w:color="auto" w:fill="FFFFFF"/>
                              <w:spacing w:line="270" w:lineRule="atLeast"/>
                              <w:rPr>
                                <w:rFonts w:asciiTheme="minorHAnsi" w:hAnsiTheme="minorHAnsi"/>
                                <w:bCs/>
                                <w:sz w:val="20"/>
                                <w:szCs w:val="20"/>
                              </w:rPr>
                            </w:pPr>
                            <w:r w:rsidRPr="00182607">
                              <w:rPr>
                                <w:rFonts w:asciiTheme="minorHAnsi" w:hAnsiTheme="minorHAnsi"/>
                                <w:sz w:val="20"/>
                                <w:szCs w:val="20"/>
                                <w:vertAlign w:val="superscript"/>
                              </w:rPr>
                              <w:t>a</w:t>
                            </w:r>
                            <w:r>
                              <w:rPr>
                                <w:rFonts w:asciiTheme="minorHAnsi" w:hAnsiTheme="minorHAnsi"/>
                                <w:sz w:val="20"/>
                                <w:szCs w:val="20"/>
                                <w:vertAlign w:val="superscript"/>
                              </w:rPr>
                              <w:t xml:space="preserve"> </w:t>
                            </w:r>
                            <w:r w:rsidRPr="00182607">
                              <w:rPr>
                                <w:rFonts w:asciiTheme="minorHAnsi" w:hAnsiTheme="minorHAnsi"/>
                                <w:sz w:val="20"/>
                                <w:szCs w:val="20"/>
                              </w:rPr>
                              <w:t>Key confounder (see “</w:t>
                            </w:r>
                            <w:r w:rsidRPr="00182607">
                              <w:rPr>
                                <w:rFonts w:asciiTheme="minorHAnsi" w:hAnsiTheme="minorHAnsi"/>
                                <w:bCs/>
                                <w:sz w:val="20"/>
                                <w:szCs w:val="20"/>
                              </w:rPr>
                              <w:t xml:space="preserve">Assessment of Confounding” section); race and ethnicity were used in this </w:t>
                            </w:r>
                            <w:r>
                              <w:rPr>
                                <w:rFonts w:asciiTheme="minorHAnsi" w:hAnsiTheme="minorHAnsi"/>
                                <w:bCs/>
                                <w:sz w:val="20"/>
                                <w:szCs w:val="20"/>
                              </w:rPr>
                              <w:t>r</w:t>
                            </w:r>
                            <w:r w:rsidRPr="00182607">
                              <w:rPr>
                                <w:rFonts w:asciiTheme="minorHAnsi" w:hAnsiTheme="minorHAnsi"/>
                                <w:bCs/>
                                <w:sz w:val="20"/>
                                <w:szCs w:val="20"/>
                              </w:rPr>
                              <w:t>eview as defined by the included studies</w:t>
                            </w:r>
                            <w:r>
                              <w:rPr>
                                <w:rFonts w:asciiTheme="minorHAnsi" w:hAnsiTheme="minorHAnsi"/>
                                <w:bCs/>
                                <w:sz w:val="20"/>
                                <w:szCs w:val="20"/>
                              </w:rPr>
                              <w:t>.</w:t>
                            </w:r>
                          </w:p>
                          <w:p w14:paraId="785A700E" w14:textId="77777777" w:rsidR="007F0AE0" w:rsidRPr="00182607" w:rsidRDefault="007F0AE0" w:rsidP="007F0A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A723AB4" id="_x0000_t202" coordsize="21600,21600" o:spt="202" path="m,l,21600r21600,l21600,xe">
                <v:stroke joinstyle="miter"/>
                <v:path gradientshapeok="t" o:connecttype="rect"/>
              </v:shapetype>
              <v:shape id="Text Box 47" o:spid="_x0000_s1026" type="#_x0000_t202" style="position:absolute;left:0;text-align:left;margin-left:26.85pt;margin-top:359.6pt;width:426pt;height:35.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" filled="f" stroked="f">
                <v:textbox>
                  <w:txbxContent>
                    <w:p w14:paraId="5527F121" w14:textId="77777777" w:rsidR="007F0AE0" w:rsidRPr="00182607" w:rsidRDefault="007F0AE0" w:rsidP="007F0AE0">
                      <w:pPr>
                        <w:pStyle w:val="details"/>
                        <w:shd w:val="clear" w:color="auto" w:fill="FFFFFF"/>
                        <w:spacing w:line="270" w:lineRule="atLeast"/>
                        <w:rPr>
                          <w:rFonts w:asciiTheme="minorHAnsi" w:hAnsiTheme="minorHAnsi"/>
                          <w:bCs/>
                          <w:sz w:val="20"/>
                          <w:szCs w:val="20"/>
                        </w:rPr>
                      </w:pPr>
                      <w:r w:rsidRPr="00182607">
                        <w:rPr>
                          <w:rFonts w:asciiTheme="minorHAnsi" w:hAnsiTheme="minorHAnsi"/>
                          <w:sz w:val="20"/>
                          <w:szCs w:val="20"/>
                          <w:vertAlign w:val="superscript"/>
                        </w:rPr>
                        <w:t>a</w:t>
                      </w:r>
                      <w:r>
                        <w:rPr>
                          <w:rFonts w:asciiTheme="minorHAnsi" w:hAnsiTheme="minorHAnsi"/>
                          <w:sz w:val="20"/>
                          <w:szCs w:val="20"/>
                          <w:vertAlign w:val="superscript"/>
                        </w:rPr>
                        <w:t xml:space="preserve"> </w:t>
                      </w:r>
                      <w:r w:rsidRPr="00182607">
                        <w:rPr>
                          <w:rFonts w:asciiTheme="minorHAnsi" w:hAnsiTheme="minorHAnsi"/>
                          <w:sz w:val="20"/>
                          <w:szCs w:val="20"/>
                        </w:rPr>
                        <w:t>Key confounder (see “</w:t>
                      </w:r>
                      <w:r w:rsidRPr="00182607">
                        <w:rPr>
                          <w:rFonts w:asciiTheme="minorHAnsi" w:hAnsiTheme="minorHAnsi"/>
                          <w:bCs/>
                          <w:sz w:val="20"/>
                          <w:szCs w:val="20"/>
                        </w:rPr>
                        <w:t xml:space="preserve">Assessment of Confounding” section); race and ethnicity were used in this </w:t>
                      </w:r>
                      <w:r>
                        <w:rPr>
                          <w:rFonts w:asciiTheme="minorHAnsi" w:hAnsiTheme="minorHAnsi"/>
                          <w:bCs/>
                          <w:sz w:val="20"/>
                          <w:szCs w:val="20"/>
                        </w:rPr>
                        <w:t>r</w:t>
                      </w:r>
                      <w:r w:rsidRPr="00182607">
                        <w:rPr>
                          <w:rFonts w:asciiTheme="minorHAnsi" w:hAnsiTheme="minorHAnsi"/>
                          <w:bCs/>
                          <w:sz w:val="20"/>
                          <w:szCs w:val="20"/>
                        </w:rPr>
                        <w:t>eview as defined by the included studies</w:t>
                      </w:r>
                      <w:r>
                        <w:rPr>
                          <w:rFonts w:asciiTheme="minorHAnsi" w:hAnsiTheme="minorHAnsi"/>
                          <w:bCs/>
                          <w:sz w:val="20"/>
                          <w:szCs w:val="20"/>
                        </w:rPr>
                        <w:t>.</w:t>
                      </w:r>
                    </w:p>
                    <w:p w14:paraId="785A700E" w14:textId="77777777" w:rsidR="007F0AE0" w:rsidRPr="00182607" w:rsidRDefault="007F0AE0" w:rsidP="007F0AE0"/>
                  </w:txbxContent>
                </v:textbox>
              </v:shape>
            </w:pict>
          </mc:Fallback>
        </mc:AlternateContent>
      </w:r>
      <w:r w:rsidRPr="00494051">
        <w:rPr>
          <w:rFonts w:cstheme="minorHAnsi"/>
          <w:noProof/>
          <w:lang w:val="en-GB" w:eastAsia="en-GB"/>
        </w:rPr>
        <mc:AlternateContent>
          <mc:Choice Requires="wpg">
            <w:drawing>
              <wp:anchor distT="0" distB="0" distL="114300" distR="114300" simplePos="0" relativeHeight="251659264" behindDoc="0" locked="0" layoutInCell="1" allowOverlap="1" wp14:anchorId="5DE8768E" wp14:editId="3A191741">
                <wp:simplePos x="0" y="0"/>
                <wp:positionH relativeFrom="margin">
                  <wp:align>center</wp:align>
                </wp:positionH>
                <wp:positionV relativeFrom="paragraph">
                  <wp:posOffset>440055</wp:posOffset>
                </wp:positionV>
                <wp:extent cx="4451985" cy="4038600"/>
                <wp:effectExtent l="76200" t="57150" r="100965" b="152400"/>
                <wp:wrapTopAndBottom/>
                <wp:docPr id="40" name="Group 40"/>
                <wp:cNvGraphicFramePr/>
                <a:graphic xmlns:a="http://schemas.openxmlformats.org/drawingml/2006/main">
                  <a:graphicData uri="http://schemas.microsoft.com/office/word/2010/wordprocessingGroup">
                    <wpg:wgp>
                      <wpg:cNvGrpSpPr/>
                      <wpg:grpSpPr>
                        <a:xfrm>
                          <a:off x="0" y="0"/>
                          <a:ext cx="4451985" cy="4038600"/>
                          <a:chOff x="136775" y="427704"/>
                          <a:chExt cx="2598741" cy="2773445"/>
                        </a:xfrm>
                      </wpg:grpSpPr>
                      <wps:wsp>
                        <wps:cNvPr id="41" name="Oval 41"/>
                        <wps:cNvSpPr/>
                        <wps:spPr>
                          <a:xfrm>
                            <a:off x="136775" y="427704"/>
                            <a:ext cx="2598741" cy="2768130"/>
                          </a:xfrm>
                          <a:prstGeom prst="ellipse">
                            <a:avLst/>
                          </a:prstGeom>
                          <a:solidFill>
                            <a:srgbClr val="9CCA7C"/>
                          </a:solidFill>
                          <a:ln w="6350">
                            <a:solidFill>
                              <a:schemeClr val="bg2">
                                <a:lumMod val="50000"/>
                              </a:schemeClr>
                            </a:solidFill>
                          </a:ln>
                          <a:effectLst>
                            <a:outerShdw blurRad="50800" dist="38100" dir="5400000" algn="t" rotWithShape="0">
                              <a:prstClr val="black">
                                <a:alpha val="40000"/>
                              </a:prstClr>
                            </a:outerShdw>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Oval 42"/>
                        <wps:cNvSpPr/>
                        <wps:spPr>
                          <a:xfrm>
                            <a:off x="390312" y="1173268"/>
                            <a:ext cx="2084998" cy="2027881"/>
                          </a:xfrm>
                          <a:prstGeom prst="ellipse">
                            <a:avLst/>
                          </a:prstGeom>
                          <a:solidFill>
                            <a:srgbClr val="B194DC"/>
                          </a:solidFill>
                          <a:ln w="6350">
                            <a:solidFill>
                              <a:schemeClr val="bg2">
                                <a:lumMod val="50000"/>
                              </a:schemeClr>
                            </a:solid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Text Box 43"/>
                        <wps:cNvSpPr txBox="1"/>
                        <wps:spPr>
                          <a:xfrm>
                            <a:off x="659911" y="450727"/>
                            <a:ext cx="1600200" cy="9098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F3B81CD" w14:textId="77777777" w:rsidR="007F0AE0" w:rsidRPr="001510AF" w:rsidRDefault="007F0AE0" w:rsidP="007F0AE0">
                              <w:pPr>
                                <w:contextualSpacing/>
                                <w:jc w:val="center"/>
                                <w:rPr>
                                  <w:b/>
                                  <w:color w:val="FFFFFF" w:themeColor="background1"/>
                                  <w:sz w:val="20"/>
                                </w:rPr>
                              </w:pPr>
                              <w:r>
                                <w:rPr>
                                  <w:b/>
                                  <w:color w:val="FFFFFF" w:themeColor="background1"/>
                                  <w:sz w:val="20"/>
                                </w:rPr>
                                <w:t>MACRO</w:t>
                              </w:r>
                            </w:p>
                            <w:p w14:paraId="28EF92E8" w14:textId="77777777" w:rsidR="007F0AE0" w:rsidRPr="00182607" w:rsidRDefault="007F0AE0" w:rsidP="007F0AE0">
                              <w:pPr>
                                <w:spacing w:after="60" w:line="240" w:lineRule="auto"/>
                                <w:contextualSpacing/>
                                <w:jc w:val="center"/>
                                <w:rPr>
                                  <w:color w:val="FFFFFF" w:themeColor="background1"/>
                                  <w:sz w:val="20"/>
                                </w:rPr>
                              </w:pPr>
                              <w:r w:rsidRPr="00182607">
                                <w:rPr>
                                  <w:color w:val="FFFFFF" w:themeColor="background1"/>
                                  <w:sz w:val="20"/>
                                </w:rPr>
                                <w:t>Policies, Government, and Industry</w:t>
                              </w:r>
                            </w:p>
                            <w:p w14:paraId="09E38475"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State or local tobacco control policies</w:t>
                              </w:r>
                            </w:p>
                            <w:p w14:paraId="785D3C7D"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Cigarette prices or taxes</w:t>
                              </w:r>
                            </w:p>
                            <w:p w14:paraId="2BE68C42"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Workplace smoking policies</w:t>
                              </w:r>
                            </w:p>
                            <w:p w14:paraId="469F9BC3"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Tobacco industry marketing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505224" y="1219266"/>
                            <a:ext cx="1865179" cy="9409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C96021" w14:textId="77777777" w:rsidR="007F0AE0" w:rsidRPr="001510AF" w:rsidRDefault="007F0AE0" w:rsidP="007F0AE0">
                              <w:pPr>
                                <w:contextualSpacing/>
                                <w:jc w:val="center"/>
                                <w:rPr>
                                  <w:b/>
                                  <w:color w:val="FFFFFF" w:themeColor="background1"/>
                                  <w:sz w:val="20"/>
                                </w:rPr>
                              </w:pPr>
                              <w:r>
                                <w:rPr>
                                  <w:b/>
                                  <w:color w:val="FFFFFF" w:themeColor="background1"/>
                                  <w:sz w:val="20"/>
                                </w:rPr>
                                <w:t>MESO</w:t>
                              </w:r>
                            </w:p>
                            <w:p w14:paraId="5079AA07" w14:textId="77777777" w:rsidR="007F0AE0" w:rsidRPr="00182607" w:rsidRDefault="007F0AE0" w:rsidP="007F0AE0">
                              <w:pPr>
                                <w:spacing w:after="60" w:line="240" w:lineRule="auto"/>
                                <w:contextualSpacing/>
                                <w:jc w:val="center"/>
                                <w:rPr>
                                  <w:color w:val="FFFFFF" w:themeColor="background1"/>
                                  <w:sz w:val="20"/>
                                </w:rPr>
                              </w:pPr>
                              <w:r w:rsidRPr="00182607">
                                <w:rPr>
                                  <w:color w:val="FFFFFF" w:themeColor="background1"/>
                                  <w:sz w:val="20"/>
                                </w:rPr>
                                <w:t>Sociocultural and Physical Environments</w:t>
                              </w:r>
                            </w:p>
                            <w:p w14:paraId="667CB8CA"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Living with smoking relatives</w:t>
                              </w:r>
                            </w:p>
                            <w:p w14:paraId="59CA0CF3"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Smoking allowed at home</w:t>
                              </w:r>
                            </w:p>
                            <w:p w14:paraId="375FB1E0"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Having a friend that smokes</w:t>
                              </w:r>
                            </w:p>
                            <w:p w14:paraId="6D37B1EB"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Brand preference for menthol cigarettes</w:t>
                              </w:r>
                            </w:p>
                            <w:p w14:paraId="0CB17285"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Geography (urban vs. rural)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Oval 45"/>
                        <wps:cNvSpPr/>
                        <wps:spPr>
                          <a:xfrm>
                            <a:off x="760606" y="2003520"/>
                            <a:ext cx="1381103" cy="1192314"/>
                          </a:xfrm>
                          <a:prstGeom prst="ellipse">
                            <a:avLst/>
                          </a:prstGeom>
                          <a:solidFill>
                            <a:srgbClr val="AAC0E4"/>
                          </a:solidFill>
                          <a:ln w="6350">
                            <a:solidFill>
                              <a:schemeClr val="bg2">
                                <a:lumMod val="50000"/>
                              </a:schemeClr>
                            </a:solid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Text Box 46"/>
                        <wps:cNvSpPr txBox="1"/>
                        <wps:spPr>
                          <a:xfrm>
                            <a:off x="647448" y="2008836"/>
                            <a:ext cx="1600200" cy="108329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7F3B62" w14:textId="77777777" w:rsidR="007F0AE0" w:rsidRPr="001510AF" w:rsidRDefault="007F0AE0" w:rsidP="007F0AE0">
                              <w:pPr>
                                <w:contextualSpacing/>
                                <w:jc w:val="center"/>
                                <w:rPr>
                                  <w:b/>
                                  <w:color w:val="FFFFFF" w:themeColor="background1"/>
                                  <w:sz w:val="20"/>
                                </w:rPr>
                              </w:pPr>
                              <w:r>
                                <w:rPr>
                                  <w:b/>
                                  <w:color w:val="FFFFFF" w:themeColor="background1"/>
                                  <w:sz w:val="20"/>
                                </w:rPr>
                                <w:t>MICRO</w:t>
                              </w:r>
                            </w:p>
                            <w:p w14:paraId="3015FD63" w14:textId="77777777" w:rsidR="007F0AE0" w:rsidRDefault="007F0AE0" w:rsidP="007F0AE0">
                              <w:pPr>
                                <w:spacing w:after="0"/>
                                <w:contextualSpacing/>
                                <w:jc w:val="center"/>
                                <w:rPr>
                                  <w:color w:val="1F4E79" w:themeColor="accent5" w:themeShade="80"/>
                                  <w:sz w:val="20"/>
                                </w:rPr>
                              </w:pPr>
                              <w:r w:rsidRPr="00182607">
                                <w:rPr>
                                  <w:color w:val="1F4E79" w:themeColor="accent5" w:themeShade="80"/>
                                  <w:sz w:val="20"/>
                                </w:rPr>
                                <w:t>Individual Factors</w:t>
                              </w:r>
                            </w:p>
                            <w:p w14:paraId="56A69030" w14:textId="77777777" w:rsidR="007F0AE0" w:rsidRPr="00431639" w:rsidRDefault="007F0AE0" w:rsidP="007F0AE0">
                              <w:pPr>
                                <w:pStyle w:val="ListParagraph"/>
                                <w:numPr>
                                  <w:ilvl w:val="0"/>
                                  <w:numId w:val="20"/>
                                </w:numPr>
                                <w:spacing w:line="240" w:lineRule="auto"/>
                                <w:ind w:left="1166" w:hanging="187"/>
                                <w:rPr>
                                  <w:color w:val="1F4E79" w:themeColor="accent5" w:themeShade="80"/>
                                  <w:sz w:val="18"/>
                                  <w:szCs w:val="18"/>
                                </w:rPr>
                              </w:pPr>
                              <w:r w:rsidRPr="00431639">
                                <w:rPr>
                                  <w:color w:val="1F4E79" w:themeColor="accent5" w:themeShade="80"/>
                                  <w:sz w:val="18"/>
                                  <w:szCs w:val="18"/>
                                </w:rPr>
                                <w:t>Age</w:t>
                              </w:r>
                              <w:r w:rsidRPr="00431639">
                                <w:rPr>
                                  <w:color w:val="1F4E79" w:themeColor="accent5" w:themeShade="80"/>
                                  <w:sz w:val="18"/>
                                  <w:szCs w:val="18"/>
                                  <w:vertAlign w:val="superscript"/>
                                </w:rPr>
                                <w:t>a</w:t>
                              </w:r>
                            </w:p>
                            <w:p w14:paraId="4EF65761" w14:textId="77777777" w:rsidR="007F0AE0" w:rsidRPr="00431639" w:rsidRDefault="007F0AE0" w:rsidP="007F0AE0">
                              <w:pPr>
                                <w:pStyle w:val="ListParagraph"/>
                                <w:numPr>
                                  <w:ilvl w:val="0"/>
                                  <w:numId w:val="20"/>
                                </w:numPr>
                                <w:spacing w:line="240" w:lineRule="auto"/>
                                <w:ind w:left="1166" w:hanging="187"/>
                                <w:rPr>
                                  <w:color w:val="1F4E79" w:themeColor="accent5" w:themeShade="80"/>
                                  <w:sz w:val="18"/>
                                  <w:szCs w:val="18"/>
                                </w:rPr>
                              </w:pPr>
                              <w:r w:rsidRPr="00431639">
                                <w:rPr>
                                  <w:color w:val="1F4E79" w:themeColor="accent5" w:themeShade="80"/>
                                  <w:sz w:val="18"/>
                                  <w:szCs w:val="18"/>
                                </w:rPr>
                                <w:t>Race/ethnicity</w:t>
                              </w:r>
                              <w:r w:rsidRPr="00431639">
                                <w:rPr>
                                  <w:color w:val="1F4E79" w:themeColor="accent5" w:themeShade="80"/>
                                  <w:sz w:val="18"/>
                                  <w:szCs w:val="18"/>
                                  <w:vertAlign w:val="superscript"/>
                                </w:rPr>
                                <w:t>a</w:t>
                              </w:r>
                            </w:p>
                            <w:p w14:paraId="5B830B30"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Pr>
                                  <w:color w:val="1F4E79" w:themeColor="accent5" w:themeShade="80"/>
                                  <w:sz w:val="18"/>
                                  <w:szCs w:val="18"/>
                                </w:rPr>
                                <w:t>Gender</w:t>
                              </w:r>
                              <w:r w:rsidRPr="00431639">
                                <w:rPr>
                                  <w:color w:val="1F4E79" w:themeColor="accent5" w:themeShade="80"/>
                                  <w:sz w:val="18"/>
                                  <w:szCs w:val="18"/>
                                  <w:vertAlign w:val="superscript"/>
                                </w:rPr>
                                <w:t>a</w:t>
                              </w:r>
                            </w:p>
                            <w:p w14:paraId="4D51204E"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Education</w:t>
                              </w:r>
                            </w:p>
                            <w:p w14:paraId="3C513172"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Marital status</w:t>
                              </w:r>
                            </w:p>
                            <w:p w14:paraId="11E2A57A"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Income/financial situation</w:t>
                              </w:r>
                            </w:p>
                            <w:p w14:paraId="3EF3029A"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Dependence</w:t>
                              </w:r>
                            </w:p>
                            <w:p w14:paraId="0BB79A27"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Cotinine 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E8768E" id="Group 40" o:spid="_x0000_s1027" style="position:absolute;left:0;text-align:left;margin-left:0;margin-top:34.65pt;width:350.55pt;height:318pt;z-index:251659264;mso-position-horizontal:center;mso-position-horizontal-relative:margin;mso-width-relative:margin;mso-height-relative:margin" coordorigin="1367,4277" coordsize="25987,27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">
                <v:oval id="Oval 41" o:spid="_x0000_s1028" style="position:absolute;left:1367;top:4277;width:25988;height:27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" fillcolor="#9cca7c" strokecolor="#747070 [1614]" strokeweight=".5pt">
                  <v:stroke joinstyle="miter"/>
                  <v:shadow on="t" color="black" opacity="26214f" origin=",-.5" offset="0,3pt"/>
                </v:oval>
                <v:oval id="Oval 42" o:spid="_x0000_s1029" style="position:absolute;left:3903;top:11732;width:20850;height:20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" fillcolor="#b194dc" strokecolor="#747070 [1614]" strokeweight=".5pt">
                  <v:stroke joinstyle="miter"/>
                </v:oval>
                <v:shape id="Text Box 43" o:spid="_x0000_s1030" type="#_x0000_t202" style="position:absolute;left:6599;top:4507;width:16002;height:9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7F3B81CD" w14:textId="77777777" w:rsidR="007F0AE0" w:rsidRPr="001510AF" w:rsidRDefault="007F0AE0" w:rsidP="007F0AE0">
                        <w:pPr>
                          <w:contextualSpacing/>
                          <w:jc w:val="center"/>
                          <w:rPr>
                            <w:b/>
                            <w:color w:val="FFFFFF" w:themeColor="background1"/>
                            <w:sz w:val="20"/>
                          </w:rPr>
                        </w:pPr>
                        <w:r>
                          <w:rPr>
                            <w:b/>
                            <w:color w:val="FFFFFF" w:themeColor="background1"/>
                            <w:sz w:val="20"/>
                          </w:rPr>
                          <w:t>MACRO</w:t>
                        </w:r>
                      </w:p>
                      <w:p w14:paraId="28EF92E8" w14:textId="77777777" w:rsidR="007F0AE0" w:rsidRPr="00182607" w:rsidRDefault="007F0AE0" w:rsidP="007F0AE0">
                        <w:pPr>
                          <w:spacing w:after="60" w:line="240" w:lineRule="auto"/>
                          <w:contextualSpacing/>
                          <w:jc w:val="center"/>
                          <w:rPr>
                            <w:color w:val="FFFFFF" w:themeColor="background1"/>
                            <w:sz w:val="20"/>
                          </w:rPr>
                        </w:pPr>
                        <w:r w:rsidRPr="00182607">
                          <w:rPr>
                            <w:color w:val="FFFFFF" w:themeColor="background1"/>
                            <w:sz w:val="20"/>
                          </w:rPr>
                          <w:t>Policies, Government, and Industry</w:t>
                        </w:r>
                      </w:p>
                      <w:p w14:paraId="09E38475"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State or local tobacco control policies</w:t>
                        </w:r>
                      </w:p>
                      <w:p w14:paraId="785D3C7D"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Cigarette prices or taxes</w:t>
                        </w:r>
                      </w:p>
                      <w:p w14:paraId="2BE68C42"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Workplace smoking policies</w:t>
                        </w:r>
                      </w:p>
                      <w:p w14:paraId="469F9BC3" w14:textId="77777777" w:rsidR="007F0AE0" w:rsidRPr="00BE659D" w:rsidRDefault="007F0AE0" w:rsidP="007F0AE0">
                        <w:pPr>
                          <w:pStyle w:val="ListParagraph"/>
                          <w:numPr>
                            <w:ilvl w:val="0"/>
                            <w:numId w:val="22"/>
                          </w:numPr>
                          <w:tabs>
                            <w:tab w:val="left" w:pos="900"/>
                          </w:tabs>
                          <w:ind w:left="990" w:hanging="270"/>
                          <w:rPr>
                            <w:color w:val="1F4E79" w:themeColor="accent5" w:themeShade="80"/>
                            <w:sz w:val="18"/>
                            <w:szCs w:val="18"/>
                          </w:rPr>
                        </w:pPr>
                        <w:r w:rsidRPr="00BE659D">
                          <w:rPr>
                            <w:color w:val="1F4E79" w:themeColor="accent5" w:themeShade="80"/>
                            <w:sz w:val="18"/>
                            <w:szCs w:val="18"/>
                          </w:rPr>
                          <w:t>Tobacco industry marketing</w:t>
                        </w:r>
                      </w:p>
                    </w:txbxContent>
                  </v:textbox>
                </v:shape>
                <v:shape id="Text Box 44" o:spid="_x0000_s1031" type="#_x0000_t202" style="position:absolute;left:5052;top:12192;width:18652;height:9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28C96021" w14:textId="77777777" w:rsidR="007F0AE0" w:rsidRPr="001510AF" w:rsidRDefault="007F0AE0" w:rsidP="007F0AE0">
                        <w:pPr>
                          <w:contextualSpacing/>
                          <w:jc w:val="center"/>
                          <w:rPr>
                            <w:b/>
                            <w:color w:val="FFFFFF" w:themeColor="background1"/>
                            <w:sz w:val="20"/>
                          </w:rPr>
                        </w:pPr>
                        <w:r>
                          <w:rPr>
                            <w:b/>
                            <w:color w:val="FFFFFF" w:themeColor="background1"/>
                            <w:sz w:val="20"/>
                          </w:rPr>
                          <w:t>MESO</w:t>
                        </w:r>
                      </w:p>
                      <w:p w14:paraId="5079AA07" w14:textId="77777777" w:rsidR="007F0AE0" w:rsidRPr="00182607" w:rsidRDefault="007F0AE0" w:rsidP="007F0AE0">
                        <w:pPr>
                          <w:spacing w:after="60" w:line="240" w:lineRule="auto"/>
                          <w:contextualSpacing/>
                          <w:jc w:val="center"/>
                          <w:rPr>
                            <w:color w:val="FFFFFF" w:themeColor="background1"/>
                            <w:sz w:val="20"/>
                          </w:rPr>
                        </w:pPr>
                        <w:r w:rsidRPr="00182607">
                          <w:rPr>
                            <w:color w:val="FFFFFF" w:themeColor="background1"/>
                            <w:sz w:val="20"/>
                          </w:rPr>
                          <w:t>Sociocultural and Physical Environments</w:t>
                        </w:r>
                      </w:p>
                      <w:p w14:paraId="667CB8CA"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Living with smoking relatives</w:t>
                        </w:r>
                      </w:p>
                      <w:p w14:paraId="59CA0CF3"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Smoking allowed at home</w:t>
                        </w:r>
                      </w:p>
                      <w:p w14:paraId="375FB1E0"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Having a friend that smokes</w:t>
                        </w:r>
                      </w:p>
                      <w:p w14:paraId="6D37B1EB"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Brand preference for menthol cigarettes</w:t>
                        </w:r>
                      </w:p>
                      <w:p w14:paraId="0CB17285" w14:textId="77777777" w:rsidR="007F0AE0" w:rsidRPr="00BE659D" w:rsidRDefault="007F0AE0" w:rsidP="007F0AE0">
                        <w:pPr>
                          <w:pStyle w:val="ListParagraph"/>
                          <w:numPr>
                            <w:ilvl w:val="0"/>
                            <w:numId w:val="21"/>
                          </w:numPr>
                          <w:spacing w:line="240" w:lineRule="auto"/>
                          <w:ind w:left="1260" w:hanging="180"/>
                          <w:rPr>
                            <w:color w:val="1F4E79" w:themeColor="accent5" w:themeShade="80"/>
                            <w:sz w:val="18"/>
                            <w:szCs w:val="18"/>
                          </w:rPr>
                        </w:pPr>
                        <w:r w:rsidRPr="00BE659D">
                          <w:rPr>
                            <w:color w:val="1F4E79" w:themeColor="accent5" w:themeShade="80"/>
                            <w:sz w:val="18"/>
                            <w:szCs w:val="18"/>
                          </w:rPr>
                          <w:t>Geography (urban vs. rural)</w:t>
                        </w:r>
                      </w:p>
                    </w:txbxContent>
                  </v:textbox>
                </v:shape>
                <v:oval id="Oval 45" o:spid="_x0000_s1032" style="position:absolute;left:7606;top:20035;width:13811;height:119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" fillcolor="#aac0e4" strokecolor="#747070 [1614]" strokeweight=".5pt">
                  <v:stroke joinstyle="miter"/>
                </v:oval>
                <v:shape id="Text Box 46" o:spid="_x0000_s1033" type="#_x0000_t202" style="position:absolute;left:6474;top:20088;width:16002;height:108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547F3B62" w14:textId="77777777" w:rsidR="007F0AE0" w:rsidRPr="001510AF" w:rsidRDefault="007F0AE0" w:rsidP="007F0AE0">
                        <w:pPr>
                          <w:contextualSpacing/>
                          <w:jc w:val="center"/>
                          <w:rPr>
                            <w:b/>
                            <w:color w:val="FFFFFF" w:themeColor="background1"/>
                            <w:sz w:val="20"/>
                          </w:rPr>
                        </w:pPr>
                        <w:r>
                          <w:rPr>
                            <w:b/>
                            <w:color w:val="FFFFFF" w:themeColor="background1"/>
                            <w:sz w:val="20"/>
                          </w:rPr>
                          <w:t>MICRO</w:t>
                        </w:r>
                      </w:p>
                      <w:p w14:paraId="3015FD63" w14:textId="77777777" w:rsidR="007F0AE0" w:rsidRDefault="007F0AE0" w:rsidP="007F0AE0">
                        <w:pPr>
                          <w:spacing w:after="0"/>
                          <w:contextualSpacing/>
                          <w:jc w:val="center"/>
                          <w:rPr>
                            <w:color w:val="1F4E79" w:themeColor="accent5" w:themeShade="80"/>
                            <w:sz w:val="20"/>
                          </w:rPr>
                        </w:pPr>
                        <w:r w:rsidRPr="00182607">
                          <w:rPr>
                            <w:color w:val="1F4E79" w:themeColor="accent5" w:themeShade="80"/>
                            <w:sz w:val="20"/>
                          </w:rPr>
                          <w:t>Individual Factors</w:t>
                        </w:r>
                      </w:p>
                      <w:p w14:paraId="56A69030" w14:textId="77777777" w:rsidR="007F0AE0" w:rsidRPr="00431639" w:rsidRDefault="007F0AE0" w:rsidP="007F0AE0">
                        <w:pPr>
                          <w:pStyle w:val="ListParagraph"/>
                          <w:numPr>
                            <w:ilvl w:val="0"/>
                            <w:numId w:val="20"/>
                          </w:numPr>
                          <w:spacing w:line="240" w:lineRule="auto"/>
                          <w:ind w:left="1166" w:hanging="187"/>
                          <w:rPr>
                            <w:color w:val="1F4E79" w:themeColor="accent5" w:themeShade="80"/>
                            <w:sz w:val="18"/>
                            <w:szCs w:val="18"/>
                          </w:rPr>
                        </w:pPr>
                        <w:r w:rsidRPr="00431639">
                          <w:rPr>
                            <w:color w:val="1F4E79" w:themeColor="accent5" w:themeShade="80"/>
                            <w:sz w:val="18"/>
                            <w:szCs w:val="18"/>
                          </w:rPr>
                          <w:t>Age</w:t>
                        </w:r>
                        <w:r w:rsidRPr="00431639">
                          <w:rPr>
                            <w:color w:val="1F4E79" w:themeColor="accent5" w:themeShade="80"/>
                            <w:sz w:val="18"/>
                            <w:szCs w:val="18"/>
                            <w:vertAlign w:val="superscript"/>
                          </w:rPr>
                          <w:t>a</w:t>
                        </w:r>
                      </w:p>
                      <w:p w14:paraId="4EF65761" w14:textId="77777777" w:rsidR="007F0AE0" w:rsidRPr="00431639" w:rsidRDefault="007F0AE0" w:rsidP="007F0AE0">
                        <w:pPr>
                          <w:pStyle w:val="ListParagraph"/>
                          <w:numPr>
                            <w:ilvl w:val="0"/>
                            <w:numId w:val="20"/>
                          </w:numPr>
                          <w:spacing w:line="240" w:lineRule="auto"/>
                          <w:ind w:left="1166" w:hanging="187"/>
                          <w:rPr>
                            <w:color w:val="1F4E79" w:themeColor="accent5" w:themeShade="80"/>
                            <w:sz w:val="18"/>
                            <w:szCs w:val="18"/>
                          </w:rPr>
                        </w:pPr>
                        <w:r w:rsidRPr="00431639">
                          <w:rPr>
                            <w:color w:val="1F4E79" w:themeColor="accent5" w:themeShade="80"/>
                            <w:sz w:val="18"/>
                            <w:szCs w:val="18"/>
                          </w:rPr>
                          <w:t>Race/ethnicity</w:t>
                        </w:r>
                        <w:r w:rsidRPr="00431639">
                          <w:rPr>
                            <w:color w:val="1F4E79" w:themeColor="accent5" w:themeShade="80"/>
                            <w:sz w:val="18"/>
                            <w:szCs w:val="18"/>
                            <w:vertAlign w:val="superscript"/>
                          </w:rPr>
                          <w:t>a</w:t>
                        </w:r>
                      </w:p>
                      <w:p w14:paraId="5B830B30"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Pr>
                            <w:color w:val="1F4E79" w:themeColor="accent5" w:themeShade="80"/>
                            <w:sz w:val="18"/>
                            <w:szCs w:val="18"/>
                          </w:rPr>
                          <w:t>Gender</w:t>
                        </w:r>
                        <w:r w:rsidRPr="00431639">
                          <w:rPr>
                            <w:color w:val="1F4E79" w:themeColor="accent5" w:themeShade="80"/>
                            <w:sz w:val="18"/>
                            <w:szCs w:val="18"/>
                            <w:vertAlign w:val="superscript"/>
                          </w:rPr>
                          <w:t>a</w:t>
                        </w:r>
                      </w:p>
                      <w:p w14:paraId="4D51204E"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Education</w:t>
                        </w:r>
                      </w:p>
                      <w:p w14:paraId="3C513172"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Marital status</w:t>
                        </w:r>
                      </w:p>
                      <w:p w14:paraId="11E2A57A"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Income/financial situation</w:t>
                        </w:r>
                      </w:p>
                      <w:p w14:paraId="3EF3029A"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Dependence</w:t>
                        </w:r>
                      </w:p>
                      <w:p w14:paraId="0BB79A27" w14:textId="77777777" w:rsidR="007F0AE0" w:rsidRPr="00BE659D" w:rsidRDefault="007F0AE0" w:rsidP="007F0AE0">
                        <w:pPr>
                          <w:pStyle w:val="ListParagraph"/>
                          <w:numPr>
                            <w:ilvl w:val="0"/>
                            <w:numId w:val="20"/>
                          </w:numPr>
                          <w:spacing w:line="240" w:lineRule="auto"/>
                          <w:ind w:left="1166" w:hanging="187"/>
                          <w:rPr>
                            <w:color w:val="1F4E79" w:themeColor="accent5" w:themeShade="80"/>
                            <w:sz w:val="18"/>
                            <w:szCs w:val="18"/>
                          </w:rPr>
                        </w:pPr>
                        <w:r w:rsidRPr="00BE659D">
                          <w:rPr>
                            <w:color w:val="1F4E79" w:themeColor="accent5" w:themeShade="80"/>
                            <w:sz w:val="18"/>
                            <w:szCs w:val="18"/>
                          </w:rPr>
                          <w:t>Cotinine level</w:t>
                        </w:r>
                      </w:p>
                    </w:txbxContent>
                  </v:textbox>
                </v:shape>
                <w10:wrap type="topAndBottom" anchorx="margin"/>
              </v:group>
            </w:pict>
          </mc:Fallback>
        </mc:AlternateContent>
      </w:r>
      <w:r w:rsidRPr="00494051">
        <w:rPr>
          <w:rFonts w:cstheme="minorHAnsi"/>
          <w:b/>
          <w:color w:val="000000" w:themeColor="text1"/>
          <w:shd w:val="clear" w:color="auto" w:fill="FFFFFF"/>
        </w:rPr>
        <w:t>F</w:t>
      </w:r>
      <w:r>
        <w:rPr>
          <w:rFonts w:cstheme="minorHAnsi"/>
          <w:b/>
          <w:color w:val="000000" w:themeColor="text1"/>
          <w:shd w:val="clear" w:color="auto" w:fill="FFFFFF"/>
        </w:rPr>
        <w:t>igure</w:t>
      </w:r>
      <w:r w:rsidRPr="00494051">
        <w:rPr>
          <w:rFonts w:cstheme="minorHAnsi"/>
          <w:b/>
          <w:color w:val="000000" w:themeColor="text1"/>
          <w:shd w:val="clear" w:color="auto" w:fill="FFFFFF"/>
        </w:rPr>
        <w:t xml:space="preserve"> </w:t>
      </w:r>
      <w:r>
        <w:rPr>
          <w:rFonts w:cstheme="minorHAnsi"/>
          <w:b/>
          <w:color w:val="000000" w:themeColor="text1"/>
          <w:shd w:val="clear" w:color="auto" w:fill="FFFFFF"/>
        </w:rPr>
        <w:t>4</w:t>
      </w:r>
      <w:r w:rsidRPr="00494051">
        <w:rPr>
          <w:rFonts w:cstheme="minorHAnsi"/>
          <w:b/>
          <w:color w:val="000000" w:themeColor="text1"/>
          <w:shd w:val="clear" w:color="auto" w:fill="FFFFFF"/>
        </w:rPr>
        <w:t>-1: The Socio-Ecological Model</w:t>
      </w:r>
      <w:bookmarkEnd w:id="1"/>
    </w:p>
    <w:p w14:paraId="3A62AD98" w14:textId="77777777" w:rsidR="007F0AE0" w:rsidRPr="00494051" w:rsidRDefault="007F0AE0" w:rsidP="007F0AE0">
      <w:pPr>
        <w:rPr>
          <w:rFonts w:cstheme="minorHAnsi"/>
        </w:rPr>
      </w:pPr>
    </w:p>
    <w:p w14:paraId="76AA7110" w14:textId="77777777" w:rsidR="007F0AE0" w:rsidRPr="00494051" w:rsidRDefault="007F0AE0" w:rsidP="007F0AE0">
      <w:pPr>
        <w:rPr>
          <w:rFonts w:cstheme="minorHAnsi"/>
        </w:rPr>
      </w:pPr>
    </w:p>
    <w:p w14:paraId="03C072A5" w14:textId="77777777" w:rsidR="007F0AE0" w:rsidRPr="00494051" w:rsidRDefault="007F0AE0" w:rsidP="007F0AE0">
      <w:pPr>
        <w:rPr>
          <w:rFonts w:cstheme="minorHAnsi"/>
          <w:b/>
        </w:rPr>
      </w:pPr>
      <w:r w:rsidRPr="00494051">
        <w:rPr>
          <w:rFonts w:cstheme="minorHAnsi"/>
          <w:b/>
        </w:rPr>
        <w:br w:type="page"/>
      </w:r>
    </w:p>
    <w:p w14:paraId="08FAD2ED" w14:textId="77777777" w:rsidR="007F0AE0" w:rsidRPr="00494051" w:rsidRDefault="007F0AE0" w:rsidP="007F0AE0">
      <w:pPr>
        <w:spacing w:after="120" w:line="240" w:lineRule="auto"/>
        <w:outlineLvl w:val="0"/>
        <w:rPr>
          <w:rFonts w:cstheme="minorHAnsi"/>
          <w:b/>
        </w:rPr>
      </w:pPr>
      <w:bookmarkStart w:id="2" w:name="Supp2"/>
      <w:r w:rsidRPr="00494051">
        <w:rPr>
          <w:rFonts w:cstheme="minorHAnsi"/>
          <w:b/>
        </w:rPr>
        <w:lastRenderedPageBreak/>
        <w:t xml:space="preserve">SUPPLEMENTAL SECTION </w:t>
      </w:r>
      <w:r>
        <w:rPr>
          <w:rFonts w:cstheme="minorHAnsi"/>
          <w:b/>
        </w:rPr>
        <w:t>5</w:t>
      </w:r>
      <w:r w:rsidRPr="00494051">
        <w:rPr>
          <w:rFonts w:cstheme="minorHAnsi"/>
          <w:b/>
        </w:rPr>
        <w:t>: Search Strategy</w:t>
      </w:r>
    </w:p>
    <w:bookmarkEnd w:id="2"/>
    <w:p w14:paraId="197A7D4E" w14:textId="77777777" w:rsidR="007F0AE0" w:rsidRDefault="007F0AE0" w:rsidP="007F0AE0">
      <w:pPr>
        <w:keepNext/>
        <w:spacing w:after="120" w:line="240" w:lineRule="auto"/>
        <w:jc w:val="both"/>
        <w:rPr>
          <w:rFonts w:cstheme="minorHAnsi"/>
        </w:rPr>
      </w:pPr>
      <w:r w:rsidRPr="002A18D4">
        <w:rPr>
          <w:rFonts w:cstheme="minorHAnsi"/>
        </w:rPr>
        <w:t>The literature search was conducted by an Information Specialist. Search terms were developed using medical subject headings (MeSH) and text words related to the associations between menthol versus non-menthol cigarette use and cessation of cigarette smoking. The search strategy included using synonyms of search terms, truncation, wild card symbols, Boolean logic, proximity operators, and limits, to focus the search towards the most relevant clinical literatur</w:t>
      </w:r>
      <w:r>
        <w:rPr>
          <w:rFonts w:cstheme="minorHAnsi"/>
        </w:rPr>
        <w:t>e.</w:t>
      </w:r>
    </w:p>
    <w:p w14:paraId="0B25DD73" w14:textId="77777777" w:rsidR="007F0AE0" w:rsidRPr="00494051" w:rsidRDefault="007F0AE0" w:rsidP="007F0AE0">
      <w:pPr>
        <w:keepNext/>
        <w:spacing w:after="120" w:line="240" w:lineRule="auto"/>
        <w:jc w:val="both"/>
        <w:rPr>
          <w:rFonts w:cstheme="minorHAnsi"/>
        </w:rPr>
      </w:pPr>
      <w:r w:rsidRPr="00494051">
        <w:rPr>
          <w:rFonts w:cstheme="minorHAnsi"/>
        </w:rPr>
        <w:t xml:space="preserve">The following online databases were searched for relevant articles published from inception to 14 December 2018: </w:t>
      </w:r>
      <w:r w:rsidRPr="00494051">
        <w:rPr>
          <w:rFonts w:cstheme="minorHAnsi"/>
          <w:bCs/>
        </w:rPr>
        <w:t>Cochrane Central Register of Controlled Trials,</w:t>
      </w:r>
      <w:r w:rsidRPr="00494051">
        <w:rPr>
          <w:rFonts w:cstheme="minorHAnsi"/>
        </w:rPr>
        <w:t xml:space="preserve"> </w:t>
      </w:r>
      <w:r w:rsidRPr="00494051">
        <w:rPr>
          <w:rFonts w:cstheme="minorHAnsi"/>
          <w:bCs/>
        </w:rPr>
        <w:t>Cochrane Database of Systematic Reviews,</w:t>
      </w:r>
      <w:r w:rsidRPr="00494051">
        <w:rPr>
          <w:rFonts w:cstheme="minorHAnsi"/>
        </w:rPr>
        <w:t xml:space="preserve"> </w:t>
      </w:r>
      <w:r w:rsidRPr="00494051">
        <w:rPr>
          <w:rFonts w:cstheme="minorHAnsi"/>
          <w:bCs/>
        </w:rPr>
        <w:t>Database of Abstracts of Reviews of Effects,</w:t>
      </w:r>
      <w:r w:rsidRPr="00494051">
        <w:rPr>
          <w:rFonts w:cstheme="minorHAnsi"/>
        </w:rPr>
        <w:t xml:space="preserve"> MEDLINE, Embase and PsycInfo.</w:t>
      </w:r>
    </w:p>
    <w:p w14:paraId="46AD3C86" w14:textId="77777777" w:rsidR="007F0AE0" w:rsidRPr="00494051" w:rsidRDefault="007F0AE0" w:rsidP="007F0AE0">
      <w:pPr>
        <w:spacing w:after="120" w:line="240" w:lineRule="auto"/>
        <w:jc w:val="both"/>
        <w:rPr>
          <w:rFonts w:cstheme="minorHAnsi"/>
        </w:rPr>
      </w:pPr>
    </w:p>
    <w:tbl>
      <w:tblPr>
        <w:tblW w:w="0" w:type="auto"/>
        <w:shd w:val="clear" w:color="auto" w:fill="FFFFFF"/>
        <w:tblCellMar>
          <w:left w:w="0" w:type="dxa"/>
          <w:right w:w="0" w:type="dxa"/>
        </w:tblCellMar>
        <w:tblLook w:val="04A0" w:firstRow="1" w:lastRow="0" w:firstColumn="1" w:lastColumn="0" w:noHBand="0" w:noVBand="1"/>
      </w:tblPr>
      <w:tblGrid>
        <w:gridCol w:w="295"/>
        <w:gridCol w:w="6668"/>
        <w:gridCol w:w="749"/>
      </w:tblGrid>
      <w:tr w:rsidR="007F0AE0" w:rsidRPr="00494051" w14:paraId="3FD7168A" w14:textId="77777777" w:rsidTr="00453DE3">
        <w:tc>
          <w:tcPr>
            <w:tcW w:w="0" w:type="auto"/>
            <w:tcBorders>
              <w:top w:val="single" w:sz="8" w:space="0" w:color="757575"/>
              <w:left w:val="single" w:sz="8" w:space="0" w:color="757575"/>
              <w:bottom w:val="single" w:sz="8" w:space="0" w:color="757575"/>
              <w:right w:val="single" w:sz="8" w:space="0" w:color="757575"/>
            </w:tcBorders>
            <w:shd w:val="clear" w:color="auto" w:fill="B9B9B9"/>
            <w:tcMar>
              <w:top w:w="15" w:type="dxa"/>
              <w:left w:w="75" w:type="dxa"/>
              <w:bottom w:w="15" w:type="dxa"/>
              <w:right w:w="75" w:type="dxa"/>
            </w:tcMar>
            <w:vAlign w:val="center"/>
            <w:hideMark/>
          </w:tcPr>
          <w:p w14:paraId="7EF7BFE9" w14:textId="77777777" w:rsidR="007F0AE0" w:rsidRPr="00494051" w:rsidRDefault="007F0AE0" w:rsidP="00453DE3">
            <w:pPr>
              <w:spacing w:before="150" w:after="30" w:line="360" w:lineRule="atLeast"/>
              <w:contextualSpacing/>
              <w:rPr>
                <w:rFonts w:cstheme="minorHAnsi"/>
                <w:b/>
                <w:bCs/>
                <w:color w:val="0A0905"/>
                <w:sz w:val="20"/>
                <w:szCs w:val="20"/>
              </w:rPr>
            </w:pPr>
            <w:r w:rsidRPr="00494051">
              <w:rPr>
                <w:rFonts w:cstheme="minorHAnsi"/>
                <w:sz w:val="20"/>
                <w:szCs w:val="20"/>
              </w:rPr>
              <w:t xml:space="preserve"> </w:t>
            </w:r>
            <w:r w:rsidRPr="00494051">
              <w:rPr>
                <w:rFonts w:cstheme="minorHAnsi"/>
                <w:b/>
                <w:bCs/>
                <w:color w:val="0A0905"/>
                <w:sz w:val="20"/>
                <w:szCs w:val="20"/>
              </w:rPr>
              <w:t>#</w:t>
            </w:r>
          </w:p>
        </w:tc>
        <w:tc>
          <w:tcPr>
            <w:tcW w:w="0" w:type="auto"/>
            <w:tcBorders>
              <w:top w:val="single" w:sz="8" w:space="0" w:color="757575"/>
              <w:left w:val="nil"/>
              <w:bottom w:val="single" w:sz="8" w:space="0" w:color="757575"/>
              <w:right w:val="single" w:sz="8" w:space="0" w:color="757575"/>
            </w:tcBorders>
            <w:shd w:val="clear" w:color="auto" w:fill="B9B9B9"/>
            <w:tcMar>
              <w:top w:w="15" w:type="dxa"/>
              <w:left w:w="75" w:type="dxa"/>
              <w:bottom w:w="15" w:type="dxa"/>
              <w:right w:w="75" w:type="dxa"/>
            </w:tcMar>
            <w:vAlign w:val="center"/>
            <w:hideMark/>
          </w:tcPr>
          <w:p w14:paraId="018A48AE" w14:textId="77777777" w:rsidR="007F0AE0" w:rsidRPr="00494051" w:rsidRDefault="007F0AE0" w:rsidP="00453DE3">
            <w:pPr>
              <w:spacing w:before="150" w:after="30" w:line="360" w:lineRule="atLeast"/>
              <w:contextualSpacing/>
              <w:rPr>
                <w:rFonts w:cstheme="minorHAnsi"/>
                <w:b/>
                <w:bCs/>
                <w:color w:val="0A0905"/>
                <w:sz w:val="20"/>
                <w:szCs w:val="20"/>
              </w:rPr>
            </w:pPr>
            <w:r w:rsidRPr="00494051">
              <w:rPr>
                <w:rFonts w:cstheme="minorHAnsi"/>
                <w:b/>
                <w:bCs/>
                <w:color w:val="0A0905"/>
                <w:sz w:val="20"/>
                <w:szCs w:val="20"/>
              </w:rPr>
              <w:t>Searches</w:t>
            </w:r>
          </w:p>
        </w:tc>
        <w:tc>
          <w:tcPr>
            <w:tcW w:w="0" w:type="auto"/>
            <w:tcBorders>
              <w:top w:val="single" w:sz="8" w:space="0" w:color="757575"/>
              <w:left w:val="nil"/>
              <w:bottom w:val="single" w:sz="8" w:space="0" w:color="757575"/>
              <w:right w:val="single" w:sz="8" w:space="0" w:color="757575"/>
            </w:tcBorders>
            <w:shd w:val="clear" w:color="auto" w:fill="B9B9B9"/>
            <w:tcMar>
              <w:top w:w="15" w:type="dxa"/>
              <w:left w:w="75" w:type="dxa"/>
              <w:bottom w:w="15" w:type="dxa"/>
              <w:right w:w="75" w:type="dxa"/>
            </w:tcMar>
            <w:vAlign w:val="center"/>
            <w:hideMark/>
          </w:tcPr>
          <w:p w14:paraId="3112F894" w14:textId="77777777" w:rsidR="007F0AE0" w:rsidRPr="00494051" w:rsidRDefault="007F0AE0" w:rsidP="00453DE3">
            <w:pPr>
              <w:spacing w:before="150" w:after="30" w:line="360" w:lineRule="atLeast"/>
              <w:contextualSpacing/>
              <w:rPr>
                <w:rFonts w:cstheme="minorHAnsi"/>
                <w:b/>
                <w:bCs/>
                <w:color w:val="0A0905"/>
                <w:sz w:val="20"/>
                <w:szCs w:val="20"/>
              </w:rPr>
            </w:pPr>
            <w:r w:rsidRPr="00494051">
              <w:rPr>
                <w:rFonts w:cstheme="minorHAnsi"/>
                <w:b/>
                <w:bCs/>
                <w:color w:val="0A0905"/>
                <w:sz w:val="20"/>
                <w:szCs w:val="20"/>
              </w:rPr>
              <w:t>Results</w:t>
            </w:r>
          </w:p>
        </w:tc>
      </w:tr>
      <w:tr w:rsidR="007F0AE0" w:rsidRPr="00494051" w14:paraId="64EBF9A9" w14:textId="77777777" w:rsidTr="00453DE3">
        <w:tc>
          <w:tcPr>
            <w:tcW w:w="0" w:type="auto"/>
            <w:tcBorders>
              <w:top w:val="nil"/>
              <w:left w:val="single" w:sz="8" w:space="0" w:color="757575"/>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39888A22"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1</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4627FBFD"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(menthol* and (smok* or cigarette*)).mp.</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06FAF740"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1</w:t>
            </w:r>
            <w:r>
              <w:rPr>
                <w:rFonts w:cstheme="minorHAnsi"/>
                <w:color w:val="0A0905"/>
                <w:sz w:val="20"/>
                <w:szCs w:val="20"/>
              </w:rPr>
              <w:t>,</w:t>
            </w:r>
            <w:r w:rsidRPr="00494051">
              <w:rPr>
                <w:rFonts w:cstheme="minorHAnsi"/>
                <w:color w:val="0A0905"/>
                <w:sz w:val="20"/>
                <w:szCs w:val="20"/>
              </w:rPr>
              <w:t>749</w:t>
            </w:r>
          </w:p>
        </w:tc>
      </w:tr>
      <w:tr w:rsidR="007F0AE0" w:rsidRPr="00494051" w14:paraId="546B5F24" w14:textId="77777777" w:rsidTr="00453DE3">
        <w:tc>
          <w:tcPr>
            <w:tcW w:w="0" w:type="auto"/>
            <w:tcBorders>
              <w:top w:val="nil"/>
              <w:left w:val="single" w:sz="8" w:space="0" w:color="757575"/>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4BD5B710"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2</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60DCC584"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limit 1 to english language [Limit not valid in CDSR,DARE; records were retained]</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10923797"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1</w:t>
            </w:r>
            <w:r>
              <w:rPr>
                <w:rFonts w:cstheme="minorHAnsi"/>
                <w:color w:val="0A0905"/>
                <w:sz w:val="20"/>
                <w:szCs w:val="20"/>
              </w:rPr>
              <w:t>,</w:t>
            </w:r>
            <w:r w:rsidRPr="00494051">
              <w:rPr>
                <w:rFonts w:cstheme="minorHAnsi"/>
                <w:color w:val="0A0905"/>
                <w:sz w:val="20"/>
                <w:szCs w:val="20"/>
              </w:rPr>
              <w:t>675</w:t>
            </w:r>
          </w:p>
        </w:tc>
      </w:tr>
      <w:tr w:rsidR="007F0AE0" w:rsidRPr="00494051" w14:paraId="3C8CC8F3" w14:textId="77777777" w:rsidTr="00453DE3">
        <w:tc>
          <w:tcPr>
            <w:tcW w:w="0" w:type="auto"/>
            <w:tcBorders>
              <w:top w:val="nil"/>
              <w:left w:val="single" w:sz="8" w:space="0" w:color="757575"/>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362DC644"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3</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151BDE8C"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remove duplicates from 2</w:t>
            </w:r>
          </w:p>
        </w:tc>
        <w:tc>
          <w:tcPr>
            <w:tcW w:w="0" w:type="auto"/>
            <w:tcBorders>
              <w:top w:val="nil"/>
              <w:left w:val="nil"/>
              <w:bottom w:val="single" w:sz="8" w:space="0" w:color="757575"/>
              <w:right w:val="single" w:sz="8" w:space="0" w:color="757575"/>
            </w:tcBorders>
            <w:shd w:val="clear" w:color="auto" w:fill="FFFFFF"/>
            <w:tcMar>
              <w:top w:w="15" w:type="dxa"/>
              <w:left w:w="75" w:type="dxa"/>
              <w:bottom w:w="15" w:type="dxa"/>
              <w:right w:w="75" w:type="dxa"/>
            </w:tcMar>
            <w:vAlign w:val="center"/>
            <w:hideMark/>
          </w:tcPr>
          <w:p w14:paraId="69354B0B" w14:textId="77777777" w:rsidR="007F0AE0" w:rsidRPr="00494051" w:rsidRDefault="007F0AE0" w:rsidP="00453DE3">
            <w:pPr>
              <w:spacing w:line="360" w:lineRule="atLeast"/>
              <w:contextualSpacing/>
              <w:rPr>
                <w:rFonts w:cstheme="minorHAnsi"/>
                <w:color w:val="0A0905"/>
                <w:sz w:val="20"/>
                <w:szCs w:val="20"/>
              </w:rPr>
            </w:pPr>
            <w:r w:rsidRPr="00494051">
              <w:rPr>
                <w:rFonts w:cstheme="minorHAnsi"/>
                <w:color w:val="0A0905"/>
                <w:sz w:val="20"/>
                <w:szCs w:val="20"/>
              </w:rPr>
              <w:t>838</w:t>
            </w:r>
          </w:p>
        </w:tc>
      </w:tr>
    </w:tbl>
    <w:p w14:paraId="0005F7F6" w14:textId="77777777" w:rsidR="007F0AE0" w:rsidRPr="00494051" w:rsidRDefault="007F0AE0" w:rsidP="007F0AE0">
      <w:pPr>
        <w:spacing w:after="240"/>
        <w:rPr>
          <w:rFonts w:cstheme="minorHAnsi"/>
          <w:color w:val="000000"/>
          <w:sz w:val="24"/>
          <w:szCs w:val="24"/>
        </w:rPr>
      </w:pPr>
    </w:p>
    <w:p w14:paraId="00063824" w14:textId="77777777" w:rsidR="007F0AE0" w:rsidRPr="00494051" w:rsidRDefault="007F0AE0" w:rsidP="007F0AE0">
      <w:pPr>
        <w:keepNext/>
        <w:spacing w:before="240" w:after="0" w:line="240" w:lineRule="auto"/>
        <w:rPr>
          <w:rFonts w:eastAsia="Calibri" w:cstheme="minorHAnsi"/>
          <w:color w:val="000000"/>
          <w:sz w:val="16"/>
          <w:szCs w:val="16"/>
        </w:rPr>
        <w:sectPr w:rsidR="007F0AE0" w:rsidRPr="00494051" w:rsidSect="00025AEF">
          <w:pgSz w:w="12240" w:h="15840"/>
          <w:pgMar w:top="1152" w:right="1296" w:bottom="1152" w:left="1296" w:header="720" w:footer="720" w:gutter="0"/>
          <w:cols w:space="720"/>
          <w:docGrid w:linePitch="360"/>
        </w:sectPr>
      </w:pPr>
    </w:p>
    <w:p w14:paraId="09A47129" w14:textId="77777777" w:rsidR="007F0AE0" w:rsidRPr="00494051" w:rsidRDefault="007F0AE0" w:rsidP="007F0AE0">
      <w:pPr>
        <w:spacing w:after="120" w:line="240" w:lineRule="auto"/>
        <w:outlineLvl w:val="0"/>
        <w:rPr>
          <w:rFonts w:cstheme="minorHAnsi"/>
          <w:b/>
        </w:rPr>
      </w:pPr>
      <w:bookmarkStart w:id="3" w:name="Supp3"/>
      <w:bookmarkStart w:id="4" w:name="_Toc458358691"/>
      <w:bookmarkStart w:id="5" w:name="_Toc458781780"/>
      <w:bookmarkStart w:id="6" w:name="_Toc472735591"/>
      <w:bookmarkStart w:id="7" w:name="_Toc458358689"/>
      <w:bookmarkStart w:id="8" w:name="_Toc458781778"/>
      <w:r w:rsidRPr="00494051">
        <w:rPr>
          <w:rFonts w:cstheme="minorHAnsi"/>
          <w:b/>
        </w:rPr>
        <w:lastRenderedPageBreak/>
        <w:t xml:space="preserve">SUPPLEMENTAL SECTION </w:t>
      </w:r>
      <w:r>
        <w:rPr>
          <w:rFonts w:cstheme="minorHAnsi"/>
          <w:b/>
        </w:rPr>
        <w:t>6</w:t>
      </w:r>
      <w:r w:rsidRPr="00494051">
        <w:rPr>
          <w:rFonts w:cstheme="minorHAnsi"/>
          <w:b/>
        </w:rPr>
        <w:t>: Terminology</w:t>
      </w:r>
    </w:p>
    <w:bookmarkEnd w:id="3"/>
    <w:p w14:paraId="0495D5E2" w14:textId="77777777" w:rsidR="007F0AE0" w:rsidRPr="00494051" w:rsidRDefault="007F0AE0" w:rsidP="007F0AE0">
      <w:pPr>
        <w:spacing w:after="120" w:line="240" w:lineRule="auto"/>
        <w:jc w:val="both"/>
        <w:rPr>
          <w:rFonts w:cstheme="minorHAnsi"/>
          <w:color w:val="000000" w:themeColor="text1"/>
        </w:rPr>
      </w:pPr>
      <w:r>
        <w:rPr>
          <w:rFonts w:cstheme="minorHAnsi"/>
          <w:color w:val="000000" w:themeColor="text1"/>
        </w:rPr>
        <w:t>Glossaries</w:t>
      </w:r>
      <w:r w:rsidRPr="00494051">
        <w:rPr>
          <w:rFonts w:cstheme="minorHAnsi"/>
          <w:color w:val="000000" w:themeColor="text1"/>
        </w:rPr>
        <w:t xml:space="preserve"> of smoking-related and key epidemiological terminology used in this review </w:t>
      </w:r>
      <w:r>
        <w:rPr>
          <w:rFonts w:cstheme="minorHAnsi"/>
          <w:color w:val="000000" w:themeColor="text1"/>
        </w:rPr>
        <w:t>are</w:t>
      </w:r>
      <w:r w:rsidRPr="00494051">
        <w:rPr>
          <w:rFonts w:cstheme="minorHAnsi"/>
          <w:color w:val="000000" w:themeColor="text1"/>
        </w:rPr>
        <w:t xml:space="preserve"> provided</w:t>
      </w:r>
      <w:r>
        <w:rPr>
          <w:rFonts w:cstheme="minorHAnsi"/>
          <w:color w:val="000000" w:themeColor="text1"/>
        </w:rPr>
        <w:t xml:space="preserve"> below</w:t>
      </w:r>
      <w:r w:rsidRPr="00494051">
        <w:rPr>
          <w:rFonts w:cstheme="minorHAnsi"/>
          <w:color w:val="000000" w:themeColor="text1"/>
        </w:rPr>
        <w:t xml:space="preserve"> in </w:t>
      </w:r>
      <w:hyperlink w:anchor="Table3_1" w:history="1">
        <w:r w:rsidRPr="00F12CF8">
          <w:rPr>
            <w:rStyle w:val="Hyperlink"/>
            <w:rFonts w:cstheme="minorHAnsi"/>
            <w:b/>
          </w:rPr>
          <w:t xml:space="preserve">Table </w:t>
        </w:r>
        <w:r>
          <w:rPr>
            <w:rStyle w:val="Hyperlink"/>
            <w:rFonts w:cstheme="minorHAnsi"/>
            <w:b/>
          </w:rPr>
          <w:t>6</w:t>
        </w:r>
        <w:r w:rsidRPr="00F12CF8">
          <w:rPr>
            <w:rStyle w:val="Hyperlink"/>
            <w:rFonts w:cstheme="minorHAnsi"/>
            <w:b/>
          </w:rPr>
          <w:t>-1</w:t>
        </w:r>
      </w:hyperlink>
      <w:r w:rsidRPr="00F12CF8">
        <w:rPr>
          <w:rFonts w:cstheme="minorHAnsi"/>
          <w:b/>
        </w:rPr>
        <w:t xml:space="preserve"> </w:t>
      </w:r>
      <w:r w:rsidRPr="00F52E88">
        <w:rPr>
          <w:rFonts w:cstheme="minorHAnsi"/>
        </w:rPr>
        <w:t>and</w:t>
      </w:r>
      <w:r w:rsidRPr="00F12CF8">
        <w:rPr>
          <w:rFonts w:cstheme="minorHAnsi"/>
          <w:b/>
        </w:rPr>
        <w:t xml:space="preserve"> </w:t>
      </w:r>
      <w:hyperlink w:anchor="Table3_2" w:history="1">
        <w:r w:rsidRPr="00F12CF8">
          <w:rPr>
            <w:rStyle w:val="Hyperlink"/>
            <w:rFonts w:cstheme="minorHAnsi"/>
            <w:b/>
          </w:rPr>
          <w:t xml:space="preserve">Table </w:t>
        </w:r>
        <w:r>
          <w:rPr>
            <w:rStyle w:val="Hyperlink"/>
            <w:rFonts w:cstheme="minorHAnsi"/>
            <w:b/>
          </w:rPr>
          <w:t>6</w:t>
        </w:r>
        <w:r w:rsidRPr="00F12CF8">
          <w:rPr>
            <w:rStyle w:val="Hyperlink"/>
            <w:rFonts w:cstheme="minorHAnsi"/>
            <w:b/>
          </w:rPr>
          <w:t>-2</w:t>
        </w:r>
      </w:hyperlink>
      <w:r>
        <w:rPr>
          <w:rFonts w:cstheme="minorHAnsi"/>
          <w:b/>
          <w:color w:val="000000" w:themeColor="text1"/>
        </w:rPr>
        <w:t xml:space="preserve">, </w:t>
      </w:r>
      <w:r>
        <w:rPr>
          <w:rFonts w:cstheme="minorHAnsi"/>
          <w:color w:val="000000" w:themeColor="text1"/>
        </w:rPr>
        <w:t>respectively.</w:t>
      </w:r>
      <w:r w:rsidRPr="00494051">
        <w:rPr>
          <w:rFonts w:cstheme="minorHAnsi"/>
          <w:color w:val="000000" w:themeColor="text1"/>
        </w:rPr>
        <w:t xml:space="preserve"> However, specific definitions of some smoking-related terms did vary among individual studies.</w:t>
      </w:r>
    </w:p>
    <w:p w14:paraId="033AED9E"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For consistency in this review, the term “youth” refers to children, youth, and adolescents, typically age 11 to 17. The use of “young adults” as defined in studies included in this review varied in age within the range of 18 to 40 (most often between 18 and 25 years), and “adults” were age 18 or over (includes young adults).</w:t>
      </w:r>
    </w:p>
    <w:p w14:paraId="06BA7A02"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Evidence summaries in this review refer to “studies,” “data sets,”</w:t>
      </w:r>
      <w:r>
        <w:rPr>
          <w:rFonts w:cstheme="minorHAnsi"/>
          <w:color w:val="000000" w:themeColor="text1"/>
        </w:rPr>
        <w:t xml:space="preserve"> </w:t>
      </w:r>
      <w:r w:rsidRPr="00494051">
        <w:rPr>
          <w:rFonts w:cstheme="minorHAnsi"/>
          <w:color w:val="000000" w:themeColor="text1"/>
        </w:rPr>
        <w:t>“analyses</w:t>
      </w:r>
      <w:r>
        <w:rPr>
          <w:rFonts w:cstheme="minorHAnsi"/>
          <w:color w:val="000000" w:themeColor="text1"/>
        </w:rPr>
        <w:t>,</w:t>
      </w:r>
      <w:r w:rsidRPr="00494051">
        <w:rPr>
          <w:rFonts w:cstheme="minorHAnsi"/>
          <w:color w:val="000000" w:themeColor="text1"/>
        </w:rPr>
        <w:t>”</w:t>
      </w:r>
      <w:r>
        <w:rPr>
          <w:rFonts w:cstheme="minorHAnsi"/>
          <w:color w:val="000000" w:themeColor="text1"/>
        </w:rPr>
        <w:t xml:space="preserve"> and “references.”</w:t>
      </w:r>
      <w:r w:rsidRPr="00494051">
        <w:rPr>
          <w:rFonts w:cstheme="minorHAnsi"/>
          <w:color w:val="000000" w:themeColor="text1"/>
        </w:rPr>
        <w:t xml:space="preserve"> A study is an investigation that uses information from a data set to answer a research question. A study may be represented by more than one reference or publication. A data set may be used by multiple studies (e.g., several studies used the 2010 National Health Interview Survey data set), and some studies reported analyses of more than one data set (e.g., some studies reported analyses of the 2010 National Health Interview Survey data set </w:t>
      </w:r>
      <w:r w:rsidRPr="00494051">
        <w:rPr>
          <w:rFonts w:cstheme="minorHAnsi"/>
          <w:i/>
          <w:color w:val="000000" w:themeColor="text1"/>
        </w:rPr>
        <w:t>and</w:t>
      </w:r>
      <w:r w:rsidRPr="00494051">
        <w:rPr>
          <w:rFonts w:cstheme="minorHAnsi"/>
          <w:color w:val="000000" w:themeColor="text1"/>
        </w:rPr>
        <w:t xml:space="preserve"> the 1999-2010 National Health and Nutrition </w:t>
      </w:r>
      <w:r w:rsidRPr="00897F72">
        <w:rPr>
          <w:rFonts w:cstheme="minorHAnsi"/>
          <w:color w:val="000000" w:themeColor="text1"/>
        </w:rPr>
        <w:t xml:space="preserve">Examination Survey). In the summaries, the term “analyses” is used in place of “studies” wherever an included study analyzed more than one data set; </w:t>
      </w:r>
      <w:r w:rsidRPr="00337832">
        <w:rPr>
          <w:rFonts w:cstheme="minorHAnsi"/>
        </w:rPr>
        <w:t xml:space="preserve">the term “references” is used in place of “studies” wherever an included </w:t>
      </w:r>
      <w:r>
        <w:rPr>
          <w:rFonts w:cstheme="minorHAnsi"/>
        </w:rPr>
        <w:t>study</w:t>
      </w:r>
      <w:r w:rsidRPr="00337832">
        <w:rPr>
          <w:rFonts w:cstheme="minorHAnsi"/>
        </w:rPr>
        <w:t xml:space="preserve"> is reported in multiple unique references.</w:t>
      </w:r>
    </w:p>
    <w:p w14:paraId="3AE75FD3"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This review also adopts certain conventions for describing study designs. A “survey” is designed to capture data at a single point in time; the data are purely cross-sectional. A “cohort study” is designed to capture data at multiple points in time, either from baseline forward (prospective) or looking backward in time from baseline (retrospective). A “case-control study” is a specific type of retrospective cohort study. A “trial” is designed to assess the effect of an assigned intervention or exposure. </w:t>
      </w:r>
    </w:p>
    <w:p w14:paraId="5953EE0D"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In this review, the exposure (or “intervention”) was menthol use. None of the included trials assigned participants to smoke either menthol cigarettes or non-menthol cigarettes; therefore, none of the included trials were specifically designed to assess the direct effect of menthol use on an outcome. Rather, the included trials assessed the effect of another exposure or intervention (usually a smoking cessation aid) on outcomes, and menthol use was considered a potentially moderating factor. Therefore, in this Review, the included trials were reclassified as (prospective) cohort studies in order to avoid conflating a trial’s actual, assigned intervention with this review’s “intervention” of interest (i.e., menthol cigarette use).</w:t>
      </w:r>
    </w:p>
    <w:p w14:paraId="03E045A3" w14:textId="77777777" w:rsidR="007F0AE0" w:rsidRPr="00494051" w:rsidRDefault="007F0AE0" w:rsidP="007F0AE0">
      <w:pPr>
        <w:spacing w:after="240" w:line="240" w:lineRule="auto"/>
        <w:jc w:val="both"/>
        <w:rPr>
          <w:rFonts w:cstheme="minorHAnsi"/>
          <w:color w:val="000000" w:themeColor="text1"/>
        </w:rPr>
      </w:pPr>
      <w:r w:rsidRPr="00494051">
        <w:rPr>
          <w:rFonts w:cstheme="minorHAnsi"/>
          <w:color w:val="000000" w:themeColor="text1"/>
        </w:rPr>
        <w:t xml:space="preserve">In order to simplify </w:t>
      </w:r>
      <w:r w:rsidRPr="00494051">
        <w:rPr>
          <w:rFonts w:cstheme="minorHAnsi"/>
          <w:i/>
          <w:color w:val="000000" w:themeColor="text1"/>
        </w:rPr>
        <w:t>overall summaries of findings</w:t>
      </w:r>
      <w:r w:rsidRPr="00494051">
        <w:rPr>
          <w:rFonts w:cstheme="minorHAnsi"/>
          <w:color w:val="000000" w:themeColor="text1"/>
        </w:rPr>
        <w:t xml:space="preserve"> in this review, studies were categorized as either surveys (studies that assessed data at a single point in time) or cohort studies (any study with at least two data assessment points). The summaries of individual studies contain more detailed descriptions of their study designs.</w:t>
      </w:r>
    </w:p>
    <w:p w14:paraId="4DDC3AAE" w14:textId="77777777" w:rsidR="007F0AE0" w:rsidRPr="00494051" w:rsidRDefault="007F0AE0" w:rsidP="007F0AE0">
      <w:pPr>
        <w:autoSpaceDE w:val="0"/>
        <w:autoSpaceDN w:val="0"/>
        <w:adjustRightInd w:val="0"/>
        <w:spacing w:after="120" w:line="240" w:lineRule="auto"/>
        <w:jc w:val="both"/>
        <w:outlineLvl w:val="1"/>
        <w:rPr>
          <w:rFonts w:cstheme="minorHAnsi"/>
          <w:b/>
          <w:color w:val="000000" w:themeColor="text1"/>
        </w:rPr>
      </w:pPr>
      <w:bookmarkStart w:id="9" w:name="Table3_1"/>
      <w:r w:rsidRPr="00494051">
        <w:rPr>
          <w:rFonts w:cstheme="minorHAnsi"/>
          <w:b/>
          <w:color w:val="000000" w:themeColor="text1"/>
        </w:rPr>
        <w:t xml:space="preserve">Table </w:t>
      </w:r>
      <w:r>
        <w:rPr>
          <w:rFonts w:cstheme="minorHAnsi"/>
          <w:b/>
          <w:color w:val="000000" w:themeColor="text1"/>
        </w:rPr>
        <w:t>6</w:t>
      </w:r>
      <w:r w:rsidRPr="00494051">
        <w:rPr>
          <w:rFonts w:cstheme="minorHAnsi"/>
          <w:b/>
          <w:color w:val="000000" w:themeColor="text1"/>
        </w:rPr>
        <w:t>-1:</w:t>
      </w:r>
      <w:r>
        <w:rPr>
          <w:rFonts w:cstheme="minorHAnsi"/>
          <w:b/>
          <w:color w:val="000000" w:themeColor="text1"/>
        </w:rPr>
        <w:t xml:space="preserve"> </w:t>
      </w:r>
      <w:r w:rsidRPr="00494051">
        <w:rPr>
          <w:rFonts w:cstheme="minorHAnsi"/>
          <w:b/>
          <w:color w:val="000000" w:themeColor="text1"/>
        </w:rPr>
        <w:t xml:space="preserve">Glossary of </w:t>
      </w:r>
      <w:r>
        <w:rPr>
          <w:rFonts w:cstheme="minorHAnsi"/>
          <w:b/>
          <w:color w:val="000000" w:themeColor="text1"/>
        </w:rPr>
        <w:t xml:space="preserve">Smoking-Related </w:t>
      </w:r>
      <w:r w:rsidRPr="00494051">
        <w:rPr>
          <w:rFonts w:cstheme="minorHAnsi"/>
          <w:b/>
          <w:color w:val="000000" w:themeColor="text1"/>
        </w:rPr>
        <w:t>Terms Used in this Review, Unless Otherwise Specified</w:t>
      </w:r>
    </w:p>
    <w:tbl>
      <w:tblPr>
        <w:tblStyle w:val="TableGrid"/>
        <w:tblW w:w="0" w:type="auto"/>
        <w:tblCellMar>
          <w:top w:w="62" w:type="dxa"/>
          <w:left w:w="62" w:type="dxa"/>
          <w:bottom w:w="62" w:type="dxa"/>
          <w:right w:w="62" w:type="dxa"/>
        </w:tblCellMar>
        <w:tblLook w:val="04A0" w:firstRow="1" w:lastRow="0" w:firstColumn="1" w:lastColumn="0" w:noHBand="0" w:noVBand="1"/>
      </w:tblPr>
      <w:tblGrid>
        <w:gridCol w:w="1732"/>
        <w:gridCol w:w="7761"/>
      </w:tblGrid>
      <w:tr w:rsidR="007F0AE0" w:rsidRPr="00494051" w14:paraId="4177E0BA" w14:textId="77777777" w:rsidTr="00453DE3">
        <w:trPr>
          <w:trHeight w:val="278"/>
          <w:tblHeader/>
        </w:trPr>
        <w:tc>
          <w:tcPr>
            <w:tcW w:w="9493" w:type="dxa"/>
            <w:gridSpan w:val="2"/>
            <w:shd w:val="clear" w:color="auto" w:fill="44546A" w:themeFill="text2"/>
          </w:tcPr>
          <w:bookmarkEnd w:id="9"/>
          <w:p w14:paraId="14C41575" w14:textId="77777777" w:rsidR="007F0AE0" w:rsidRPr="00494051" w:rsidRDefault="007F0AE0" w:rsidP="00453DE3">
            <w:pPr>
              <w:rPr>
                <w:rFonts w:cstheme="minorHAnsi"/>
                <w:b/>
                <w:color w:val="000000" w:themeColor="text1"/>
                <w:sz w:val="18"/>
                <w:szCs w:val="18"/>
              </w:rPr>
            </w:pPr>
            <w:r w:rsidRPr="00494051">
              <w:rPr>
                <w:rFonts w:cstheme="minorHAnsi"/>
                <w:b/>
                <w:color w:val="FFFFFF" w:themeColor="background1"/>
                <w:sz w:val="18"/>
                <w:szCs w:val="18"/>
              </w:rPr>
              <w:t>Smoking-Related Terms</w:t>
            </w:r>
          </w:p>
        </w:tc>
      </w:tr>
      <w:tr w:rsidR="007F0AE0" w:rsidRPr="00494051" w14:paraId="4DF14EA4" w14:textId="77777777" w:rsidTr="00453DE3">
        <w:trPr>
          <w:cantSplit/>
        </w:trPr>
        <w:tc>
          <w:tcPr>
            <w:tcW w:w="1732" w:type="dxa"/>
          </w:tcPr>
          <w:p w14:paraId="2EF5146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Chronic Acute Pulmonary Disease (COPD)</w:t>
            </w:r>
          </w:p>
        </w:tc>
        <w:tc>
          <w:tcPr>
            <w:tcW w:w="7761" w:type="dxa"/>
          </w:tcPr>
          <w:p w14:paraId="0B1C0B7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broad term to describe a range of progressive lung diseases characterized by chronic obstruction of lung airflow (such as emphysema and chronic bronchitis), which inhibits normal breathing. Chronic obstructive pulmonary disease is often associated with cigarette smokers; individuals with chronic obstructive pulmonary disease are at increased risk of heart disease, lung cancer, and a host of other conditions</w:t>
            </w:r>
          </w:p>
        </w:tc>
      </w:tr>
      <w:tr w:rsidR="007F0AE0" w:rsidRPr="00494051" w14:paraId="5088147B" w14:textId="77777777" w:rsidTr="00453DE3">
        <w:trPr>
          <w:cantSplit/>
        </w:trPr>
        <w:tc>
          <w:tcPr>
            <w:tcW w:w="1732" w:type="dxa"/>
          </w:tcPr>
          <w:p w14:paraId="3D62C51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Cotinine</w:t>
            </w:r>
          </w:p>
        </w:tc>
        <w:tc>
          <w:tcPr>
            <w:tcW w:w="7761" w:type="dxa"/>
          </w:tcPr>
          <w:p w14:paraId="112EEEB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major metabolite of nicotine. Analysis of cotinine level in the blood, saliva, or urine can be used to measure exposure to nicotine</w:t>
            </w:r>
          </w:p>
        </w:tc>
      </w:tr>
      <w:tr w:rsidR="007F0AE0" w:rsidRPr="00494051" w14:paraId="6FD13301" w14:textId="77777777" w:rsidTr="00453DE3">
        <w:trPr>
          <w:cantSplit/>
        </w:trPr>
        <w:tc>
          <w:tcPr>
            <w:tcW w:w="1732" w:type="dxa"/>
          </w:tcPr>
          <w:p w14:paraId="0F868927"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Current smoker</w:t>
            </w:r>
          </w:p>
        </w:tc>
        <w:tc>
          <w:tcPr>
            <w:tcW w:w="7761" w:type="dxa"/>
          </w:tcPr>
          <w:p w14:paraId="3748682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 xml:space="preserve">A person who smoked ≥100 cigarettes in their lifetime and was smoking at the time of the study as defined by the individual study. Oftentimes, smoking “every day” or “some days” or smoking a pre-specified number of </w:t>
            </w:r>
            <w:r>
              <w:rPr>
                <w:rFonts w:cstheme="minorHAnsi"/>
                <w:color w:val="000000" w:themeColor="text1"/>
                <w:sz w:val="18"/>
                <w:szCs w:val="18"/>
              </w:rPr>
              <w:t>CPD</w:t>
            </w:r>
            <w:r w:rsidRPr="00494051">
              <w:rPr>
                <w:rFonts w:cstheme="minorHAnsi"/>
                <w:color w:val="000000" w:themeColor="text1"/>
                <w:sz w:val="18"/>
                <w:szCs w:val="18"/>
              </w:rPr>
              <w:t xml:space="preserve"> (usually ≥5 or ≥10).</w:t>
            </w:r>
          </w:p>
        </w:tc>
      </w:tr>
      <w:tr w:rsidR="007F0AE0" w:rsidRPr="00494051" w14:paraId="5B3B9224" w14:textId="77777777" w:rsidTr="00453DE3">
        <w:trPr>
          <w:cantSplit/>
        </w:trPr>
        <w:tc>
          <w:tcPr>
            <w:tcW w:w="1732" w:type="dxa"/>
          </w:tcPr>
          <w:p w14:paraId="479E9118"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Daily smoker</w:t>
            </w:r>
          </w:p>
        </w:tc>
        <w:tc>
          <w:tcPr>
            <w:tcW w:w="7761" w:type="dxa"/>
          </w:tcPr>
          <w:p w14:paraId="2931169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smoked cigarettes on each day of the month.</w:t>
            </w:r>
          </w:p>
        </w:tc>
      </w:tr>
      <w:tr w:rsidR="007F0AE0" w:rsidRPr="00494051" w14:paraId="0B1CA72B" w14:textId="77777777" w:rsidTr="00453DE3">
        <w:trPr>
          <w:cantSplit/>
        </w:trPr>
        <w:tc>
          <w:tcPr>
            <w:tcW w:w="1732" w:type="dxa"/>
          </w:tcPr>
          <w:p w14:paraId="1762444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lastRenderedPageBreak/>
              <w:t>Exhaled carbon monoxide (eCO)</w:t>
            </w:r>
          </w:p>
        </w:tc>
        <w:tc>
          <w:tcPr>
            <w:tcW w:w="7761" w:type="dxa"/>
          </w:tcPr>
          <w:p w14:paraId="2FE1F91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test to determine how much carbon monoxide – found in cigarette smoke that limits the ability of red blood cells to carry oxygen – is in one’s body. It can help provide an immediate, non-invasive, assessment of smoking status. Further, it is also used to monitor smoking behavior through time</w:t>
            </w:r>
          </w:p>
        </w:tc>
      </w:tr>
      <w:tr w:rsidR="007F0AE0" w:rsidRPr="00494051" w14:paraId="62DBD65D" w14:textId="77777777" w:rsidTr="00453DE3">
        <w:trPr>
          <w:cantSplit/>
          <w:trHeight w:val="260"/>
        </w:trPr>
        <w:tc>
          <w:tcPr>
            <w:tcW w:w="1732" w:type="dxa"/>
          </w:tcPr>
          <w:p w14:paraId="6545D39E"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Non-daily smoker</w:t>
            </w:r>
          </w:p>
        </w:tc>
        <w:tc>
          <w:tcPr>
            <w:tcW w:w="7761" w:type="dxa"/>
          </w:tcPr>
          <w:p w14:paraId="42D43AA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smoked</w:t>
            </w:r>
            <w:r w:rsidRPr="00494051">
              <w:rPr>
                <w:rFonts w:cstheme="minorHAnsi"/>
                <w:b/>
                <w:color w:val="000000" w:themeColor="text1"/>
                <w:sz w:val="18"/>
                <w:szCs w:val="18"/>
              </w:rPr>
              <w:t xml:space="preserve"> </w:t>
            </w:r>
            <w:r w:rsidRPr="00494051">
              <w:rPr>
                <w:rFonts w:cstheme="minorHAnsi"/>
                <w:color w:val="000000" w:themeColor="text1"/>
                <w:sz w:val="18"/>
                <w:szCs w:val="18"/>
              </w:rPr>
              <w:t>cigarettes on some, but not all days per month.</w:t>
            </w:r>
          </w:p>
        </w:tc>
      </w:tr>
      <w:tr w:rsidR="007F0AE0" w:rsidRPr="00494051" w14:paraId="789440C0" w14:textId="77777777" w:rsidTr="00453DE3">
        <w:trPr>
          <w:cantSplit/>
        </w:trPr>
        <w:tc>
          <w:tcPr>
            <w:tcW w:w="1732" w:type="dxa"/>
          </w:tcPr>
          <w:p w14:paraId="26BB8D9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Regular or established smoker</w:t>
            </w:r>
          </w:p>
        </w:tc>
        <w:tc>
          <w:tcPr>
            <w:tcW w:w="7761" w:type="dxa"/>
          </w:tcPr>
          <w:p w14:paraId="0434CC7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smoked ≥100 cigarettes in their lifetime and at the time of the study was smoking on ≥20 days per month.</w:t>
            </w:r>
          </w:p>
        </w:tc>
      </w:tr>
      <w:tr w:rsidR="007F0AE0" w:rsidRPr="00494051" w14:paraId="5F46ECA5" w14:textId="77777777" w:rsidTr="00453DE3">
        <w:trPr>
          <w:cantSplit/>
        </w:trPr>
        <w:tc>
          <w:tcPr>
            <w:tcW w:w="1732" w:type="dxa"/>
          </w:tcPr>
          <w:p w14:paraId="6A84F1F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Former smoker</w:t>
            </w:r>
          </w:p>
        </w:tc>
        <w:tc>
          <w:tcPr>
            <w:tcW w:w="7761" w:type="dxa"/>
          </w:tcPr>
          <w:p w14:paraId="0942B5D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smoked ≥100 cigarettes in their lifetime but did not smoke at the time of the study. Some studies applied additional thresholds for duration of time since last cigarette.</w:t>
            </w:r>
          </w:p>
        </w:tc>
      </w:tr>
      <w:tr w:rsidR="007F0AE0" w:rsidRPr="00494051" w14:paraId="2811DFE1" w14:textId="77777777" w:rsidTr="00453DE3">
        <w:trPr>
          <w:cantSplit/>
        </w:trPr>
        <w:tc>
          <w:tcPr>
            <w:tcW w:w="1732" w:type="dxa"/>
          </w:tcPr>
          <w:p w14:paraId="3EF1533A"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Ever smoker</w:t>
            </w:r>
          </w:p>
        </w:tc>
        <w:tc>
          <w:tcPr>
            <w:tcW w:w="7761" w:type="dxa"/>
          </w:tcPr>
          <w:p w14:paraId="4B12B761" w14:textId="77777777" w:rsidR="007F0AE0" w:rsidRPr="00494051" w:rsidRDefault="007F0AE0" w:rsidP="00453DE3">
            <w:pPr>
              <w:contextualSpacing/>
              <w:rPr>
                <w:rFonts w:cstheme="minorHAnsi"/>
                <w:color w:val="000000" w:themeColor="text1"/>
                <w:sz w:val="18"/>
                <w:szCs w:val="18"/>
              </w:rPr>
            </w:pPr>
            <w:r w:rsidRPr="00494051">
              <w:rPr>
                <w:rFonts w:cstheme="minorHAnsi"/>
                <w:color w:val="000000" w:themeColor="text1"/>
                <w:sz w:val="18"/>
                <w:szCs w:val="18"/>
              </w:rPr>
              <w:t>A person who smoked ≥100 cigarettes in their lifetime and either did or did not smoke at the time of the study. Includes current smokers and former smokers.</w:t>
            </w:r>
          </w:p>
        </w:tc>
      </w:tr>
      <w:tr w:rsidR="007F0AE0" w:rsidRPr="00494051" w14:paraId="5DA9B6DB" w14:textId="77777777" w:rsidTr="00453DE3">
        <w:trPr>
          <w:cantSplit/>
        </w:trPr>
        <w:tc>
          <w:tcPr>
            <w:tcW w:w="1732" w:type="dxa"/>
          </w:tcPr>
          <w:p w14:paraId="50C673D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Light smoker</w:t>
            </w:r>
          </w:p>
        </w:tc>
        <w:tc>
          <w:tcPr>
            <w:tcW w:w="7761" w:type="dxa"/>
          </w:tcPr>
          <w:p w14:paraId="68569BF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 xml:space="preserve">A person who smoked ≤10 </w:t>
            </w:r>
            <w:r>
              <w:rPr>
                <w:rFonts w:cstheme="minorHAnsi"/>
                <w:color w:val="000000" w:themeColor="text1"/>
                <w:sz w:val="18"/>
                <w:szCs w:val="18"/>
              </w:rPr>
              <w:t>CPD</w:t>
            </w:r>
            <w:r w:rsidRPr="00494051">
              <w:rPr>
                <w:rFonts w:cstheme="minorHAnsi"/>
                <w:color w:val="000000" w:themeColor="text1"/>
                <w:sz w:val="18"/>
                <w:szCs w:val="18"/>
              </w:rPr>
              <w:t xml:space="preserve"> at the time of the study.</w:t>
            </w:r>
          </w:p>
        </w:tc>
      </w:tr>
      <w:tr w:rsidR="007F0AE0" w:rsidRPr="00494051" w14:paraId="7457FBE7" w14:textId="77777777" w:rsidTr="00453DE3">
        <w:trPr>
          <w:cantSplit/>
        </w:trPr>
        <w:tc>
          <w:tcPr>
            <w:tcW w:w="1732" w:type="dxa"/>
          </w:tcPr>
          <w:p w14:paraId="52D8D9E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Menthol smoker</w:t>
            </w:r>
          </w:p>
        </w:tc>
        <w:tc>
          <w:tcPr>
            <w:tcW w:w="7761" w:type="dxa"/>
          </w:tcPr>
          <w:p w14:paraId="642B834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used tobacco in traditional cigarette form (i.e., not any alternative method of delivery, including but not limited to vaporizers, e-cigarettes, and hookahs or water pipes) with an explicit use of (or stated preference for) menthol cigarettes or a menthol-only brand at the time of study.</w:t>
            </w:r>
          </w:p>
        </w:tc>
      </w:tr>
      <w:tr w:rsidR="007F0AE0" w:rsidRPr="00494051" w14:paraId="452ACFED" w14:textId="77777777" w:rsidTr="00453DE3">
        <w:trPr>
          <w:cantSplit/>
        </w:trPr>
        <w:tc>
          <w:tcPr>
            <w:tcW w:w="1732" w:type="dxa"/>
          </w:tcPr>
          <w:p w14:paraId="6E67C73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Non-menthol smoker</w:t>
            </w:r>
          </w:p>
        </w:tc>
        <w:tc>
          <w:tcPr>
            <w:tcW w:w="7761" w:type="dxa"/>
          </w:tcPr>
          <w:p w14:paraId="1E51DA27"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person who used tobacco in traditional cigarette form (i.e., not any alternative method of delivery, including but not limited to vaporizers, e-cigarettes, and hookahs or water pipes) with an explicit use of (or stated preference for) non-menthol cigarettes or a non-menthol exclusive brand at the time of study.</w:t>
            </w:r>
          </w:p>
        </w:tc>
      </w:tr>
      <w:tr w:rsidR="007F0AE0" w:rsidRPr="00494051" w14:paraId="43E7494C" w14:textId="77777777" w:rsidTr="00453DE3">
        <w:trPr>
          <w:cantSplit/>
        </w:trPr>
        <w:tc>
          <w:tcPr>
            <w:tcW w:w="1732" w:type="dxa"/>
          </w:tcPr>
          <w:p w14:paraId="1677951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Prolonged abstinence (PA)</w:t>
            </w:r>
          </w:p>
        </w:tc>
        <w:tc>
          <w:tcPr>
            <w:tcW w:w="7761" w:type="dxa"/>
          </w:tcPr>
          <w:p w14:paraId="049E31C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sustained cessation, typically defined as continuously abstaining from smoking for a period of several months after a quit attempt.</w:t>
            </w:r>
          </w:p>
        </w:tc>
      </w:tr>
      <w:tr w:rsidR="007F0AE0" w:rsidRPr="00494051" w14:paraId="7995C30B" w14:textId="77777777" w:rsidTr="00453DE3">
        <w:trPr>
          <w:cantSplit/>
        </w:trPr>
        <w:tc>
          <w:tcPr>
            <w:tcW w:w="1732" w:type="dxa"/>
          </w:tcPr>
          <w:p w14:paraId="1AF3CB7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Point prevalence abstinence (PPA)</w:t>
            </w:r>
          </w:p>
        </w:tc>
        <w:tc>
          <w:tcPr>
            <w:tcW w:w="7761" w:type="dxa"/>
          </w:tcPr>
          <w:p w14:paraId="15D077E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cessation based on behavior at a particular point in time, or during a relatively brief time period, such as 7 days or 30 days</w:t>
            </w:r>
          </w:p>
        </w:tc>
      </w:tr>
      <w:tr w:rsidR="007F0AE0" w:rsidRPr="00494051" w14:paraId="20ECCA3F" w14:textId="77777777" w:rsidTr="00453DE3">
        <w:trPr>
          <w:cantSplit/>
        </w:trPr>
        <w:tc>
          <w:tcPr>
            <w:tcW w:w="1732" w:type="dxa"/>
          </w:tcPr>
          <w:p w14:paraId="0168782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Smoking cessation</w:t>
            </w:r>
          </w:p>
        </w:tc>
        <w:tc>
          <w:tcPr>
            <w:tcW w:w="7761" w:type="dxa"/>
          </w:tcPr>
          <w:p w14:paraId="1FD747DE"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Quitting cigarette smoking or abstinence from cigarette smoking for a period of time as defined by the individual study.</w:t>
            </w:r>
          </w:p>
        </w:tc>
      </w:tr>
      <w:tr w:rsidR="007F0AE0" w:rsidRPr="00494051" w14:paraId="1F284CAB" w14:textId="77777777" w:rsidTr="00453DE3">
        <w:trPr>
          <w:cantSplit/>
        </w:trPr>
        <w:tc>
          <w:tcPr>
            <w:tcW w:w="1732" w:type="dxa"/>
          </w:tcPr>
          <w:p w14:paraId="3717938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Smoking dependence</w:t>
            </w:r>
          </w:p>
        </w:tc>
        <w:tc>
          <w:tcPr>
            <w:tcW w:w="7761" w:type="dxa"/>
          </w:tcPr>
          <w:p w14:paraId="1E82E8C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degree of loss of control over the amount or duration of tobacco use through smoking</w:t>
            </w:r>
            <w:r>
              <w:rPr>
                <w:rFonts w:cstheme="minorHAnsi"/>
                <w:color w:val="000000" w:themeColor="text1"/>
                <w:sz w:val="18"/>
                <w:szCs w:val="18"/>
              </w:rPr>
              <w:t xml:space="preserve"> </w:t>
            </w:r>
            <w:r w:rsidRPr="00494051">
              <w:rPr>
                <w:rFonts w:cstheme="minorHAnsi"/>
                <w:color w:val="000000" w:themeColor="text1"/>
                <w:sz w:val="18"/>
                <w:szCs w:val="18"/>
              </w:rPr>
              <w:fldChar w:fldCharType="begin"/>
            </w:r>
            <w:r>
              <w:rPr>
                <w:rFonts w:cstheme="minorHAnsi"/>
                <w:color w:val="000000" w:themeColor="text1"/>
                <w:sz w:val="18"/>
                <w:szCs w:val="18"/>
              </w:rPr>
              <w:instrText xml:space="preserve"> ADDIN EN.CITE &lt;EndNote&gt;&lt;Cite&gt;&lt;Author&gt;DiFranza&lt;/Author&gt;&lt;Year&gt;2002&lt;/Year&gt;&lt;RecNum&gt;162&lt;/RecNum&gt;&lt;DisplayText&gt;(77)&lt;/DisplayText&gt;&lt;record&gt;&lt;rec-number&gt;162&lt;/rec-number&gt;&lt;foreign-keys&gt;&lt;key app="EN" db-id="a2vz2dfp8xrad6exes75zwpiw5rxwa0vwapv" timestamp="0"&gt;162&lt;/key&gt;&lt;/foreign-keys&gt;&lt;ref-type name="Journal Article"&gt;17&lt;/ref-type&gt;&lt;contributors&gt;&lt;authors&gt;&lt;author&gt;DiFranza, J. R.&lt;/author&gt;&lt;author&gt;Savageau, J. A.&lt;/author&gt;&lt;author&gt;Fletcher, K.&lt;/author&gt;&lt;author&gt;Ockene, J. K.&lt;/author&gt;&lt;author&gt;Rigotti, N. A.&lt;/author&gt;&lt;author&gt;McNeill, A. D.&lt;/author&gt;&lt;author&gt;Coleman, M.&lt;/author&gt;&lt;author&gt;Wood, C.&lt;/author&gt;&lt;/authors&gt;&lt;/contributors&gt;&lt;auth-address&gt;Department of Family Medicine and Community Health, University of Massachusetts Medical School, 55 Lake Ave, Worcester, MA 01655, USA. difranzj@ummhc.org&lt;/auth-address&gt;&lt;titles&gt;&lt;title&gt;Measuring the loss of autonomy over nicotine use in adolescents: the DANDY (Development and Assessment of Nicotine Dependence in Youths) study&lt;/title&gt;&lt;secondary-title&gt;Arch Pediatr Adolesc Med&lt;/secondary-title&gt;&lt;alt-title&gt;Archives of pediatrics &amp;amp; adolescent medicine&lt;/alt-title&gt;&lt;/titles&gt;&lt;pages&gt;397-403&lt;/pages&gt;&lt;volume&gt;156&lt;/volume&gt;&lt;number&gt;4&lt;/number&gt;&lt;edition&gt;2002/04/04&lt;/edition&gt;&lt;keywords&gt;&lt;keyword&gt;Adolescent&lt;/keyword&gt;&lt;keyword&gt;*Adolescent Behavior/drug effects&lt;/keyword&gt;&lt;keyword&gt;Factor Analysis, Statistical&lt;/keyword&gt;&lt;keyword&gt;Female&lt;/keyword&gt;&lt;keyword&gt;Humans&lt;/keyword&gt;&lt;keyword&gt;Longitudinal Studies&lt;/keyword&gt;&lt;keyword&gt;Male&lt;/keyword&gt;&lt;keyword&gt;*Personal Autonomy&lt;/keyword&gt;&lt;keyword&gt;Prospective Studies&lt;/keyword&gt;&lt;keyword&gt;*Psychology, Adolescent&lt;/keyword&gt;&lt;keyword&gt;Psychometrics&lt;/keyword&gt;&lt;keyword&gt;Reproducibility of Results&lt;/keyword&gt;&lt;keyword&gt;Smoking/*adverse effects/psychology&lt;/keyword&gt;&lt;keyword&gt;Surveys and Questionnaires&lt;/keyword&gt;&lt;keyword&gt;Tobacco Use Disorder/*psychology&lt;/keyword&gt;&lt;/keywords&gt;&lt;dates&gt;&lt;year&gt;2002&lt;/year&gt;&lt;pub-dates&gt;&lt;date&gt;Apr&lt;/date&gt;&lt;/pub-dates&gt;&lt;/dates&gt;&lt;isbn&gt;1072-4710 (Print)&amp;#xD;1072-4710&lt;/isbn&gt;&lt;accession-num&gt;11929376&lt;/accession-num&gt;&lt;urls&gt;&lt;/urls&gt;&lt;remote-database-provider&gt;NLM&lt;/remote-database-provider&gt;&lt;language&gt;eng&lt;/language&gt;&lt;/record&gt;&lt;/Cite&gt;&lt;/EndNote&gt;</w:instrText>
            </w:r>
            <w:r w:rsidRPr="00494051">
              <w:rPr>
                <w:rFonts w:cstheme="minorHAnsi"/>
                <w:color w:val="000000" w:themeColor="text1"/>
                <w:sz w:val="18"/>
                <w:szCs w:val="18"/>
              </w:rPr>
              <w:fldChar w:fldCharType="separate"/>
            </w:r>
            <w:r>
              <w:rPr>
                <w:rFonts w:cstheme="minorHAnsi"/>
                <w:noProof/>
                <w:color w:val="000000" w:themeColor="text1"/>
                <w:sz w:val="18"/>
                <w:szCs w:val="18"/>
              </w:rPr>
              <w:t>(</w:t>
            </w:r>
            <w:hyperlink w:anchor="_ENREF_77" w:tooltip="DiFranza, 2002 #162" w:history="1">
              <w:r>
                <w:rPr>
                  <w:rFonts w:cstheme="minorHAnsi"/>
                  <w:noProof/>
                  <w:color w:val="000000" w:themeColor="text1"/>
                  <w:sz w:val="18"/>
                  <w:szCs w:val="18"/>
                </w:rPr>
                <w:t>77</w:t>
              </w:r>
            </w:hyperlink>
            <w:r>
              <w:rPr>
                <w:rFonts w:cstheme="minorHAnsi"/>
                <w:noProof/>
                <w:color w:val="000000" w:themeColor="text1"/>
                <w:sz w:val="18"/>
                <w:szCs w:val="18"/>
              </w:rPr>
              <w:t>)</w:t>
            </w:r>
            <w:r w:rsidRPr="00494051">
              <w:rPr>
                <w:rFonts w:cstheme="minorHAnsi"/>
                <w:color w:val="000000" w:themeColor="text1"/>
                <w:sz w:val="18"/>
                <w:szCs w:val="18"/>
              </w:rPr>
              <w:fldChar w:fldCharType="end"/>
            </w:r>
            <w:r>
              <w:rPr>
                <w:rFonts w:cstheme="minorHAnsi"/>
                <w:color w:val="000000" w:themeColor="text1"/>
                <w:sz w:val="18"/>
                <w:szCs w:val="18"/>
              </w:rPr>
              <w:t>.</w:t>
            </w:r>
          </w:p>
        </w:tc>
      </w:tr>
      <w:tr w:rsidR="007F0AE0" w:rsidRPr="00494051" w14:paraId="757A5B14" w14:textId="77777777" w:rsidTr="00453DE3">
        <w:trPr>
          <w:cantSplit/>
        </w:trPr>
        <w:tc>
          <w:tcPr>
            <w:tcW w:w="1732" w:type="dxa"/>
          </w:tcPr>
          <w:p w14:paraId="68120F1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Smoking initiation and progression to regular smoking</w:t>
            </w:r>
          </w:p>
        </w:tc>
        <w:tc>
          <w:tcPr>
            <w:tcW w:w="7761" w:type="dxa"/>
          </w:tcPr>
          <w:p w14:paraId="17D8DBF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occurrence of smoking the first partial or whole cigarette and the smoker's subsequent trajectory to regular (established) smoking. Not all persons who initiate smoking progress to regular smoking.</w:t>
            </w:r>
          </w:p>
        </w:tc>
      </w:tr>
      <w:tr w:rsidR="007F0AE0" w:rsidRPr="00494051" w14:paraId="5CAEE66E" w14:textId="77777777" w:rsidTr="00453DE3">
        <w:trPr>
          <w:cantSplit/>
          <w:trHeight w:val="576"/>
        </w:trPr>
        <w:tc>
          <w:tcPr>
            <w:tcW w:w="1732" w:type="dxa"/>
          </w:tcPr>
          <w:p w14:paraId="720506B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Smoking relapse or recidivism</w:t>
            </w:r>
          </w:p>
        </w:tc>
        <w:tc>
          <w:tcPr>
            <w:tcW w:w="7761" w:type="dxa"/>
          </w:tcPr>
          <w:p w14:paraId="45E0D09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Return to cigarette smoking after abstinence for a period of time as defined by the individual study.</w:t>
            </w:r>
          </w:p>
        </w:tc>
      </w:tr>
      <w:tr w:rsidR="007F0AE0" w:rsidRPr="00494051" w14:paraId="5261DEF0" w14:textId="77777777" w:rsidTr="00453DE3">
        <w:trPr>
          <w:cantSplit/>
          <w:trHeight w:val="395"/>
        </w:trPr>
        <w:tc>
          <w:tcPr>
            <w:tcW w:w="1732" w:type="dxa"/>
          </w:tcPr>
          <w:p w14:paraId="3CCADEEE"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Quit attempt</w:t>
            </w:r>
          </w:p>
        </w:tc>
        <w:tc>
          <w:tcPr>
            <w:tcW w:w="7761" w:type="dxa"/>
          </w:tcPr>
          <w:p w14:paraId="4DD7298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Not smoking for at least 24 hours due to trying to quit.</w:t>
            </w:r>
          </w:p>
        </w:tc>
      </w:tr>
      <w:tr w:rsidR="007F0AE0" w:rsidRPr="00494051" w14:paraId="24DA68E0" w14:textId="77777777" w:rsidTr="00453DE3">
        <w:trPr>
          <w:cantSplit/>
          <w:trHeight w:val="395"/>
        </w:trPr>
        <w:tc>
          <w:tcPr>
            <w:tcW w:w="1732" w:type="dxa"/>
          </w:tcPr>
          <w:p w14:paraId="0FB2796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Relapse</w:t>
            </w:r>
          </w:p>
        </w:tc>
        <w:tc>
          <w:tcPr>
            <w:tcW w:w="7761" w:type="dxa"/>
          </w:tcPr>
          <w:p w14:paraId="4CE9151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return to the use of a substance or behavior, such as cigarette smoking, after a period of cessation</w:t>
            </w:r>
          </w:p>
        </w:tc>
      </w:tr>
    </w:tbl>
    <w:p w14:paraId="69F60D39" w14:textId="77777777" w:rsidR="007F0AE0" w:rsidRDefault="007F0AE0" w:rsidP="007F0AE0"/>
    <w:p w14:paraId="1F663839" w14:textId="77777777" w:rsidR="007F0AE0" w:rsidRPr="00494051" w:rsidRDefault="007F0AE0" w:rsidP="007F0AE0">
      <w:pPr>
        <w:autoSpaceDE w:val="0"/>
        <w:autoSpaceDN w:val="0"/>
        <w:adjustRightInd w:val="0"/>
        <w:spacing w:after="120" w:line="240" w:lineRule="auto"/>
        <w:jc w:val="both"/>
        <w:outlineLvl w:val="1"/>
        <w:rPr>
          <w:rFonts w:cstheme="minorHAnsi"/>
          <w:b/>
          <w:color w:val="000000" w:themeColor="text1"/>
        </w:rPr>
      </w:pPr>
      <w:bookmarkStart w:id="10" w:name="Table3_2"/>
      <w:r w:rsidRPr="00494051">
        <w:rPr>
          <w:rFonts w:cstheme="minorHAnsi"/>
          <w:b/>
          <w:color w:val="000000" w:themeColor="text1"/>
        </w:rPr>
        <w:t xml:space="preserve">Table </w:t>
      </w:r>
      <w:r>
        <w:rPr>
          <w:rFonts w:cstheme="minorHAnsi"/>
          <w:b/>
          <w:color w:val="000000" w:themeColor="text1"/>
        </w:rPr>
        <w:t>6</w:t>
      </w:r>
      <w:r w:rsidRPr="00494051">
        <w:rPr>
          <w:rFonts w:cstheme="minorHAnsi"/>
          <w:b/>
          <w:color w:val="000000" w:themeColor="text1"/>
        </w:rPr>
        <w:t>-</w:t>
      </w:r>
      <w:r>
        <w:rPr>
          <w:rFonts w:cstheme="minorHAnsi"/>
          <w:b/>
          <w:color w:val="000000" w:themeColor="text1"/>
        </w:rPr>
        <w:t>2</w:t>
      </w:r>
      <w:r w:rsidRPr="00494051">
        <w:rPr>
          <w:rFonts w:cstheme="minorHAnsi"/>
          <w:b/>
          <w:color w:val="000000" w:themeColor="text1"/>
        </w:rPr>
        <w:t>:</w:t>
      </w:r>
      <w:r>
        <w:rPr>
          <w:rFonts w:cstheme="minorHAnsi"/>
          <w:b/>
          <w:color w:val="000000" w:themeColor="text1"/>
        </w:rPr>
        <w:t xml:space="preserve"> </w:t>
      </w:r>
      <w:r w:rsidRPr="00494051">
        <w:rPr>
          <w:rFonts w:cstheme="minorHAnsi"/>
          <w:b/>
          <w:color w:val="000000" w:themeColor="text1"/>
        </w:rPr>
        <w:t xml:space="preserve">Glossary of </w:t>
      </w:r>
      <w:r>
        <w:rPr>
          <w:rFonts w:cstheme="minorHAnsi"/>
          <w:b/>
          <w:color w:val="000000" w:themeColor="text1"/>
        </w:rPr>
        <w:t xml:space="preserve">Key Epidemiological </w:t>
      </w:r>
      <w:r w:rsidRPr="00494051">
        <w:rPr>
          <w:rFonts w:cstheme="minorHAnsi"/>
          <w:b/>
          <w:color w:val="000000" w:themeColor="text1"/>
        </w:rPr>
        <w:t>Terms Used in this Review, Unless Otherwise Specified</w:t>
      </w:r>
    </w:p>
    <w:tbl>
      <w:tblPr>
        <w:tblStyle w:val="TableGrid"/>
        <w:tblW w:w="0" w:type="auto"/>
        <w:tblCellMar>
          <w:top w:w="62" w:type="dxa"/>
          <w:left w:w="62" w:type="dxa"/>
          <w:bottom w:w="62" w:type="dxa"/>
          <w:right w:w="62" w:type="dxa"/>
        </w:tblCellMar>
        <w:tblLook w:val="04A0" w:firstRow="1" w:lastRow="0" w:firstColumn="1" w:lastColumn="0" w:noHBand="0" w:noVBand="1"/>
      </w:tblPr>
      <w:tblGrid>
        <w:gridCol w:w="1732"/>
        <w:gridCol w:w="7761"/>
      </w:tblGrid>
      <w:tr w:rsidR="007F0AE0" w:rsidRPr="00494051" w14:paraId="02315CE0" w14:textId="77777777" w:rsidTr="00453DE3">
        <w:trPr>
          <w:cantSplit/>
          <w:trHeight w:val="278"/>
          <w:tblHeader/>
        </w:trPr>
        <w:tc>
          <w:tcPr>
            <w:tcW w:w="9493" w:type="dxa"/>
            <w:gridSpan w:val="2"/>
            <w:shd w:val="clear" w:color="auto" w:fill="44546A" w:themeFill="text2"/>
          </w:tcPr>
          <w:bookmarkEnd w:id="10"/>
          <w:p w14:paraId="2F87A77E" w14:textId="77777777" w:rsidR="007F0AE0" w:rsidRPr="00494051" w:rsidRDefault="007F0AE0" w:rsidP="00453DE3">
            <w:pPr>
              <w:rPr>
                <w:rFonts w:cstheme="minorHAnsi"/>
                <w:b/>
                <w:color w:val="000000" w:themeColor="text1"/>
                <w:sz w:val="18"/>
                <w:szCs w:val="18"/>
              </w:rPr>
            </w:pPr>
            <w:r>
              <w:rPr>
                <w:rFonts w:cstheme="minorHAnsi"/>
                <w:b/>
                <w:color w:val="FFFFFF" w:themeColor="background1"/>
                <w:sz w:val="18"/>
                <w:szCs w:val="18"/>
              </w:rPr>
              <w:t>Key Epidemiological Terms</w:t>
            </w:r>
          </w:p>
        </w:tc>
      </w:tr>
      <w:tr w:rsidR="007F0AE0" w:rsidRPr="00494051" w14:paraId="3BF5414F" w14:textId="77777777" w:rsidTr="00453DE3">
        <w:trPr>
          <w:cantSplit/>
          <w:trHeight w:val="576"/>
        </w:trPr>
        <w:tc>
          <w:tcPr>
            <w:tcW w:w="1732" w:type="dxa"/>
          </w:tcPr>
          <w:p w14:paraId="3AC4B78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Adjusted estimate</w:t>
            </w:r>
          </w:p>
        </w:tc>
        <w:tc>
          <w:tcPr>
            <w:tcW w:w="7761" w:type="dxa"/>
          </w:tcPr>
          <w:p w14:paraId="27C1415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effect that has been altered, by stratification or regression modeling, in order to account for the effect of confounding factors (such as age, gender, and race/ethnicity).</w:t>
            </w:r>
          </w:p>
        </w:tc>
      </w:tr>
      <w:tr w:rsidR="007F0AE0" w:rsidRPr="00494051" w14:paraId="659137BF" w14:textId="77777777" w:rsidTr="00453DE3">
        <w:trPr>
          <w:cantSplit/>
          <w:trHeight w:val="576"/>
        </w:trPr>
        <w:tc>
          <w:tcPr>
            <w:tcW w:w="1732" w:type="dxa"/>
          </w:tcPr>
          <w:p w14:paraId="4AD75A3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Association</w:t>
            </w:r>
          </w:p>
        </w:tc>
        <w:tc>
          <w:tcPr>
            <w:tcW w:w="7761" w:type="dxa"/>
          </w:tcPr>
          <w:p w14:paraId="42AC42F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Statistical relationship between two or more events, characteristics, or other variables; in epidemiology association implies a correlation between two variables.</w:t>
            </w:r>
          </w:p>
        </w:tc>
      </w:tr>
      <w:tr w:rsidR="007F0AE0" w:rsidRPr="00494051" w14:paraId="4CEE40F3" w14:textId="77777777" w:rsidTr="00453DE3">
        <w:trPr>
          <w:cantSplit/>
          <w:trHeight w:val="576"/>
        </w:trPr>
        <w:tc>
          <w:tcPr>
            <w:tcW w:w="1732" w:type="dxa"/>
          </w:tcPr>
          <w:p w14:paraId="0F14819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lastRenderedPageBreak/>
              <w:t>Bias</w:t>
            </w:r>
          </w:p>
        </w:tc>
        <w:tc>
          <w:tcPr>
            <w:tcW w:w="7761" w:type="dxa"/>
          </w:tcPr>
          <w:p w14:paraId="20BB4FB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Systematic error in the design or conduct of a study that results in conclusions that are different from the truth; as example, due to error in selecting the study population or in measuring the outcome or exposure (e.g., selection bias, information bias, interviewer bias).</w:t>
            </w:r>
          </w:p>
        </w:tc>
      </w:tr>
      <w:tr w:rsidR="007F0AE0" w:rsidRPr="00494051" w14:paraId="692CAC1E" w14:textId="77777777" w:rsidTr="00453DE3">
        <w:trPr>
          <w:cantSplit/>
          <w:trHeight w:val="576"/>
        </w:trPr>
        <w:tc>
          <w:tcPr>
            <w:tcW w:w="1732" w:type="dxa"/>
          </w:tcPr>
          <w:p w14:paraId="6B3E94D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Case-control study</w:t>
            </w:r>
          </w:p>
        </w:tc>
        <w:tc>
          <w:tcPr>
            <w:tcW w:w="7761" w:type="dxa"/>
          </w:tcPr>
          <w:p w14:paraId="5AE047BB"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study comparing people with a specific outcome of interest (i.e., the cases) to people from the same population without that outcome (i.e., the controls), in order to reveal associations between the outcome and prior exposure to particular risk factors; particularly useful for evaluation rare outcomes where past exposure can be reliably measured</w:t>
            </w:r>
          </w:p>
        </w:tc>
      </w:tr>
      <w:tr w:rsidR="007F0AE0" w:rsidRPr="00494051" w14:paraId="0E06E532" w14:textId="77777777" w:rsidTr="00453DE3">
        <w:trPr>
          <w:cantSplit/>
          <w:trHeight w:val="576"/>
        </w:trPr>
        <w:tc>
          <w:tcPr>
            <w:tcW w:w="1732" w:type="dxa"/>
          </w:tcPr>
          <w:p w14:paraId="71D3FD4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Cohen’s kappa</w:t>
            </w:r>
          </w:p>
        </w:tc>
        <w:tc>
          <w:tcPr>
            <w:tcW w:w="7761" w:type="dxa"/>
          </w:tcPr>
          <w:p w14:paraId="6CA8425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inter-rater reliability (i.e., agreement in statistical treatments or between individuals) for categorical scales when there are two raters</w:t>
            </w:r>
          </w:p>
        </w:tc>
      </w:tr>
      <w:tr w:rsidR="007F0AE0" w:rsidRPr="00494051" w14:paraId="55D6D274" w14:textId="77777777" w:rsidTr="00453DE3">
        <w:trPr>
          <w:cantSplit/>
          <w:trHeight w:val="576"/>
        </w:trPr>
        <w:tc>
          <w:tcPr>
            <w:tcW w:w="1732" w:type="dxa"/>
          </w:tcPr>
          <w:p w14:paraId="399368E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Cohort study</w:t>
            </w:r>
          </w:p>
        </w:tc>
        <w:tc>
          <w:tcPr>
            <w:tcW w:w="7761" w:type="dxa"/>
          </w:tcPr>
          <w:p w14:paraId="672D746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Prospective cohort studies identify a group of people already receiving a particular treatment or exposure, follow them forward over time, and then compare their outcomes with a similar group that has not been affected by the treatment or exposure being studied. Like prospective cohort studies, retrospective cohort studies classify study participants based on whether or not they were exposed to the factor under investigation. However, in retrospective studies, the research is initiated after both the exposure and the outcome have already occurred</w:t>
            </w:r>
          </w:p>
        </w:tc>
      </w:tr>
      <w:tr w:rsidR="007F0AE0" w:rsidRPr="00494051" w14:paraId="5844AAF9" w14:textId="77777777" w:rsidTr="00453DE3">
        <w:trPr>
          <w:cantSplit/>
          <w:trHeight w:val="576"/>
        </w:trPr>
        <w:tc>
          <w:tcPr>
            <w:tcW w:w="1732" w:type="dxa"/>
          </w:tcPr>
          <w:p w14:paraId="2D5499D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Confidence Interval (CI)</w:t>
            </w:r>
          </w:p>
        </w:tc>
        <w:tc>
          <w:tcPr>
            <w:tcW w:w="7761" w:type="dxa"/>
          </w:tcPr>
          <w:p w14:paraId="219E7D9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Range of likely values around the point estimate for the “true” population parameter; if one was to take 100 different samples and compute a 95% confidence interval for each sample, then approximately 95 times out of 100 the confidence intervals will contain the true value. Conveys 95% confidence that the true effect size lies within this range.</w:t>
            </w:r>
          </w:p>
        </w:tc>
      </w:tr>
      <w:tr w:rsidR="007F0AE0" w:rsidRPr="00494051" w14:paraId="24759496" w14:textId="77777777" w:rsidTr="00453DE3">
        <w:trPr>
          <w:cantSplit/>
          <w:trHeight w:val="576"/>
        </w:trPr>
        <w:tc>
          <w:tcPr>
            <w:tcW w:w="1732" w:type="dxa"/>
          </w:tcPr>
          <w:p w14:paraId="5D5FF73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Confounder</w:t>
            </w:r>
          </w:p>
        </w:tc>
        <w:tc>
          <w:tcPr>
            <w:tcW w:w="7761" w:type="dxa"/>
          </w:tcPr>
          <w:p w14:paraId="459C9E6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factor that can explain (entirely or partially) the observed association between ‘exposure’ and ‘outcome.’ Confounders distort the association between ‘exposure’ and ‘outcome.’ By definition, to be considered a confounder a variable must meet three criteria: (1) be associated with exposure; (2) be associated with the outcome, and (3) not be in the path between the exposure and the outcome, nor influenced directly by the exposure.</w:t>
            </w:r>
          </w:p>
        </w:tc>
      </w:tr>
      <w:tr w:rsidR="007F0AE0" w:rsidRPr="00494051" w14:paraId="72ABAFB4" w14:textId="77777777" w:rsidTr="00453DE3">
        <w:trPr>
          <w:cantSplit/>
          <w:trHeight w:val="576"/>
        </w:trPr>
        <w:tc>
          <w:tcPr>
            <w:tcW w:w="1732" w:type="dxa"/>
          </w:tcPr>
          <w:p w14:paraId="4DD1F6B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Covariate</w:t>
            </w:r>
          </w:p>
        </w:tc>
        <w:tc>
          <w:tcPr>
            <w:tcW w:w="7761" w:type="dxa"/>
          </w:tcPr>
          <w:p w14:paraId="0AF1A09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Covariate</w:t>
            </w:r>
            <w:r w:rsidRPr="00494051">
              <w:rPr>
                <w:rFonts w:cstheme="minorHAnsi"/>
                <w:color w:val="000000" w:themeColor="text1"/>
                <w:sz w:val="18"/>
                <w:szCs w:val="18"/>
              </w:rPr>
              <w:tab/>
              <w:t>Any measurable variable that could have a statistical relationship with the dependent variable and, as such, could potentially be an explanatory variable. If the covariate is associated with both the ‘exposure’ and the ‘outcome, the covariate therefore is deemed a confounder</w:t>
            </w:r>
          </w:p>
        </w:tc>
      </w:tr>
      <w:tr w:rsidR="007F0AE0" w:rsidRPr="00494051" w14:paraId="56286E93" w14:textId="77777777" w:rsidTr="00453DE3">
        <w:trPr>
          <w:cantSplit/>
          <w:trHeight w:val="332"/>
        </w:trPr>
        <w:tc>
          <w:tcPr>
            <w:tcW w:w="1732" w:type="dxa"/>
          </w:tcPr>
          <w:p w14:paraId="3F807238"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Cronbach’s alpha</w:t>
            </w:r>
          </w:p>
        </w:tc>
        <w:tc>
          <w:tcPr>
            <w:tcW w:w="7761" w:type="dxa"/>
          </w:tcPr>
          <w:p w14:paraId="3DAAA27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scale reliability, or internal consistency, of a psychometric test. The measurement is a function of the number of questions there are in the test, the covariance between test item pairs, and the variance of the total score</w:t>
            </w:r>
          </w:p>
        </w:tc>
      </w:tr>
      <w:tr w:rsidR="007F0AE0" w:rsidRPr="00494051" w14:paraId="2FF29607" w14:textId="77777777" w:rsidTr="00453DE3">
        <w:trPr>
          <w:cantSplit/>
          <w:trHeight w:val="332"/>
        </w:trPr>
        <w:tc>
          <w:tcPr>
            <w:tcW w:w="1732" w:type="dxa"/>
          </w:tcPr>
          <w:p w14:paraId="6826DD1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Cross-sectional study</w:t>
            </w:r>
          </w:p>
        </w:tc>
        <w:tc>
          <w:tcPr>
            <w:tcW w:w="7761" w:type="dxa"/>
          </w:tcPr>
          <w:p w14:paraId="35FC6D1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Studies in which the presence or absence of variables are determined in each member of the study population or in a representative sample at one particular time to compare the differences between exposure and non-exposure</w:t>
            </w:r>
          </w:p>
        </w:tc>
      </w:tr>
      <w:tr w:rsidR="007F0AE0" w:rsidRPr="00494051" w14:paraId="68AF241A" w14:textId="77777777" w:rsidTr="00453DE3">
        <w:trPr>
          <w:cantSplit/>
          <w:trHeight w:val="332"/>
        </w:trPr>
        <w:tc>
          <w:tcPr>
            <w:tcW w:w="1732" w:type="dxa"/>
          </w:tcPr>
          <w:p w14:paraId="08724FA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Heterogeneity</w:t>
            </w:r>
          </w:p>
        </w:tc>
        <w:tc>
          <w:tcPr>
            <w:tcW w:w="7761" w:type="dxa"/>
          </w:tcPr>
          <w:p w14:paraId="2465991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In systematic reviews and meta-analysis, the amount of variations between studies included in the review, whether clinical (i.e., the studies are clinically different) or statistical (i.e., the results are different from one another). Statistics for measuring levels of heterogeneity are considered ‘non-compatibility’ statistics</w:t>
            </w:r>
          </w:p>
        </w:tc>
      </w:tr>
      <w:tr w:rsidR="007F0AE0" w:rsidRPr="00494051" w14:paraId="76F076A5" w14:textId="77777777" w:rsidTr="00453DE3">
        <w:trPr>
          <w:cantSplit/>
          <w:trHeight w:val="332"/>
        </w:trPr>
        <w:tc>
          <w:tcPr>
            <w:tcW w:w="1732" w:type="dxa"/>
          </w:tcPr>
          <w:p w14:paraId="2208F95A"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Incidence</w:t>
            </w:r>
          </w:p>
        </w:tc>
        <w:tc>
          <w:tcPr>
            <w:tcW w:w="7761" w:type="dxa"/>
          </w:tcPr>
          <w:p w14:paraId="4D52A77E"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Proportion of new cases developed during a given time period.</w:t>
            </w:r>
          </w:p>
        </w:tc>
      </w:tr>
      <w:tr w:rsidR="007F0AE0" w:rsidRPr="00494051" w14:paraId="2A3BF010" w14:textId="77777777" w:rsidTr="00453DE3">
        <w:trPr>
          <w:cantSplit/>
          <w:trHeight w:val="576"/>
        </w:trPr>
        <w:tc>
          <w:tcPr>
            <w:tcW w:w="1732" w:type="dxa"/>
          </w:tcPr>
          <w:p w14:paraId="02048B0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Intent-to-treat (ITT) analysis</w:t>
            </w:r>
          </w:p>
        </w:tc>
        <w:tc>
          <w:tcPr>
            <w:tcW w:w="7761" w:type="dxa"/>
          </w:tcPr>
          <w:p w14:paraId="03568BC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data analysis strategy, whereby all participants are included in the analysis, regardless of whether or not they received or completed the intervention to which they were assigned. Intent-to-treat analysis is intended to prevent bias, which may be introduced as a result of excluding non-adherent subjects or subjects lost to follow up</w:t>
            </w:r>
          </w:p>
        </w:tc>
      </w:tr>
      <w:tr w:rsidR="007F0AE0" w:rsidRPr="00494051" w14:paraId="1C3EC9C7" w14:textId="77777777" w:rsidTr="00453DE3">
        <w:trPr>
          <w:cantSplit/>
          <w:trHeight w:val="576"/>
        </w:trPr>
        <w:tc>
          <w:tcPr>
            <w:tcW w:w="1732" w:type="dxa"/>
          </w:tcPr>
          <w:p w14:paraId="58755FD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Macro-level environmental factors</w:t>
            </w:r>
          </w:p>
        </w:tc>
        <w:tc>
          <w:tcPr>
            <w:tcW w:w="7761" w:type="dxa"/>
          </w:tcPr>
          <w:p w14:paraId="29EA4AA8"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Based upon the Socio-ecological Model,</w:t>
            </w:r>
            <w:r w:rsidRPr="00494051">
              <w:rPr>
                <w:rFonts w:cstheme="minorHAnsi"/>
                <w:color w:val="000000" w:themeColor="text1"/>
                <w:sz w:val="18"/>
                <w:szCs w:val="18"/>
              </w:rPr>
              <w:fldChar w:fldCharType="begin"/>
            </w:r>
            <w:r>
              <w:rPr>
                <w:rFonts w:cstheme="minorHAnsi"/>
                <w:color w:val="000000" w:themeColor="text1"/>
                <w:sz w:val="18"/>
                <w:szCs w:val="18"/>
              </w:rPr>
              <w:instrText xml:space="preserve"> ADDIN EN.CITE &lt;EndNote&gt;&lt;Cite&gt;&lt;RecNum&gt;198&lt;/RecNum&gt;&lt;DisplayText&gt;(9)&lt;/DisplayText&gt;&lt;record&gt;&lt;rec-number&gt;198&lt;/rec-number&gt;&lt;foreign-keys&gt;&lt;key app="EN" db-id="a2vz2dfp8xrad6exes75zwpiw5rxwa0vwapv" timestamp="1477430808"&gt;198&lt;/key&gt;&lt;/foreign-keys&gt;&lt;ref-type name="Journal Article"&gt;17&lt;/ref-type&gt;&lt;contributors&gt;&lt;authors&gt;&lt;author&gt;McLeroy, K. R.&lt;/author&gt;&lt;author&gt;Bibeau, D.&lt;/author&gt;&lt;author&gt;Steckler, A.&lt;/author&gt;&lt;author&gt;Glanz, K.&lt;/author&gt;&lt;/authors&gt;&lt;/contributors&gt;&lt;auth-address&gt;Department of Public Health Education, University of North Carolina, Greensboro 27412.&lt;/auth-address&gt;&lt;titles&gt;&lt;title&gt;An ecological perspective on health promotion programs&lt;/title&gt;&lt;secondary-title&gt;Health Educ Q&lt;/secondary-title&gt;&lt;/titles&gt;&lt;periodical&gt;&lt;full-title&gt;Health Educ Q&lt;/full-title&gt;&lt;/periodical&gt;&lt;pages&gt;351-77&lt;/pages&gt;&lt;volume&gt;15&lt;/volume&gt;&lt;number&gt;4&lt;/number&gt;&lt;keywords&gt;&lt;keyword&gt;Community Health Services&lt;/keyword&gt;&lt;keyword&gt;*Health Behavior&lt;/keyword&gt;&lt;keyword&gt;Health Promotion/*methods&lt;/keyword&gt;&lt;keyword&gt;Humans&lt;/keyword&gt;&lt;keyword&gt;*Social Environment&lt;/keyword&gt;&lt;/keywords&gt;&lt;dates&gt;&lt;year&gt;1988&lt;/year&gt;&lt;pub-dates&gt;&lt;date&gt;Winter&lt;/date&gt;&lt;/pub-dates&gt;&lt;/dates&gt;&lt;isbn&gt;0195-8402 (Print)&amp;#xD;0195-8402 (Linking)&lt;/isbn&gt;&lt;accession-num&gt;3068205&lt;/accession-num&gt;&lt;urls&gt;&lt;related-urls&gt;&lt;url&gt;https://www.ncbi.nlm.nih.gov/pubmed/3068205&lt;/url&gt;&lt;/related-urls&gt;&lt;/urls&gt;&lt;/record&gt;&lt;/Cite&gt;&lt;/EndNote&gt;</w:instrText>
            </w:r>
            <w:r w:rsidRPr="00494051">
              <w:rPr>
                <w:rFonts w:cstheme="minorHAnsi"/>
                <w:color w:val="000000" w:themeColor="text1"/>
                <w:sz w:val="18"/>
                <w:szCs w:val="18"/>
              </w:rPr>
              <w:fldChar w:fldCharType="separate"/>
            </w:r>
            <w:r>
              <w:rPr>
                <w:rFonts w:cstheme="minorHAnsi"/>
                <w:noProof/>
                <w:color w:val="000000" w:themeColor="text1"/>
                <w:sz w:val="18"/>
                <w:szCs w:val="18"/>
              </w:rPr>
              <w:t>(</w:t>
            </w:r>
            <w:hyperlink w:anchor="_ENREF_9" w:tooltip="McLeroy, 1988 #198" w:history="1">
              <w:r>
                <w:rPr>
                  <w:rFonts w:cstheme="minorHAnsi"/>
                  <w:noProof/>
                  <w:color w:val="000000" w:themeColor="text1"/>
                  <w:sz w:val="18"/>
                  <w:szCs w:val="18"/>
                </w:rPr>
                <w:t>9</w:t>
              </w:r>
            </w:hyperlink>
            <w:r>
              <w:rPr>
                <w:rFonts w:cstheme="minorHAnsi"/>
                <w:noProof/>
                <w:color w:val="000000" w:themeColor="text1"/>
                <w:sz w:val="18"/>
                <w:szCs w:val="18"/>
              </w:rPr>
              <w:t>)</w:t>
            </w:r>
            <w:r w:rsidRPr="00494051">
              <w:rPr>
                <w:rFonts w:cstheme="minorHAnsi"/>
                <w:color w:val="000000" w:themeColor="text1"/>
                <w:sz w:val="18"/>
                <w:szCs w:val="18"/>
              </w:rPr>
              <w:fldChar w:fldCharType="end"/>
            </w:r>
            <w:r w:rsidRPr="00494051">
              <w:rPr>
                <w:rFonts w:cstheme="minorHAnsi"/>
                <w:color w:val="000000" w:themeColor="text1"/>
                <w:sz w:val="18"/>
                <w:szCs w:val="18"/>
              </w:rPr>
              <w:t xml:space="preserve"> large scale environmental factors that may confound the relationship between menthol use and smoking behaviors; examples include state or local tobacco control policies, cigarette prices/taxes, work/employer policies, and tobacco industry menthol marketing.</w:t>
            </w:r>
          </w:p>
        </w:tc>
      </w:tr>
      <w:tr w:rsidR="007F0AE0" w:rsidRPr="00494051" w14:paraId="146CFBCF" w14:textId="77777777" w:rsidTr="00453DE3">
        <w:trPr>
          <w:cantSplit/>
          <w:trHeight w:val="576"/>
        </w:trPr>
        <w:tc>
          <w:tcPr>
            <w:tcW w:w="1732" w:type="dxa"/>
          </w:tcPr>
          <w:p w14:paraId="2FCF9A5B"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Meso-level environmental factors</w:t>
            </w:r>
          </w:p>
        </w:tc>
        <w:tc>
          <w:tcPr>
            <w:tcW w:w="7761" w:type="dxa"/>
          </w:tcPr>
          <w:p w14:paraId="4A615E57"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Based upon the Socio-ecological Model,</w:t>
            </w:r>
            <w:r w:rsidRPr="00494051">
              <w:rPr>
                <w:rFonts w:cstheme="minorHAnsi"/>
                <w:color w:val="000000" w:themeColor="text1"/>
                <w:sz w:val="18"/>
                <w:szCs w:val="18"/>
              </w:rPr>
              <w:fldChar w:fldCharType="begin"/>
            </w:r>
            <w:r>
              <w:rPr>
                <w:rFonts w:cstheme="minorHAnsi"/>
                <w:color w:val="000000" w:themeColor="text1"/>
                <w:sz w:val="18"/>
                <w:szCs w:val="18"/>
              </w:rPr>
              <w:instrText xml:space="preserve"> ADDIN EN.CITE &lt;EndNote&gt;&lt;Cite&gt;&lt;RecNum&gt;198&lt;/RecNum&gt;&lt;DisplayText&gt;(9)&lt;/DisplayText&gt;&lt;record&gt;&lt;rec-number&gt;198&lt;/rec-number&gt;&lt;foreign-keys&gt;&lt;key app="EN" db-id="a2vz2dfp8xrad6exes75zwpiw5rxwa0vwapv" timestamp="1477430808"&gt;198&lt;/key&gt;&lt;/foreign-keys&gt;&lt;ref-type name="Journal Article"&gt;17&lt;/ref-type&gt;&lt;contributors&gt;&lt;authors&gt;&lt;author&gt;McLeroy, K. R.&lt;/author&gt;&lt;author&gt;Bibeau, D.&lt;/author&gt;&lt;author&gt;Steckler, A.&lt;/author&gt;&lt;author&gt;Glanz, K.&lt;/author&gt;&lt;/authors&gt;&lt;/contributors&gt;&lt;auth-address&gt;Department of Public Health Education, University of North Carolina, Greensboro 27412.&lt;/auth-address&gt;&lt;titles&gt;&lt;title&gt;An ecological perspective on health promotion programs&lt;/title&gt;&lt;secondary-title&gt;Health Educ Q&lt;/secondary-title&gt;&lt;/titles&gt;&lt;periodical&gt;&lt;full-title&gt;Health Educ Q&lt;/full-title&gt;&lt;/periodical&gt;&lt;pages&gt;351-77&lt;/pages&gt;&lt;volume&gt;15&lt;/volume&gt;&lt;number&gt;4&lt;/number&gt;&lt;keywords&gt;&lt;keyword&gt;Community Health Services&lt;/keyword&gt;&lt;keyword&gt;*Health Behavior&lt;/keyword&gt;&lt;keyword&gt;Health Promotion/*methods&lt;/keyword&gt;&lt;keyword&gt;Humans&lt;/keyword&gt;&lt;keyword&gt;*Social Environment&lt;/keyword&gt;&lt;/keywords&gt;&lt;dates&gt;&lt;year&gt;1988&lt;/year&gt;&lt;pub-dates&gt;&lt;date&gt;Winter&lt;/date&gt;&lt;/pub-dates&gt;&lt;/dates&gt;&lt;isbn&gt;0195-8402 (Print)&amp;#xD;0195-8402 (Linking)&lt;/isbn&gt;&lt;accession-num&gt;3068205&lt;/accession-num&gt;&lt;urls&gt;&lt;related-urls&gt;&lt;url&gt;https://www.ncbi.nlm.nih.gov/pubmed/3068205&lt;/url&gt;&lt;/related-urls&gt;&lt;/urls&gt;&lt;/record&gt;&lt;/Cite&gt;&lt;/EndNote&gt;</w:instrText>
            </w:r>
            <w:r w:rsidRPr="00494051">
              <w:rPr>
                <w:rFonts w:cstheme="minorHAnsi"/>
                <w:color w:val="000000" w:themeColor="text1"/>
                <w:sz w:val="18"/>
                <w:szCs w:val="18"/>
              </w:rPr>
              <w:fldChar w:fldCharType="separate"/>
            </w:r>
            <w:r>
              <w:rPr>
                <w:rFonts w:cstheme="minorHAnsi"/>
                <w:noProof/>
                <w:color w:val="000000" w:themeColor="text1"/>
                <w:sz w:val="18"/>
                <w:szCs w:val="18"/>
              </w:rPr>
              <w:t>(</w:t>
            </w:r>
            <w:hyperlink w:anchor="_ENREF_9" w:tooltip="McLeroy, 1988 #198" w:history="1">
              <w:r>
                <w:rPr>
                  <w:rFonts w:cstheme="minorHAnsi"/>
                  <w:noProof/>
                  <w:color w:val="000000" w:themeColor="text1"/>
                  <w:sz w:val="18"/>
                  <w:szCs w:val="18"/>
                </w:rPr>
                <w:t>9</w:t>
              </w:r>
            </w:hyperlink>
            <w:r>
              <w:rPr>
                <w:rFonts w:cstheme="minorHAnsi"/>
                <w:noProof/>
                <w:color w:val="000000" w:themeColor="text1"/>
                <w:sz w:val="18"/>
                <w:szCs w:val="18"/>
              </w:rPr>
              <w:t>)</w:t>
            </w:r>
            <w:r w:rsidRPr="00494051">
              <w:rPr>
                <w:rFonts w:cstheme="minorHAnsi"/>
                <w:color w:val="000000" w:themeColor="text1"/>
                <w:sz w:val="18"/>
                <w:szCs w:val="18"/>
              </w:rPr>
              <w:fldChar w:fldCharType="end"/>
            </w:r>
            <w:r w:rsidRPr="00494051">
              <w:rPr>
                <w:rFonts w:cstheme="minorHAnsi"/>
                <w:color w:val="000000" w:themeColor="text1"/>
                <w:sz w:val="18"/>
                <w:szCs w:val="18"/>
              </w:rPr>
              <w:t xml:space="preserve"> socio-cultural and physical environmental factors that may confound the relationship between menthol use and smoking behaviors; examples include geographic location, living with smoking relatives, brand preferences for menthol cigarettes.</w:t>
            </w:r>
          </w:p>
        </w:tc>
      </w:tr>
      <w:tr w:rsidR="007F0AE0" w:rsidRPr="00494051" w14:paraId="346475ED" w14:textId="77777777" w:rsidTr="00453DE3">
        <w:trPr>
          <w:cantSplit/>
          <w:trHeight w:val="576"/>
        </w:trPr>
        <w:tc>
          <w:tcPr>
            <w:tcW w:w="1732" w:type="dxa"/>
          </w:tcPr>
          <w:p w14:paraId="340503A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lastRenderedPageBreak/>
              <w:t>Meta-analysis</w:t>
            </w:r>
          </w:p>
        </w:tc>
        <w:tc>
          <w:tcPr>
            <w:tcW w:w="7761" w:type="dxa"/>
          </w:tcPr>
          <w:p w14:paraId="3F68D948"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statistical technique for combining and analyzing the results of a number of different studies on the same topic to enable identification of trends and patterns and more accurate estimation of significant effects</w:t>
            </w:r>
          </w:p>
        </w:tc>
      </w:tr>
      <w:tr w:rsidR="007F0AE0" w:rsidRPr="00494051" w14:paraId="019EF845" w14:textId="77777777" w:rsidTr="00453DE3">
        <w:trPr>
          <w:cantSplit/>
          <w:trHeight w:val="576"/>
        </w:trPr>
        <w:tc>
          <w:tcPr>
            <w:tcW w:w="1732" w:type="dxa"/>
          </w:tcPr>
          <w:p w14:paraId="0D0CC59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Micro-level environmental factors</w:t>
            </w:r>
          </w:p>
        </w:tc>
        <w:tc>
          <w:tcPr>
            <w:tcW w:w="7761" w:type="dxa"/>
          </w:tcPr>
          <w:p w14:paraId="3E05DA9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Based upon the Socio-ecological Model,</w:t>
            </w:r>
            <w:r w:rsidRPr="00494051">
              <w:rPr>
                <w:rFonts w:cstheme="minorHAnsi"/>
                <w:color w:val="000000" w:themeColor="text1"/>
                <w:sz w:val="18"/>
                <w:szCs w:val="18"/>
              </w:rPr>
              <w:fldChar w:fldCharType="begin"/>
            </w:r>
            <w:r>
              <w:rPr>
                <w:rFonts w:cstheme="minorHAnsi"/>
                <w:color w:val="000000" w:themeColor="text1"/>
                <w:sz w:val="18"/>
                <w:szCs w:val="18"/>
              </w:rPr>
              <w:instrText xml:space="preserve"> ADDIN EN.CITE &lt;EndNote&gt;&lt;Cite&gt;&lt;RecNum&gt;198&lt;/RecNum&gt;&lt;DisplayText&gt;(9)&lt;/DisplayText&gt;&lt;record&gt;&lt;rec-number&gt;198&lt;/rec-number&gt;&lt;foreign-keys&gt;&lt;key app="EN" db-id="a2vz2dfp8xrad6exes75zwpiw5rxwa0vwapv" timestamp="1477430808"&gt;198&lt;/key&gt;&lt;/foreign-keys&gt;&lt;ref-type name="Journal Article"&gt;17&lt;/ref-type&gt;&lt;contributors&gt;&lt;authors&gt;&lt;author&gt;McLeroy, K. R.&lt;/author&gt;&lt;author&gt;Bibeau, D.&lt;/author&gt;&lt;author&gt;Steckler, A.&lt;/author&gt;&lt;author&gt;Glanz, K.&lt;/author&gt;&lt;/authors&gt;&lt;/contributors&gt;&lt;auth-address&gt;Department of Public Health Education, University of North Carolina, Greensboro 27412.&lt;/auth-address&gt;&lt;titles&gt;&lt;title&gt;An ecological perspective on health promotion programs&lt;/title&gt;&lt;secondary-title&gt;Health Educ Q&lt;/secondary-title&gt;&lt;/titles&gt;&lt;periodical&gt;&lt;full-title&gt;Health Educ Q&lt;/full-title&gt;&lt;/periodical&gt;&lt;pages&gt;351-77&lt;/pages&gt;&lt;volume&gt;15&lt;/volume&gt;&lt;number&gt;4&lt;/number&gt;&lt;keywords&gt;&lt;keyword&gt;Community Health Services&lt;/keyword&gt;&lt;keyword&gt;*Health Behavior&lt;/keyword&gt;&lt;keyword&gt;Health Promotion/*methods&lt;/keyword&gt;&lt;keyword&gt;Humans&lt;/keyword&gt;&lt;keyword&gt;*Social Environment&lt;/keyword&gt;&lt;/keywords&gt;&lt;dates&gt;&lt;year&gt;1988&lt;/year&gt;&lt;pub-dates&gt;&lt;date&gt;Winter&lt;/date&gt;&lt;/pub-dates&gt;&lt;/dates&gt;&lt;isbn&gt;0195-8402 (Print)&amp;#xD;0195-8402 (Linking)&lt;/isbn&gt;&lt;accession-num&gt;3068205&lt;/accession-num&gt;&lt;urls&gt;&lt;related-urls&gt;&lt;url&gt;https://www.ncbi.nlm.nih.gov/pubmed/3068205&lt;/url&gt;&lt;/related-urls&gt;&lt;/urls&gt;&lt;/record&gt;&lt;/Cite&gt;&lt;/EndNote&gt;</w:instrText>
            </w:r>
            <w:r w:rsidRPr="00494051">
              <w:rPr>
                <w:rFonts w:cstheme="minorHAnsi"/>
                <w:color w:val="000000" w:themeColor="text1"/>
                <w:sz w:val="18"/>
                <w:szCs w:val="18"/>
              </w:rPr>
              <w:fldChar w:fldCharType="separate"/>
            </w:r>
            <w:r>
              <w:rPr>
                <w:rFonts w:cstheme="minorHAnsi"/>
                <w:noProof/>
                <w:color w:val="000000" w:themeColor="text1"/>
                <w:sz w:val="18"/>
                <w:szCs w:val="18"/>
              </w:rPr>
              <w:t>(</w:t>
            </w:r>
            <w:hyperlink w:anchor="_ENREF_9" w:tooltip="McLeroy, 1988 #198" w:history="1">
              <w:r>
                <w:rPr>
                  <w:rFonts w:cstheme="minorHAnsi"/>
                  <w:noProof/>
                  <w:color w:val="000000" w:themeColor="text1"/>
                  <w:sz w:val="18"/>
                  <w:szCs w:val="18"/>
                </w:rPr>
                <w:t>9</w:t>
              </w:r>
            </w:hyperlink>
            <w:r>
              <w:rPr>
                <w:rFonts w:cstheme="minorHAnsi"/>
                <w:noProof/>
                <w:color w:val="000000" w:themeColor="text1"/>
                <w:sz w:val="18"/>
                <w:szCs w:val="18"/>
              </w:rPr>
              <w:t>)</w:t>
            </w:r>
            <w:r w:rsidRPr="00494051">
              <w:rPr>
                <w:rFonts w:cstheme="minorHAnsi"/>
                <w:color w:val="000000" w:themeColor="text1"/>
                <w:sz w:val="18"/>
                <w:szCs w:val="18"/>
              </w:rPr>
              <w:fldChar w:fldCharType="end"/>
            </w:r>
            <w:r w:rsidRPr="00494051">
              <w:rPr>
                <w:rFonts w:cstheme="minorHAnsi"/>
                <w:color w:val="000000" w:themeColor="text1"/>
                <w:sz w:val="18"/>
                <w:szCs w:val="18"/>
              </w:rPr>
              <w:t xml:space="preserve"> individual factors that may confound the relationship between menthol use and smoking behaviors; examples include age, gender, race/ethnicity, education and income.</w:t>
            </w:r>
          </w:p>
        </w:tc>
      </w:tr>
      <w:tr w:rsidR="007F0AE0" w:rsidRPr="00494051" w14:paraId="461A4E47" w14:textId="77777777" w:rsidTr="00453DE3">
        <w:trPr>
          <w:cantSplit/>
          <w:trHeight w:val="576"/>
        </w:trPr>
        <w:tc>
          <w:tcPr>
            <w:tcW w:w="1732" w:type="dxa"/>
          </w:tcPr>
          <w:p w14:paraId="4AA731C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Multivariate analysis</w:t>
            </w:r>
          </w:p>
        </w:tc>
        <w:tc>
          <w:tcPr>
            <w:tcW w:w="7761" w:type="dxa"/>
          </w:tcPr>
          <w:p w14:paraId="0B2C85EB"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Used to investigate the relationship between independent variables and outcome by simultaneously allowing adjustment for confounding. Multivariate (also known as multivariable) models assess the effects of several variables simultaneously. The choice of an appropriate multivariable model (e.g., logistic regression, multiple linear regression, Cox proportional hazard analysis) is foremost dependent on the study design and the nature of the outcome variable.</w:t>
            </w:r>
          </w:p>
        </w:tc>
      </w:tr>
      <w:tr w:rsidR="007F0AE0" w:rsidRPr="00494051" w14:paraId="5EA200CB" w14:textId="77777777" w:rsidTr="00453DE3">
        <w:trPr>
          <w:cantSplit/>
          <w:trHeight w:val="576"/>
        </w:trPr>
        <w:tc>
          <w:tcPr>
            <w:tcW w:w="1732" w:type="dxa"/>
          </w:tcPr>
          <w:p w14:paraId="7A39E5B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Observational study</w:t>
            </w:r>
          </w:p>
        </w:tc>
        <w:tc>
          <w:tcPr>
            <w:tcW w:w="7761" w:type="dxa"/>
          </w:tcPr>
          <w:p w14:paraId="1A2D805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family of studies in which investigators compare people who take an intervention with those who do not. The investigators neither allocate patients to receive the intervention not administer the intervention. Instead, they compare records of patients who had taken an intervention and been treated in routine practice with similar patients who had not taken the intervention. The most common observational designs are case studies, case series, case-control studies, cohort studies, and historically controlled studies</w:t>
            </w:r>
          </w:p>
        </w:tc>
      </w:tr>
      <w:tr w:rsidR="007F0AE0" w:rsidRPr="00494051" w14:paraId="21FD26A3" w14:textId="77777777" w:rsidTr="00453DE3">
        <w:trPr>
          <w:cantSplit/>
          <w:trHeight w:val="576"/>
        </w:trPr>
        <w:tc>
          <w:tcPr>
            <w:tcW w:w="1732" w:type="dxa"/>
          </w:tcPr>
          <w:p w14:paraId="08054E8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Odds Ratio (OR)</w:t>
            </w:r>
          </w:p>
        </w:tc>
        <w:tc>
          <w:tcPr>
            <w:tcW w:w="7761" w:type="dxa"/>
          </w:tcPr>
          <w:p w14:paraId="4EA16DC6"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Measure of association between an exposure and an outcome; compares the odds (i.e., probability or likelihood) that an outcome will occur in the exposed group compared with the odds that the outcome will occur in the non-exposed group.</w:t>
            </w:r>
          </w:p>
        </w:tc>
      </w:tr>
      <w:tr w:rsidR="007F0AE0" w:rsidRPr="00494051" w14:paraId="32D4A2BD" w14:textId="77777777" w:rsidTr="00453DE3">
        <w:trPr>
          <w:cantSplit/>
          <w:trHeight w:val="576"/>
        </w:trPr>
        <w:tc>
          <w:tcPr>
            <w:tcW w:w="1732" w:type="dxa"/>
          </w:tcPr>
          <w:p w14:paraId="07C00FAA"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Parts per million (ppm)</w:t>
            </w:r>
          </w:p>
        </w:tc>
        <w:tc>
          <w:tcPr>
            <w:tcW w:w="7761" w:type="dxa"/>
          </w:tcPr>
          <w:p w14:paraId="6E25951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unit of concentration, denoting one part of a substance out of one million (i.e., just as percent denotes one out of a hundred); it is a unit commonly used to express very dilute concentrations</w:t>
            </w:r>
          </w:p>
        </w:tc>
      </w:tr>
      <w:tr w:rsidR="007F0AE0" w:rsidRPr="00494051" w14:paraId="08AD5399" w14:textId="77777777" w:rsidTr="00453DE3">
        <w:trPr>
          <w:cantSplit/>
          <w:trHeight w:val="576"/>
        </w:trPr>
        <w:tc>
          <w:tcPr>
            <w:tcW w:w="1732" w:type="dxa"/>
          </w:tcPr>
          <w:p w14:paraId="2274065A"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Point estimate</w:t>
            </w:r>
          </w:p>
        </w:tc>
        <w:tc>
          <w:tcPr>
            <w:tcW w:w="7761" w:type="dxa"/>
          </w:tcPr>
          <w:p w14:paraId="58246E6E"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Statistical measure of the association between an independent and a dependent variable. Often expressed as a relative effect (see Odds Ratio).</w:t>
            </w:r>
          </w:p>
        </w:tc>
      </w:tr>
      <w:tr w:rsidR="007F0AE0" w:rsidRPr="00494051" w14:paraId="51BF73C4" w14:textId="77777777" w:rsidTr="00453DE3">
        <w:trPr>
          <w:cantSplit/>
          <w:trHeight w:val="576"/>
        </w:trPr>
        <w:tc>
          <w:tcPr>
            <w:tcW w:w="1732" w:type="dxa"/>
          </w:tcPr>
          <w:p w14:paraId="7C6CBBB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Precision</w:t>
            </w:r>
          </w:p>
        </w:tc>
        <w:tc>
          <w:tcPr>
            <w:tcW w:w="7761" w:type="dxa"/>
          </w:tcPr>
          <w:p w14:paraId="72696E7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Refers to the width of the confidence interval around a point estimate or sample mean; conveys the level of certainty around the point estimate; precision is largely influenced by sample size.</w:t>
            </w:r>
          </w:p>
        </w:tc>
      </w:tr>
      <w:tr w:rsidR="007F0AE0" w:rsidRPr="00494051" w14:paraId="01D7C96D" w14:textId="77777777" w:rsidTr="00453DE3">
        <w:trPr>
          <w:cantSplit/>
          <w:trHeight w:val="576"/>
        </w:trPr>
        <w:tc>
          <w:tcPr>
            <w:tcW w:w="1732" w:type="dxa"/>
          </w:tcPr>
          <w:p w14:paraId="38C90A6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Prevalence</w:t>
            </w:r>
          </w:p>
        </w:tc>
        <w:tc>
          <w:tcPr>
            <w:tcW w:w="7761" w:type="dxa"/>
          </w:tcPr>
          <w:p w14:paraId="13A025D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Number of affected individuals (i.e., cases) alive at a point in time (point prevalence) or during a period of time (period prevalence).</w:t>
            </w:r>
          </w:p>
        </w:tc>
      </w:tr>
      <w:tr w:rsidR="007F0AE0" w:rsidRPr="00494051" w14:paraId="65133B47" w14:textId="77777777" w:rsidTr="00453DE3">
        <w:trPr>
          <w:cantSplit/>
          <w:trHeight w:val="576"/>
        </w:trPr>
        <w:tc>
          <w:tcPr>
            <w:tcW w:w="1732" w:type="dxa"/>
          </w:tcPr>
          <w:p w14:paraId="4E570FC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Prevalence ratio (PR)</w:t>
            </w:r>
          </w:p>
        </w:tc>
        <w:tc>
          <w:tcPr>
            <w:tcW w:w="7761" w:type="dxa"/>
          </w:tcPr>
          <w:p w14:paraId="7D05DD9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ratio of the proportion of the people with disease over the proportion with the exposure indicates how large prevalence of an outcome in one group of subjects/individuals (with characteristics/attribute) relative to another group</w:t>
            </w:r>
          </w:p>
        </w:tc>
      </w:tr>
      <w:tr w:rsidR="007F0AE0" w:rsidRPr="00494051" w14:paraId="1A2E8B96" w14:textId="77777777" w:rsidTr="00453DE3">
        <w:trPr>
          <w:cantSplit/>
          <w:trHeight w:val="576"/>
        </w:trPr>
        <w:tc>
          <w:tcPr>
            <w:tcW w:w="1732" w:type="dxa"/>
          </w:tcPr>
          <w:p w14:paraId="2DD60702"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p-value</w:t>
            </w:r>
          </w:p>
        </w:tc>
        <w:tc>
          <w:tcPr>
            <w:tcW w:w="7761" w:type="dxa"/>
          </w:tcPr>
          <w:p w14:paraId="06D7A701"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probability of seeing an effect equal to or more extreme than the one observed (e.g., point estimate) when in fact no true effect exists.</w:t>
            </w:r>
            <w:r>
              <w:rPr>
                <w:rFonts w:cstheme="minorHAnsi"/>
                <w:color w:val="000000" w:themeColor="text1"/>
                <w:sz w:val="18"/>
                <w:szCs w:val="18"/>
              </w:rPr>
              <w:t xml:space="preserve"> </w:t>
            </w:r>
            <w:r w:rsidRPr="00494051">
              <w:rPr>
                <w:rFonts w:cstheme="minorHAnsi"/>
                <w:color w:val="000000" w:themeColor="text1"/>
                <w:sz w:val="18"/>
                <w:szCs w:val="18"/>
              </w:rPr>
              <w:t>A small p-value conveys that the observed effect is very unlikely to have arisen purely by chance.</w:t>
            </w:r>
            <w:r>
              <w:rPr>
                <w:rFonts w:cstheme="minorHAnsi"/>
                <w:color w:val="000000" w:themeColor="text1"/>
                <w:sz w:val="18"/>
                <w:szCs w:val="18"/>
              </w:rPr>
              <w:t xml:space="preserve"> </w:t>
            </w:r>
            <w:r w:rsidRPr="00494051">
              <w:rPr>
                <w:rFonts w:cstheme="minorHAnsi"/>
                <w:color w:val="000000" w:themeColor="text1"/>
                <w:sz w:val="18"/>
                <w:szCs w:val="18"/>
              </w:rPr>
              <w:t>P-values less than 0.05 are generally reported as “statistically significant.”</w:t>
            </w:r>
          </w:p>
        </w:tc>
      </w:tr>
      <w:tr w:rsidR="007F0AE0" w:rsidRPr="00494051" w14:paraId="6AE6FE0C" w14:textId="77777777" w:rsidTr="00453DE3">
        <w:trPr>
          <w:cantSplit/>
          <w:trHeight w:val="576"/>
        </w:trPr>
        <w:tc>
          <w:tcPr>
            <w:tcW w:w="1732" w:type="dxa"/>
          </w:tcPr>
          <w:p w14:paraId="06ADB22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Randomized controlled trial (RCT)</w:t>
            </w:r>
          </w:p>
        </w:tc>
        <w:tc>
          <w:tcPr>
            <w:tcW w:w="7761" w:type="dxa"/>
          </w:tcPr>
          <w:p w14:paraId="5097CED7"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study in which two or more interventions, possibly including a control intervention (or no intervention), are compared by being randomly allocated to participants. The groups are followed up to see how effective the experimental intervention was; outcomes are measured at specific times and any differences in response between groups is assessed statistically. This method is used to reduce bias, and is widely considered the gold standard of evidence</w:t>
            </w:r>
          </w:p>
        </w:tc>
      </w:tr>
      <w:tr w:rsidR="007F0AE0" w:rsidRPr="00494051" w14:paraId="234E1F04" w14:textId="77777777" w:rsidTr="00453DE3">
        <w:trPr>
          <w:cantSplit/>
          <w:trHeight w:val="576"/>
        </w:trPr>
        <w:tc>
          <w:tcPr>
            <w:tcW w:w="1732" w:type="dxa"/>
          </w:tcPr>
          <w:p w14:paraId="3AACFA6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Reliability</w:t>
            </w:r>
          </w:p>
        </w:tc>
        <w:tc>
          <w:tcPr>
            <w:tcW w:w="7761" w:type="dxa"/>
          </w:tcPr>
          <w:p w14:paraId="191059B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Extent to which a test will produce the same result if it is repeated at different periods or by different observers; consistency of the test.</w:t>
            </w:r>
          </w:p>
        </w:tc>
      </w:tr>
      <w:tr w:rsidR="007F0AE0" w:rsidRPr="00494051" w14:paraId="6D1893CF" w14:textId="77777777" w:rsidTr="00453DE3">
        <w:trPr>
          <w:cantSplit/>
          <w:trHeight w:val="576"/>
        </w:trPr>
        <w:tc>
          <w:tcPr>
            <w:tcW w:w="1732" w:type="dxa"/>
          </w:tcPr>
          <w:p w14:paraId="0708A10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Regression Analysis</w:t>
            </w:r>
          </w:p>
        </w:tc>
        <w:tc>
          <w:tcPr>
            <w:tcW w:w="7761" w:type="dxa"/>
          </w:tcPr>
          <w:p w14:paraId="7115D1A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Statistical methodology that allows the estimation of the effect of one or more variables on an outcome; different types of regression analyses exist for data analysis in epidemiology depending upon the study design and the outcome measurement. Linear regression is used for continuous outcomes, and logistic regression is used for binary outcomes.</w:t>
            </w:r>
          </w:p>
        </w:tc>
      </w:tr>
      <w:tr w:rsidR="007F0AE0" w:rsidRPr="00494051" w14:paraId="551CDCC5" w14:textId="77777777" w:rsidTr="00453DE3">
        <w:trPr>
          <w:cantSplit/>
          <w:trHeight w:val="576"/>
        </w:trPr>
        <w:tc>
          <w:tcPr>
            <w:tcW w:w="1732" w:type="dxa"/>
          </w:tcPr>
          <w:p w14:paraId="62EB698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lastRenderedPageBreak/>
              <w:t>Risk</w:t>
            </w:r>
          </w:p>
        </w:tc>
        <w:tc>
          <w:tcPr>
            <w:tcW w:w="7761" w:type="dxa"/>
          </w:tcPr>
          <w:p w14:paraId="7C3D421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Probability that an event will occur; risk, probability and likelihood are used interchangeably; there are various measures of risk in epidemiology.</w:t>
            </w:r>
          </w:p>
        </w:tc>
      </w:tr>
      <w:tr w:rsidR="007F0AE0" w:rsidRPr="00494051" w14:paraId="715FDD48" w14:textId="77777777" w:rsidTr="00453DE3">
        <w:trPr>
          <w:cantSplit/>
          <w:trHeight w:val="576"/>
        </w:trPr>
        <w:tc>
          <w:tcPr>
            <w:tcW w:w="1732" w:type="dxa"/>
          </w:tcPr>
          <w:p w14:paraId="4F4E53CC"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Relative Risk (RR)</w:t>
            </w:r>
          </w:p>
        </w:tc>
        <w:tc>
          <w:tcPr>
            <w:tcW w:w="7761" w:type="dxa"/>
          </w:tcPr>
          <w:p w14:paraId="0AF197F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Relative measure of association between an exposure and an outcome; compares the incidence of an outcome in the exposed group to the incidence of the outcome in the non-exposed group.</w:t>
            </w:r>
          </w:p>
        </w:tc>
      </w:tr>
      <w:tr w:rsidR="007F0AE0" w:rsidRPr="00494051" w14:paraId="1DA569CF" w14:textId="77777777" w:rsidTr="00453DE3">
        <w:trPr>
          <w:cantSplit/>
          <w:trHeight w:val="576"/>
        </w:trPr>
        <w:tc>
          <w:tcPr>
            <w:tcW w:w="1732" w:type="dxa"/>
          </w:tcPr>
          <w:p w14:paraId="05B90B58"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Standard deviation (SD)</w:t>
            </w:r>
          </w:p>
        </w:tc>
        <w:tc>
          <w:tcPr>
            <w:tcW w:w="7761" w:type="dxa"/>
          </w:tcPr>
          <w:p w14:paraId="26F4EFE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the spread, dispersion or variability of a set of measurements or observations, calculated as the average difference from the mean value of a sample; used to describe numerical data</w:t>
            </w:r>
          </w:p>
        </w:tc>
      </w:tr>
      <w:tr w:rsidR="007F0AE0" w:rsidRPr="00494051" w14:paraId="55B47A30" w14:textId="77777777" w:rsidTr="00453DE3">
        <w:trPr>
          <w:cantSplit/>
          <w:trHeight w:val="576"/>
        </w:trPr>
        <w:tc>
          <w:tcPr>
            <w:tcW w:w="1732" w:type="dxa"/>
          </w:tcPr>
          <w:p w14:paraId="6DD8F6B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Standard error (SE)</w:t>
            </w:r>
          </w:p>
        </w:tc>
        <w:tc>
          <w:tcPr>
            <w:tcW w:w="7761" w:type="dxa"/>
          </w:tcPr>
          <w:p w14:paraId="377D1C53"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approximate standard deviation of a sample; an estimate of the standard deviation. The standard error is a measure of the variation in the sample statistic over all possible samples of the same size, and decreases as sample size increases</w:t>
            </w:r>
          </w:p>
        </w:tc>
      </w:tr>
      <w:tr w:rsidR="007F0AE0" w:rsidRPr="00494051" w14:paraId="5FED84EA" w14:textId="77777777" w:rsidTr="00453DE3">
        <w:trPr>
          <w:cantSplit/>
          <w:trHeight w:val="576"/>
        </w:trPr>
        <w:tc>
          <w:tcPr>
            <w:tcW w:w="1732" w:type="dxa"/>
          </w:tcPr>
          <w:p w14:paraId="07C05BB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Statistically significant</w:t>
            </w:r>
          </w:p>
        </w:tc>
        <w:tc>
          <w:tcPr>
            <w:tcW w:w="7761" w:type="dxa"/>
          </w:tcPr>
          <w:p w14:paraId="798AE12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phrase that implies that a statistical hypothesis test was calculated and the resulting p-value was below the set threshold level (typically alpha=0.05) or the confidence interval around the point estimate does not include the null value of 1.00.</w:t>
            </w:r>
          </w:p>
        </w:tc>
      </w:tr>
      <w:tr w:rsidR="007F0AE0" w:rsidRPr="00494051" w14:paraId="4BD0F6B3" w14:textId="77777777" w:rsidTr="00453DE3">
        <w:trPr>
          <w:cantSplit/>
          <w:trHeight w:val="576"/>
        </w:trPr>
        <w:tc>
          <w:tcPr>
            <w:tcW w:w="1732" w:type="dxa"/>
          </w:tcPr>
          <w:p w14:paraId="3610F1BB"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Subgroup analysis</w:t>
            </w:r>
          </w:p>
        </w:tc>
        <w:tc>
          <w:tcPr>
            <w:tcW w:w="7761" w:type="dxa"/>
          </w:tcPr>
          <w:p w14:paraId="43165BEA"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evaluation of effects between subgroups of patients defined by baseline characteristics, such as gender, age, ethnicity, etc. Subgroup analysis entails splitting data according to participant subgroups, in order to make comparisons between them</w:t>
            </w:r>
          </w:p>
        </w:tc>
      </w:tr>
      <w:tr w:rsidR="007F0AE0" w:rsidRPr="00494051" w14:paraId="23C97C53" w14:textId="77777777" w:rsidTr="00453DE3">
        <w:trPr>
          <w:cantSplit/>
          <w:trHeight w:val="576"/>
        </w:trPr>
        <w:tc>
          <w:tcPr>
            <w:tcW w:w="1732" w:type="dxa"/>
          </w:tcPr>
          <w:p w14:paraId="2A9510F0"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Systematic Review</w:t>
            </w:r>
          </w:p>
        </w:tc>
        <w:tc>
          <w:tcPr>
            <w:tcW w:w="7761" w:type="dxa"/>
          </w:tcPr>
          <w:p w14:paraId="33B78DD9"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application of strategies that limit bias in the assembly, critical appraisal, and synthesis of all relevant studies on a specific topic. Systematic reviews focus on peer-reviewed publications about a specific health problem and use rigorous, standardized methods for selecting and assessing articles. A systematic review may or may not include a meta-analysis, which is a quantitative summary of the results</w:t>
            </w:r>
          </w:p>
        </w:tc>
      </w:tr>
      <w:tr w:rsidR="007F0AE0" w:rsidRPr="00494051" w14:paraId="669137F3" w14:textId="77777777" w:rsidTr="00453DE3">
        <w:trPr>
          <w:cantSplit/>
          <w:trHeight w:val="576"/>
        </w:trPr>
        <w:tc>
          <w:tcPr>
            <w:tcW w:w="1732" w:type="dxa"/>
          </w:tcPr>
          <w:p w14:paraId="03B3425D"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Trend</w:t>
            </w:r>
          </w:p>
        </w:tc>
        <w:tc>
          <w:tcPr>
            <w:tcW w:w="7761" w:type="dxa"/>
          </w:tcPr>
          <w:p w14:paraId="0F05A4D5"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finding observed across multiple studies; often refers to the direction or magnitude of an effect regardless of statistical hypothesis testing.</w:t>
            </w:r>
          </w:p>
        </w:tc>
      </w:tr>
      <w:tr w:rsidR="007F0AE0" w:rsidRPr="00494051" w14:paraId="55849FBD" w14:textId="77777777" w:rsidTr="00453DE3">
        <w:trPr>
          <w:cantSplit/>
          <w:trHeight w:val="576"/>
        </w:trPr>
        <w:tc>
          <w:tcPr>
            <w:tcW w:w="1732" w:type="dxa"/>
          </w:tcPr>
          <w:p w14:paraId="6C1C446F"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Unadjusted estimate</w:t>
            </w:r>
          </w:p>
        </w:tc>
        <w:tc>
          <w:tcPr>
            <w:tcW w:w="7761" w:type="dxa"/>
          </w:tcPr>
          <w:p w14:paraId="137A4A6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A measure of effect that has not taken into account the effect of confounding factors.</w:t>
            </w:r>
          </w:p>
        </w:tc>
      </w:tr>
      <w:tr w:rsidR="007F0AE0" w:rsidRPr="00494051" w14:paraId="4DE94A56" w14:textId="77777777" w:rsidTr="00453DE3">
        <w:trPr>
          <w:cantSplit/>
          <w:trHeight w:val="377"/>
        </w:trPr>
        <w:tc>
          <w:tcPr>
            <w:tcW w:w="1732" w:type="dxa"/>
          </w:tcPr>
          <w:p w14:paraId="5BF10574"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Validity</w:t>
            </w:r>
          </w:p>
        </w:tc>
        <w:tc>
          <w:tcPr>
            <w:tcW w:w="7761" w:type="dxa"/>
          </w:tcPr>
          <w:p w14:paraId="486B0D47" w14:textId="77777777" w:rsidR="007F0AE0" w:rsidRPr="00494051" w:rsidRDefault="007F0AE0" w:rsidP="00453DE3">
            <w:pPr>
              <w:rPr>
                <w:rFonts w:cstheme="minorHAnsi"/>
                <w:color w:val="000000" w:themeColor="text1"/>
                <w:sz w:val="18"/>
                <w:szCs w:val="18"/>
              </w:rPr>
            </w:pPr>
            <w:r w:rsidRPr="00494051">
              <w:rPr>
                <w:rFonts w:cstheme="minorHAnsi"/>
                <w:color w:val="000000" w:themeColor="text1"/>
                <w:sz w:val="18"/>
                <w:szCs w:val="18"/>
              </w:rPr>
              <w:t>The extent to which a measure or instrument assesses what it is intended to assess.</w:t>
            </w:r>
          </w:p>
        </w:tc>
      </w:tr>
    </w:tbl>
    <w:p w14:paraId="09D5B484" w14:textId="77777777" w:rsidR="007F0AE0" w:rsidRPr="00494051" w:rsidRDefault="007F0AE0" w:rsidP="007F0AE0">
      <w:pPr>
        <w:contextualSpacing/>
        <w:jc w:val="both"/>
        <w:rPr>
          <w:rFonts w:cstheme="minorHAnsi"/>
          <w:color w:val="000000" w:themeColor="text1"/>
          <w:sz w:val="18"/>
          <w:szCs w:val="18"/>
        </w:rPr>
      </w:pPr>
    </w:p>
    <w:p w14:paraId="667AD550" w14:textId="77777777" w:rsidR="007F0AE0" w:rsidRDefault="007F0AE0" w:rsidP="007F0AE0">
      <w:pPr>
        <w:rPr>
          <w:rFonts w:cstheme="minorHAnsi"/>
          <w:color w:val="000000" w:themeColor="text1"/>
        </w:rPr>
      </w:pPr>
      <w:r>
        <w:rPr>
          <w:rFonts w:cstheme="minorHAnsi"/>
          <w:color w:val="000000" w:themeColor="text1"/>
        </w:rPr>
        <w:br w:type="page"/>
      </w:r>
    </w:p>
    <w:p w14:paraId="11564218" w14:textId="77777777" w:rsidR="007F0AE0" w:rsidRPr="002E2C70" w:rsidRDefault="007F0AE0" w:rsidP="007F0AE0">
      <w:pPr>
        <w:spacing w:after="240" w:line="240" w:lineRule="auto"/>
        <w:jc w:val="center"/>
      </w:pPr>
      <w:r>
        <w:rPr>
          <w:rFonts w:cstheme="minorHAnsi"/>
          <w:b/>
          <w:color w:val="000000" w:themeColor="text1"/>
        </w:rPr>
        <w:lastRenderedPageBreak/>
        <w:t>REFERENCES</w:t>
      </w:r>
    </w:p>
    <w:p w14:paraId="35325901" w14:textId="77777777" w:rsidR="007F0AE0" w:rsidRPr="002E2C70" w:rsidRDefault="007F0AE0" w:rsidP="007F0AE0">
      <w:pPr>
        <w:spacing w:after="240" w:line="240" w:lineRule="auto"/>
        <w:rPr>
          <w:rFonts w:ascii="Calibri" w:hAnsi="Calibri" w:cs="Calibri"/>
          <w:noProof/>
        </w:rPr>
      </w:pPr>
      <w:r w:rsidRPr="002E2C70">
        <w:rPr>
          <w:rFonts w:ascii="Calibri" w:hAnsi="Calibri" w:cs="Calibri"/>
          <w:noProof/>
        </w:rPr>
        <w:fldChar w:fldCharType="begin"/>
      </w:r>
      <w:r w:rsidRPr="002E2C70">
        <w:rPr>
          <w:rFonts w:ascii="Calibri" w:hAnsi="Calibri" w:cs="Calibri"/>
          <w:noProof/>
        </w:rPr>
        <w:instrText xml:space="preserve"> ADDIN EN.REFLIST </w:instrText>
      </w:r>
      <w:r w:rsidRPr="002E2C70">
        <w:rPr>
          <w:rFonts w:ascii="Calibri" w:hAnsi="Calibri" w:cs="Calibri"/>
          <w:noProof/>
        </w:rPr>
        <w:fldChar w:fldCharType="separate"/>
      </w:r>
      <w:r w:rsidRPr="002E2C70">
        <w:rPr>
          <w:rFonts w:ascii="Calibri" w:hAnsi="Calibri" w:cs="Calibri"/>
          <w:noProof/>
        </w:rPr>
        <w:t>DiFranza, J.R., Savageau, J.A., Fletcher, K., Ockene, J.K., Rigotti, N.A., McNeill, A.D., Coleman, M., Wood, C., 2002. Measuring the loss of autonomy over nicotine use in adolescents: the DANDY (Development and Assessment of Nicotine Dependence in Youths) study. Arch Pediatr Adolesc Med 156(4), 397-403.</w:t>
      </w:r>
    </w:p>
    <w:p w14:paraId="678D3D5F" w14:textId="77777777" w:rsidR="007F0AE0" w:rsidRPr="002E2C70" w:rsidRDefault="007F0AE0" w:rsidP="007F0AE0">
      <w:pPr>
        <w:spacing w:after="240" w:line="240" w:lineRule="auto"/>
        <w:rPr>
          <w:rFonts w:ascii="Calibri" w:hAnsi="Calibri" w:cs="Calibri"/>
          <w:noProof/>
        </w:rPr>
      </w:pPr>
      <w:r w:rsidRPr="002E2C70">
        <w:rPr>
          <w:rFonts w:ascii="Calibri" w:hAnsi="Calibri" w:cs="Calibri"/>
          <w:noProof/>
        </w:rPr>
        <w:t>McLeroy, K.R., Bibeau, D., Steckler, A., Glanz, K., 1988. An ecological perspective on health promotion programs. Health Educ Q 15(4), 351-377.</w:t>
      </w:r>
    </w:p>
    <w:p w14:paraId="307866B0" w14:textId="77777777" w:rsidR="007F0AE0" w:rsidRPr="00494051" w:rsidRDefault="007F0AE0" w:rsidP="007F0AE0">
      <w:pPr>
        <w:spacing w:after="240" w:line="240" w:lineRule="auto"/>
        <w:rPr>
          <w:rFonts w:cstheme="minorHAnsi"/>
          <w:b/>
        </w:rPr>
        <w:sectPr w:rsidR="007F0AE0" w:rsidRPr="00494051" w:rsidSect="00025AEF">
          <w:pgSz w:w="12240" w:h="15840"/>
          <w:pgMar w:top="1152" w:right="1296" w:bottom="1152" w:left="1296" w:header="720" w:footer="720" w:gutter="0"/>
          <w:cols w:space="720"/>
          <w:docGrid w:linePitch="360"/>
        </w:sectPr>
      </w:pPr>
      <w:r w:rsidRPr="002E2C70">
        <w:fldChar w:fldCharType="end"/>
      </w:r>
    </w:p>
    <w:p w14:paraId="16084D79" w14:textId="77777777" w:rsidR="007F0AE0" w:rsidRDefault="007F0AE0" w:rsidP="007F0AE0">
      <w:pPr>
        <w:pStyle w:val="ChapterHeading"/>
        <w:spacing w:after="120"/>
        <w:rPr>
          <w:rFonts w:asciiTheme="minorHAnsi" w:hAnsiTheme="minorHAnsi" w:cstheme="minorHAnsi"/>
          <w:sz w:val="22"/>
          <w:szCs w:val="22"/>
        </w:rPr>
      </w:pPr>
      <w:bookmarkStart w:id="11" w:name="Supp4"/>
      <w:r w:rsidRPr="00494051">
        <w:rPr>
          <w:rFonts w:asciiTheme="minorHAnsi" w:hAnsiTheme="minorHAnsi" w:cstheme="minorHAnsi"/>
          <w:sz w:val="22"/>
          <w:szCs w:val="22"/>
        </w:rPr>
        <w:lastRenderedPageBreak/>
        <w:t xml:space="preserve">SUPPLEMENTAL SECTION </w:t>
      </w:r>
      <w:r>
        <w:rPr>
          <w:rFonts w:asciiTheme="minorHAnsi" w:hAnsiTheme="minorHAnsi" w:cstheme="minorHAnsi"/>
          <w:sz w:val="22"/>
          <w:szCs w:val="22"/>
        </w:rPr>
        <w:t>7</w:t>
      </w:r>
      <w:r w:rsidRPr="00494051">
        <w:rPr>
          <w:rFonts w:asciiTheme="minorHAnsi" w:hAnsiTheme="minorHAnsi" w:cstheme="minorHAnsi"/>
          <w:sz w:val="22"/>
          <w:szCs w:val="22"/>
        </w:rPr>
        <w:t>: Inclusion/Exclusion Criteria</w:t>
      </w:r>
      <w:bookmarkEnd w:id="4"/>
      <w:bookmarkEnd w:id="5"/>
      <w:bookmarkEnd w:id="6"/>
      <w:r w:rsidRPr="00494051">
        <w:rPr>
          <w:rFonts w:asciiTheme="minorHAnsi" w:hAnsiTheme="minorHAnsi" w:cstheme="minorHAnsi"/>
          <w:sz w:val="22"/>
          <w:szCs w:val="22"/>
        </w:rPr>
        <w:t xml:space="preserve"> and Review Codes</w:t>
      </w:r>
    </w:p>
    <w:p w14:paraId="5790E523" w14:textId="77777777" w:rsidR="007F0AE0" w:rsidRPr="00494051" w:rsidRDefault="007F0AE0" w:rsidP="007F0AE0">
      <w:pPr>
        <w:spacing w:after="120" w:line="240" w:lineRule="auto"/>
        <w:outlineLvl w:val="1"/>
        <w:rPr>
          <w:rFonts w:eastAsia="Times New Roman" w:cstheme="minorHAnsi"/>
          <w:i/>
          <w:color w:val="000000"/>
          <w:u w:val="single"/>
        </w:rPr>
      </w:pPr>
      <w:r w:rsidRPr="00494051">
        <w:rPr>
          <w:rFonts w:cstheme="minorHAnsi"/>
          <w:i/>
          <w:u w:val="single"/>
        </w:rPr>
        <w:t>Populations</w:t>
      </w:r>
      <w:r w:rsidRPr="00494051">
        <w:rPr>
          <w:rFonts w:eastAsia="Times New Roman" w:cstheme="minorHAnsi"/>
          <w:i/>
          <w:color w:val="000000"/>
          <w:u w:val="single"/>
        </w:rPr>
        <w:t xml:space="preserve"> and Comparisons</w:t>
      </w:r>
    </w:p>
    <w:p w14:paraId="6CB342CF" w14:textId="77777777" w:rsidR="007F0AE0" w:rsidRPr="00494051" w:rsidRDefault="007F0AE0" w:rsidP="007F0AE0">
      <w:pPr>
        <w:spacing w:after="120" w:line="240" w:lineRule="auto"/>
        <w:jc w:val="both"/>
        <w:rPr>
          <w:rFonts w:eastAsia="Times New Roman" w:cstheme="minorHAnsi"/>
          <w:color w:val="000000"/>
        </w:rPr>
      </w:pPr>
      <w:r w:rsidRPr="00494051">
        <w:rPr>
          <w:rFonts w:eastAsia="Times New Roman" w:cstheme="minorHAnsi"/>
          <w:color w:val="000000"/>
        </w:rPr>
        <w:t>Studies that enrolled youth, young adults, and/or adults in the United States</w:t>
      </w:r>
      <w:r>
        <w:rPr>
          <w:rFonts w:eastAsia="Times New Roman" w:cstheme="minorHAnsi"/>
          <w:color w:val="000000"/>
        </w:rPr>
        <w:t xml:space="preserve"> (U.S.)</w:t>
      </w:r>
      <w:r w:rsidRPr="00494051">
        <w:rPr>
          <w:rFonts w:eastAsia="Times New Roman" w:cstheme="minorHAnsi"/>
          <w:color w:val="000000"/>
        </w:rPr>
        <w:t xml:space="preserve"> who were current or former smokers were included. Studies outside of the </w:t>
      </w:r>
      <w:r>
        <w:rPr>
          <w:rFonts w:eastAsia="Times New Roman" w:cstheme="minorHAnsi"/>
          <w:color w:val="000000"/>
        </w:rPr>
        <w:t>U.S.</w:t>
      </w:r>
      <w:r w:rsidRPr="00494051">
        <w:rPr>
          <w:rFonts w:eastAsia="Times New Roman" w:cstheme="minorHAnsi"/>
          <w:color w:val="000000"/>
        </w:rPr>
        <w:t xml:space="preserve"> were excluded due to the limitations in generalizability to domestic smoking behaviors in the context of country-specific smoking laws. Studies that included people who never smoked at baseline were also included if they were longitudinal and reported initiation of smoking. Studies were required to enroll smokers with an explicit use of (or stated preference for) menthol or non-menthol cigarettes. Studies were required to compare smokers of traditional menthol cigarettes with smokers of traditional non-menthol cigarettes. Studies that included only users of non-traditional tobacco/nicotine delivery systems (e.g., electronic cigarettes, vaporizers, hookahs) were excluded.</w:t>
      </w:r>
      <w:r>
        <w:rPr>
          <w:rFonts w:eastAsia="Times New Roman" w:cstheme="minorHAnsi"/>
          <w:color w:val="000000"/>
        </w:rPr>
        <w:t xml:space="preserve"> </w:t>
      </w:r>
      <w:r w:rsidRPr="00494051">
        <w:rPr>
          <w:rFonts w:eastAsia="Times New Roman" w:cstheme="minorHAnsi"/>
          <w:color w:val="000000"/>
        </w:rPr>
        <w:t>Studies of solely non-U.S. residents were excluded based on the limited generalizability of such studies to the U.S. population.</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4770"/>
        <w:gridCol w:w="3510"/>
      </w:tblGrid>
      <w:tr w:rsidR="007F0AE0" w:rsidRPr="00AB7FC2" w14:paraId="6E17E934" w14:textId="77777777" w:rsidTr="00453DE3">
        <w:trPr>
          <w:cantSplit/>
          <w:tblHeader/>
        </w:trPr>
        <w:tc>
          <w:tcPr>
            <w:tcW w:w="9625" w:type="dxa"/>
            <w:gridSpan w:val="3"/>
            <w:shd w:val="clear" w:color="auto" w:fill="44546A"/>
            <w:tcMar>
              <w:top w:w="62" w:type="dxa"/>
              <w:left w:w="62" w:type="dxa"/>
              <w:bottom w:w="62" w:type="dxa"/>
              <w:right w:w="62" w:type="dxa"/>
            </w:tcMar>
          </w:tcPr>
          <w:bookmarkEnd w:id="11"/>
          <w:p w14:paraId="3416E9E6" w14:textId="77777777" w:rsidR="007F0AE0" w:rsidRPr="00AB7FC2" w:rsidRDefault="007F0AE0" w:rsidP="00453DE3">
            <w:pPr>
              <w:autoSpaceDE w:val="0"/>
              <w:autoSpaceDN w:val="0"/>
              <w:adjustRightInd w:val="0"/>
              <w:jc w:val="center"/>
              <w:rPr>
                <w:rFonts w:cstheme="minorHAnsi"/>
                <w:b/>
                <w:sz w:val="18"/>
                <w:szCs w:val="18"/>
              </w:rPr>
            </w:pPr>
            <w:r w:rsidRPr="00AB7FC2">
              <w:rPr>
                <w:rFonts w:cstheme="minorHAnsi"/>
                <w:b/>
                <w:color w:val="FFFFFF" w:themeColor="background1"/>
                <w:sz w:val="18"/>
                <w:szCs w:val="18"/>
              </w:rPr>
              <w:t>Inclusion and Exclusion Criteria for Key Questions (KQs)</w:t>
            </w:r>
          </w:p>
        </w:tc>
      </w:tr>
      <w:tr w:rsidR="007F0AE0" w:rsidRPr="00AB7FC2" w14:paraId="6B1FDD24" w14:textId="77777777" w:rsidTr="00453DE3">
        <w:trPr>
          <w:cantSplit/>
        </w:trPr>
        <w:tc>
          <w:tcPr>
            <w:tcW w:w="1345" w:type="dxa"/>
            <w:shd w:val="clear" w:color="auto" w:fill="9CC2E5"/>
            <w:tcMar>
              <w:top w:w="62" w:type="dxa"/>
              <w:left w:w="62" w:type="dxa"/>
              <w:bottom w:w="62" w:type="dxa"/>
              <w:right w:w="62" w:type="dxa"/>
            </w:tcMar>
          </w:tcPr>
          <w:p w14:paraId="265A6920" w14:textId="77777777" w:rsidR="007F0AE0" w:rsidRPr="00AB7FC2" w:rsidRDefault="007F0AE0" w:rsidP="00453DE3">
            <w:pPr>
              <w:autoSpaceDE w:val="0"/>
              <w:autoSpaceDN w:val="0"/>
              <w:adjustRightInd w:val="0"/>
              <w:rPr>
                <w:rFonts w:cstheme="minorHAnsi"/>
                <w:b/>
                <w:sz w:val="18"/>
                <w:szCs w:val="18"/>
              </w:rPr>
            </w:pPr>
          </w:p>
        </w:tc>
        <w:tc>
          <w:tcPr>
            <w:tcW w:w="4770" w:type="dxa"/>
            <w:shd w:val="clear" w:color="auto" w:fill="9CC2E5"/>
            <w:tcMar>
              <w:top w:w="62" w:type="dxa"/>
              <w:left w:w="62" w:type="dxa"/>
              <w:bottom w:w="62" w:type="dxa"/>
              <w:right w:w="62" w:type="dxa"/>
            </w:tcMar>
          </w:tcPr>
          <w:p w14:paraId="757FC691"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Inclusion Criteria</w:t>
            </w:r>
          </w:p>
        </w:tc>
        <w:tc>
          <w:tcPr>
            <w:tcW w:w="3510" w:type="dxa"/>
            <w:shd w:val="clear" w:color="auto" w:fill="9CC2E5"/>
            <w:tcMar>
              <w:top w:w="62" w:type="dxa"/>
              <w:left w:w="62" w:type="dxa"/>
              <w:bottom w:w="62" w:type="dxa"/>
              <w:right w:w="62" w:type="dxa"/>
            </w:tcMar>
          </w:tcPr>
          <w:p w14:paraId="41F18FA1"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Exclusion Criteria</w:t>
            </w:r>
          </w:p>
        </w:tc>
      </w:tr>
      <w:tr w:rsidR="007F0AE0" w:rsidRPr="00AB7FC2" w14:paraId="575E2FB8" w14:textId="77777777" w:rsidTr="00453DE3">
        <w:trPr>
          <w:cantSplit/>
        </w:trPr>
        <w:tc>
          <w:tcPr>
            <w:tcW w:w="1345" w:type="dxa"/>
            <w:shd w:val="clear" w:color="auto" w:fill="E7E6E6"/>
            <w:tcMar>
              <w:top w:w="62" w:type="dxa"/>
              <w:left w:w="62" w:type="dxa"/>
              <w:bottom w:w="62" w:type="dxa"/>
              <w:right w:w="62" w:type="dxa"/>
            </w:tcMar>
          </w:tcPr>
          <w:p w14:paraId="40739D1F"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Population</w:t>
            </w:r>
          </w:p>
        </w:tc>
        <w:tc>
          <w:tcPr>
            <w:tcW w:w="4770" w:type="dxa"/>
            <w:shd w:val="clear" w:color="auto" w:fill="FFFFFF" w:themeFill="background1"/>
            <w:tcMar>
              <w:top w:w="62" w:type="dxa"/>
              <w:left w:w="62" w:type="dxa"/>
              <w:bottom w:w="62" w:type="dxa"/>
              <w:right w:w="62" w:type="dxa"/>
            </w:tcMar>
          </w:tcPr>
          <w:p w14:paraId="2E5F8F98" w14:textId="77777777" w:rsidR="007F0AE0"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 xml:space="preserve">Youth and adults </w:t>
            </w:r>
          </w:p>
          <w:p w14:paraId="23149230" w14:textId="77777777" w:rsidR="007F0AE0"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 xml:space="preserve">Current or former smokers with explicit use of (or stated preference for) menthol or non-menthol cigarettes; studies of non-smokers were eligible if they reported a measure of initiation </w:t>
            </w:r>
          </w:p>
          <w:p w14:paraId="6738F85A"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United States residents</w:t>
            </w:r>
          </w:p>
        </w:tc>
        <w:tc>
          <w:tcPr>
            <w:tcW w:w="3510" w:type="dxa"/>
            <w:shd w:val="clear" w:color="auto" w:fill="FFFFFF" w:themeFill="background1"/>
            <w:tcMar>
              <w:top w:w="62" w:type="dxa"/>
              <w:left w:w="62" w:type="dxa"/>
              <w:bottom w:w="62" w:type="dxa"/>
              <w:right w:w="62" w:type="dxa"/>
            </w:tcMar>
          </w:tcPr>
          <w:p w14:paraId="0F9C8863"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Studies of never-smokers at any time</w:t>
            </w:r>
            <w:r>
              <w:rPr>
                <w:rFonts w:cstheme="minorHAnsi"/>
                <w:sz w:val="18"/>
                <w:szCs w:val="18"/>
              </w:rPr>
              <w:t xml:space="preserve"> </w:t>
            </w:r>
            <w:r w:rsidRPr="00AB7FC2">
              <w:rPr>
                <w:rFonts w:cstheme="minorHAnsi"/>
                <w:sz w:val="18"/>
                <w:szCs w:val="18"/>
              </w:rPr>
              <w:t>point</w:t>
            </w:r>
          </w:p>
          <w:p w14:paraId="032902D4"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Studies of only non-United States residents</w:t>
            </w:r>
          </w:p>
        </w:tc>
      </w:tr>
      <w:tr w:rsidR="007F0AE0" w:rsidRPr="00AB7FC2" w14:paraId="7C9D88DD" w14:textId="77777777" w:rsidTr="00453DE3">
        <w:trPr>
          <w:cantSplit/>
        </w:trPr>
        <w:tc>
          <w:tcPr>
            <w:tcW w:w="1345" w:type="dxa"/>
            <w:shd w:val="clear" w:color="auto" w:fill="E7E6E6"/>
            <w:tcMar>
              <w:top w:w="62" w:type="dxa"/>
              <w:left w:w="62" w:type="dxa"/>
              <w:bottom w:w="62" w:type="dxa"/>
              <w:right w:w="62" w:type="dxa"/>
            </w:tcMar>
          </w:tcPr>
          <w:p w14:paraId="5359823B"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Comparisons</w:t>
            </w:r>
          </w:p>
        </w:tc>
        <w:tc>
          <w:tcPr>
            <w:tcW w:w="4770" w:type="dxa"/>
            <w:shd w:val="clear" w:color="auto" w:fill="FFFFFF" w:themeFill="background1"/>
            <w:tcMar>
              <w:top w:w="62" w:type="dxa"/>
              <w:left w:w="62" w:type="dxa"/>
              <w:bottom w:w="62" w:type="dxa"/>
              <w:right w:w="62" w:type="dxa"/>
            </w:tcMar>
          </w:tcPr>
          <w:p w14:paraId="2BE600DA"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Menthol versus non-menthol</w:t>
            </w:r>
          </w:p>
          <w:p w14:paraId="31BB88DB"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Delivery of nicotine via traditional cigarettes</w:t>
            </w:r>
          </w:p>
          <w:p w14:paraId="027E155A" w14:textId="77777777" w:rsidR="007F0AE0" w:rsidRPr="00AB7FC2" w:rsidRDefault="007F0AE0" w:rsidP="00453DE3">
            <w:pPr>
              <w:autoSpaceDE w:val="0"/>
              <w:autoSpaceDN w:val="0"/>
              <w:adjustRightInd w:val="0"/>
              <w:ind w:left="347" w:hanging="347"/>
              <w:rPr>
                <w:rFonts w:cstheme="minorHAnsi"/>
                <w:sz w:val="18"/>
                <w:szCs w:val="18"/>
              </w:rPr>
            </w:pPr>
          </w:p>
        </w:tc>
        <w:tc>
          <w:tcPr>
            <w:tcW w:w="3510" w:type="dxa"/>
            <w:shd w:val="clear" w:color="auto" w:fill="FFFFFF" w:themeFill="background1"/>
            <w:tcMar>
              <w:top w:w="62" w:type="dxa"/>
              <w:left w:w="62" w:type="dxa"/>
              <w:bottom w:w="62" w:type="dxa"/>
              <w:right w:w="62" w:type="dxa"/>
            </w:tcMar>
          </w:tcPr>
          <w:p w14:paraId="3A05BE5D"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Studies reporting only menthol or non-menthol or not directly comparing menthol with non-menthol</w:t>
            </w:r>
          </w:p>
          <w:p w14:paraId="0964D71F"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Studies of non-traditional tobacco delivery</w:t>
            </w:r>
            <w:r w:rsidRPr="00AB7FC2">
              <w:rPr>
                <w:rFonts w:cstheme="minorHAnsi"/>
                <w:sz w:val="18"/>
                <w:szCs w:val="18"/>
                <w:vertAlign w:val="superscript"/>
              </w:rPr>
              <w:t>a</w:t>
            </w:r>
          </w:p>
        </w:tc>
      </w:tr>
      <w:tr w:rsidR="007F0AE0" w:rsidRPr="00AB7FC2" w14:paraId="11BE1535" w14:textId="77777777" w:rsidTr="00453DE3">
        <w:trPr>
          <w:cantSplit/>
        </w:trPr>
        <w:tc>
          <w:tcPr>
            <w:tcW w:w="1345" w:type="dxa"/>
            <w:shd w:val="clear" w:color="auto" w:fill="E7E6E6"/>
            <w:tcMar>
              <w:top w:w="62" w:type="dxa"/>
              <w:left w:w="62" w:type="dxa"/>
              <w:bottom w:w="62" w:type="dxa"/>
              <w:right w:w="62" w:type="dxa"/>
            </w:tcMar>
          </w:tcPr>
          <w:p w14:paraId="429886DD"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Outcomes</w:t>
            </w:r>
          </w:p>
        </w:tc>
        <w:tc>
          <w:tcPr>
            <w:tcW w:w="4770" w:type="dxa"/>
            <w:shd w:val="clear" w:color="auto" w:fill="FFFFFF" w:themeFill="background1"/>
            <w:tcMar>
              <w:top w:w="62" w:type="dxa"/>
              <w:left w:w="62" w:type="dxa"/>
              <w:bottom w:w="62" w:type="dxa"/>
              <w:right w:w="62" w:type="dxa"/>
            </w:tcMar>
          </w:tcPr>
          <w:p w14:paraId="707A9A6F" w14:textId="77777777" w:rsidR="007F0AE0" w:rsidRPr="00C7744A"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Pr>
                <w:rFonts w:cstheme="minorHAnsi"/>
                <w:sz w:val="18"/>
                <w:szCs w:val="18"/>
              </w:rPr>
              <w:t>D</w:t>
            </w:r>
            <w:r w:rsidRPr="00C7744A">
              <w:rPr>
                <w:rFonts w:cstheme="minorHAnsi"/>
                <w:sz w:val="18"/>
                <w:szCs w:val="18"/>
              </w:rPr>
              <w:t>uration of abstinence; quit attempts (any quit attempts</w:t>
            </w:r>
            <w:r>
              <w:rPr>
                <w:rFonts w:cstheme="minorHAnsi"/>
                <w:sz w:val="18"/>
                <w:szCs w:val="18"/>
              </w:rPr>
              <w:t xml:space="preserve">; </w:t>
            </w:r>
            <w:r w:rsidRPr="00C7744A">
              <w:rPr>
                <w:rFonts w:cstheme="minorHAnsi"/>
                <w:sz w:val="18"/>
                <w:szCs w:val="18"/>
              </w:rPr>
              <w:t>number of quit attempts per person); rate of abstinence/quitting (including but not limited to prolonged abstinence [PA], point prevalence abstinence [PPA], identifiable cigarette type [menthol versus non-menthol] smoked before quitting, and being a former smoker [versus current smoker]); Change in smoking quantity/frequency; return to smoking/relapse</w:t>
            </w:r>
          </w:p>
        </w:tc>
        <w:tc>
          <w:tcPr>
            <w:tcW w:w="3510" w:type="dxa"/>
            <w:shd w:val="clear" w:color="auto" w:fill="FFFFFF" w:themeFill="background1"/>
            <w:tcMar>
              <w:top w:w="62" w:type="dxa"/>
              <w:left w:w="62" w:type="dxa"/>
              <w:bottom w:w="62" w:type="dxa"/>
              <w:right w:w="62" w:type="dxa"/>
            </w:tcMar>
          </w:tcPr>
          <w:p w14:paraId="2A837F79"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Any other outcomes</w:t>
            </w:r>
          </w:p>
        </w:tc>
      </w:tr>
      <w:tr w:rsidR="007F0AE0" w:rsidRPr="00AB7FC2" w14:paraId="6605CD66" w14:textId="77777777" w:rsidTr="00453DE3">
        <w:trPr>
          <w:cantSplit/>
        </w:trPr>
        <w:tc>
          <w:tcPr>
            <w:tcW w:w="1345" w:type="dxa"/>
            <w:shd w:val="clear" w:color="auto" w:fill="E7E6E6"/>
            <w:tcMar>
              <w:top w:w="62" w:type="dxa"/>
              <w:left w:w="62" w:type="dxa"/>
              <w:bottom w:w="62" w:type="dxa"/>
              <w:right w:w="62" w:type="dxa"/>
            </w:tcMar>
          </w:tcPr>
          <w:p w14:paraId="44405A56" w14:textId="77777777" w:rsidR="007F0AE0" w:rsidRPr="00AB7FC2" w:rsidRDefault="007F0AE0" w:rsidP="00453DE3">
            <w:pPr>
              <w:autoSpaceDE w:val="0"/>
              <w:autoSpaceDN w:val="0"/>
              <w:adjustRightInd w:val="0"/>
              <w:rPr>
                <w:rFonts w:cstheme="minorHAnsi"/>
                <w:b/>
                <w:sz w:val="18"/>
                <w:szCs w:val="18"/>
              </w:rPr>
            </w:pPr>
            <w:r w:rsidRPr="00AB7FC2">
              <w:rPr>
                <w:rFonts w:cstheme="minorHAnsi"/>
                <w:b/>
                <w:sz w:val="18"/>
                <w:szCs w:val="18"/>
              </w:rPr>
              <w:t>Study Designs</w:t>
            </w:r>
            <w:r w:rsidRPr="00AB7FC2">
              <w:rPr>
                <w:rFonts w:cstheme="minorHAnsi"/>
                <w:sz w:val="18"/>
                <w:szCs w:val="18"/>
                <w:vertAlign w:val="superscript"/>
              </w:rPr>
              <w:t>b</w:t>
            </w:r>
          </w:p>
        </w:tc>
        <w:tc>
          <w:tcPr>
            <w:tcW w:w="4770" w:type="dxa"/>
            <w:tcMar>
              <w:top w:w="62" w:type="dxa"/>
              <w:left w:w="62" w:type="dxa"/>
              <w:bottom w:w="62" w:type="dxa"/>
              <w:right w:w="62" w:type="dxa"/>
            </w:tcMar>
          </w:tcPr>
          <w:p w14:paraId="73D6650A"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Randomized and non-randomized controlled trials</w:t>
            </w:r>
          </w:p>
          <w:p w14:paraId="02EF1BA2"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 xml:space="preserve">Cross-sectional, case-control, and cohort studies </w:t>
            </w:r>
          </w:p>
          <w:p w14:paraId="2A03D804"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letters and editorials containing original data not available elsewhere were eligible</w:t>
            </w:r>
          </w:p>
        </w:tc>
        <w:tc>
          <w:tcPr>
            <w:tcW w:w="3510" w:type="dxa"/>
            <w:shd w:val="clear" w:color="auto" w:fill="FFFFFF" w:themeFill="background1"/>
            <w:tcMar>
              <w:top w:w="62" w:type="dxa"/>
              <w:left w:w="62" w:type="dxa"/>
              <w:bottom w:w="62" w:type="dxa"/>
              <w:right w:w="62" w:type="dxa"/>
            </w:tcMar>
          </w:tcPr>
          <w:p w14:paraId="7082D3D7" w14:textId="77777777" w:rsidR="007F0AE0" w:rsidRPr="00AB7FC2" w:rsidRDefault="007F0AE0" w:rsidP="00453DE3">
            <w:pPr>
              <w:pStyle w:val="ListParagraph"/>
              <w:numPr>
                <w:ilvl w:val="0"/>
                <w:numId w:val="15"/>
              </w:numPr>
              <w:autoSpaceDE w:val="0"/>
              <w:autoSpaceDN w:val="0"/>
              <w:adjustRightInd w:val="0"/>
              <w:spacing w:after="0" w:line="240" w:lineRule="auto"/>
              <w:ind w:left="187" w:hanging="187"/>
              <w:rPr>
                <w:rFonts w:cstheme="minorHAnsi"/>
                <w:sz w:val="18"/>
                <w:szCs w:val="18"/>
              </w:rPr>
            </w:pPr>
            <w:r w:rsidRPr="00AB7FC2">
              <w:rPr>
                <w:rFonts w:cstheme="minorHAnsi"/>
                <w:sz w:val="18"/>
                <w:szCs w:val="18"/>
              </w:rPr>
              <w:t>Reviews, case reports, editorials, and letters not containing original data</w:t>
            </w:r>
          </w:p>
        </w:tc>
      </w:tr>
    </w:tbl>
    <w:p w14:paraId="07A5AA49" w14:textId="77777777" w:rsidR="007F0AE0" w:rsidRPr="00494051" w:rsidRDefault="007F0AE0" w:rsidP="007F0AE0">
      <w:pPr>
        <w:pStyle w:val="BodyText"/>
        <w:spacing w:before="60" w:after="0"/>
        <w:contextualSpacing/>
        <w:jc w:val="both"/>
        <w:rPr>
          <w:rFonts w:asciiTheme="minorHAnsi" w:hAnsiTheme="minorHAnsi" w:cstheme="minorHAnsi"/>
          <w:sz w:val="22"/>
          <w:szCs w:val="22"/>
        </w:rPr>
      </w:pPr>
      <w:r w:rsidRPr="00494051">
        <w:rPr>
          <w:rFonts w:asciiTheme="minorHAnsi" w:hAnsiTheme="minorHAnsi" w:cstheme="minorHAnsi"/>
          <w:sz w:val="22"/>
          <w:szCs w:val="22"/>
          <w:vertAlign w:val="superscript"/>
        </w:rPr>
        <w:t>a</w:t>
      </w:r>
      <w:r>
        <w:rPr>
          <w:rFonts w:asciiTheme="minorHAnsi" w:hAnsiTheme="minorHAnsi" w:cstheme="minorHAnsi"/>
          <w:sz w:val="22"/>
          <w:szCs w:val="22"/>
          <w:vertAlign w:val="superscript"/>
        </w:rPr>
        <w:t xml:space="preserve"> </w:t>
      </w:r>
      <w:r w:rsidRPr="00494051">
        <w:rPr>
          <w:rFonts w:asciiTheme="minorHAnsi" w:hAnsiTheme="minorHAnsi" w:cstheme="minorHAnsi"/>
          <w:sz w:val="18"/>
          <w:szCs w:val="18"/>
        </w:rPr>
        <w:t>E.g., vaporizers, e-cigarettes, hookahs/water pipes.</w:t>
      </w:r>
    </w:p>
    <w:p w14:paraId="79825908" w14:textId="77777777" w:rsidR="007F0AE0" w:rsidRPr="00494051" w:rsidRDefault="007F0AE0" w:rsidP="007F0AE0">
      <w:pPr>
        <w:pStyle w:val="BodyText"/>
        <w:spacing w:before="60" w:after="0"/>
        <w:contextualSpacing/>
        <w:jc w:val="both"/>
        <w:rPr>
          <w:rFonts w:asciiTheme="minorHAnsi" w:hAnsiTheme="minorHAnsi" w:cstheme="minorHAnsi"/>
          <w:sz w:val="18"/>
          <w:szCs w:val="18"/>
        </w:rPr>
        <w:sectPr w:rsidR="007F0AE0" w:rsidRPr="00494051" w:rsidSect="0032161F">
          <w:footerReference w:type="default" r:id="rId8"/>
          <w:footerReference w:type="first" r:id="rId9"/>
          <w:pgSz w:w="12240" w:h="15840"/>
          <w:pgMar w:top="1152" w:right="1296" w:bottom="1152" w:left="1296" w:header="720" w:footer="720" w:gutter="0"/>
          <w:cols w:space="720"/>
          <w:docGrid w:linePitch="360"/>
        </w:sectPr>
      </w:pPr>
      <w:r w:rsidRPr="00494051">
        <w:rPr>
          <w:rFonts w:asciiTheme="minorHAnsi" w:hAnsiTheme="minorHAnsi" w:cstheme="minorHAnsi"/>
          <w:sz w:val="22"/>
          <w:szCs w:val="22"/>
          <w:vertAlign w:val="superscript"/>
        </w:rPr>
        <w:t>b</w:t>
      </w:r>
      <w:r>
        <w:rPr>
          <w:rFonts w:asciiTheme="minorHAnsi" w:hAnsiTheme="minorHAnsi" w:cstheme="minorHAnsi"/>
          <w:sz w:val="22"/>
          <w:szCs w:val="22"/>
          <w:vertAlign w:val="superscript"/>
        </w:rPr>
        <w:t xml:space="preserve"> </w:t>
      </w:r>
      <w:r w:rsidRPr="00494051">
        <w:rPr>
          <w:rFonts w:asciiTheme="minorHAnsi" w:hAnsiTheme="minorHAnsi" w:cstheme="minorHAnsi"/>
          <w:sz w:val="18"/>
          <w:szCs w:val="18"/>
        </w:rPr>
        <w:t>Reclassification of included trials as cross-sectional or cohort depending on the eligible data as follows: if only baseline data used from a trial, it was considered a cross-sectional study; if any post-baseline measurement data was used,</w:t>
      </w:r>
      <w:bookmarkStart w:id="12" w:name="_Toc472735592"/>
      <w:r w:rsidRPr="00494051">
        <w:rPr>
          <w:rFonts w:asciiTheme="minorHAnsi" w:hAnsiTheme="minorHAnsi" w:cstheme="minorHAnsi"/>
          <w:sz w:val="18"/>
          <w:szCs w:val="18"/>
        </w:rPr>
        <w:t xml:space="preserve"> it was considered it a cohort.</w:t>
      </w:r>
    </w:p>
    <w:p w14:paraId="189E6FAF" w14:textId="77777777" w:rsidR="007F0AE0" w:rsidRDefault="007F0AE0" w:rsidP="007F0AE0">
      <w:pPr>
        <w:pStyle w:val="ChapterHeading"/>
        <w:spacing w:after="120"/>
        <w:outlineLvl w:val="9"/>
        <w:rPr>
          <w:rFonts w:asciiTheme="minorHAnsi" w:hAnsiTheme="minorHAnsi" w:cstheme="minorHAnsi"/>
          <w:sz w:val="22"/>
          <w:szCs w:val="22"/>
        </w:rPr>
      </w:pPr>
    </w:p>
    <w:p w14:paraId="112F5615" w14:textId="77777777" w:rsidR="007F0AE0" w:rsidRDefault="007F0AE0" w:rsidP="007F0AE0">
      <w:pPr>
        <w:pStyle w:val="ChapterHeading"/>
        <w:spacing w:after="120"/>
        <w:outlineLvl w:val="1"/>
        <w:rPr>
          <w:rFonts w:asciiTheme="minorHAnsi" w:hAnsiTheme="minorHAnsi" w:cstheme="minorHAnsi"/>
          <w:sz w:val="22"/>
          <w:szCs w:val="22"/>
        </w:rPr>
        <w:sectPr w:rsidR="007F0AE0" w:rsidSect="00814502">
          <w:type w:val="continuous"/>
          <w:pgSz w:w="12240" w:h="15840"/>
          <w:pgMar w:top="1152" w:right="1296" w:bottom="1152" w:left="1296" w:header="720" w:footer="720" w:gutter="0"/>
          <w:cols w:space="720"/>
          <w:docGrid w:linePitch="360"/>
        </w:sectPr>
      </w:pPr>
    </w:p>
    <w:p w14:paraId="60061E5F" w14:textId="77777777" w:rsidR="007F0AE0" w:rsidRDefault="007F0AE0" w:rsidP="007F0AE0">
      <w:pPr>
        <w:rPr>
          <w:rFonts w:eastAsia="Times New Roman" w:cstheme="minorHAnsi"/>
          <w:b/>
          <w:bCs/>
        </w:rPr>
      </w:pPr>
      <w:r>
        <w:rPr>
          <w:rFonts w:cstheme="minorHAnsi"/>
        </w:rPr>
        <w:br w:type="page"/>
      </w:r>
    </w:p>
    <w:p w14:paraId="65C80BEF" w14:textId="77777777" w:rsidR="007F0AE0" w:rsidRPr="00494051" w:rsidRDefault="007F0AE0" w:rsidP="007F0AE0">
      <w:pPr>
        <w:pStyle w:val="ChapterHeading"/>
        <w:spacing w:after="120"/>
        <w:outlineLvl w:val="1"/>
        <w:rPr>
          <w:rFonts w:asciiTheme="minorHAnsi" w:hAnsiTheme="minorHAnsi" w:cstheme="minorHAnsi"/>
          <w:b w:val="0"/>
          <w:sz w:val="22"/>
          <w:szCs w:val="22"/>
        </w:rPr>
      </w:pPr>
      <w:r w:rsidRPr="00494051">
        <w:rPr>
          <w:rFonts w:asciiTheme="minorHAnsi" w:hAnsiTheme="minorHAnsi" w:cstheme="minorHAnsi"/>
          <w:sz w:val="22"/>
          <w:szCs w:val="22"/>
        </w:rPr>
        <w:lastRenderedPageBreak/>
        <w:t>Title and Abstract Review Decision Codes</w:t>
      </w:r>
      <w:bookmarkEnd w:id="7"/>
      <w:bookmarkEnd w:id="8"/>
      <w:bookmarkEnd w:id="12"/>
      <w:r>
        <w:rPr>
          <w:rFonts w:asciiTheme="minorHAnsi" w:hAnsiTheme="minorHAnsi" w:cstheme="minorHAnsi"/>
          <w:sz w:val="22"/>
          <w:szCs w:val="22"/>
        </w:rPr>
        <w:t xml:space="preserve"> </w:t>
      </w:r>
    </w:p>
    <w:tbl>
      <w:tblPr>
        <w:tblStyle w:val="GridTable4-Accent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tblGrid>
      <w:tr w:rsidR="007F0AE0" w:rsidRPr="00AB7FC2" w14:paraId="07842ACD" w14:textId="77777777" w:rsidTr="00453D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44546A"/>
            <w:tcMar>
              <w:top w:w="62" w:type="dxa"/>
              <w:left w:w="62" w:type="dxa"/>
              <w:bottom w:w="62" w:type="dxa"/>
              <w:right w:w="62" w:type="dxa"/>
            </w:tcMar>
          </w:tcPr>
          <w:p w14:paraId="467EBF78" w14:textId="77777777" w:rsidR="007F0AE0" w:rsidRPr="00AB7FC2" w:rsidRDefault="007F0AE0" w:rsidP="00453DE3">
            <w:pPr>
              <w:rPr>
                <w:rFonts w:cstheme="minorHAnsi"/>
                <w:sz w:val="18"/>
                <w:szCs w:val="18"/>
              </w:rPr>
            </w:pPr>
            <w:r w:rsidRPr="00AB7FC2">
              <w:rPr>
                <w:rFonts w:cstheme="minorHAnsi"/>
                <w:sz w:val="18"/>
                <w:szCs w:val="18"/>
              </w:rPr>
              <w:t>Possible Codes for Title/Abstract Review</w:t>
            </w:r>
          </w:p>
        </w:tc>
      </w:tr>
      <w:tr w:rsidR="007F0AE0" w:rsidRPr="00AB7FC2" w14:paraId="3A1086ED"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Mar>
              <w:top w:w="62" w:type="dxa"/>
              <w:left w:w="62" w:type="dxa"/>
              <w:bottom w:w="62" w:type="dxa"/>
              <w:right w:w="62" w:type="dxa"/>
            </w:tcMar>
          </w:tcPr>
          <w:p w14:paraId="746AA388" w14:textId="77777777" w:rsidR="007F0AE0" w:rsidRPr="00AB7FC2" w:rsidRDefault="007F0AE0" w:rsidP="00453DE3">
            <w:pPr>
              <w:rPr>
                <w:rFonts w:cstheme="minorHAnsi"/>
                <w:color w:val="000000"/>
                <w:sz w:val="18"/>
                <w:szCs w:val="18"/>
              </w:rPr>
            </w:pPr>
            <w:r w:rsidRPr="00AB7FC2">
              <w:rPr>
                <w:rFonts w:cstheme="minorHAnsi"/>
                <w:color w:val="000000"/>
                <w:sz w:val="18"/>
                <w:szCs w:val="18"/>
              </w:rPr>
              <w:t xml:space="preserve">EXCLUDE </w:t>
            </w:r>
          </w:p>
        </w:tc>
      </w:tr>
      <w:tr w:rsidR="007F0AE0" w:rsidRPr="00AB7FC2" w14:paraId="6D04CD08"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271508F1"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 xml:space="preserve">1. Not English </w:t>
            </w:r>
          </w:p>
        </w:tc>
      </w:tr>
      <w:tr w:rsidR="007F0AE0" w:rsidRPr="00AB7FC2" w14:paraId="1DCD6F41"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E7E6E6"/>
            <w:tcMar>
              <w:top w:w="62" w:type="dxa"/>
              <w:left w:w="62" w:type="dxa"/>
              <w:bottom w:w="62" w:type="dxa"/>
              <w:right w:w="62" w:type="dxa"/>
            </w:tcMar>
          </w:tcPr>
          <w:p w14:paraId="6C3A90AF"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2. Ineligible population (not U.S., not humans)</w:t>
            </w:r>
          </w:p>
        </w:tc>
      </w:tr>
      <w:tr w:rsidR="007F0AE0" w:rsidRPr="00AB7FC2" w14:paraId="2C0B17B3"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6D31D6D2"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3. Not original research / data</w:t>
            </w:r>
          </w:p>
        </w:tc>
      </w:tr>
      <w:tr w:rsidR="007F0AE0" w:rsidRPr="003651AE" w14:paraId="44D35ABE"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E7E6E6"/>
            <w:tcMar>
              <w:top w:w="62" w:type="dxa"/>
              <w:left w:w="62" w:type="dxa"/>
              <w:bottom w:w="62" w:type="dxa"/>
              <w:right w:w="62" w:type="dxa"/>
            </w:tcMar>
          </w:tcPr>
          <w:p w14:paraId="4098E699" w14:textId="77777777" w:rsidR="007F0AE0" w:rsidRPr="00E34D5E" w:rsidRDefault="007F0AE0" w:rsidP="00453DE3">
            <w:pPr>
              <w:rPr>
                <w:rFonts w:cstheme="minorHAnsi"/>
                <w:b w:val="0"/>
                <w:color w:val="000000"/>
                <w:sz w:val="18"/>
                <w:szCs w:val="18"/>
                <w:lang w:val="fr-FR"/>
              </w:rPr>
            </w:pPr>
            <w:r w:rsidRPr="00E34D5E">
              <w:rPr>
                <w:rFonts w:cstheme="minorHAnsi"/>
                <w:b w:val="0"/>
                <w:color w:val="000000"/>
                <w:sz w:val="18"/>
                <w:szCs w:val="18"/>
                <w:lang w:val="fr-FR"/>
              </w:rPr>
              <w:t>4. Ineligible comparison (menthol vs. non)</w:t>
            </w:r>
          </w:p>
        </w:tc>
      </w:tr>
      <w:tr w:rsidR="007F0AE0" w:rsidRPr="00AB7FC2" w14:paraId="52EEB8E8"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7B4CF8B9"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5. Ineligible exposure (e-cigarettes)</w:t>
            </w:r>
          </w:p>
        </w:tc>
      </w:tr>
      <w:tr w:rsidR="007F0AE0" w:rsidRPr="00AB7FC2" w14:paraId="32573B12"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E7E6E6"/>
            <w:tcMar>
              <w:top w:w="62" w:type="dxa"/>
              <w:left w:w="62" w:type="dxa"/>
              <w:bottom w:w="62" w:type="dxa"/>
              <w:right w:w="62" w:type="dxa"/>
            </w:tcMar>
          </w:tcPr>
          <w:p w14:paraId="2B38851C"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6. Doesn't address a KQ</w:t>
            </w:r>
          </w:p>
        </w:tc>
      </w:tr>
    </w:tbl>
    <w:p w14:paraId="5781E858" w14:textId="77777777" w:rsidR="007F0AE0" w:rsidRPr="00494051" w:rsidRDefault="007F0AE0" w:rsidP="007F0AE0">
      <w:pPr>
        <w:pStyle w:val="ChapterHeading"/>
        <w:spacing w:after="120"/>
        <w:outlineLvl w:val="1"/>
        <w:rPr>
          <w:rFonts w:asciiTheme="minorHAnsi" w:hAnsiTheme="minorHAnsi" w:cstheme="minorHAnsi"/>
          <w:sz w:val="22"/>
          <w:szCs w:val="22"/>
        </w:rPr>
      </w:pPr>
      <w:bookmarkStart w:id="13" w:name="_Toc458358690"/>
      <w:bookmarkStart w:id="14" w:name="_Toc458781779"/>
      <w:bookmarkStart w:id="15" w:name="_Toc472735593"/>
      <w:r w:rsidRPr="00494051">
        <w:rPr>
          <w:rFonts w:asciiTheme="minorHAnsi" w:hAnsiTheme="minorHAnsi" w:cstheme="minorHAnsi"/>
          <w:sz w:val="22"/>
          <w:szCs w:val="22"/>
        </w:rPr>
        <w:t>Full-text Review Decision Codes</w:t>
      </w:r>
      <w:bookmarkEnd w:id="13"/>
      <w:bookmarkEnd w:id="14"/>
      <w:bookmarkEnd w:id="15"/>
    </w:p>
    <w:tbl>
      <w:tblPr>
        <w:tblStyle w:val="GridTable4-Accent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tblGrid>
      <w:tr w:rsidR="007F0AE0" w:rsidRPr="00AB7FC2" w14:paraId="09FB78CF" w14:textId="77777777" w:rsidTr="00453D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44546A"/>
            <w:tcMar>
              <w:top w:w="62" w:type="dxa"/>
              <w:left w:w="62" w:type="dxa"/>
              <w:bottom w:w="62" w:type="dxa"/>
              <w:right w:w="62" w:type="dxa"/>
            </w:tcMar>
          </w:tcPr>
          <w:p w14:paraId="2DBB6AC3" w14:textId="77777777" w:rsidR="007F0AE0" w:rsidRPr="00AB7FC2" w:rsidRDefault="007F0AE0" w:rsidP="00453DE3">
            <w:pPr>
              <w:rPr>
                <w:rFonts w:cstheme="minorHAnsi"/>
                <w:sz w:val="18"/>
                <w:szCs w:val="18"/>
              </w:rPr>
            </w:pPr>
            <w:r w:rsidRPr="00AB7FC2">
              <w:rPr>
                <w:rFonts w:cstheme="minorHAnsi"/>
                <w:sz w:val="18"/>
                <w:szCs w:val="18"/>
              </w:rPr>
              <w:t>Possible Codes for a Full-text Review</w:t>
            </w:r>
          </w:p>
        </w:tc>
      </w:tr>
      <w:tr w:rsidR="007F0AE0" w:rsidRPr="00AB7FC2" w14:paraId="7EA0E029"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Mar>
              <w:top w:w="62" w:type="dxa"/>
              <w:left w:w="62" w:type="dxa"/>
              <w:bottom w:w="62" w:type="dxa"/>
              <w:right w:w="62" w:type="dxa"/>
            </w:tcMar>
          </w:tcPr>
          <w:p w14:paraId="0F5658FF" w14:textId="77777777" w:rsidR="007F0AE0" w:rsidRPr="00AB7FC2" w:rsidRDefault="007F0AE0" w:rsidP="00453DE3">
            <w:pPr>
              <w:rPr>
                <w:rFonts w:cstheme="minorHAnsi"/>
                <w:color w:val="000000"/>
                <w:sz w:val="18"/>
                <w:szCs w:val="18"/>
              </w:rPr>
            </w:pPr>
            <w:r w:rsidRPr="00AB7FC2">
              <w:rPr>
                <w:rFonts w:cstheme="minorHAnsi"/>
                <w:color w:val="000000"/>
                <w:sz w:val="18"/>
                <w:szCs w:val="18"/>
              </w:rPr>
              <w:t xml:space="preserve">EXCLUDE </w:t>
            </w:r>
          </w:p>
        </w:tc>
      </w:tr>
      <w:tr w:rsidR="007F0AE0" w:rsidRPr="00AB7FC2" w14:paraId="1A91BD7D"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7CC48791"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 xml:space="preserve">1. Not English </w:t>
            </w:r>
          </w:p>
        </w:tc>
      </w:tr>
      <w:tr w:rsidR="007F0AE0" w:rsidRPr="00AB7FC2" w14:paraId="1A7393A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E7E6E6"/>
            <w:tcMar>
              <w:top w:w="62" w:type="dxa"/>
              <w:left w:w="62" w:type="dxa"/>
              <w:bottom w:w="62" w:type="dxa"/>
              <w:right w:w="62" w:type="dxa"/>
            </w:tcMar>
          </w:tcPr>
          <w:p w14:paraId="641F28F8"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2. Ineligible population (not U.S., not humans)</w:t>
            </w:r>
          </w:p>
        </w:tc>
      </w:tr>
      <w:tr w:rsidR="007F0AE0" w:rsidRPr="00AB7FC2" w14:paraId="59827943"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5EF4342D"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3. Not original research / data</w:t>
            </w:r>
          </w:p>
        </w:tc>
      </w:tr>
      <w:tr w:rsidR="007F0AE0" w:rsidRPr="00AB7FC2" w14:paraId="3E0D5CD3"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E7E6E6"/>
            <w:tcMar>
              <w:top w:w="62" w:type="dxa"/>
              <w:left w:w="62" w:type="dxa"/>
              <w:bottom w:w="62" w:type="dxa"/>
              <w:right w:w="62" w:type="dxa"/>
            </w:tcMar>
          </w:tcPr>
          <w:p w14:paraId="7D72F426"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4. Doesn't address a KQ</w:t>
            </w:r>
          </w:p>
        </w:tc>
      </w:tr>
      <w:tr w:rsidR="007F0AE0" w:rsidRPr="00AB7FC2" w14:paraId="4F57F23C" w14:textId="77777777" w:rsidTr="00453DE3">
        <w:tc>
          <w:tcPr>
            <w:cnfStyle w:val="001000000000" w:firstRow="0" w:lastRow="0" w:firstColumn="1" w:lastColumn="0" w:oddVBand="0" w:evenVBand="0" w:oddHBand="0" w:evenHBand="0" w:firstRowFirstColumn="0" w:firstRowLastColumn="0" w:lastRowFirstColumn="0" w:lastRowLastColumn="0"/>
            <w:tcW w:w="3964" w:type="dxa"/>
            <w:tcMar>
              <w:top w:w="62" w:type="dxa"/>
              <w:left w:w="62" w:type="dxa"/>
              <w:bottom w:w="62" w:type="dxa"/>
              <w:right w:w="62" w:type="dxa"/>
            </w:tcMar>
          </w:tcPr>
          <w:p w14:paraId="21AEF0C8" w14:textId="77777777" w:rsidR="007F0AE0" w:rsidRPr="00AB7FC2" w:rsidRDefault="007F0AE0" w:rsidP="00453DE3">
            <w:pPr>
              <w:rPr>
                <w:rFonts w:cstheme="minorHAnsi"/>
                <w:b w:val="0"/>
                <w:color w:val="000000"/>
                <w:sz w:val="18"/>
                <w:szCs w:val="18"/>
              </w:rPr>
            </w:pPr>
            <w:r w:rsidRPr="00AB7FC2">
              <w:rPr>
                <w:rFonts w:cstheme="minorHAnsi"/>
                <w:b w:val="0"/>
                <w:color w:val="000000"/>
                <w:sz w:val="18"/>
                <w:szCs w:val="18"/>
              </w:rPr>
              <w:t>5. Superseded by another included article</w:t>
            </w:r>
          </w:p>
        </w:tc>
      </w:tr>
    </w:tbl>
    <w:p w14:paraId="7BF4CFDE" w14:textId="77777777" w:rsidR="007F0AE0" w:rsidRPr="00494051" w:rsidRDefault="007F0AE0" w:rsidP="007F0AE0">
      <w:pPr>
        <w:pStyle w:val="ChapterHeading"/>
        <w:outlineLvl w:val="9"/>
        <w:rPr>
          <w:rFonts w:asciiTheme="minorHAnsi" w:hAnsiTheme="minorHAnsi" w:cstheme="minorHAnsi"/>
          <w:sz w:val="22"/>
          <w:szCs w:val="22"/>
        </w:rPr>
      </w:pPr>
    </w:p>
    <w:p w14:paraId="79D78350" w14:textId="77777777" w:rsidR="007F0AE0" w:rsidRDefault="007F0AE0" w:rsidP="007F0AE0">
      <w:pPr>
        <w:rPr>
          <w:rFonts w:eastAsia="Times New Roman" w:cstheme="minorHAnsi"/>
          <w:b/>
          <w:bCs/>
        </w:rPr>
        <w:sectPr w:rsidR="007F0AE0" w:rsidSect="00814502">
          <w:type w:val="continuous"/>
          <w:pgSz w:w="12240" w:h="15840"/>
          <w:pgMar w:top="1152" w:right="1296" w:bottom="1152" w:left="1296" w:header="720" w:footer="720" w:gutter="0"/>
          <w:cols w:num="2" w:space="720"/>
          <w:docGrid w:linePitch="360"/>
        </w:sectPr>
      </w:pPr>
    </w:p>
    <w:p w14:paraId="5BD58414" w14:textId="77777777" w:rsidR="007F0AE0" w:rsidRPr="00494051" w:rsidRDefault="007F0AE0" w:rsidP="007F0AE0">
      <w:pPr>
        <w:rPr>
          <w:rFonts w:eastAsia="Times New Roman" w:cstheme="minorHAnsi"/>
          <w:b/>
          <w:bCs/>
        </w:rPr>
      </w:pPr>
    </w:p>
    <w:p w14:paraId="2938E263" w14:textId="77777777" w:rsidR="007F0AE0" w:rsidRPr="00494051" w:rsidRDefault="007F0AE0" w:rsidP="007F0AE0">
      <w:pPr>
        <w:rPr>
          <w:rFonts w:cstheme="minorHAnsi"/>
          <w:b/>
        </w:rPr>
        <w:sectPr w:rsidR="007F0AE0" w:rsidRPr="00494051" w:rsidSect="00814502">
          <w:type w:val="continuous"/>
          <w:pgSz w:w="12240" w:h="15840"/>
          <w:pgMar w:top="1152" w:right="1296" w:bottom="1152" w:left="1296" w:header="720" w:footer="720" w:gutter="0"/>
          <w:cols w:space="720"/>
          <w:docGrid w:linePitch="360"/>
        </w:sectPr>
      </w:pPr>
    </w:p>
    <w:p w14:paraId="0651B1C1" w14:textId="77777777" w:rsidR="007F0AE0" w:rsidRDefault="007F0AE0" w:rsidP="007F0AE0">
      <w:pPr>
        <w:rPr>
          <w:rFonts w:cstheme="minorHAnsi"/>
          <w:b/>
        </w:rPr>
      </w:pPr>
      <w:r>
        <w:rPr>
          <w:rFonts w:cstheme="minorHAnsi"/>
          <w:b/>
        </w:rPr>
        <w:br w:type="page"/>
      </w:r>
    </w:p>
    <w:p w14:paraId="071CFF06" w14:textId="77777777" w:rsidR="007F0AE0" w:rsidRPr="00494051" w:rsidRDefault="007F0AE0" w:rsidP="007F0AE0">
      <w:pPr>
        <w:spacing w:after="120" w:line="240" w:lineRule="auto"/>
        <w:outlineLvl w:val="0"/>
        <w:rPr>
          <w:rFonts w:cstheme="minorHAnsi"/>
          <w:b/>
        </w:rPr>
      </w:pPr>
      <w:bookmarkStart w:id="16" w:name="Supp5"/>
      <w:r>
        <w:rPr>
          <w:rFonts w:cstheme="minorHAnsi"/>
          <w:b/>
        </w:rPr>
        <w:lastRenderedPageBreak/>
        <w:t>SUPPLEMENTAL SECTION 8: Contextual Question</w:t>
      </w:r>
    </w:p>
    <w:bookmarkEnd w:id="16"/>
    <w:p w14:paraId="7E704EB6" w14:textId="77777777" w:rsidR="007F0AE0" w:rsidRPr="00494051" w:rsidRDefault="007F0AE0" w:rsidP="007F0AE0">
      <w:pPr>
        <w:spacing w:after="120" w:line="240" w:lineRule="auto"/>
        <w:jc w:val="both"/>
        <w:rPr>
          <w:rFonts w:cstheme="minorHAnsi"/>
        </w:rPr>
      </w:pPr>
      <w:r w:rsidRPr="00494051">
        <w:rPr>
          <w:rFonts w:cstheme="minorHAnsi"/>
        </w:rPr>
        <w:t>Smoking behaviors are complicated constructs that are represented differently among epidemiological studies</w:t>
      </w:r>
      <w:r>
        <w:rPr>
          <w:rFonts w:cstheme="minorHAnsi"/>
        </w:rPr>
        <w:t xml:space="preserve"> </w:t>
      </w:r>
      <w:r>
        <w:rPr>
          <w:rFonts w:cstheme="minorHAnsi"/>
        </w:rPr>
        <w:fldChar w:fldCharType="begin">
          <w:fldData xml:space="preserve">PEVuZE5vdGU+PENpdGU+PEF1dGhvcj5CYWtlcjwvQXV0aG9yPjxZZWFyPjIwMDc8L1llYXI+PFJl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</w:fldData>
        </w:fldChar>
      </w:r>
      <w:r>
        <w:rPr>
          <w:rFonts w:cstheme="minorHAnsi"/>
        </w:rPr>
        <w:instrText xml:space="preserve"> ADDIN EN.CITE </w:instrText>
      </w:r>
      <w:r>
        <w:rPr>
          <w:rFonts w:cstheme="minorHAnsi"/>
        </w:rPr>
        <w:fldChar w:fldCharType="begin">
          <w:fldData xml:space="preserve">PEVuZE5vdGU+PENpdGU+PEF1dGhvcj5CYWtlcjwvQXV0aG9yPjxZZWFyPjIwMDc8L1llYXI+PFJl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</w:fldData>
        </w:fldChar>
      </w:r>
      <w:r>
        <w:rPr>
          <w:rFonts w:cstheme="minorHAnsi"/>
        </w:rPr>
        <w:instrText xml:space="preserve"> ADDIN EN.CITE.DATA </w:instrText>
      </w:r>
      <w:r>
        <w:rPr>
          <w:rFonts w:cstheme="minorHAnsi"/>
        </w:rPr>
      </w:r>
      <w:r>
        <w:rPr>
          <w:rFonts w:cstheme="minorHAnsi"/>
        </w:rPr>
        <w:fldChar w:fldCharType="end"/>
      </w:r>
      <w:r>
        <w:rPr>
          <w:rFonts w:cstheme="minorHAnsi"/>
        </w:rPr>
        <w:fldChar w:fldCharType="separate"/>
      </w:r>
      <w:r>
        <w:rPr>
          <w:rFonts w:cstheme="minorHAnsi"/>
          <w:noProof/>
        </w:rPr>
        <w:t>(</w:t>
      </w:r>
      <w:hyperlink w:anchor="_ENREF_78" w:tooltip="Baker, 2007 #228" w:history="1">
        <w:r>
          <w:rPr>
            <w:rFonts w:cstheme="minorHAnsi"/>
            <w:noProof/>
          </w:rPr>
          <w:t>78</w:t>
        </w:r>
      </w:hyperlink>
      <w:r>
        <w:rPr>
          <w:rFonts w:cstheme="minorHAnsi"/>
          <w:noProof/>
        </w:rPr>
        <w:t xml:space="preserve">, </w:t>
      </w:r>
      <w:hyperlink w:anchor="_ENREF_79" w:tooltip="Piper, 2008 #237" w:history="1">
        <w:r>
          <w:rPr>
            <w:rFonts w:cstheme="minorHAnsi"/>
            <w:noProof/>
          </w:rPr>
          <w:t>79</w:t>
        </w:r>
      </w:hyperlink>
      <w:r>
        <w:rPr>
          <w:rFonts w:cstheme="minorHAnsi"/>
          <w:noProof/>
        </w:rPr>
        <w:t>)</w:t>
      </w:r>
      <w:r>
        <w:rPr>
          <w:rFonts w:cstheme="minorHAnsi"/>
        </w:rPr>
        <w:fldChar w:fldCharType="end"/>
      </w:r>
      <w:r w:rsidRPr="00494051">
        <w:rPr>
          <w:rFonts w:cstheme="minorHAnsi"/>
        </w:rPr>
        <w:t xml:space="preserve">. Single-item and multi-item measures (sometimes also referred to as “scales,” “instruments,” or “indicators”), capture different aspects of these constructs. Heterogeneity in results across studies reflects, in part, differences in how each construct was measured. However, less attention has been paid to the marked variation in psychometric properties of commonly used measures and the concept that not all measures are equally valid and reliable. This report addresses this evidence gap by examining the following contextual question: </w:t>
      </w:r>
      <w:r w:rsidRPr="00711BE4">
        <w:rPr>
          <w:rFonts w:cstheme="minorHAnsi"/>
          <w:i/>
        </w:rPr>
        <w:t>Have measures used to examine cigarette smoking cessation been psychometrically assessed as valid and reliable?</w:t>
      </w:r>
      <w:r>
        <w:rPr>
          <w:rFonts w:cstheme="minorHAnsi"/>
        </w:rPr>
        <w:t xml:space="preserve"> </w:t>
      </w:r>
      <w:r w:rsidRPr="00494051">
        <w:rPr>
          <w:rFonts w:cstheme="minorHAnsi"/>
        </w:rPr>
        <w:t>Contextual questions summarize additional information that can provide context for the findings of the key research question</w:t>
      </w:r>
      <w:r>
        <w:rPr>
          <w:rFonts w:cstheme="minorHAnsi"/>
        </w:rPr>
        <w:t xml:space="preserve"> </w:t>
      </w:r>
      <w:r>
        <w:rPr>
          <w:rFonts w:cstheme="minorHAnsi"/>
        </w:rPr>
        <w:fldChar w:fldCharType="begin"/>
      </w:r>
      <w:r>
        <w:rPr>
          <w:rFonts w:cstheme="minorHAnsi"/>
        </w:rPr>
        <w:instrText xml:space="preserve"> ADDIN EN.CITE &lt;EndNote&gt;&lt;Cite&gt;&lt;Author&gt;Green&lt;/Author&gt;&lt;Year&gt;2006&lt;/Year&gt;&lt;RecNum&gt;296&lt;/RecNum&gt;&lt;DisplayText&gt;(80)&lt;/DisplayText&gt;&lt;record&gt;&lt;rec-number&gt;296&lt;/rec-number&gt;&lt;foreign-keys&gt;&lt;key app="EN" db-id="a2vz2dfp8xrad6exes75zwpiw5rxwa0vwapv" timestamp="1484939725"&gt;296&lt;/key&gt;&lt;/foreign-keys&gt;&lt;ref-type name="Journal Article"&gt;17&lt;/ref-type&gt;&lt;contributors&gt;&lt;authors&gt;&lt;author&gt;Green, L. W.&lt;/author&gt;&lt;author&gt;Glasgow, R. E.&lt;/author&gt;&lt;/authors&gt;&lt;/contributors&gt;&lt;auth-address&gt;University of California at San Francisco, USA.&lt;/auth-address&gt;&lt;titles&gt;&lt;title&gt;Evaluating the relevance, generalization, and applicability of research: issues in external validation and translation methodology&lt;/title&gt;&lt;secondary-title&gt;Eval Health Prof&lt;/secondary-title&gt;&lt;/titles&gt;&lt;periodical&gt;&lt;full-title&gt;Eval Health Prof&lt;/full-title&gt;&lt;/periodical&gt;&lt;pages&gt;126-53&lt;/pages&gt;&lt;volume&gt;29&lt;/volume&gt;&lt;number&gt;1&lt;/number&gt;&lt;keywords&gt;&lt;keyword&gt;*Diffusion of Innovation&lt;/keyword&gt;&lt;keyword&gt;Evidence-Based Medicine&lt;/keyword&gt;&lt;keyword&gt;Humans&lt;/keyword&gt;&lt;keyword&gt;Program Evaluation/*methods&lt;/keyword&gt;&lt;keyword&gt;Reproducibility of Results&lt;/keyword&gt;&lt;keyword&gt;*Research Design&lt;/keyword&gt;&lt;/keywords&gt;&lt;dates&gt;&lt;year&gt;2006&lt;/year&gt;&lt;pub-dates&gt;&lt;date&gt;Mar&lt;/date&gt;&lt;/pub-dates&gt;&lt;/dates&gt;&lt;isbn&gt;0163-2787 (Print)&amp;#xD;0163-2787 (Linking)&lt;/isbn&gt;&lt;accession-num&gt;16510882&lt;/accession-num&gt;&lt;urls&gt;&lt;related-urls&gt;&lt;url&gt;https://www.ncbi.nlm.nih.gov/pubmed/16510882&lt;/url&gt;&lt;/related-urls&gt;&lt;/urls&gt;&lt;electronic-resource-num&gt;10.1177/0163278705284445&lt;/electronic-resource-num&gt;&lt;/record&gt;&lt;/Cite&gt;&lt;/EndNote&gt;</w:instrText>
      </w:r>
      <w:r>
        <w:rPr>
          <w:rFonts w:cstheme="minorHAnsi"/>
        </w:rPr>
        <w:fldChar w:fldCharType="separate"/>
      </w:r>
      <w:r>
        <w:rPr>
          <w:rFonts w:cstheme="minorHAnsi"/>
          <w:noProof/>
        </w:rPr>
        <w:t>(</w:t>
      </w:r>
      <w:hyperlink w:anchor="_ENREF_80" w:tooltip="Green, 2006 #296" w:history="1">
        <w:r>
          <w:rPr>
            <w:rFonts w:cstheme="minorHAnsi"/>
            <w:noProof/>
          </w:rPr>
          <w:t>80</w:t>
        </w:r>
      </w:hyperlink>
      <w:r>
        <w:rPr>
          <w:rFonts w:cstheme="minorHAnsi"/>
          <w:noProof/>
        </w:rPr>
        <w:t>)</w:t>
      </w:r>
      <w:r>
        <w:rPr>
          <w:rFonts w:cstheme="minorHAnsi"/>
        </w:rPr>
        <w:fldChar w:fldCharType="end"/>
      </w:r>
      <w:r w:rsidRPr="00494051">
        <w:rPr>
          <w:rFonts w:cstheme="minorHAnsi"/>
        </w:rPr>
        <w:t>. Information regarding contextual questions may also inform the degree to which the results from individual measures contribute to the overall SOE for a particular outcome.</w:t>
      </w:r>
    </w:p>
    <w:p w14:paraId="35888B89" w14:textId="77777777" w:rsidR="007F0AE0" w:rsidRPr="00494051" w:rsidRDefault="007F0AE0" w:rsidP="007F0AE0">
      <w:pPr>
        <w:spacing w:after="120" w:line="240" w:lineRule="auto"/>
        <w:jc w:val="both"/>
        <w:rPr>
          <w:rFonts w:cstheme="minorHAnsi"/>
        </w:rPr>
      </w:pPr>
      <w:r w:rsidRPr="00494051">
        <w:rPr>
          <w:rFonts w:cstheme="minorHAnsi"/>
          <w:b/>
        </w:rPr>
        <w:t>Reliability.</w:t>
      </w:r>
      <w:r w:rsidRPr="00494051">
        <w:rPr>
          <w:rFonts w:cstheme="minorHAnsi"/>
        </w:rPr>
        <w:t xml:space="preserve"> Reliability is the overall </w:t>
      </w:r>
      <w:r w:rsidRPr="00494051">
        <w:rPr>
          <w:rFonts w:cstheme="minorHAnsi"/>
          <w:i/>
        </w:rPr>
        <w:t>consistency</w:t>
      </w:r>
      <w:r w:rsidRPr="00494051">
        <w:rPr>
          <w:rFonts w:cstheme="minorHAnsi"/>
        </w:rPr>
        <w:t xml:space="preserve"> of a measure (scale), over time and between individuals, and can be measured in a number of ways depending upon the type of measurement scale. Not all indicators of reliability are relevant to this review. One of the most relevant dimensions of reliability is the extent to which a measure yields the same score each time it is administered, under the assumption that true change has not occurred between measurement time points</w:t>
      </w:r>
      <w:r>
        <w:rPr>
          <w:rFonts w:cstheme="minorHAnsi"/>
        </w:rPr>
        <w:t xml:space="preserve"> </w:t>
      </w:r>
      <w:r>
        <w:rPr>
          <w:rFonts w:cstheme="minorHAnsi"/>
        </w:rPr>
        <w:fldChar w:fldCharType="begin"/>
      </w:r>
      <w:r>
        <w:rPr>
          <w:rFonts w:cstheme="minorHAnsi"/>
        </w:rPr>
        <w:instrText xml:space="preserve"> ADDIN EN.CITE &lt;EndNote&gt;&lt;Cite&gt;&lt;Author&gt;Kirk&lt;/Author&gt;&lt;Year&gt;1986&lt;/Year&gt;&lt;RecNum&gt;212&lt;/RecNum&gt;&lt;DisplayText&gt;(81)&lt;/DisplayText&gt;&lt;record&gt;&lt;rec-number&gt;212&lt;/rec-number&gt;&lt;foreign-keys&gt;&lt;key app="EN" db-id="a2vz2dfp8xrad6exes75zwpiw5rxwa0vwapv" timestamp="1477504300"&gt;212&lt;/key&gt;&lt;/foreign-keys&gt;&lt;ref-type name="Book"&gt;6&lt;/ref-type&gt;&lt;contributors&gt;&lt;authors&gt;&lt;author&gt;Kirk, J.&lt;/author&gt;&lt;author&gt;Miller, M.L.&lt;/author&gt;&lt;/authors&gt;&lt;/contributors&gt;&lt;titles&gt;&lt;title&gt;Reliability and validity in qualitative research&lt;/title&gt;&lt;/titles&gt;&lt;dates&gt;&lt;year&gt;1986&lt;/year&gt;&lt;/dates&gt;&lt;pub-location&gt;Beverly Hills, CA&lt;/pub-location&gt;&lt;publisher&gt;Sage Publications&lt;/publisher&gt;&lt;urls&gt;&lt;/urls&gt;&lt;/record&gt;&lt;/Cite&gt;&lt;/EndNote&gt;</w:instrText>
      </w:r>
      <w:r>
        <w:rPr>
          <w:rFonts w:cstheme="minorHAnsi"/>
        </w:rPr>
        <w:fldChar w:fldCharType="separate"/>
      </w:r>
      <w:r>
        <w:rPr>
          <w:rFonts w:cstheme="minorHAnsi"/>
          <w:noProof/>
        </w:rPr>
        <w:t>(</w:t>
      </w:r>
      <w:hyperlink w:anchor="_ENREF_81" w:tooltip="Kirk, 1986 #212" w:history="1">
        <w:r>
          <w:rPr>
            <w:rFonts w:cstheme="minorHAnsi"/>
            <w:noProof/>
          </w:rPr>
          <w:t>81</w:t>
        </w:r>
      </w:hyperlink>
      <w:r>
        <w:rPr>
          <w:rFonts w:cstheme="minorHAnsi"/>
          <w:noProof/>
        </w:rPr>
        <w:t>)</w:t>
      </w:r>
      <w:r>
        <w:rPr>
          <w:rFonts w:cstheme="minorHAnsi"/>
        </w:rPr>
        <w:fldChar w:fldCharType="end"/>
      </w:r>
      <w:r w:rsidRPr="00494051">
        <w:rPr>
          <w:rFonts w:cstheme="minorHAnsi"/>
        </w:rPr>
        <w:t>.</w:t>
      </w:r>
    </w:p>
    <w:p w14:paraId="525DE481" w14:textId="77777777" w:rsidR="007F0AE0" w:rsidRPr="00494051" w:rsidRDefault="007F0AE0" w:rsidP="007F0AE0">
      <w:pPr>
        <w:spacing w:after="120" w:line="240" w:lineRule="auto"/>
        <w:jc w:val="both"/>
        <w:rPr>
          <w:rFonts w:cstheme="minorHAnsi"/>
        </w:rPr>
      </w:pPr>
      <w:r w:rsidRPr="00494051">
        <w:rPr>
          <w:rFonts w:cstheme="minorHAnsi"/>
        </w:rPr>
        <w:t>For single-</w:t>
      </w:r>
      <w:r>
        <w:rPr>
          <w:rFonts w:cstheme="minorHAnsi"/>
        </w:rPr>
        <w:t xml:space="preserve"> and multi-</w:t>
      </w:r>
      <w:r w:rsidRPr="00494051">
        <w:rPr>
          <w:rFonts w:cstheme="minorHAnsi"/>
        </w:rPr>
        <w:t xml:space="preserve">item measures, </w:t>
      </w:r>
      <w:r w:rsidRPr="00494051">
        <w:rPr>
          <w:rFonts w:cstheme="minorHAnsi"/>
          <w:b/>
        </w:rPr>
        <w:t>temporal consistency</w:t>
      </w:r>
      <w:r w:rsidRPr="00494051">
        <w:rPr>
          <w:rFonts w:cstheme="minorHAnsi"/>
        </w:rPr>
        <w:t xml:space="preserve"> is often assessed by estimating </w:t>
      </w:r>
      <w:r w:rsidRPr="00494051">
        <w:rPr>
          <w:rFonts w:cstheme="minorHAnsi"/>
          <w:u w:val="single"/>
        </w:rPr>
        <w:t>test-retest reliability</w:t>
      </w:r>
      <w:r w:rsidRPr="00494051">
        <w:rPr>
          <w:rFonts w:cstheme="minorHAnsi"/>
        </w:rPr>
        <w:t xml:space="preserve"> (i.e., completing the test twice using the same instrument at two different times and comparing results, often through an appropriate correlation statistic or ‘percent agreement’). A kappa (κ) statistic, for example, may be calculated. Kappa quantifies the extent of agreement between the two measurements across a time interval that is greater than the extent expected by chance alone </w:t>
      </w:r>
      <w:r w:rsidRPr="00494051">
        <w:rPr>
          <w:rFonts w:cstheme="minorHAnsi"/>
        </w:rPr>
        <w:fldChar w:fldCharType="begin">
          <w:fldData xml:space="preserve">PEVuZE5vdGU+PENpdGU+PEF1dGhvcj5TaW08L0F1dGhvcj48WWVhcj4yMDA1PC9ZZWFyPjxSZWNO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</w:fldData>
        </w:fldChar>
      </w:r>
      <w:r>
        <w:rPr>
          <w:rFonts w:cstheme="minorHAnsi"/>
        </w:rPr>
        <w:instrText xml:space="preserve"> ADDIN EN.CITE </w:instrText>
      </w:r>
      <w:r>
        <w:rPr>
          <w:rFonts w:cstheme="minorHAnsi"/>
        </w:rPr>
        <w:fldChar w:fldCharType="begin">
          <w:fldData xml:space="preserve">PEVuZE5vdGU+PENpdGU+PEF1dGhvcj5TaW08L0F1dGhvcj48WWVhcj4yMDA1PC9ZZWFyPjxSZWNO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</w:fldData>
        </w:fldChar>
      </w:r>
      <w:r>
        <w:rPr>
          <w:rFonts w:cstheme="minorHAnsi"/>
        </w:rPr>
        <w:instrText xml:space="preserve"> ADDIN EN.CITE.DATA </w:instrText>
      </w:r>
      <w:r>
        <w:rPr>
          <w:rFonts w:cstheme="minorHAnsi"/>
        </w:rPr>
      </w:r>
      <w:r>
        <w:rPr>
          <w:rFonts w:cstheme="minorHAnsi"/>
        </w:rPr>
        <w:fldChar w:fldCharType="end"/>
      </w:r>
      <w:r w:rsidRPr="00494051">
        <w:rPr>
          <w:rFonts w:cstheme="minorHAnsi"/>
        </w:rPr>
        <w:fldChar w:fldCharType="separate"/>
      </w:r>
      <w:r>
        <w:rPr>
          <w:rFonts w:cstheme="minorHAnsi"/>
          <w:noProof/>
        </w:rPr>
        <w:t>(</w:t>
      </w:r>
      <w:hyperlink w:anchor="_ENREF_82" w:tooltip="Sim, 2005 #227" w:history="1">
        <w:r>
          <w:rPr>
            <w:rFonts w:cstheme="minorHAnsi"/>
            <w:noProof/>
          </w:rPr>
          <w:t>82</w:t>
        </w:r>
      </w:hyperlink>
      <w:r>
        <w:rPr>
          <w:rFonts w:cstheme="minorHAnsi"/>
          <w:noProof/>
        </w:rPr>
        <w:t xml:space="preserve">, </w:t>
      </w:r>
      <w:hyperlink w:anchor="_ENREF_83" w:tooltip="Banerjee, 1999 #297" w:history="1">
        <w:r>
          <w:rPr>
            <w:rFonts w:cstheme="minorHAnsi"/>
            <w:noProof/>
          </w:rPr>
          <w:t>83</w:t>
        </w:r>
      </w:hyperlink>
      <w:r>
        <w:rPr>
          <w:rFonts w:cstheme="minorHAnsi"/>
          <w:noProof/>
        </w:rPr>
        <w:t>)</w:t>
      </w:r>
      <w:r w:rsidRPr="00494051">
        <w:rPr>
          <w:rFonts w:cstheme="minorHAnsi"/>
        </w:rPr>
        <w:fldChar w:fldCharType="end"/>
      </w:r>
      <w:r w:rsidRPr="00494051">
        <w:rPr>
          <w:rFonts w:cstheme="minorHAnsi"/>
        </w:rPr>
        <w:t xml:space="preserve">. This assessment yields an assessment of the “repeatability” of the scale and is affected by, among other things, the scale’s length, the amount of time between measurements, and factors related to the study population </w:t>
      </w:r>
      <w:r w:rsidRPr="00494051">
        <w:rPr>
          <w:rFonts w:cstheme="minorHAnsi"/>
        </w:rPr>
        <w:fldChar w:fldCharType="begin"/>
      </w:r>
      <w:r>
        <w:rPr>
          <w:rFonts w:cstheme="minorHAnsi"/>
        </w:rPr>
        <w:instrText xml:space="preserve"> ADDIN EN.CITE &lt;EndNote&gt;&lt;Cite&gt;&lt;Author&gt;Crocker&lt;/Author&gt;&lt;Year&gt;2006&lt;/Year&gt;&lt;RecNum&gt;298&lt;/RecNum&gt;&lt;DisplayText&gt;(84)&lt;/DisplayText&gt;&lt;record&gt;&lt;rec-number&gt;298&lt;/rec-number&gt;&lt;foreign-keys&gt;&lt;key app="EN" db-id="a2vz2dfp8xrad6exes75zwpiw5rxwa0vwapv" timestamp="1484941102"&gt;298&lt;/key&gt;&lt;/foreign-keys&gt;&lt;ref-type name="Book"&gt;6&lt;/ref-type&gt;&lt;contributors&gt;&lt;authors&gt;&lt;author&gt;Crocker, L.&lt;/author&gt;&lt;author&gt;Algina, L.&lt;/author&gt;&lt;/authors&gt;&lt;/contributors&gt;&lt;titles&gt;&lt;title&gt;Introduction to Classical and Modern Test Theory&lt;/title&gt;&lt;/titles&gt;&lt;dates&gt;&lt;year&gt;2006&lt;/year&gt;&lt;/dates&gt;&lt;pub-location&gt;Mason, Ohio&lt;/pub-location&gt;&lt;publisher&gt;Wadsworth Publishing Company&lt;/publisher&gt;&lt;isbn&gt;0495395919&lt;/isbn&gt;&lt;urls&gt;&lt;/urls&gt;&lt;/record&gt;&lt;/Cite&gt;&lt;/EndNote&gt;</w:instrText>
      </w:r>
      <w:r w:rsidRPr="00494051">
        <w:rPr>
          <w:rFonts w:cstheme="minorHAnsi"/>
        </w:rPr>
        <w:fldChar w:fldCharType="separate"/>
      </w:r>
      <w:r>
        <w:rPr>
          <w:rFonts w:cstheme="minorHAnsi"/>
          <w:noProof/>
        </w:rPr>
        <w:t>(</w:t>
      </w:r>
      <w:hyperlink w:anchor="_ENREF_84" w:tooltip="Crocker, 2006 #298" w:history="1">
        <w:r>
          <w:rPr>
            <w:rFonts w:cstheme="minorHAnsi"/>
            <w:noProof/>
          </w:rPr>
          <w:t>84</w:t>
        </w:r>
      </w:hyperlink>
      <w:r>
        <w:rPr>
          <w:rFonts w:cstheme="minorHAnsi"/>
          <w:noProof/>
        </w:rPr>
        <w:t>)</w:t>
      </w:r>
      <w:r w:rsidRPr="00494051">
        <w:rPr>
          <w:rFonts w:cstheme="minorHAnsi"/>
        </w:rPr>
        <w:fldChar w:fldCharType="end"/>
      </w:r>
      <w:r w:rsidRPr="00494051">
        <w:rPr>
          <w:rFonts w:cstheme="minorHAnsi"/>
        </w:rPr>
        <w:t>.</w:t>
      </w:r>
    </w:p>
    <w:p w14:paraId="77140B9E" w14:textId="77777777" w:rsidR="007F0AE0" w:rsidRPr="00494051" w:rsidRDefault="007F0AE0" w:rsidP="007F0AE0">
      <w:pPr>
        <w:spacing w:after="120" w:line="240" w:lineRule="auto"/>
        <w:jc w:val="both"/>
        <w:rPr>
          <w:rFonts w:cstheme="minorHAnsi"/>
        </w:rPr>
      </w:pPr>
      <w:r w:rsidRPr="00494051">
        <w:rPr>
          <w:rFonts w:cstheme="minorHAnsi"/>
        </w:rPr>
        <w:t xml:space="preserve">Additionally, multi-item scales that are used to measure a complex construct are expected to be “unidimensional,” such that each of the underlying items, or groups of items (subscales), assesses a single underlying (or “latent”) construct (e.g., cigarette smoking abstinence). For multi-item scales, reliability is most often defined as the extent to which the items or subscales of the instrument are a consistent measure of a single, unidimensional, “construct.” </w:t>
      </w:r>
      <w:r w:rsidRPr="00494051">
        <w:rPr>
          <w:rFonts w:cstheme="minorHAnsi"/>
          <w:u w:val="single"/>
        </w:rPr>
        <w:t xml:space="preserve">Unidimensionality </w:t>
      </w:r>
      <w:r w:rsidRPr="00494051">
        <w:rPr>
          <w:rFonts w:cstheme="minorHAnsi"/>
        </w:rPr>
        <w:t xml:space="preserve">of multi-item scales is sometimes assessed using principal components (factor) analysis. Cronbach’s alpha (α) is a common statistic used to measure the strength of such consistency of the </w:t>
      </w:r>
      <w:r w:rsidRPr="00494051">
        <w:rPr>
          <w:rFonts w:cstheme="minorHAnsi"/>
          <w:u w:val="single"/>
        </w:rPr>
        <w:t>internal interrelationships</w:t>
      </w:r>
      <w:r w:rsidRPr="00494051">
        <w:rPr>
          <w:rFonts w:cstheme="minorHAnsi"/>
        </w:rPr>
        <w:t xml:space="preserve">, or average correlation, or the strength of the inter-item relationships, of its component items </w:t>
      </w:r>
      <w:r w:rsidRPr="00494051">
        <w:rPr>
          <w:rFonts w:cstheme="minorHAnsi"/>
        </w:rPr>
        <w:fldChar w:fldCharType="begin"/>
      </w:r>
      <w:r>
        <w:rPr>
          <w:rFonts w:cstheme="minorHAnsi"/>
        </w:rPr>
        <w:instrText xml:space="preserve"> ADDIN EN.CITE &lt;EndNote&gt;&lt;Cite&gt;&lt;Author&gt;Cronbach&lt;/Author&gt;&lt;Year&gt;1951&lt;/Year&gt;&lt;RecNum&gt;200&lt;/RecNum&gt;&lt;DisplayText&gt;(85)&lt;/DisplayText&gt;&lt;record&gt;&lt;rec-number&gt;200&lt;/rec-number&gt;&lt;foreign-keys&gt;&lt;key app="EN" db-id="a2vz2dfp8xrad6exes75zwpiw5rxwa0vwapv" timestamp="1477432929"&gt;200&lt;/key&gt;&lt;/foreign-keys&gt;&lt;ref-type name="Journal Article"&gt;17&lt;/ref-type&gt;&lt;contributors&gt;&lt;authors&gt;&lt;author&gt;Cronbach, L.&lt;/author&gt;&lt;/authors&gt;&lt;/contributors&gt;&lt;titles&gt;&lt;title&gt;Coefficient alpha and the internal structure of tests&lt;/title&gt;&lt;secondary-title&gt;Psychometrika&lt;/secondary-title&gt;&lt;/titles&gt;&lt;periodical&gt;&lt;full-title&gt;Psychometrika&lt;/full-title&gt;&lt;/periodical&gt;&lt;pages&gt;297-334&lt;/pages&gt;&lt;volume&gt;16&lt;/volume&gt;&lt;number&gt;3&lt;/number&gt;&lt;dates&gt;&lt;year&gt;1951&lt;/year&gt;&lt;/dates&gt;&lt;urls&gt;&lt;/urls&gt;&lt;/record&gt;&lt;/Cite&gt;&lt;/EndNote&gt;</w:instrText>
      </w:r>
      <w:r w:rsidRPr="00494051">
        <w:rPr>
          <w:rFonts w:cstheme="minorHAnsi"/>
        </w:rPr>
        <w:fldChar w:fldCharType="separate"/>
      </w:r>
      <w:r>
        <w:rPr>
          <w:rFonts w:cstheme="minorHAnsi"/>
          <w:noProof/>
        </w:rPr>
        <w:t>(</w:t>
      </w:r>
      <w:hyperlink w:anchor="_ENREF_85" w:tooltip="Cronbach, 1951 #200" w:history="1">
        <w:r>
          <w:rPr>
            <w:rFonts w:cstheme="minorHAnsi"/>
            <w:noProof/>
          </w:rPr>
          <w:t>85</w:t>
        </w:r>
      </w:hyperlink>
      <w:r>
        <w:rPr>
          <w:rFonts w:cstheme="minorHAnsi"/>
          <w:noProof/>
        </w:rPr>
        <w:t>)</w:t>
      </w:r>
      <w:r w:rsidRPr="00494051">
        <w:rPr>
          <w:rFonts w:cstheme="minorHAnsi"/>
        </w:rPr>
        <w:fldChar w:fldCharType="end"/>
      </w:r>
      <w:r w:rsidRPr="00494051">
        <w:rPr>
          <w:rFonts w:cstheme="minorHAnsi"/>
        </w:rPr>
        <w:t>. Numerous factors influence the value of alpha, including the number of items included in the scale (smaller numbers of items limit the maximum value of alpha that is achievable, even in the best of circumstances) and the level of interrelatedness of the items or subscales. Importantly, the degree of an instrument’s reliability can also be affected by how closely the use of that instrument mirrored the way it was intended to be used. Because of these factors, there is no single set of agreed-upon threshold values that allow for categorization of reliability.</w:t>
      </w:r>
    </w:p>
    <w:p w14:paraId="570E95AC" w14:textId="77777777" w:rsidR="007F0AE0" w:rsidRPr="00494051" w:rsidRDefault="007F0AE0" w:rsidP="007F0AE0">
      <w:pPr>
        <w:spacing w:after="120" w:line="240" w:lineRule="auto"/>
        <w:jc w:val="both"/>
        <w:rPr>
          <w:rFonts w:eastAsia="Calibri" w:cstheme="minorHAnsi"/>
        </w:rPr>
      </w:pPr>
      <w:r w:rsidRPr="00494051">
        <w:rPr>
          <w:rFonts w:cstheme="minorHAnsi"/>
        </w:rPr>
        <w:t xml:space="preserve">In keeping with published tradition, and using liberal thresholds, reliability estimates (i.e., values of Cronbach’s alpha and kappa or other appropriate estimators of test-retest correlation) equal to or greater than 0.70 were considered to be “acceptable” indicators of reliability, and values below 0.70 were considered of “insufficient strength” for the purpose of this review </w:t>
      </w:r>
      <w:r w:rsidRPr="00494051">
        <w:rPr>
          <w:rFonts w:cstheme="minorHAnsi"/>
        </w:rPr>
        <w:fldChar w:fldCharType="begin">
          <w:fldData xml:space="preserve">PEVuZE5vdGU+PENpdGU+PEF1dGhvcj5OdW5uYWxseTwvQXV0aG9yPjxZZWFyPjE5OTQ8L1llYXI+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</w:fldData>
        </w:fldChar>
      </w:r>
      <w:r>
        <w:rPr>
          <w:rFonts w:cstheme="minorHAnsi"/>
        </w:rPr>
        <w:instrText xml:space="preserve"> ADDIN EN.CITE </w:instrText>
      </w:r>
      <w:r>
        <w:rPr>
          <w:rFonts w:cstheme="minorHAnsi"/>
        </w:rPr>
        <w:fldChar w:fldCharType="begin">
          <w:fldData xml:space="preserve">PEVuZE5vdGU+PENpdGU+PEF1dGhvcj5OdW5uYWxseTwvQXV0aG9yPjxZZWFyPjE5OTQ8L1llYXI+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</w:fldData>
        </w:fldChar>
      </w:r>
      <w:r>
        <w:rPr>
          <w:rFonts w:cstheme="minorHAnsi"/>
        </w:rPr>
        <w:instrText xml:space="preserve"> ADDIN EN.CITE.DATA </w:instrText>
      </w:r>
      <w:r>
        <w:rPr>
          <w:rFonts w:cstheme="minorHAnsi"/>
        </w:rPr>
      </w:r>
      <w:r>
        <w:rPr>
          <w:rFonts w:cstheme="minorHAnsi"/>
        </w:rPr>
        <w:fldChar w:fldCharType="end"/>
      </w:r>
      <w:r w:rsidRPr="00494051">
        <w:rPr>
          <w:rFonts w:cstheme="minorHAnsi"/>
        </w:rPr>
        <w:fldChar w:fldCharType="separate"/>
      </w:r>
      <w:r>
        <w:rPr>
          <w:rFonts w:cstheme="minorHAnsi"/>
          <w:noProof/>
        </w:rPr>
        <w:t>(</w:t>
      </w:r>
      <w:hyperlink w:anchor="_ENREF_84" w:tooltip="Crocker, 2006 #298" w:history="1">
        <w:r>
          <w:rPr>
            <w:rFonts w:cstheme="minorHAnsi"/>
            <w:noProof/>
          </w:rPr>
          <w:t>84</w:t>
        </w:r>
      </w:hyperlink>
      <w:r>
        <w:rPr>
          <w:rFonts w:cstheme="minorHAnsi"/>
          <w:noProof/>
        </w:rPr>
        <w:t xml:space="preserve">, </w:t>
      </w:r>
      <w:hyperlink w:anchor="_ENREF_86" w:tooltip="Nunnally, 1994 #299" w:history="1">
        <w:r>
          <w:rPr>
            <w:rFonts w:cstheme="minorHAnsi"/>
            <w:noProof/>
          </w:rPr>
          <w:t>86-90</w:t>
        </w:r>
      </w:hyperlink>
      <w:r>
        <w:rPr>
          <w:rFonts w:cstheme="minorHAnsi"/>
          <w:noProof/>
        </w:rPr>
        <w:t>)</w:t>
      </w:r>
      <w:r w:rsidRPr="00494051">
        <w:rPr>
          <w:rFonts w:cstheme="minorHAnsi"/>
        </w:rPr>
        <w:fldChar w:fldCharType="end"/>
      </w:r>
      <w:r w:rsidRPr="00494051">
        <w:rPr>
          <w:rFonts w:cstheme="minorHAnsi"/>
        </w:rPr>
        <w:t xml:space="preserve">. Note that an alpha threshold of 0.80 (and sometimes 0.90) is commonly cited as the </w:t>
      </w:r>
      <w:r w:rsidRPr="00494051">
        <w:rPr>
          <w:rFonts w:cstheme="minorHAnsi"/>
          <w:u w:val="single"/>
        </w:rPr>
        <w:t>minimum</w:t>
      </w:r>
      <w:r w:rsidRPr="00494051">
        <w:rPr>
          <w:rFonts w:cstheme="minorHAnsi"/>
        </w:rPr>
        <w:t xml:space="preserve"> level of consistency for use of a scale in a </w:t>
      </w:r>
      <w:r w:rsidRPr="00494051">
        <w:rPr>
          <w:rFonts w:cstheme="minorHAnsi"/>
          <w:b/>
        </w:rPr>
        <w:t>clinical</w:t>
      </w:r>
      <w:r w:rsidRPr="00494051">
        <w:rPr>
          <w:rFonts w:cstheme="minorHAnsi"/>
        </w:rPr>
        <w:t xml:space="preserve"> setting. Thus, given the </w:t>
      </w:r>
      <w:r w:rsidRPr="00494051">
        <w:rPr>
          <w:rFonts w:cstheme="minorHAnsi"/>
          <w:b/>
        </w:rPr>
        <w:t>research</w:t>
      </w:r>
      <w:r w:rsidRPr="00494051">
        <w:rPr>
          <w:rFonts w:cstheme="minorHAnsi"/>
        </w:rPr>
        <w:t xml:space="preserve"> (as opposed to clinical) context of this systematic review, the threshold for “acceptable” internal consistency and temporal reliability was set at the lower, less conservative, level of 0.70 </w:t>
      </w:r>
      <w:r w:rsidRPr="00494051">
        <w:rPr>
          <w:rFonts w:cstheme="minorHAnsi"/>
        </w:rPr>
        <w:fldChar w:fldCharType="begin"/>
      </w:r>
      <w:r>
        <w:rPr>
          <w:rFonts w:cstheme="minorHAnsi"/>
        </w:rPr>
        <w:instrText xml:space="preserve"> ADDIN EN.CITE &lt;EndNote&gt;&lt;Cite&gt;&lt;Author&gt;Streiner&lt;/Author&gt;&lt;Year&gt;2003&lt;/Year&gt;&lt;RecNum&gt;305&lt;/RecNum&gt;&lt;DisplayText&gt;(91)&lt;/DisplayText&gt;&lt;record&gt;&lt;rec-number&gt;305&lt;/rec-number&gt;&lt;foreign-keys&gt;&lt;key app="EN" db-id="a2vz2dfp8xrad6exes75zwpiw5rxwa0vwapv" timestamp="1484943086"&gt;305&lt;/key&gt;&lt;/foreign-keys&gt;&lt;ref-type name="Journal Article"&gt;17&lt;/ref-type&gt;&lt;contributors&gt;&lt;authors&gt;&lt;author&gt;Streiner, D. L.&lt;/author&gt;&lt;/authors&gt;&lt;/contributors&gt;&lt;auth-address&gt;Baycrest Centre for Geriatric Care, Toronto, Ontario, Canada. dstreiner@klaru-baycrest.on.ca&lt;/auth-address&gt;&lt;titles&gt;&lt;title&gt;Starting at the beginning: an introduction to coefficient alpha and internal consistency&lt;/title&gt;&lt;secondary-title&gt;J Pers Assess&lt;/secondary-title&gt;&lt;/titles&gt;&lt;periodical&gt;&lt;full-title&gt;J Pers Assess&lt;/full-title&gt;&lt;/periodical&gt;&lt;pages&gt;99-103&lt;/pages&gt;&lt;volume&gt;80&lt;/volume&gt;&lt;number&gt;1&lt;/number&gt;&lt;keywords&gt;&lt;keyword&gt;Canada&lt;/keyword&gt;&lt;keyword&gt;Humans&lt;/keyword&gt;&lt;keyword&gt;Psychological Tests/standards/*statistics &amp;amp; numerical data&lt;/keyword&gt;&lt;keyword&gt;*Reproducibility of Results&lt;/keyword&gt;&lt;/keywords&gt;&lt;dates&gt;&lt;year&gt;2003&lt;/year&gt;&lt;pub-dates&gt;&lt;date&gt;Feb&lt;/date&gt;&lt;/pub-dates&gt;&lt;/dates&gt;&lt;isbn&gt;0022-3891 (Print)&amp;#xD;0022-3891 (Linking)&lt;/isbn&gt;&lt;accession-num&gt;12584072&lt;/accession-num&gt;&lt;urls&gt;&lt;related-urls&gt;&lt;url&gt;https://www.ncbi.nlm.nih.gov/pubmed/12584072&lt;/url&gt;&lt;/related-urls&gt;&lt;/urls&gt;&lt;electronic-resource-num&gt;10.1207/S15327752JPA8001_18&lt;/electronic-resource-num&gt;&lt;/record&gt;&lt;/Cite&gt;&lt;/EndNote&gt;</w:instrText>
      </w:r>
      <w:r w:rsidRPr="00494051">
        <w:rPr>
          <w:rFonts w:cstheme="minorHAnsi"/>
        </w:rPr>
        <w:fldChar w:fldCharType="separate"/>
      </w:r>
      <w:r>
        <w:rPr>
          <w:rFonts w:cstheme="minorHAnsi"/>
          <w:noProof/>
        </w:rPr>
        <w:t>(</w:t>
      </w:r>
      <w:hyperlink w:anchor="_ENREF_91" w:tooltip="Streiner, 2003 #305" w:history="1">
        <w:r>
          <w:rPr>
            <w:rFonts w:cstheme="minorHAnsi"/>
            <w:noProof/>
          </w:rPr>
          <w:t>91</w:t>
        </w:r>
      </w:hyperlink>
      <w:r>
        <w:rPr>
          <w:rFonts w:cstheme="minorHAnsi"/>
          <w:noProof/>
        </w:rPr>
        <w:t>)</w:t>
      </w:r>
      <w:r w:rsidRPr="00494051">
        <w:rPr>
          <w:rFonts w:cstheme="minorHAnsi"/>
        </w:rPr>
        <w:fldChar w:fldCharType="end"/>
      </w:r>
      <w:r w:rsidRPr="00494051">
        <w:rPr>
          <w:rStyle w:val="CommentReference"/>
          <w:rFonts w:eastAsia="Calibri" w:cstheme="minorHAnsi"/>
          <w:sz w:val="22"/>
          <w:szCs w:val="22"/>
        </w:rPr>
        <w:t>.</w:t>
      </w:r>
    </w:p>
    <w:p w14:paraId="6590C944" w14:textId="77777777" w:rsidR="007F0AE0" w:rsidRPr="00494051" w:rsidRDefault="007F0AE0" w:rsidP="007F0AE0">
      <w:pPr>
        <w:spacing w:after="120" w:line="240" w:lineRule="auto"/>
        <w:jc w:val="both"/>
        <w:rPr>
          <w:rFonts w:cstheme="minorHAnsi"/>
        </w:rPr>
      </w:pPr>
      <w:r w:rsidRPr="00494051">
        <w:rPr>
          <w:rFonts w:cstheme="minorHAnsi"/>
          <w:b/>
        </w:rPr>
        <w:lastRenderedPageBreak/>
        <w:t xml:space="preserve">Validity. </w:t>
      </w:r>
      <w:r w:rsidRPr="00494051">
        <w:rPr>
          <w:rFonts w:cstheme="minorHAnsi"/>
        </w:rPr>
        <w:t xml:space="preserve">Validity is at the core of understanding whether the results of a research study, which are based upon the measurement of one or more relevant underlying behavioral constructs or ‘outcomes’, are representative of what the research was designed to investigate. The International Agency for Research on Cancer (IARC) has provided an excellent overview, through 2008, of scientific evaluation of the validity of multi-item scales for numerous cigarette smoking behaviors and outcomes </w:t>
      </w:r>
      <w:r w:rsidRPr="00494051">
        <w:rPr>
          <w:rFonts w:cstheme="minorHAnsi"/>
        </w:rPr>
        <w:fldChar w:fldCharType="begin"/>
      </w:r>
      <w:r>
        <w:rPr>
          <w:rFonts w:cstheme="minorHAnsi"/>
        </w:rPr>
        <w:instrText xml:space="preserve"> ADDIN EN.CITE &lt;EndNote&gt;&lt;Cite&gt;&lt;Author&gt;International Agency for Research on Cancer&lt;/Author&gt;&lt;Year&gt;2008&lt;/Year&gt;&lt;RecNum&gt;215&lt;/RecNum&gt;&lt;DisplayText&gt;(92)&lt;/DisplayText&gt;&lt;record&gt;&lt;rec-number&gt;215&lt;/rec-number&gt;&lt;foreign-keys&gt;&lt;key app="EN" db-id="a2vz2dfp8xrad6exes75zwpiw5rxwa0vwapv" timestamp="1477504783"&gt;215&lt;/key&gt;&lt;/foreign-keys&gt;&lt;ref-type name="Book Section"&gt;5&lt;/ref-type&gt;&lt;contributors&gt;&lt;authors&gt;&lt;author&gt;International Agency for Research on Cancer,&lt;/author&gt;&lt;/authors&gt;&lt;/contributors&gt;&lt;titles&gt;&lt;title&gt;Section 3.3 Measurement of nicotine dependence&lt;/title&gt;&lt;secondary-title&gt;Methods for Evaluating Tobacco Control Policies. IARC Handbook of Cancer Prevention Volume 12. &lt;/secondary-title&gt;&lt;/titles&gt;&lt;dates&gt;&lt;year&gt;2008&lt;/year&gt;&lt;/dates&gt;&lt;pub-location&gt;Lyon, France&lt;/pub-location&gt;&lt;publisher&gt;World Health Organization&lt;/publisher&gt;&lt;urls&gt;&lt;/urls&gt;&lt;/record&gt;&lt;/Cite&gt;&lt;/EndNote&gt;</w:instrText>
      </w:r>
      <w:r w:rsidRPr="00494051">
        <w:rPr>
          <w:rFonts w:cstheme="minorHAnsi"/>
        </w:rPr>
        <w:fldChar w:fldCharType="separate"/>
      </w:r>
      <w:r>
        <w:rPr>
          <w:rFonts w:cstheme="minorHAnsi"/>
          <w:noProof/>
        </w:rPr>
        <w:t>(</w:t>
      </w:r>
      <w:hyperlink w:anchor="_ENREF_92" w:tooltip="International Agency for Research on Cancer, 2008 #215" w:history="1">
        <w:r>
          <w:rPr>
            <w:rFonts w:cstheme="minorHAnsi"/>
            <w:noProof/>
          </w:rPr>
          <w:t>92</w:t>
        </w:r>
      </w:hyperlink>
      <w:r>
        <w:rPr>
          <w:rFonts w:cstheme="minorHAnsi"/>
          <w:noProof/>
        </w:rPr>
        <w:t>)</w:t>
      </w:r>
      <w:r w:rsidRPr="00494051">
        <w:rPr>
          <w:rFonts w:cstheme="minorHAnsi"/>
        </w:rPr>
        <w:fldChar w:fldCharType="end"/>
      </w:r>
      <w:r w:rsidRPr="00494051">
        <w:rPr>
          <w:rFonts w:cstheme="minorHAnsi"/>
        </w:rPr>
        <w:t>. The methods of the current contextual question review are aligned with the general approach of that publication.</w:t>
      </w:r>
    </w:p>
    <w:p w14:paraId="7E86111D" w14:textId="77777777" w:rsidR="007F0AE0" w:rsidRPr="00494051" w:rsidRDefault="007F0AE0" w:rsidP="007F0AE0">
      <w:pPr>
        <w:spacing w:after="120" w:line="240" w:lineRule="auto"/>
        <w:jc w:val="both"/>
        <w:rPr>
          <w:rFonts w:cstheme="minorHAnsi"/>
        </w:rPr>
      </w:pPr>
      <w:r w:rsidRPr="00494051">
        <w:rPr>
          <w:rFonts w:cstheme="minorHAnsi"/>
        </w:rPr>
        <w:t xml:space="preserve">There are two types of validity: internal and external. </w:t>
      </w:r>
      <w:r w:rsidRPr="00494051">
        <w:rPr>
          <w:rFonts w:cstheme="minorHAnsi"/>
          <w:i/>
        </w:rPr>
        <w:t>Internal validity</w:t>
      </w:r>
      <w:r w:rsidRPr="00494051">
        <w:rPr>
          <w:rFonts w:cstheme="minorHAnsi"/>
        </w:rPr>
        <w:t xml:space="preserve"> is defined as the extent to which a measure reflects what it is supposed to be measuring </w:t>
      </w:r>
      <w:r w:rsidRPr="00494051">
        <w:rPr>
          <w:rFonts w:cstheme="minorHAnsi"/>
        </w:rPr>
        <w:fldChar w:fldCharType="begin"/>
      </w:r>
      <w:r>
        <w:rPr>
          <w:rFonts w:cstheme="minorHAnsi"/>
        </w:rPr>
        <w:instrText xml:space="preserve"> ADDIN EN.CITE &lt;EndNote&gt;&lt;Cite&gt;&lt;Author&gt;Streiner&lt;/Author&gt;&lt;Year&gt;2003&lt;/Year&gt;&lt;RecNum&gt;305&lt;/RecNum&gt;&lt;DisplayText&gt;(91)&lt;/DisplayText&gt;&lt;record&gt;&lt;rec-number&gt;305&lt;/rec-number&gt;&lt;foreign-keys&gt;&lt;key app="EN" db-id="a2vz2dfp8xrad6exes75zwpiw5rxwa0vwapv" timestamp="1484943086"&gt;305&lt;/key&gt;&lt;/foreign-keys&gt;&lt;ref-type name="Journal Article"&gt;17&lt;/ref-type&gt;&lt;contributors&gt;&lt;authors&gt;&lt;author&gt;Streiner, D. L.&lt;/author&gt;&lt;/authors&gt;&lt;/contributors&gt;&lt;auth-address&gt;Baycrest Centre for Geriatric Care, Toronto, Ontario, Canada. dstreiner@klaru-baycrest.on.ca&lt;/auth-address&gt;&lt;titles&gt;&lt;title&gt;Starting at the beginning: an introduction to coefficient alpha and internal consistency&lt;/title&gt;&lt;secondary-title&gt;J Pers Assess&lt;/secondary-title&gt;&lt;/titles&gt;&lt;periodical&gt;&lt;full-title&gt;J Pers Assess&lt;/full-title&gt;&lt;/periodical&gt;&lt;pages&gt;99-103&lt;/pages&gt;&lt;volume&gt;80&lt;/volume&gt;&lt;number&gt;1&lt;/number&gt;&lt;keywords&gt;&lt;keyword&gt;Canada&lt;/keyword&gt;&lt;keyword&gt;Humans&lt;/keyword&gt;&lt;keyword&gt;Psychological Tests/standards/*statistics &amp;amp; numerical data&lt;/keyword&gt;&lt;keyword&gt;*Reproducibility of Results&lt;/keyword&gt;&lt;/keywords&gt;&lt;dates&gt;&lt;year&gt;2003&lt;/year&gt;&lt;pub-dates&gt;&lt;date&gt;Feb&lt;/date&gt;&lt;/pub-dates&gt;&lt;/dates&gt;&lt;isbn&gt;0022-3891 (Print)&amp;#xD;0022-3891 (Linking)&lt;/isbn&gt;&lt;accession-num&gt;12584072&lt;/accession-num&gt;&lt;urls&gt;&lt;related-urls&gt;&lt;url&gt;https://www.ncbi.nlm.nih.gov/pubmed/12584072&lt;/url&gt;&lt;/related-urls&gt;&lt;/urls&gt;&lt;electronic-resource-num&gt;10.1207/S15327752JPA8001_18&lt;/electronic-resource-num&gt;&lt;/record&gt;&lt;/Cite&gt;&lt;/EndNote&gt;</w:instrText>
      </w:r>
      <w:r w:rsidRPr="00494051">
        <w:rPr>
          <w:rFonts w:cstheme="minorHAnsi"/>
        </w:rPr>
        <w:fldChar w:fldCharType="separate"/>
      </w:r>
      <w:r>
        <w:rPr>
          <w:rFonts w:cstheme="minorHAnsi"/>
          <w:noProof/>
        </w:rPr>
        <w:t>(</w:t>
      </w:r>
      <w:hyperlink w:anchor="_ENREF_91" w:tooltip="Streiner, 2003 #305" w:history="1">
        <w:r>
          <w:rPr>
            <w:rFonts w:cstheme="minorHAnsi"/>
            <w:noProof/>
          </w:rPr>
          <w:t>91</w:t>
        </w:r>
      </w:hyperlink>
      <w:r>
        <w:rPr>
          <w:rFonts w:cstheme="minorHAnsi"/>
          <w:noProof/>
        </w:rPr>
        <w:t>)</w:t>
      </w:r>
      <w:r w:rsidRPr="00494051">
        <w:rPr>
          <w:rFonts w:cstheme="minorHAnsi"/>
        </w:rPr>
        <w:fldChar w:fldCharType="end"/>
      </w:r>
      <w:r w:rsidRPr="00494051">
        <w:rPr>
          <w:rFonts w:cstheme="minorHAnsi"/>
        </w:rPr>
        <w:t xml:space="preserve">. Internal validity has been assessed as the degree of correlation with other established multi-item scales or single-item measures </w:t>
      </w:r>
      <w:r w:rsidRPr="00494051">
        <w:rPr>
          <w:rFonts w:cstheme="minorHAnsi"/>
        </w:rPr>
        <w:fldChar w:fldCharType="begin">
          <w:fldData xml:space="preserve">PEVuZE5vdGU+PENpdGU+PEF1dGhvcj5Ib2VwcG5lcjwvQXV0aG9yPjxZZWFyPjIwMTE8L1llYXI+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</w:fldData>
        </w:fldChar>
      </w:r>
      <w:r>
        <w:rPr>
          <w:rFonts w:cstheme="minorHAnsi"/>
        </w:rPr>
        <w:instrText xml:space="preserve"> ADDIN EN.CITE </w:instrText>
      </w:r>
      <w:r>
        <w:rPr>
          <w:rFonts w:cstheme="minorHAnsi"/>
        </w:rPr>
        <w:fldChar w:fldCharType="begin">
          <w:fldData xml:space="preserve">PEVuZE5vdGU+PENpdGU+PEF1dGhvcj5Ib2VwcG5lcjwvQXV0aG9yPjxZZWFyPjIwMTE8L1llYXI+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</w:fldData>
        </w:fldChar>
      </w:r>
      <w:r>
        <w:rPr>
          <w:rFonts w:cstheme="minorHAnsi"/>
        </w:rPr>
        <w:instrText xml:space="preserve"> ADDIN EN.CITE.DATA </w:instrText>
      </w:r>
      <w:r>
        <w:rPr>
          <w:rFonts w:cstheme="minorHAnsi"/>
        </w:rPr>
      </w:r>
      <w:r>
        <w:rPr>
          <w:rFonts w:cstheme="minorHAnsi"/>
        </w:rPr>
        <w:fldChar w:fldCharType="end"/>
      </w:r>
      <w:r w:rsidRPr="00494051">
        <w:rPr>
          <w:rFonts w:cstheme="minorHAnsi"/>
        </w:rPr>
        <w:fldChar w:fldCharType="separate"/>
      </w:r>
      <w:r>
        <w:rPr>
          <w:rFonts w:cstheme="minorHAnsi"/>
          <w:noProof/>
        </w:rPr>
        <w:t>(</w:t>
      </w:r>
      <w:hyperlink w:anchor="_ENREF_92" w:tooltip="International Agency for Research on Cancer, 2008 #215" w:history="1">
        <w:r>
          <w:rPr>
            <w:rFonts w:cstheme="minorHAnsi"/>
            <w:noProof/>
          </w:rPr>
          <w:t>92</w:t>
        </w:r>
      </w:hyperlink>
      <w:r>
        <w:rPr>
          <w:rFonts w:cstheme="minorHAnsi"/>
          <w:noProof/>
        </w:rPr>
        <w:t xml:space="preserve">, </w:t>
      </w:r>
      <w:hyperlink w:anchor="_ENREF_93" w:tooltip="Hoeppner, 2011 #234" w:history="1">
        <w:r>
          <w:rPr>
            <w:rFonts w:cstheme="minorHAnsi"/>
            <w:noProof/>
          </w:rPr>
          <w:t>93</w:t>
        </w:r>
      </w:hyperlink>
      <w:r>
        <w:rPr>
          <w:rFonts w:cstheme="minorHAnsi"/>
          <w:noProof/>
        </w:rPr>
        <w:t>)</w:t>
      </w:r>
      <w:r w:rsidRPr="00494051">
        <w:rPr>
          <w:rFonts w:cstheme="minorHAnsi"/>
        </w:rPr>
        <w:fldChar w:fldCharType="end"/>
      </w:r>
      <w:r w:rsidRPr="00494051">
        <w:rPr>
          <w:rFonts w:cstheme="minorHAnsi"/>
        </w:rPr>
        <w:t xml:space="preserve">. There are also different types of indicators of internal validity. Specifically, criterion and construct validity are often considered in the evaluation of the psychometric properties of a measure. </w:t>
      </w:r>
      <w:r w:rsidRPr="00494051">
        <w:rPr>
          <w:rFonts w:cstheme="minorHAnsi"/>
          <w:i/>
        </w:rPr>
        <w:t>Criterion validity</w:t>
      </w:r>
      <w:r w:rsidRPr="00494051">
        <w:rPr>
          <w:rFonts w:cstheme="minorHAnsi"/>
        </w:rPr>
        <w:t xml:space="preserve"> assesses the extent to which a measure agrees with another accepted measure or predicts outcomes of interest. </w:t>
      </w:r>
      <w:r w:rsidRPr="00494051">
        <w:rPr>
          <w:rFonts w:cstheme="minorHAnsi"/>
          <w:i/>
        </w:rPr>
        <w:t>Construct (or convergent)</w:t>
      </w:r>
      <w:r w:rsidRPr="00494051">
        <w:rPr>
          <w:rFonts w:cstheme="minorHAnsi"/>
        </w:rPr>
        <w:t xml:space="preserve"> validity assesses the extent to which a measure captures the theoretical concept being measured. Construct validity is often assessed through convergent evidence, or demonstration that the measure correlates highly (e.g., correlation coefficients ≥0.50 or ≥0.70) with other measures of the same, or clearly related, constructs. In contrast, </w:t>
      </w:r>
      <w:r w:rsidRPr="00494051">
        <w:rPr>
          <w:rFonts w:cstheme="minorHAnsi"/>
          <w:i/>
        </w:rPr>
        <w:t>external validity</w:t>
      </w:r>
      <w:r w:rsidRPr="00494051">
        <w:rPr>
          <w:rFonts w:cstheme="minorHAnsi"/>
        </w:rPr>
        <w:t xml:space="preserve"> is demonstrated by obtaining similar results when the same instrument is used in different, relevant population samples; i.e., the results can be generalized beyond the immediate study. </w:t>
      </w:r>
    </w:p>
    <w:p w14:paraId="784B7673" w14:textId="77777777" w:rsidR="007F0AE0" w:rsidRPr="00494051" w:rsidRDefault="007F0AE0" w:rsidP="007F0AE0">
      <w:pPr>
        <w:spacing w:after="120" w:line="240" w:lineRule="auto"/>
        <w:jc w:val="both"/>
        <w:rPr>
          <w:rFonts w:cstheme="minorHAnsi"/>
        </w:rPr>
      </w:pPr>
      <w:r w:rsidRPr="00494051">
        <w:rPr>
          <w:rFonts w:cstheme="minorHAnsi"/>
        </w:rPr>
        <w:t xml:space="preserve">It is important to note that although the constructs of smoking behaviors are measured differently, the behaviors are interconnected </w:t>
      </w:r>
      <w:r w:rsidRPr="00494051">
        <w:rPr>
          <w:rFonts w:cstheme="minorHAnsi"/>
        </w:rPr>
        <w:fldChar w:fldCharType="begin">
          <w:fldData xml:space="preserve">PEVuZE5vdGU+PENpdGU+PEF1dGhvcj5JbnRlcm5hdGlvbmFsIEFnZW5jeSBmb3IgUmVzZWFyY2gg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=
</w:fldData>
        </w:fldChar>
      </w:r>
      <w:r>
        <w:rPr>
          <w:rFonts w:cstheme="minorHAnsi"/>
        </w:rPr>
        <w:instrText xml:space="preserve"> ADDIN EN.CITE </w:instrText>
      </w:r>
      <w:r>
        <w:rPr>
          <w:rFonts w:cstheme="minorHAnsi"/>
        </w:rPr>
        <w:fldChar w:fldCharType="begin">
          <w:fldData xml:space="preserve">PEVuZE5vdGU+PENpdGU+PEF1dGhvcj5JbnRlcm5hdGlvbmFsIEFnZW5jeSBmb3IgUmVzZWFyY2gg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=
</w:fldData>
        </w:fldChar>
      </w:r>
      <w:r>
        <w:rPr>
          <w:rFonts w:cstheme="minorHAnsi"/>
        </w:rPr>
        <w:instrText xml:space="preserve"> ADDIN EN.CITE.DATA </w:instrText>
      </w:r>
      <w:r>
        <w:rPr>
          <w:rFonts w:cstheme="minorHAnsi"/>
        </w:rPr>
      </w:r>
      <w:r>
        <w:rPr>
          <w:rFonts w:cstheme="minorHAnsi"/>
        </w:rPr>
        <w:fldChar w:fldCharType="end"/>
      </w:r>
      <w:r w:rsidRPr="00494051">
        <w:rPr>
          <w:rFonts w:cstheme="minorHAnsi"/>
        </w:rPr>
        <w:fldChar w:fldCharType="separate"/>
      </w:r>
      <w:r>
        <w:rPr>
          <w:rFonts w:cstheme="minorHAnsi"/>
          <w:noProof/>
        </w:rPr>
        <w:t>(</w:t>
      </w:r>
      <w:hyperlink w:anchor="_ENREF_79" w:tooltip="Piper, 2008 #237" w:history="1">
        <w:r>
          <w:rPr>
            <w:rFonts w:cstheme="minorHAnsi"/>
            <w:noProof/>
          </w:rPr>
          <w:t>79</w:t>
        </w:r>
      </w:hyperlink>
      <w:r>
        <w:rPr>
          <w:rFonts w:cstheme="minorHAnsi"/>
          <w:noProof/>
        </w:rPr>
        <w:t xml:space="preserve">, </w:t>
      </w:r>
      <w:hyperlink w:anchor="_ENREF_92" w:tooltip="International Agency for Research on Cancer, 2008 #215" w:history="1">
        <w:r>
          <w:rPr>
            <w:rFonts w:cstheme="minorHAnsi"/>
            <w:noProof/>
          </w:rPr>
          <w:t>92</w:t>
        </w:r>
      </w:hyperlink>
      <w:r>
        <w:rPr>
          <w:rFonts w:cstheme="minorHAnsi"/>
          <w:noProof/>
        </w:rPr>
        <w:t xml:space="preserve">, </w:t>
      </w:r>
      <w:hyperlink w:anchor="_ENREF_94" w:tooltip="Rostron, 2016 #236" w:history="1">
        <w:r>
          <w:rPr>
            <w:rFonts w:cstheme="minorHAnsi"/>
            <w:noProof/>
          </w:rPr>
          <w:t>94</w:t>
        </w:r>
      </w:hyperlink>
      <w:r>
        <w:rPr>
          <w:rFonts w:cstheme="minorHAnsi"/>
          <w:noProof/>
        </w:rPr>
        <w:t>)</w:t>
      </w:r>
      <w:r w:rsidRPr="00494051">
        <w:rPr>
          <w:rFonts w:cstheme="minorHAnsi"/>
        </w:rPr>
        <w:fldChar w:fldCharType="end"/>
      </w:r>
      <w:r w:rsidRPr="00494051">
        <w:rPr>
          <w:rFonts w:cstheme="minorHAnsi"/>
        </w:rPr>
        <w:t>. A growing number of have found that dependence is predictive of motivation to quit, quit attempts and successful cessation</w:t>
      </w:r>
      <w:r>
        <w:rPr>
          <w:rFonts w:cstheme="minorHAnsi"/>
        </w:rPr>
        <w:t xml:space="preserve"> </w:t>
      </w:r>
      <w:r>
        <w:rPr>
          <w:rFonts w:cstheme="minorHAnsi"/>
        </w:rPr>
        <w:fldChar w:fldCharType="begin"/>
      </w:r>
      <w:r>
        <w:rPr>
          <w:rFonts w:cstheme="minorHAnsi"/>
        </w:rPr>
        <w:instrText xml:space="preserve"> ADDIN EN.CITE &lt;EndNote&gt;&lt;Cite&gt;&lt;Author&gt;NASEM&lt;/Author&gt;&lt;Year&gt;2018&lt;/Year&gt;&lt;RecNum&gt;2855&lt;/RecNum&gt;&lt;DisplayText&gt;(95)&lt;/DisplayText&gt;&lt;record&gt;&lt;rec-number&gt;2855&lt;/rec-number&gt;&lt;foreign-keys&gt;&lt;key app="EN" db-id="a2vz2dfp8xrad6exes75zwpiw5rxwa0vwapv" timestamp="1556209376"&gt;2855&lt;/key&gt;&lt;/foreign-keys&gt;&lt;ref-type name="Report"&gt;27&lt;/ref-type&gt;&lt;contributors&gt;&lt;authors&gt;&lt;author&gt;NASEM&lt;/author&gt;&lt;/authors&gt;&lt;secondary-authors&gt;&lt;author&gt;Stratton, K.&lt;/author&gt;&lt;author&gt;Kwan L.Y.&lt;/author&gt;&lt;author&gt;Eaton, D.L.&lt;/author&gt;&lt;/secondary-authors&gt;&lt;/contributors&gt;&lt;titles&gt;&lt;title&gt;Public Health Consequences of E-Cigarettes: A Consensus Study Report of The National Academies of Sciences, Engineering, and Medicine&lt;/title&gt;&lt;secondary-title&gt;Committee on the Review of the Health Effects of Electronic Nicotine Delivery Systems; Board on Population Health and Public Health Practice; Health and Medicine Division.&lt;/secondary-title&gt;&lt;/titles&gt;&lt;dates&gt;&lt;year&gt;2018&lt;/year&gt;&lt;/dates&gt;&lt;pub-location&gt;Washington, DC&lt;/pub-location&gt;&lt;publisher&gt;National Academies Press&lt;/publisher&gt;&lt;urls&gt;&lt;/urls&gt;&lt;/record&gt;&lt;/Cite&gt;&lt;/EndNote&gt;</w:instrText>
      </w:r>
      <w:r>
        <w:rPr>
          <w:rFonts w:cstheme="minorHAnsi"/>
        </w:rPr>
        <w:fldChar w:fldCharType="separate"/>
      </w:r>
      <w:r>
        <w:rPr>
          <w:rFonts w:cstheme="minorHAnsi"/>
          <w:noProof/>
        </w:rPr>
        <w:t>(</w:t>
      </w:r>
      <w:hyperlink w:anchor="_ENREF_95" w:tooltip="NASEM, 2018 #2855" w:history="1">
        <w:r>
          <w:rPr>
            <w:rFonts w:cstheme="minorHAnsi"/>
            <w:noProof/>
          </w:rPr>
          <w:t>95</w:t>
        </w:r>
      </w:hyperlink>
      <w:r>
        <w:rPr>
          <w:rFonts w:cstheme="minorHAnsi"/>
          <w:noProof/>
        </w:rPr>
        <w:t>)</w:t>
      </w:r>
      <w:r>
        <w:rPr>
          <w:rFonts w:cstheme="minorHAnsi"/>
        </w:rPr>
        <w:fldChar w:fldCharType="end"/>
      </w:r>
      <w:r w:rsidRPr="00494051">
        <w:rPr>
          <w:rFonts w:cstheme="minorHAnsi"/>
        </w:rPr>
        <w:t xml:space="preserve">. Thus, as an indicator of criterion validity, smoking dependence measures can be further evaluated meaningfully by testing whether they predict (or are associated with) cessation </w:t>
      </w:r>
      <w:r w:rsidRPr="00494051">
        <w:rPr>
          <w:rFonts w:cstheme="minorHAnsi"/>
        </w:rPr>
        <w:fldChar w:fldCharType="begin">
          <w:fldData xml:space="preserve">PEVuZE5vdGU+PENpdGU+PEF1dGhvcj5Lb3psb3dza2k8L0F1dGhvcj48WWVhcj4xOTk0PC9ZZWFy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</w:fldData>
        </w:fldChar>
      </w:r>
      <w:r>
        <w:rPr>
          <w:rFonts w:cstheme="minorHAnsi"/>
        </w:rPr>
        <w:instrText xml:space="preserve"> ADDIN EN.CITE </w:instrText>
      </w:r>
      <w:r>
        <w:rPr>
          <w:rFonts w:cstheme="minorHAnsi"/>
        </w:rPr>
        <w:fldChar w:fldCharType="begin">
          <w:fldData xml:space="preserve">PEVuZE5vdGU+PENpdGU+PEF1dGhvcj5Lb3psb3dza2k8L0F1dGhvcj48WWVhcj4xOTk0PC9ZZWFy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</w:fldData>
        </w:fldChar>
      </w:r>
      <w:r>
        <w:rPr>
          <w:rFonts w:cstheme="minorHAnsi"/>
        </w:rPr>
        <w:instrText xml:space="preserve"> ADDIN EN.CITE.DATA </w:instrText>
      </w:r>
      <w:r>
        <w:rPr>
          <w:rFonts w:cstheme="minorHAnsi"/>
        </w:rPr>
      </w:r>
      <w:r>
        <w:rPr>
          <w:rFonts w:cstheme="minorHAnsi"/>
        </w:rPr>
        <w:fldChar w:fldCharType="end"/>
      </w:r>
      <w:r w:rsidRPr="00494051">
        <w:rPr>
          <w:rFonts w:cstheme="minorHAnsi"/>
        </w:rPr>
        <w:fldChar w:fldCharType="separate"/>
      </w:r>
      <w:r>
        <w:rPr>
          <w:rFonts w:cstheme="minorHAnsi"/>
          <w:noProof/>
        </w:rPr>
        <w:t>(</w:t>
      </w:r>
      <w:hyperlink w:anchor="_ENREF_96" w:tooltip="Kozlowski, 1994 #173" w:history="1">
        <w:r>
          <w:rPr>
            <w:rFonts w:cstheme="minorHAnsi"/>
            <w:noProof/>
          </w:rPr>
          <w:t>96</w:t>
        </w:r>
      </w:hyperlink>
      <w:r>
        <w:rPr>
          <w:rFonts w:cstheme="minorHAnsi"/>
          <w:noProof/>
        </w:rPr>
        <w:t xml:space="preserve">, </w:t>
      </w:r>
      <w:hyperlink w:anchor="_ENREF_97" w:tooltip="Strong, 2015 #235" w:history="1">
        <w:r>
          <w:rPr>
            <w:rFonts w:cstheme="minorHAnsi"/>
            <w:noProof/>
          </w:rPr>
          <w:t>97</w:t>
        </w:r>
      </w:hyperlink>
      <w:r>
        <w:rPr>
          <w:rFonts w:cstheme="minorHAnsi"/>
          <w:noProof/>
        </w:rPr>
        <w:t>)</w:t>
      </w:r>
      <w:r w:rsidRPr="00494051">
        <w:rPr>
          <w:rFonts w:cstheme="minorHAnsi"/>
        </w:rPr>
        <w:fldChar w:fldCharType="end"/>
      </w:r>
      <w:r w:rsidRPr="00494051">
        <w:rPr>
          <w:rFonts w:cstheme="minorHAnsi"/>
        </w:rPr>
        <w:t>.</w:t>
      </w:r>
    </w:p>
    <w:p w14:paraId="020C0FCB" w14:textId="77777777" w:rsidR="007F0AE0" w:rsidRPr="00494051" w:rsidRDefault="007F0AE0" w:rsidP="007F0AE0">
      <w:pPr>
        <w:spacing w:after="120" w:line="240" w:lineRule="auto"/>
        <w:jc w:val="both"/>
        <w:rPr>
          <w:rFonts w:cstheme="minorHAnsi"/>
        </w:rPr>
      </w:pPr>
      <w:r w:rsidRPr="00494051">
        <w:rPr>
          <w:rFonts w:cstheme="minorHAnsi"/>
          <w:b/>
        </w:rPr>
        <w:t>Relationship between reliability and validity.</w:t>
      </w:r>
      <w:r w:rsidRPr="00494051">
        <w:rPr>
          <w:rFonts w:cstheme="minorHAnsi"/>
        </w:rPr>
        <w:t xml:space="preserve"> In order for research results to be informative for decision-making, all study methods must be rigorous, as well as </w:t>
      </w:r>
      <w:r w:rsidRPr="00494051">
        <w:rPr>
          <w:rFonts w:cstheme="minorHAnsi"/>
          <w:b/>
        </w:rPr>
        <w:t>both</w:t>
      </w:r>
      <w:r w:rsidRPr="00494051">
        <w:rPr>
          <w:rFonts w:cstheme="minorHAnsi"/>
        </w:rPr>
        <w:t xml:space="preserve"> reliable and valid. A scale may be reliable (measured consistently) but not necessarily be valid (i.e., measuring what it is designed to measure). </w:t>
      </w:r>
      <w:r w:rsidRPr="00494051">
        <w:rPr>
          <w:rFonts w:cstheme="minorHAnsi"/>
          <w:u w:val="single"/>
        </w:rPr>
        <w:t>However, a measure cannot be valid unless it is reliable</w:t>
      </w:r>
      <w:r w:rsidRPr="00494051">
        <w:rPr>
          <w:rFonts w:cstheme="minorHAnsi"/>
        </w:rPr>
        <w:t xml:space="preserve">. </w:t>
      </w:r>
    </w:p>
    <w:p w14:paraId="23C69585" w14:textId="77777777" w:rsidR="007F0AE0" w:rsidRPr="00494051" w:rsidRDefault="007F0AE0" w:rsidP="007F0AE0">
      <w:pPr>
        <w:spacing w:after="120" w:line="240" w:lineRule="auto"/>
        <w:jc w:val="both"/>
        <w:rPr>
          <w:rFonts w:cstheme="minorHAnsi"/>
        </w:rPr>
      </w:pPr>
      <w:r w:rsidRPr="00494051">
        <w:rPr>
          <w:rFonts w:cstheme="minorHAnsi"/>
        </w:rPr>
        <w:t>Unlike the systematic review performed to inform the study research question, the contextual question was not assessed using systematic review methodology. Instead, a search was conducted in PubMed and Google Scholar for studies that informed the reliability and validity of the cigarette smoking-related outcome measures included in the systematic review. One team member extracted relevant information, and a senior author verified its accuracy and completeness during the preparation of this report.</w:t>
      </w:r>
    </w:p>
    <w:p w14:paraId="1462E0B2" w14:textId="77777777" w:rsidR="007F0AE0" w:rsidRPr="00494051" w:rsidRDefault="007F0AE0" w:rsidP="007F0AE0">
      <w:pPr>
        <w:spacing w:after="120" w:line="240" w:lineRule="auto"/>
        <w:jc w:val="both"/>
        <w:rPr>
          <w:rFonts w:cstheme="minorHAnsi"/>
        </w:rPr>
      </w:pPr>
      <w:r w:rsidRPr="00494051">
        <w:rPr>
          <w:rFonts w:cstheme="minorHAnsi"/>
        </w:rPr>
        <w:t>The following criteria were used to assess the reliability and validity of the cigarette smoking-related outcome measures assessed in this review:</w:t>
      </w:r>
    </w:p>
    <w:p w14:paraId="3052BAD2" w14:textId="77777777" w:rsidR="007F0AE0" w:rsidRPr="00494051" w:rsidRDefault="007F0AE0" w:rsidP="007F0AE0">
      <w:pPr>
        <w:spacing w:after="120" w:line="240" w:lineRule="auto"/>
        <w:jc w:val="both"/>
        <w:rPr>
          <w:rFonts w:cstheme="minorHAnsi"/>
          <w:b/>
        </w:rPr>
      </w:pPr>
      <w:r w:rsidRPr="00494051">
        <w:rPr>
          <w:rFonts w:cstheme="minorHAnsi"/>
          <w:b/>
        </w:rPr>
        <w:t>Criteria to Assess Reliability:</w:t>
      </w:r>
    </w:p>
    <w:p w14:paraId="70D5DFEE" w14:textId="77777777" w:rsidR="007F0AE0" w:rsidRPr="00494051" w:rsidRDefault="007F0AE0" w:rsidP="007F0AE0">
      <w:pPr>
        <w:pStyle w:val="ListParagraph"/>
        <w:numPr>
          <w:ilvl w:val="0"/>
          <w:numId w:val="7"/>
        </w:numPr>
        <w:spacing w:after="120" w:line="240" w:lineRule="auto"/>
        <w:ind w:hanging="357"/>
        <w:jc w:val="both"/>
        <w:rPr>
          <w:rFonts w:cstheme="minorHAnsi"/>
          <w:u w:val="single"/>
        </w:rPr>
      </w:pPr>
      <w:r w:rsidRPr="00494051">
        <w:rPr>
          <w:rFonts w:cstheme="minorHAnsi"/>
          <w:u w:val="single"/>
        </w:rPr>
        <w:t>Criterion One:</w:t>
      </w:r>
      <w:r>
        <w:rPr>
          <w:rFonts w:cstheme="minorHAnsi"/>
        </w:rPr>
        <w:t xml:space="preserve"> </w:t>
      </w:r>
      <w:r w:rsidRPr="00494051">
        <w:rPr>
          <w:rFonts w:cstheme="minorHAnsi"/>
        </w:rPr>
        <w:t xml:space="preserve">A statistical indication of consistency, with estimates ≥0.70, evidenced by one or more of the following: </w:t>
      </w:r>
    </w:p>
    <w:p w14:paraId="57FC9EE7" w14:textId="77777777" w:rsidR="007F0AE0" w:rsidRPr="00494051" w:rsidRDefault="007F0AE0" w:rsidP="007F0AE0">
      <w:pPr>
        <w:pStyle w:val="ListParagraph"/>
        <w:numPr>
          <w:ilvl w:val="1"/>
          <w:numId w:val="7"/>
        </w:numPr>
        <w:spacing w:after="120" w:line="240" w:lineRule="auto"/>
        <w:ind w:hanging="357"/>
        <w:jc w:val="both"/>
        <w:rPr>
          <w:rFonts w:cstheme="minorHAnsi"/>
        </w:rPr>
      </w:pPr>
      <w:r w:rsidRPr="00494051">
        <w:rPr>
          <w:rFonts w:cstheme="minorHAnsi"/>
        </w:rPr>
        <w:t>Internal consistency reliability: Cronbach’s alpha (α), or the Kuder-Richardson Formula 20 (KR-20)</w:t>
      </w:r>
    </w:p>
    <w:p w14:paraId="1168DE0F" w14:textId="77777777" w:rsidR="007F0AE0" w:rsidRPr="00494051" w:rsidRDefault="007F0AE0" w:rsidP="007F0AE0">
      <w:pPr>
        <w:pStyle w:val="ListParagraph"/>
        <w:numPr>
          <w:ilvl w:val="1"/>
          <w:numId w:val="7"/>
        </w:numPr>
        <w:spacing w:after="120" w:line="240" w:lineRule="auto"/>
        <w:ind w:hanging="357"/>
        <w:jc w:val="both"/>
        <w:rPr>
          <w:rFonts w:cstheme="minorHAnsi"/>
        </w:rPr>
      </w:pPr>
      <w:r w:rsidRPr="00494051">
        <w:rPr>
          <w:rFonts w:cstheme="minorHAnsi"/>
        </w:rPr>
        <w:t xml:space="preserve">Temporal (test-retest) reliability or ‘repeatability’: Cohen’s kappa (κ), intraclass correlation coefficient (ICC) or other statistically appropriate correlation (e.g., Pearson’s </w:t>
      </w:r>
      <w:r w:rsidRPr="00494051">
        <w:rPr>
          <w:rFonts w:cstheme="minorHAnsi"/>
          <w:i/>
        </w:rPr>
        <w:t>r</w:t>
      </w:r>
      <w:r w:rsidRPr="00494051">
        <w:rPr>
          <w:rFonts w:cstheme="minorHAnsi"/>
        </w:rPr>
        <w:t xml:space="preserve"> or Spearman’s </w:t>
      </w:r>
      <w:r w:rsidRPr="00494051">
        <w:rPr>
          <w:rFonts w:cstheme="minorHAnsi"/>
          <w:i/>
        </w:rPr>
        <w:t>rho</w:t>
      </w:r>
      <w:r w:rsidRPr="00494051">
        <w:rPr>
          <w:rFonts w:cstheme="minorHAnsi"/>
        </w:rPr>
        <w:t>)</w:t>
      </w:r>
    </w:p>
    <w:p w14:paraId="7F1BACA1" w14:textId="77777777" w:rsidR="007F0AE0" w:rsidRPr="00494051" w:rsidRDefault="007F0AE0" w:rsidP="007F0AE0">
      <w:pPr>
        <w:pStyle w:val="ListParagraph"/>
        <w:numPr>
          <w:ilvl w:val="0"/>
          <w:numId w:val="7"/>
        </w:numPr>
        <w:spacing w:after="120" w:line="240" w:lineRule="auto"/>
        <w:contextualSpacing w:val="0"/>
        <w:jc w:val="both"/>
        <w:rPr>
          <w:rFonts w:cstheme="minorHAnsi"/>
        </w:rPr>
      </w:pPr>
      <w:r w:rsidRPr="00494051">
        <w:rPr>
          <w:rFonts w:cstheme="minorHAnsi"/>
          <w:u w:val="single"/>
        </w:rPr>
        <w:t>Criterion Two:</w:t>
      </w:r>
      <w:r w:rsidRPr="00494051">
        <w:rPr>
          <w:rFonts w:cstheme="minorHAnsi"/>
        </w:rPr>
        <w:t xml:space="preserve"> Demonstration of reliability (internal consistency and/or temporal) in critical population subgroups (i.e., males and females/youth and adults) as appropriate for the specific instrument (e.g., if the scale or measure was intentionally designed for use among the general </w:t>
      </w:r>
      <w:r w:rsidRPr="00494051">
        <w:rPr>
          <w:rFonts w:cstheme="minorHAnsi"/>
        </w:rPr>
        <w:lastRenderedPageBreak/>
        <w:t>population, the standard for that instrument will be demonstration of reliability and validity among the general population).</w:t>
      </w:r>
    </w:p>
    <w:p w14:paraId="63BA8BC1" w14:textId="77777777" w:rsidR="007F0AE0" w:rsidRPr="00494051" w:rsidRDefault="007F0AE0" w:rsidP="007F0AE0">
      <w:pPr>
        <w:spacing w:after="120" w:line="240" w:lineRule="auto"/>
        <w:ind w:left="360" w:hanging="360"/>
        <w:jc w:val="both"/>
        <w:rPr>
          <w:rFonts w:cstheme="minorHAnsi"/>
          <w:b/>
        </w:rPr>
      </w:pPr>
      <w:r w:rsidRPr="00494051">
        <w:rPr>
          <w:rFonts w:cstheme="minorHAnsi"/>
          <w:b/>
        </w:rPr>
        <w:t xml:space="preserve">Criteria to Assess Validity: </w:t>
      </w:r>
    </w:p>
    <w:p w14:paraId="06906147" w14:textId="77777777" w:rsidR="007F0AE0" w:rsidRPr="00494051" w:rsidRDefault="007F0AE0" w:rsidP="007F0AE0">
      <w:pPr>
        <w:pStyle w:val="ListParagraph"/>
        <w:numPr>
          <w:ilvl w:val="0"/>
          <w:numId w:val="8"/>
        </w:numPr>
        <w:spacing w:after="120" w:line="240" w:lineRule="auto"/>
        <w:jc w:val="both"/>
        <w:rPr>
          <w:rFonts w:cstheme="minorHAnsi"/>
          <w:u w:val="single"/>
        </w:rPr>
      </w:pPr>
      <w:r w:rsidRPr="00494051">
        <w:rPr>
          <w:rFonts w:cstheme="minorHAnsi"/>
          <w:u w:val="single"/>
        </w:rPr>
        <w:t xml:space="preserve">Criterion One: </w:t>
      </w:r>
    </w:p>
    <w:p w14:paraId="6BF0A56D" w14:textId="77777777" w:rsidR="007F0AE0" w:rsidRPr="00494051" w:rsidRDefault="007F0AE0" w:rsidP="007F0AE0">
      <w:pPr>
        <w:pStyle w:val="ListParagraph"/>
        <w:numPr>
          <w:ilvl w:val="1"/>
          <w:numId w:val="8"/>
        </w:numPr>
        <w:spacing w:after="120" w:line="240" w:lineRule="auto"/>
        <w:jc w:val="both"/>
        <w:rPr>
          <w:rFonts w:cstheme="minorHAnsi"/>
        </w:rPr>
      </w:pPr>
      <w:r w:rsidRPr="00494051">
        <w:rPr>
          <w:rFonts w:cstheme="minorHAnsi"/>
        </w:rPr>
        <w:t xml:space="preserve">Demonstration of construct or criterion validity through statistically significant (p&lt;0.05) relationship (or association) between the scale (or measure) and </w:t>
      </w:r>
      <w:r w:rsidRPr="00494051">
        <w:rPr>
          <w:rFonts w:cstheme="minorHAnsi"/>
          <w:u w:val="single"/>
        </w:rPr>
        <w:t>at least one of following</w:t>
      </w:r>
      <w:r w:rsidRPr="00494051">
        <w:rPr>
          <w:rFonts w:cstheme="minorHAnsi"/>
        </w:rPr>
        <w:t xml:space="preserve">: </w:t>
      </w:r>
    </w:p>
    <w:p w14:paraId="0A072F20" w14:textId="77777777" w:rsidR="007F0AE0" w:rsidRPr="00B056AA" w:rsidRDefault="007F0AE0" w:rsidP="007F0AE0">
      <w:pPr>
        <w:pStyle w:val="ListParagraph"/>
        <w:numPr>
          <w:ilvl w:val="2"/>
          <w:numId w:val="8"/>
        </w:numPr>
        <w:spacing w:after="120" w:line="240" w:lineRule="auto"/>
        <w:ind w:left="2174" w:hanging="187"/>
        <w:jc w:val="both"/>
        <w:rPr>
          <w:rFonts w:cstheme="minorHAnsi"/>
        </w:rPr>
      </w:pPr>
      <w:r w:rsidRPr="00B056AA">
        <w:rPr>
          <w:rFonts w:cstheme="minorHAnsi"/>
        </w:rPr>
        <w:t>Behavioral measures related to cigarette smoking (e.g.,</w:t>
      </w:r>
      <w:r>
        <w:rPr>
          <w:rFonts w:cstheme="minorHAnsi"/>
        </w:rPr>
        <w:t xml:space="preserve"> CPD</w:t>
      </w:r>
      <w:r w:rsidRPr="00B056AA">
        <w:rPr>
          <w:rFonts w:cstheme="minorHAnsi"/>
        </w:rPr>
        <w:t xml:space="preserve">) Biochemical measures related to cigarette smoking (e.g., expired carbon monoxide (eCO), salivary cotinine) </w:t>
      </w:r>
    </w:p>
    <w:p w14:paraId="50A7A116" w14:textId="77777777" w:rsidR="007F0AE0" w:rsidRPr="00494051" w:rsidRDefault="007F0AE0" w:rsidP="007F0AE0">
      <w:pPr>
        <w:pStyle w:val="ListParagraph"/>
        <w:numPr>
          <w:ilvl w:val="1"/>
          <w:numId w:val="8"/>
        </w:numPr>
        <w:spacing w:after="120" w:line="240" w:lineRule="auto"/>
        <w:jc w:val="both"/>
        <w:rPr>
          <w:rFonts w:cstheme="minorHAnsi"/>
        </w:rPr>
      </w:pPr>
      <w:r w:rsidRPr="00494051">
        <w:rPr>
          <w:rFonts w:cstheme="minorHAnsi"/>
        </w:rPr>
        <w:t>Statistically significant (p&lt;0.05) evidence of any of these types of validity through one of the following indicators:</w:t>
      </w:r>
    </w:p>
    <w:p w14:paraId="49DBA740" w14:textId="77777777" w:rsidR="007F0AE0" w:rsidRPr="00494051" w:rsidRDefault="007F0AE0" w:rsidP="007F0AE0">
      <w:pPr>
        <w:pStyle w:val="ListParagraph"/>
        <w:numPr>
          <w:ilvl w:val="2"/>
          <w:numId w:val="8"/>
        </w:numPr>
        <w:spacing w:after="120" w:line="240" w:lineRule="auto"/>
        <w:ind w:left="2174" w:hanging="187"/>
        <w:jc w:val="both"/>
        <w:rPr>
          <w:rFonts w:cstheme="minorHAnsi"/>
        </w:rPr>
      </w:pPr>
      <w:r w:rsidRPr="00494051">
        <w:rPr>
          <w:rFonts w:cstheme="minorHAnsi"/>
        </w:rPr>
        <w:t xml:space="preserve">Correlation (such as Pearson’s product-moment coefficient </w:t>
      </w:r>
      <w:r w:rsidRPr="00494051">
        <w:rPr>
          <w:rFonts w:cstheme="minorHAnsi"/>
          <w:i/>
        </w:rPr>
        <w:t>r</w:t>
      </w:r>
      <w:r w:rsidRPr="00494051">
        <w:rPr>
          <w:rFonts w:cstheme="minorHAnsi"/>
        </w:rPr>
        <w:t xml:space="preserve"> or Spearman’s </w:t>
      </w:r>
      <w:r w:rsidRPr="00494051">
        <w:rPr>
          <w:rFonts w:cstheme="minorHAnsi"/>
          <w:i/>
        </w:rPr>
        <w:t>rho</w:t>
      </w:r>
      <w:r w:rsidRPr="00494051">
        <w:rPr>
          <w:rFonts w:cstheme="minorHAnsi"/>
        </w:rPr>
        <w:t>) ≥ ±0.50</w:t>
      </w:r>
    </w:p>
    <w:p w14:paraId="0AAC2F6D" w14:textId="77777777" w:rsidR="007F0AE0" w:rsidRPr="00494051" w:rsidRDefault="007F0AE0" w:rsidP="007F0AE0">
      <w:pPr>
        <w:pStyle w:val="ListParagraph"/>
        <w:numPr>
          <w:ilvl w:val="2"/>
          <w:numId w:val="8"/>
        </w:numPr>
        <w:spacing w:after="120" w:line="240" w:lineRule="auto"/>
        <w:ind w:left="2174" w:hanging="187"/>
        <w:jc w:val="both"/>
        <w:rPr>
          <w:rFonts w:cstheme="minorHAnsi"/>
        </w:rPr>
      </w:pPr>
      <w:r w:rsidRPr="00494051">
        <w:rPr>
          <w:rFonts w:cstheme="minorHAnsi"/>
        </w:rPr>
        <w:t>An odds ratio (OR), or other indicator of relative risk (whose 95% confidence bounds do not include the null value, or 1.0)</w:t>
      </w:r>
    </w:p>
    <w:p w14:paraId="0AA40EAA" w14:textId="77777777" w:rsidR="007F0AE0" w:rsidRPr="00494051" w:rsidRDefault="007F0AE0" w:rsidP="007F0AE0">
      <w:pPr>
        <w:pStyle w:val="ListParagraph"/>
        <w:numPr>
          <w:ilvl w:val="2"/>
          <w:numId w:val="8"/>
        </w:numPr>
        <w:spacing w:after="120" w:line="240" w:lineRule="auto"/>
        <w:ind w:left="2174" w:hanging="187"/>
        <w:contextualSpacing w:val="0"/>
        <w:jc w:val="both"/>
        <w:rPr>
          <w:rFonts w:cstheme="minorHAnsi"/>
        </w:rPr>
      </w:pPr>
      <w:r w:rsidRPr="00494051">
        <w:rPr>
          <w:rFonts w:cstheme="minorHAnsi"/>
        </w:rPr>
        <w:t xml:space="preserve">An effect size (e.g., Cohen’s </w:t>
      </w:r>
      <w:r w:rsidRPr="00494051">
        <w:rPr>
          <w:rFonts w:cstheme="minorHAnsi"/>
          <w:i/>
        </w:rPr>
        <w:t>d</w:t>
      </w:r>
      <w:r w:rsidRPr="00494051">
        <w:rPr>
          <w:rFonts w:cstheme="minorHAnsi"/>
        </w:rPr>
        <w:t>) ≥0.2</w:t>
      </w:r>
    </w:p>
    <w:p w14:paraId="52D34DB9" w14:textId="77777777" w:rsidR="007F0AE0" w:rsidRPr="00494051" w:rsidRDefault="007F0AE0" w:rsidP="007F0AE0">
      <w:pPr>
        <w:pStyle w:val="ListParagraph"/>
        <w:numPr>
          <w:ilvl w:val="0"/>
          <w:numId w:val="8"/>
        </w:numPr>
        <w:spacing w:after="120" w:line="240" w:lineRule="auto"/>
        <w:contextualSpacing w:val="0"/>
        <w:jc w:val="both"/>
        <w:rPr>
          <w:rFonts w:cstheme="minorHAnsi"/>
        </w:rPr>
      </w:pPr>
      <w:r w:rsidRPr="00494051">
        <w:rPr>
          <w:rFonts w:cstheme="minorHAnsi"/>
          <w:u w:val="single"/>
        </w:rPr>
        <w:t>Criterion Two:</w:t>
      </w:r>
      <w:r w:rsidRPr="00494051">
        <w:rPr>
          <w:rFonts w:cstheme="minorHAnsi"/>
        </w:rPr>
        <w:t xml:space="preserve"> Demonstration of external (namely, population) validity in critical population subgroups (i.e., males and females/youth and adults) as appropriate for the specific instrument (e.g., if the scale or measure was intentionally designed for use among the general population, the standard for that instrument will be demonstration of reliability and validity among the general population).</w:t>
      </w:r>
    </w:p>
    <w:p w14:paraId="0F59945E" w14:textId="77777777" w:rsidR="007F0AE0" w:rsidRPr="00494051" w:rsidRDefault="007F0AE0" w:rsidP="007F0AE0">
      <w:pPr>
        <w:spacing w:after="120" w:line="240" w:lineRule="auto"/>
        <w:jc w:val="both"/>
        <w:rPr>
          <w:rFonts w:cstheme="minorHAnsi"/>
        </w:rPr>
      </w:pPr>
      <w:r w:rsidRPr="00494051">
        <w:rPr>
          <w:rFonts w:cstheme="minorHAnsi"/>
        </w:rPr>
        <w:t>The following scoring approach was informed by the IARC Handbook on Cancer Prevention</w:t>
      </w:r>
      <w:r>
        <w:rPr>
          <w:rFonts w:cstheme="minorHAnsi"/>
        </w:rPr>
        <w:t xml:space="preserve"> </w:t>
      </w:r>
      <w:r>
        <w:rPr>
          <w:rFonts w:cstheme="minorHAnsi"/>
        </w:rPr>
        <w:fldChar w:fldCharType="begin"/>
      </w:r>
      <w:r>
        <w:rPr>
          <w:rFonts w:cstheme="minorHAnsi"/>
        </w:rPr>
        <w:instrText xml:space="preserve"> ADDIN EN.CITE &lt;EndNote&gt;&lt;Cite&gt;&lt;Author&gt;International Agency for Research on Cancer&lt;/Author&gt;&lt;Year&gt;2008&lt;/Year&gt;&lt;RecNum&gt;215&lt;/RecNum&gt;&lt;DisplayText&gt;(92)&lt;/DisplayText&gt;&lt;record&gt;&lt;rec-number&gt;215&lt;/rec-number&gt;&lt;foreign-keys&gt;&lt;key app="EN" db-id="a2vz2dfp8xrad6exes75zwpiw5rxwa0vwapv" timestamp="1477504783"&gt;215&lt;/key&gt;&lt;/foreign-keys&gt;&lt;ref-type name="Book Section"&gt;5&lt;/ref-type&gt;&lt;contributors&gt;&lt;authors&gt;&lt;author&gt;International Agency for Research on Cancer,&lt;/author&gt;&lt;/authors&gt;&lt;/contributors&gt;&lt;titles&gt;&lt;title&gt;Section 3.3 Measurement of nicotine dependence&lt;/title&gt;&lt;secondary-title&gt;Methods for Evaluating Tobacco Control Policies. IARC Handbook of Cancer Prevention Volume 12. &lt;/secondary-title&gt;&lt;/titles&gt;&lt;dates&gt;&lt;year&gt;2008&lt;/year&gt;&lt;/dates&gt;&lt;pub-location&gt;Lyon, France&lt;/pub-location&gt;&lt;publisher&gt;World Health Organization&lt;/publisher&gt;&lt;urls&gt;&lt;/urls&gt;&lt;/record&gt;&lt;/Cite&gt;&lt;/EndNote&gt;</w:instrText>
      </w:r>
      <w:r>
        <w:rPr>
          <w:rFonts w:cstheme="minorHAnsi"/>
        </w:rPr>
        <w:fldChar w:fldCharType="separate"/>
      </w:r>
      <w:r>
        <w:rPr>
          <w:rFonts w:cstheme="minorHAnsi"/>
          <w:noProof/>
        </w:rPr>
        <w:t>(</w:t>
      </w:r>
      <w:hyperlink w:anchor="_ENREF_92" w:tooltip="International Agency for Research on Cancer, 2008 #215" w:history="1">
        <w:r>
          <w:rPr>
            <w:rFonts w:cstheme="minorHAnsi"/>
            <w:noProof/>
          </w:rPr>
          <w:t>92</w:t>
        </w:r>
      </w:hyperlink>
      <w:r>
        <w:rPr>
          <w:rFonts w:cstheme="minorHAnsi"/>
          <w:noProof/>
        </w:rPr>
        <w:t>)</w:t>
      </w:r>
      <w:r>
        <w:rPr>
          <w:rFonts w:cstheme="minorHAnsi"/>
        </w:rPr>
        <w:fldChar w:fldCharType="end"/>
      </w:r>
      <w:r w:rsidRPr="00494051">
        <w:rPr>
          <w:rFonts w:cstheme="minorHAnsi"/>
        </w:rPr>
        <w:t>:</w:t>
      </w:r>
    </w:p>
    <w:p w14:paraId="7A9D8BAC" w14:textId="77777777" w:rsidR="007F0AE0" w:rsidRPr="00494051" w:rsidRDefault="007F0AE0" w:rsidP="007F0AE0">
      <w:pPr>
        <w:spacing w:after="120" w:line="240" w:lineRule="auto"/>
        <w:jc w:val="both"/>
        <w:rPr>
          <w:rFonts w:cstheme="minorHAnsi"/>
        </w:rPr>
      </w:pPr>
      <w:r w:rsidRPr="00494051">
        <w:rPr>
          <w:rFonts w:cstheme="minorHAnsi"/>
          <w:b/>
        </w:rPr>
        <w:t>“Acceptable”</w:t>
      </w:r>
      <w:r w:rsidRPr="00494051">
        <w:rPr>
          <w:rFonts w:cstheme="minorHAnsi"/>
        </w:rPr>
        <w:t xml:space="preserve"> – measures for which available empirical findings were identified in the reviewed studies demonstrating </w:t>
      </w:r>
      <w:r w:rsidRPr="00494051">
        <w:rPr>
          <w:rFonts w:cstheme="minorHAnsi"/>
          <w:u w:val="single"/>
        </w:rPr>
        <w:t>at least one criterion for reliability</w:t>
      </w:r>
      <w:r w:rsidRPr="00494051">
        <w:rPr>
          <w:rFonts w:cstheme="minorHAnsi"/>
        </w:rPr>
        <w:t xml:space="preserve"> and </w:t>
      </w:r>
      <w:r w:rsidRPr="00494051">
        <w:rPr>
          <w:rFonts w:cstheme="minorHAnsi"/>
          <w:u w:val="single"/>
        </w:rPr>
        <w:t>at least one criterion for validity</w:t>
      </w:r>
      <w:r w:rsidRPr="00494051">
        <w:rPr>
          <w:rFonts w:cstheme="minorHAnsi"/>
        </w:rPr>
        <w:t xml:space="preserve">, in both sexes; or </w:t>
      </w:r>
    </w:p>
    <w:p w14:paraId="0904482A" w14:textId="77777777" w:rsidR="007F0AE0" w:rsidRPr="00494051" w:rsidRDefault="007F0AE0" w:rsidP="007F0AE0">
      <w:pPr>
        <w:spacing w:after="120" w:line="240" w:lineRule="auto"/>
        <w:jc w:val="both"/>
        <w:rPr>
          <w:rFonts w:cstheme="minorHAnsi"/>
        </w:rPr>
      </w:pPr>
      <w:r w:rsidRPr="00494051">
        <w:rPr>
          <w:rFonts w:cstheme="minorHAnsi"/>
          <w:b/>
        </w:rPr>
        <w:t>“Inconclusive”</w:t>
      </w:r>
      <w:r w:rsidRPr="00494051">
        <w:rPr>
          <w:rFonts w:cstheme="minorHAnsi"/>
        </w:rPr>
        <w:t xml:space="preserve"> – measures either for which available empirical findings in the reviewed studies </w:t>
      </w:r>
      <w:r w:rsidRPr="00494051">
        <w:rPr>
          <w:rFonts w:cstheme="minorHAnsi"/>
          <w:u w:val="single"/>
        </w:rPr>
        <w:t>did not meet the required criteria above</w:t>
      </w:r>
      <w:r w:rsidRPr="00494051">
        <w:rPr>
          <w:rFonts w:cstheme="minorHAnsi"/>
        </w:rPr>
        <w:t xml:space="preserve"> or for which </w:t>
      </w:r>
      <w:r w:rsidRPr="00494051">
        <w:rPr>
          <w:rFonts w:cstheme="minorHAnsi"/>
          <w:u w:val="single"/>
        </w:rPr>
        <w:t>insufficient empirical findings were identified by the methods employed herein</w:t>
      </w:r>
      <w:r w:rsidRPr="00494051">
        <w:rPr>
          <w:rFonts w:cstheme="minorHAnsi"/>
        </w:rPr>
        <w:t xml:space="preserve">. </w:t>
      </w:r>
    </w:p>
    <w:p w14:paraId="04511E58" w14:textId="77777777" w:rsidR="007F0AE0" w:rsidRPr="00494051" w:rsidRDefault="007F0AE0" w:rsidP="007F0AE0">
      <w:pPr>
        <w:spacing w:after="120" w:line="240" w:lineRule="auto"/>
        <w:jc w:val="both"/>
        <w:rPr>
          <w:rFonts w:eastAsia="Calibri" w:cstheme="minorHAnsi"/>
          <w:b/>
        </w:rPr>
        <w:sectPr w:rsidR="007F0AE0" w:rsidRPr="00494051" w:rsidSect="000C4760">
          <w:headerReference w:type="even" r:id="rId10"/>
          <w:headerReference w:type="default" r:id="rId11"/>
          <w:footerReference w:type="even" r:id="rId12"/>
          <w:footerReference w:type="default" r:id="rId13"/>
          <w:headerReference w:type="first" r:id="rId14"/>
          <w:type w:val="continuous"/>
          <w:pgSz w:w="12240" w:h="15840"/>
          <w:pgMar w:top="1152" w:right="1296" w:bottom="1152" w:left="1296" w:header="720" w:footer="720" w:gutter="0"/>
          <w:cols w:space="720"/>
          <w:docGrid w:linePitch="360"/>
        </w:sectPr>
      </w:pPr>
      <w:hyperlink w:anchor="Table5_1" w:history="1">
        <w:r w:rsidRPr="00F12CF8">
          <w:rPr>
            <w:rStyle w:val="Hyperlink"/>
            <w:rFonts w:eastAsia="Calibri" w:cstheme="minorHAnsi"/>
            <w:b/>
          </w:rPr>
          <w:t xml:space="preserve">Table </w:t>
        </w:r>
        <w:r>
          <w:rPr>
            <w:rStyle w:val="Hyperlink"/>
            <w:rFonts w:eastAsia="Calibri" w:cstheme="minorHAnsi"/>
            <w:b/>
          </w:rPr>
          <w:t>8</w:t>
        </w:r>
        <w:r w:rsidRPr="00F12CF8">
          <w:rPr>
            <w:rStyle w:val="Hyperlink"/>
            <w:rFonts w:eastAsia="Calibri" w:cstheme="minorHAnsi"/>
            <w:b/>
          </w:rPr>
          <w:t>-1</w:t>
        </w:r>
      </w:hyperlink>
      <w:r w:rsidRPr="00F12CF8">
        <w:rPr>
          <w:rFonts w:eastAsia="Calibri" w:cstheme="minorHAnsi"/>
          <w:b/>
        </w:rPr>
        <w:t xml:space="preserve"> </w:t>
      </w:r>
      <w:r w:rsidRPr="00F12CF8">
        <w:rPr>
          <w:rFonts w:eastAsia="Calibri" w:cstheme="minorHAnsi"/>
        </w:rPr>
        <w:t>provides an overview of psychometric findings for measures of smoking cessation.</w:t>
      </w:r>
      <w:r w:rsidRPr="00F12CF8">
        <w:rPr>
          <w:rFonts w:eastAsia="Calibri" w:cstheme="minorHAnsi"/>
          <w:b/>
        </w:rPr>
        <w:t xml:space="preserve"> </w:t>
      </w:r>
      <w:hyperlink w:anchor="Table5_2" w:history="1">
        <w:r w:rsidRPr="00F12CF8">
          <w:rPr>
            <w:rStyle w:val="Hyperlink"/>
            <w:rFonts w:eastAsia="Calibri" w:cstheme="minorHAnsi"/>
            <w:b/>
          </w:rPr>
          <w:t xml:space="preserve">Table </w:t>
        </w:r>
        <w:r>
          <w:rPr>
            <w:rStyle w:val="Hyperlink"/>
            <w:rFonts w:eastAsia="Calibri" w:cstheme="minorHAnsi"/>
            <w:b/>
          </w:rPr>
          <w:t>8</w:t>
        </w:r>
        <w:r w:rsidRPr="00F12CF8">
          <w:rPr>
            <w:rStyle w:val="Hyperlink"/>
            <w:rFonts w:eastAsia="Calibri" w:cstheme="minorHAnsi"/>
            <w:b/>
          </w:rPr>
          <w:t>-2</w:t>
        </w:r>
      </w:hyperlink>
      <w:r w:rsidRPr="00F12CF8">
        <w:rPr>
          <w:rFonts w:eastAsia="Calibri" w:cstheme="minorHAnsi"/>
          <w:b/>
        </w:rPr>
        <w:t xml:space="preserve"> </w:t>
      </w:r>
      <w:r w:rsidRPr="00F12CF8">
        <w:rPr>
          <w:rFonts w:eastAsia="Calibri" w:cstheme="minorHAnsi"/>
        </w:rPr>
        <w:t xml:space="preserve">below </w:t>
      </w:r>
      <w:r w:rsidRPr="00494051">
        <w:rPr>
          <w:rFonts w:eastAsia="Calibri" w:cstheme="minorHAnsi"/>
        </w:rPr>
        <w:t xml:space="preserve">contains a summary of the identified published assessments of the psychometric foundations of smoking </w:t>
      </w:r>
      <w:r>
        <w:rPr>
          <w:rFonts w:eastAsia="Calibri" w:cstheme="minorHAnsi"/>
        </w:rPr>
        <w:t>cessation</w:t>
      </w:r>
      <w:r w:rsidRPr="00494051">
        <w:rPr>
          <w:rFonts w:eastAsia="Calibri" w:cstheme="minorHAnsi"/>
        </w:rPr>
        <w:t xml:space="preserve"> measures. Only studies for which the study population was at least partially U.S.-based and the statistical measure for reliability or validity met acceptable values, are included.</w:t>
      </w:r>
    </w:p>
    <w:p w14:paraId="3705DA74" w14:textId="77777777" w:rsidR="007F0AE0" w:rsidRPr="00494051" w:rsidRDefault="007F0AE0" w:rsidP="007F0AE0">
      <w:pPr>
        <w:spacing w:after="120" w:line="240" w:lineRule="auto"/>
        <w:jc w:val="both"/>
        <w:outlineLvl w:val="1"/>
        <w:rPr>
          <w:rFonts w:cstheme="minorHAnsi"/>
        </w:rPr>
      </w:pPr>
      <w:bookmarkStart w:id="17" w:name="Table5_1"/>
      <w:r w:rsidRPr="00494051">
        <w:rPr>
          <w:rFonts w:cstheme="minorHAnsi"/>
          <w:b/>
          <w:color w:val="000000" w:themeColor="text1"/>
        </w:rPr>
        <w:lastRenderedPageBreak/>
        <w:t xml:space="preserve">Table </w:t>
      </w:r>
      <w:r>
        <w:rPr>
          <w:rFonts w:cstheme="minorHAnsi"/>
          <w:b/>
          <w:color w:val="000000" w:themeColor="text1"/>
        </w:rPr>
        <w:t>8</w:t>
      </w:r>
      <w:r w:rsidRPr="00494051">
        <w:rPr>
          <w:rFonts w:cstheme="minorHAnsi"/>
          <w:b/>
          <w:color w:val="000000" w:themeColor="text1"/>
        </w:rPr>
        <w:t>-1: Overview</w:t>
      </w:r>
      <w:r w:rsidRPr="00494051">
        <w:rPr>
          <w:rFonts w:eastAsia="Calibri" w:cstheme="minorHAnsi"/>
          <w:b/>
        </w:rPr>
        <w:t xml:space="preserve"> of Psychometric Findings for Measures of Smoking Cessation</w:t>
      </w:r>
      <w:r w:rsidRPr="00494051">
        <w:rPr>
          <w:rFonts w:cstheme="minorHAnsi"/>
        </w:rPr>
        <w:t xml:space="preserve"> </w:t>
      </w:r>
    </w:p>
    <w:bookmarkEnd w:id="17"/>
    <w:tbl>
      <w:tblPr>
        <w:tblW w:w="4892" w:type="pct"/>
        <w:tblLayout w:type="fixed"/>
        <w:tblLook w:val="04A0" w:firstRow="1" w:lastRow="0" w:firstColumn="1" w:lastColumn="0" w:noHBand="0" w:noVBand="1"/>
      </w:tblPr>
      <w:tblGrid>
        <w:gridCol w:w="3145"/>
        <w:gridCol w:w="826"/>
        <w:gridCol w:w="831"/>
        <w:gridCol w:w="783"/>
        <w:gridCol w:w="246"/>
        <w:gridCol w:w="1003"/>
        <w:gridCol w:w="1093"/>
        <w:gridCol w:w="913"/>
        <w:gridCol w:w="1075"/>
        <w:gridCol w:w="752"/>
        <w:gridCol w:w="701"/>
        <w:gridCol w:w="934"/>
        <w:gridCol w:w="932"/>
      </w:tblGrid>
      <w:tr w:rsidR="007F0AE0" w:rsidRPr="00494051" w14:paraId="1D96C691" w14:textId="77777777" w:rsidTr="00453DE3">
        <w:trPr>
          <w:trHeight w:val="379"/>
        </w:trPr>
        <w:tc>
          <w:tcPr>
            <w:tcW w:w="5000" w:type="pct"/>
            <w:gridSpan w:val="13"/>
            <w:tcBorders>
              <w:top w:val="single" w:sz="4" w:space="0" w:color="auto"/>
              <w:left w:val="single" w:sz="4" w:space="0" w:color="auto"/>
              <w:bottom w:val="single" w:sz="8" w:space="0" w:color="auto"/>
              <w:right w:val="single" w:sz="4" w:space="0" w:color="auto"/>
            </w:tcBorders>
            <w:shd w:val="clear" w:color="auto" w:fill="44546A" w:themeFill="text2"/>
            <w:vAlign w:val="bottom"/>
            <w:hideMark/>
          </w:tcPr>
          <w:p w14:paraId="769A6EBA" w14:textId="77777777" w:rsidR="007F0AE0" w:rsidRPr="00494051" w:rsidRDefault="007F0AE0" w:rsidP="00453DE3">
            <w:pPr>
              <w:rPr>
                <w:rFonts w:eastAsia="Times New Roman" w:cstheme="minorHAnsi"/>
                <w:b/>
                <w:bCs/>
                <w:color w:val="FFFFFF" w:themeColor="background1"/>
                <w:sz w:val="18"/>
                <w:szCs w:val="18"/>
              </w:rPr>
            </w:pPr>
          </w:p>
        </w:tc>
      </w:tr>
      <w:tr w:rsidR="007F0AE0" w:rsidRPr="00494051" w14:paraId="5A6921D9" w14:textId="77777777" w:rsidTr="00453DE3">
        <w:trPr>
          <w:trHeight w:val="315"/>
        </w:trPr>
        <w:tc>
          <w:tcPr>
            <w:tcW w:w="1188" w:type="pct"/>
            <w:tcBorders>
              <w:top w:val="single" w:sz="8" w:space="0" w:color="auto"/>
              <w:left w:val="single" w:sz="4" w:space="0" w:color="auto"/>
              <w:bottom w:val="nil"/>
              <w:right w:val="nil"/>
            </w:tcBorders>
            <w:shd w:val="clear" w:color="auto" w:fill="auto"/>
            <w:vAlign w:val="bottom"/>
            <w:hideMark/>
          </w:tcPr>
          <w:p w14:paraId="3C4C58DB" w14:textId="77777777" w:rsidR="007F0AE0" w:rsidRPr="00494051" w:rsidRDefault="007F0AE0" w:rsidP="00453DE3">
            <w:pPr>
              <w:spacing w:after="120"/>
              <w:rPr>
                <w:rFonts w:eastAsia="Times New Roman" w:cstheme="minorHAnsi"/>
                <w:b/>
                <w:bCs/>
                <w:color w:val="000000"/>
                <w:sz w:val="16"/>
                <w:szCs w:val="16"/>
              </w:rPr>
            </w:pPr>
            <w:r w:rsidRPr="00494051">
              <w:rPr>
                <w:rFonts w:eastAsia="Times New Roman" w:cstheme="minorHAnsi"/>
                <w:b/>
                <w:bCs/>
                <w:color w:val="000000"/>
                <w:sz w:val="16"/>
                <w:szCs w:val="16"/>
              </w:rPr>
              <w:t> </w:t>
            </w:r>
          </w:p>
        </w:tc>
        <w:tc>
          <w:tcPr>
            <w:tcW w:w="922" w:type="pct"/>
            <w:gridSpan w:val="3"/>
            <w:tcBorders>
              <w:top w:val="single" w:sz="8" w:space="0" w:color="auto"/>
              <w:left w:val="nil"/>
              <w:bottom w:val="double" w:sz="6" w:space="0" w:color="auto"/>
              <w:right w:val="single" w:sz="4" w:space="0" w:color="000000"/>
            </w:tcBorders>
            <w:shd w:val="clear" w:color="auto" w:fill="auto"/>
            <w:noWrap/>
            <w:vAlign w:val="bottom"/>
            <w:hideMark/>
          </w:tcPr>
          <w:p w14:paraId="57F99B87"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Stat</w:t>
            </w:r>
            <w:r>
              <w:rPr>
                <w:rFonts w:eastAsia="Times New Roman" w:cstheme="minorHAnsi"/>
                <w:b/>
                <w:bCs/>
                <w:color w:val="000000"/>
                <w:sz w:val="16"/>
                <w:szCs w:val="16"/>
              </w:rPr>
              <w:t>istical reliability indicator ≥</w:t>
            </w:r>
            <w:r w:rsidRPr="00494051">
              <w:rPr>
                <w:rFonts w:eastAsia="Times New Roman" w:cstheme="minorHAnsi"/>
                <w:b/>
                <w:bCs/>
                <w:color w:val="000000"/>
                <w:sz w:val="16"/>
                <w:szCs w:val="16"/>
              </w:rPr>
              <w:t>0.70?</w:t>
            </w:r>
          </w:p>
        </w:tc>
        <w:tc>
          <w:tcPr>
            <w:tcW w:w="93" w:type="pct"/>
            <w:tcBorders>
              <w:top w:val="single" w:sz="8" w:space="0" w:color="auto"/>
              <w:left w:val="nil"/>
              <w:bottom w:val="nil"/>
              <w:right w:val="nil"/>
            </w:tcBorders>
            <w:shd w:val="clear" w:color="auto" w:fill="auto"/>
            <w:noWrap/>
            <w:vAlign w:val="bottom"/>
            <w:hideMark/>
          </w:tcPr>
          <w:p w14:paraId="1DD07F4F" w14:textId="77777777" w:rsidR="007F0AE0" w:rsidRPr="00494051" w:rsidRDefault="007F0AE0" w:rsidP="00453DE3">
            <w:pPr>
              <w:spacing w:after="120"/>
              <w:rPr>
                <w:rFonts w:eastAsia="Times New Roman" w:cstheme="minorHAnsi"/>
                <w:b/>
                <w:bCs/>
                <w:color w:val="000000"/>
                <w:sz w:val="16"/>
                <w:szCs w:val="16"/>
              </w:rPr>
            </w:pPr>
            <w:r w:rsidRPr="00494051">
              <w:rPr>
                <w:rFonts w:eastAsia="Times New Roman" w:cstheme="minorHAnsi"/>
                <w:b/>
                <w:bCs/>
                <w:color w:val="000000"/>
                <w:sz w:val="16"/>
                <w:szCs w:val="16"/>
              </w:rPr>
              <w:t> </w:t>
            </w:r>
          </w:p>
        </w:tc>
        <w:tc>
          <w:tcPr>
            <w:tcW w:w="1137" w:type="pct"/>
            <w:gridSpan w:val="3"/>
            <w:tcBorders>
              <w:top w:val="single" w:sz="8" w:space="0" w:color="auto"/>
              <w:left w:val="single" w:sz="4" w:space="0" w:color="auto"/>
              <w:bottom w:val="nil"/>
              <w:right w:val="single" w:sz="4" w:space="0" w:color="000000"/>
            </w:tcBorders>
            <w:shd w:val="clear" w:color="auto" w:fill="auto"/>
            <w:noWrap/>
            <w:vAlign w:val="bottom"/>
            <w:hideMark/>
          </w:tcPr>
          <w:p w14:paraId="62B0B770"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Statistical Validity Indicator?</w:t>
            </w:r>
          </w:p>
        </w:tc>
        <w:tc>
          <w:tcPr>
            <w:tcW w:w="955" w:type="pct"/>
            <w:gridSpan w:val="3"/>
            <w:tcBorders>
              <w:top w:val="single" w:sz="8" w:space="0" w:color="auto"/>
              <w:left w:val="nil"/>
              <w:bottom w:val="double" w:sz="6" w:space="0" w:color="auto"/>
              <w:right w:val="single" w:sz="4" w:space="0" w:color="000000"/>
            </w:tcBorders>
            <w:shd w:val="clear" w:color="auto" w:fill="auto"/>
            <w:noWrap/>
            <w:vAlign w:val="bottom"/>
            <w:hideMark/>
          </w:tcPr>
          <w:p w14:paraId="307A374E"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External (Population) Validity?</w:t>
            </w:r>
          </w:p>
        </w:tc>
        <w:tc>
          <w:tcPr>
            <w:tcW w:w="705" w:type="pct"/>
            <w:gridSpan w:val="2"/>
            <w:vMerge w:val="restart"/>
            <w:tcBorders>
              <w:top w:val="single" w:sz="8" w:space="0" w:color="auto"/>
              <w:left w:val="nil"/>
              <w:right w:val="single" w:sz="4" w:space="0" w:color="auto"/>
            </w:tcBorders>
            <w:shd w:val="clear" w:color="auto" w:fill="auto"/>
            <w:noWrap/>
            <w:vAlign w:val="bottom"/>
            <w:hideMark/>
          </w:tcPr>
          <w:p w14:paraId="5BA8693A"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Overall Psychometric Rating</w:t>
            </w:r>
          </w:p>
          <w:p w14:paraId="66D9B142"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(A</w:t>
            </w:r>
            <w:r>
              <w:rPr>
                <w:rFonts w:eastAsia="Times New Roman" w:cstheme="minorHAnsi"/>
                <w:b/>
                <w:bCs/>
                <w:color w:val="000000"/>
                <w:sz w:val="16"/>
                <w:szCs w:val="16"/>
              </w:rPr>
              <w:t>=</w:t>
            </w:r>
            <w:r w:rsidRPr="00494051">
              <w:rPr>
                <w:rFonts w:eastAsia="Times New Roman" w:cstheme="minorHAnsi"/>
                <w:b/>
                <w:bCs/>
                <w:color w:val="000000"/>
                <w:sz w:val="16"/>
                <w:szCs w:val="16"/>
              </w:rPr>
              <w:t xml:space="preserve">Acceptable; </w:t>
            </w:r>
            <w:r w:rsidRPr="00494051">
              <w:rPr>
                <w:rFonts w:eastAsia="Times New Roman" w:cstheme="minorHAnsi"/>
                <w:b/>
                <w:bCs/>
                <w:color w:val="000000"/>
                <w:sz w:val="16"/>
                <w:szCs w:val="16"/>
              </w:rPr>
              <w:br/>
              <w:t>I</w:t>
            </w:r>
            <w:r>
              <w:rPr>
                <w:rFonts w:eastAsia="Times New Roman" w:cstheme="minorHAnsi"/>
                <w:b/>
                <w:bCs/>
                <w:color w:val="000000"/>
                <w:sz w:val="16"/>
                <w:szCs w:val="16"/>
              </w:rPr>
              <w:t>=</w:t>
            </w:r>
            <w:r w:rsidRPr="00494051">
              <w:rPr>
                <w:rFonts w:eastAsia="Times New Roman" w:cstheme="minorHAnsi"/>
                <w:b/>
                <w:bCs/>
                <w:color w:val="000000"/>
                <w:sz w:val="16"/>
                <w:szCs w:val="16"/>
              </w:rPr>
              <w:t>Inconclusive)</w:t>
            </w:r>
          </w:p>
          <w:p w14:paraId="48720CFD" w14:textId="77777777" w:rsidR="007F0AE0" w:rsidRPr="00494051" w:rsidRDefault="007F0AE0" w:rsidP="00453DE3">
            <w:pPr>
              <w:spacing w:after="120"/>
              <w:jc w:val="center"/>
              <w:rPr>
                <w:rFonts w:eastAsia="Times New Roman" w:cstheme="minorHAnsi"/>
                <w:b/>
                <w:bCs/>
                <w:color w:val="000000"/>
                <w:sz w:val="16"/>
                <w:szCs w:val="16"/>
              </w:rPr>
            </w:pPr>
          </w:p>
        </w:tc>
      </w:tr>
      <w:tr w:rsidR="007F0AE0" w:rsidRPr="00494051" w14:paraId="179732BD" w14:textId="77777777" w:rsidTr="00453DE3">
        <w:trPr>
          <w:trHeight w:val="330"/>
        </w:trPr>
        <w:tc>
          <w:tcPr>
            <w:tcW w:w="1188" w:type="pct"/>
            <w:tcBorders>
              <w:top w:val="nil"/>
              <w:left w:val="single" w:sz="4" w:space="0" w:color="auto"/>
              <w:bottom w:val="nil"/>
              <w:right w:val="nil"/>
            </w:tcBorders>
            <w:shd w:val="clear" w:color="auto" w:fill="auto"/>
            <w:vAlign w:val="bottom"/>
            <w:hideMark/>
          </w:tcPr>
          <w:p w14:paraId="0E4456CE" w14:textId="77777777" w:rsidR="007F0AE0" w:rsidRPr="00494051" w:rsidRDefault="007F0AE0" w:rsidP="00453DE3">
            <w:pPr>
              <w:spacing w:after="120"/>
              <w:rPr>
                <w:rFonts w:eastAsia="Times New Roman" w:cstheme="minorHAnsi"/>
                <w:b/>
                <w:bCs/>
                <w:color w:val="000000"/>
                <w:sz w:val="16"/>
                <w:szCs w:val="16"/>
              </w:rPr>
            </w:pPr>
            <w:r w:rsidRPr="00494051">
              <w:rPr>
                <w:rFonts w:eastAsia="Times New Roman" w:cstheme="minorHAnsi"/>
                <w:b/>
                <w:bCs/>
                <w:color w:val="000000"/>
                <w:sz w:val="16"/>
                <w:szCs w:val="16"/>
              </w:rPr>
              <w:t> </w:t>
            </w:r>
          </w:p>
        </w:tc>
        <w:tc>
          <w:tcPr>
            <w:tcW w:w="312" w:type="pct"/>
            <w:vMerge w:val="restart"/>
            <w:tcBorders>
              <w:top w:val="nil"/>
              <w:left w:val="single" w:sz="4" w:space="0" w:color="auto"/>
              <w:bottom w:val="single" w:sz="8" w:space="0" w:color="000000"/>
              <w:right w:val="single" w:sz="4" w:space="0" w:color="auto"/>
            </w:tcBorders>
            <w:shd w:val="clear" w:color="auto" w:fill="auto"/>
            <w:vAlign w:val="bottom"/>
            <w:hideMark/>
          </w:tcPr>
          <w:p w14:paraId="6EC2CF8F"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Both Genders</w:t>
            </w:r>
          </w:p>
        </w:tc>
        <w:tc>
          <w:tcPr>
            <w:tcW w:w="610" w:type="pct"/>
            <w:gridSpan w:val="2"/>
            <w:tcBorders>
              <w:top w:val="double" w:sz="6" w:space="0" w:color="auto"/>
              <w:left w:val="nil"/>
              <w:bottom w:val="single" w:sz="4" w:space="0" w:color="auto"/>
              <w:right w:val="single" w:sz="4" w:space="0" w:color="000000"/>
            </w:tcBorders>
            <w:shd w:val="clear" w:color="auto" w:fill="auto"/>
            <w:noWrap/>
            <w:vAlign w:val="bottom"/>
            <w:hideMark/>
          </w:tcPr>
          <w:p w14:paraId="42A1A007"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By Age</w:t>
            </w:r>
          </w:p>
        </w:tc>
        <w:tc>
          <w:tcPr>
            <w:tcW w:w="93" w:type="pct"/>
            <w:tcBorders>
              <w:top w:val="nil"/>
              <w:left w:val="nil"/>
              <w:bottom w:val="nil"/>
              <w:right w:val="nil"/>
            </w:tcBorders>
            <w:shd w:val="clear" w:color="auto" w:fill="auto"/>
            <w:noWrap/>
            <w:vAlign w:val="bottom"/>
            <w:hideMark/>
          </w:tcPr>
          <w:p w14:paraId="4D8508C7" w14:textId="77777777" w:rsidR="007F0AE0" w:rsidRPr="00494051" w:rsidRDefault="007F0AE0" w:rsidP="00453DE3">
            <w:pPr>
              <w:spacing w:after="120"/>
              <w:jc w:val="center"/>
              <w:rPr>
                <w:rFonts w:eastAsia="Times New Roman" w:cstheme="minorHAnsi"/>
                <w:b/>
                <w:bCs/>
                <w:color w:val="000000"/>
                <w:sz w:val="16"/>
                <w:szCs w:val="16"/>
              </w:rPr>
            </w:pPr>
          </w:p>
        </w:tc>
        <w:tc>
          <w:tcPr>
            <w:tcW w:w="1137" w:type="pct"/>
            <w:gridSpan w:val="3"/>
            <w:tcBorders>
              <w:top w:val="nil"/>
              <w:left w:val="single" w:sz="4" w:space="0" w:color="auto"/>
              <w:bottom w:val="double" w:sz="6" w:space="0" w:color="auto"/>
              <w:right w:val="single" w:sz="4" w:space="0" w:color="000000"/>
            </w:tcBorders>
            <w:shd w:val="clear" w:color="auto" w:fill="auto"/>
            <w:noWrap/>
            <w:vAlign w:val="bottom"/>
            <w:hideMark/>
          </w:tcPr>
          <w:p w14:paraId="03AEAB24"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[Criterion, Predictive, Convergent]</w:t>
            </w:r>
          </w:p>
        </w:tc>
        <w:tc>
          <w:tcPr>
            <w:tcW w:w="406" w:type="pct"/>
            <w:vMerge w:val="restart"/>
            <w:tcBorders>
              <w:top w:val="nil"/>
              <w:left w:val="single" w:sz="4" w:space="0" w:color="auto"/>
              <w:bottom w:val="single" w:sz="8" w:space="0" w:color="000000"/>
              <w:right w:val="single" w:sz="4" w:space="0" w:color="auto"/>
            </w:tcBorders>
            <w:shd w:val="clear" w:color="auto" w:fill="auto"/>
            <w:vAlign w:val="bottom"/>
            <w:hideMark/>
          </w:tcPr>
          <w:p w14:paraId="5EE82652"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Both Genders</w:t>
            </w:r>
          </w:p>
        </w:tc>
        <w:tc>
          <w:tcPr>
            <w:tcW w:w="549" w:type="pct"/>
            <w:gridSpan w:val="2"/>
            <w:tcBorders>
              <w:top w:val="double" w:sz="6" w:space="0" w:color="auto"/>
              <w:left w:val="nil"/>
              <w:bottom w:val="single" w:sz="4" w:space="0" w:color="auto"/>
              <w:right w:val="single" w:sz="4" w:space="0" w:color="000000"/>
            </w:tcBorders>
            <w:shd w:val="clear" w:color="auto" w:fill="auto"/>
            <w:noWrap/>
            <w:vAlign w:val="bottom"/>
            <w:hideMark/>
          </w:tcPr>
          <w:p w14:paraId="0B12F202"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By Age</w:t>
            </w:r>
          </w:p>
        </w:tc>
        <w:tc>
          <w:tcPr>
            <w:tcW w:w="705" w:type="pct"/>
            <w:gridSpan w:val="2"/>
            <w:vMerge/>
            <w:tcBorders>
              <w:left w:val="nil"/>
              <w:right w:val="single" w:sz="4" w:space="0" w:color="auto"/>
            </w:tcBorders>
            <w:shd w:val="clear" w:color="auto" w:fill="auto"/>
            <w:noWrap/>
            <w:vAlign w:val="bottom"/>
            <w:hideMark/>
          </w:tcPr>
          <w:p w14:paraId="70DADE83" w14:textId="77777777" w:rsidR="007F0AE0" w:rsidRPr="00494051" w:rsidRDefault="007F0AE0" w:rsidP="00453DE3">
            <w:pPr>
              <w:spacing w:after="120"/>
              <w:jc w:val="center"/>
              <w:rPr>
                <w:rFonts w:eastAsia="Times New Roman" w:cstheme="minorHAnsi"/>
                <w:b/>
                <w:bCs/>
                <w:color w:val="000000"/>
                <w:sz w:val="16"/>
                <w:szCs w:val="16"/>
              </w:rPr>
            </w:pPr>
          </w:p>
        </w:tc>
      </w:tr>
      <w:tr w:rsidR="007F0AE0" w:rsidRPr="00494051" w14:paraId="5C6ACB5B" w14:textId="77777777" w:rsidTr="00453DE3">
        <w:trPr>
          <w:trHeight w:val="330"/>
        </w:trPr>
        <w:tc>
          <w:tcPr>
            <w:tcW w:w="1188" w:type="pct"/>
            <w:tcBorders>
              <w:top w:val="nil"/>
              <w:left w:val="single" w:sz="4" w:space="0" w:color="auto"/>
              <w:bottom w:val="single" w:sz="8" w:space="0" w:color="auto"/>
              <w:right w:val="nil"/>
            </w:tcBorders>
            <w:shd w:val="clear" w:color="auto" w:fill="auto"/>
            <w:vAlign w:val="bottom"/>
            <w:hideMark/>
          </w:tcPr>
          <w:p w14:paraId="1E824CE9"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Scale or Measure</w:t>
            </w:r>
          </w:p>
        </w:tc>
        <w:tc>
          <w:tcPr>
            <w:tcW w:w="312" w:type="pct"/>
            <w:vMerge/>
            <w:tcBorders>
              <w:top w:val="nil"/>
              <w:left w:val="single" w:sz="4" w:space="0" w:color="auto"/>
              <w:bottom w:val="single" w:sz="8" w:space="0" w:color="000000"/>
              <w:right w:val="single" w:sz="4" w:space="0" w:color="auto"/>
            </w:tcBorders>
            <w:vAlign w:val="center"/>
            <w:hideMark/>
          </w:tcPr>
          <w:p w14:paraId="07CD4EBB" w14:textId="77777777" w:rsidR="007F0AE0" w:rsidRPr="00494051" w:rsidRDefault="007F0AE0" w:rsidP="00453DE3">
            <w:pPr>
              <w:spacing w:after="120"/>
              <w:rPr>
                <w:rFonts w:eastAsia="Times New Roman" w:cstheme="minorHAnsi"/>
                <w:b/>
                <w:bCs/>
                <w:color w:val="000000"/>
                <w:sz w:val="16"/>
                <w:szCs w:val="16"/>
              </w:rPr>
            </w:pPr>
          </w:p>
        </w:tc>
        <w:tc>
          <w:tcPr>
            <w:tcW w:w="314" w:type="pct"/>
            <w:tcBorders>
              <w:top w:val="nil"/>
              <w:left w:val="nil"/>
              <w:bottom w:val="single" w:sz="8" w:space="0" w:color="auto"/>
              <w:right w:val="single" w:sz="4" w:space="0" w:color="auto"/>
            </w:tcBorders>
            <w:shd w:val="clear" w:color="auto" w:fill="auto"/>
            <w:noWrap/>
            <w:vAlign w:val="bottom"/>
            <w:hideMark/>
          </w:tcPr>
          <w:p w14:paraId="6A52055E"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Adults</w:t>
            </w:r>
          </w:p>
        </w:tc>
        <w:tc>
          <w:tcPr>
            <w:tcW w:w="296" w:type="pct"/>
            <w:tcBorders>
              <w:top w:val="nil"/>
              <w:left w:val="nil"/>
              <w:bottom w:val="single" w:sz="8" w:space="0" w:color="auto"/>
              <w:right w:val="single" w:sz="4" w:space="0" w:color="auto"/>
            </w:tcBorders>
            <w:shd w:val="clear" w:color="auto" w:fill="auto"/>
            <w:noWrap/>
            <w:vAlign w:val="bottom"/>
            <w:hideMark/>
          </w:tcPr>
          <w:p w14:paraId="67A4D225"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Youth</w:t>
            </w:r>
          </w:p>
        </w:tc>
        <w:tc>
          <w:tcPr>
            <w:tcW w:w="93" w:type="pct"/>
            <w:tcBorders>
              <w:top w:val="nil"/>
              <w:left w:val="nil"/>
              <w:bottom w:val="nil"/>
              <w:right w:val="single" w:sz="4" w:space="0" w:color="auto"/>
            </w:tcBorders>
            <w:shd w:val="clear" w:color="auto" w:fill="auto"/>
            <w:noWrap/>
            <w:vAlign w:val="bottom"/>
            <w:hideMark/>
          </w:tcPr>
          <w:p w14:paraId="391EBDF8"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 </w:t>
            </w:r>
          </w:p>
        </w:tc>
        <w:tc>
          <w:tcPr>
            <w:tcW w:w="379" w:type="pct"/>
            <w:tcBorders>
              <w:top w:val="nil"/>
              <w:left w:val="nil"/>
              <w:bottom w:val="single" w:sz="8" w:space="0" w:color="auto"/>
              <w:right w:val="single" w:sz="4" w:space="0" w:color="auto"/>
            </w:tcBorders>
            <w:shd w:val="clear" w:color="auto" w:fill="auto"/>
            <w:noWrap/>
            <w:vAlign w:val="bottom"/>
            <w:hideMark/>
          </w:tcPr>
          <w:p w14:paraId="6B6A957A"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Behavioral</w:t>
            </w:r>
          </w:p>
        </w:tc>
        <w:tc>
          <w:tcPr>
            <w:tcW w:w="413" w:type="pct"/>
            <w:tcBorders>
              <w:top w:val="nil"/>
              <w:left w:val="nil"/>
              <w:bottom w:val="single" w:sz="8" w:space="0" w:color="auto"/>
              <w:right w:val="single" w:sz="4" w:space="0" w:color="auto"/>
            </w:tcBorders>
            <w:shd w:val="clear" w:color="auto" w:fill="auto"/>
            <w:noWrap/>
            <w:vAlign w:val="bottom"/>
            <w:hideMark/>
          </w:tcPr>
          <w:p w14:paraId="72F566F9"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Biochemical</w:t>
            </w:r>
          </w:p>
        </w:tc>
        <w:tc>
          <w:tcPr>
            <w:tcW w:w="345" w:type="pct"/>
            <w:tcBorders>
              <w:top w:val="nil"/>
              <w:left w:val="nil"/>
              <w:bottom w:val="single" w:sz="8" w:space="0" w:color="auto"/>
              <w:right w:val="nil"/>
            </w:tcBorders>
            <w:shd w:val="clear" w:color="auto" w:fill="auto"/>
            <w:noWrap/>
            <w:vAlign w:val="bottom"/>
            <w:hideMark/>
          </w:tcPr>
          <w:p w14:paraId="4B7C4FD3"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Cessation</w:t>
            </w:r>
          </w:p>
        </w:tc>
        <w:tc>
          <w:tcPr>
            <w:tcW w:w="406" w:type="pct"/>
            <w:vMerge/>
            <w:tcBorders>
              <w:top w:val="nil"/>
              <w:left w:val="single" w:sz="4" w:space="0" w:color="auto"/>
              <w:bottom w:val="single" w:sz="8" w:space="0" w:color="000000"/>
              <w:right w:val="single" w:sz="4" w:space="0" w:color="auto"/>
            </w:tcBorders>
            <w:vAlign w:val="center"/>
            <w:hideMark/>
          </w:tcPr>
          <w:p w14:paraId="7B0F24BF" w14:textId="77777777" w:rsidR="007F0AE0" w:rsidRPr="00494051" w:rsidRDefault="007F0AE0" w:rsidP="00453DE3">
            <w:pPr>
              <w:spacing w:after="120"/>
              <w:rPr>
                <w:rFonts w:eastAsia="Times New Roman" w:cstheme="minorHAnsi"/>
                <w:b/>
                <w:bCs/>
                <w:color w:val="000000"/>
                <w:sz w:val="16"/>
                <w:szCs w:val="16"/>
              </w:rPr>
            </w:pPr>
          </w:p>
        </w:tc>
        <w:tc>
          <w:tcPr>
            <w:tcW w:w="284" w:type="pct"/>
            <w:tcBorders>
              <w:top w:val="nil"/>
              <w:left w:val="nil"/>
              <w:bottom w:val="single" w:sz="8" w:space="0" w:color="auto"/>
              <w:right w:val="single" w:sz="4" w:space="0" w:color="auto"/>
            </w:tcBorders>
            <w:shd w:val="clear" w:color="auto" w:fill="auto"/>
            <w:noWrap/>
            <w:vAlign w:val="bottom"/>
            <w:hideMark/>
          </w:tcPr>
          <w:p w14:paraId="0F019E17"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Adults</w:t>
            </w:r>
          </w:p>
        </w:tc>
        <w:tc>
          <w:tcPr>
            <w:tcW w:w="265" w:type="pct"/>
            <w:tcBorders>
              <w:top w:val="nil"/>
              <w:left w:val="nil"/>
              <w:bottom w:val="single" w:sz="8" w:space="0" w:color="auto"/>
              <w:right w:val="single" w:sz="4" w:space="0" w:color="auto"/>
            </w:tcBorders>
            <w:shd w:val="clear" w:color="auto" w:fill="auto"/>
            <w:noWrap/>
            <w:vAlign w:val="bottom"/>
            <w:hideMark/>
          </w:tcPr>
          <w:p w14:paraId="4C1A7EA5" w14:textId="77777777" w:rsidR="007F0AE0" w:rsidRPr="00494051" w:rsidRDefault="007F0AE0" w:rsidP="00453DE3">
            <w:pPr>
              <w:spacing w:after="120"/>
              <w:jc w:val="center"/>
              <w:rPr>
                <w:rFonts w:eastAsia="Times New Roman" w:cstheme="minorHAnsi"/>
                <w:b/>
                <w:bCs/>
                <w:color w:val="000000"/>
                <w:sz w:val="16"/>
                <w:szCs w:val="16"/>
              </w:rPr>
            </w:pPr>
            <w:r w:rsidRPr="00494051">
              <w:rPr>
                <w:rFonts w:eastAsia="Times New Roman" w:cstheme="minorHAnsi"/>
                <w:b/>
                <w:bCs/>
                <w:color w:val="000000"/>
                <w:sz w:val="16"/>
                <w:szCs w:val="16"/>
              </w:rPr>
              <w:t>Youth</w:t>
            </w:r>
          </w:p>
        </w:tc>
        <w:tc>
          <w:tcPr>
            <w:tcW w:w="705" w:type="pct"/>
            <w:gridSpan w:val="2"/>
            <w:vMerge/>
            <w:tcBorders>
              <w:left w:val="nil"/>
              <w:bottom w:val="single" w:sz="8" w:space="0" w:color="auto"/>
              <w:right w:val="single" w:sz="4" w:space="0" w:color="auto"/>
            </w:tcBorders>
            <w:shd w:val="clear" w:color="auto" w:fill="auto"/>
            <w:noWrap/>
            <w:vAlign w:val="bottom"/>
          </w:tcPr>
          <w:p w14:paraId="2F7952D0" w14:textId="77777777" w:rsidR="007F0AE0" w:rsidRPr="00494051" w:rsidRDefault="007F0AE0" w:rsidP="00453DE3">
            <w:pPr>
              <w:spacing w:after="120"/>
              <w:jc w:val="center"/>
              <w:rPr>
                <w:rFonts w:eastAsia="Times New Roman" w:cstheme="minorHAnsi"/>
                <w:b/>
                <w:bCs/>
                <w:color w:val="000000"/>
                <w:sz w:val="16"/>
                <w:szCs w:val="16"/>
              </w:rPr>
            </w:pPr>
          </w:p>
        </w:tc>
      </w:tr>
      <w:tr w:rsidR="007F0AE0" w:rsidRPr="00494051" w14:paraId="7D729F8B" w14:textId="77777777" w:rsidTr="00453DE3">
        <w:trPr>
          <w:trHeight w:val="289"/>
        </w:trPr>
        <w:tc>
          <w:tcPr>
            <w:tcW w:w="11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083B14"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Duration of abstinence</w:t>
            </w:r>
          </w:p>
        </w:tc>
        <w:tc>
          <w:tcPr>
            <w:tcW w:w="312"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ECF19A6"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Yes</w:t>
            </w:r>
          </w:p>
        </w:tc>
        <w:tc>
          <w:tcPr>
            <w:tcW w:w="314" w:type="pct"/>
            <w:tcBorders>
              <w:top w:val="nil"/>
              <w:left w:val="nil"/>
              <w:bottom w:val="single" w:sz="4" w:space="0" w:color="auto"/>
              <w:right w:val="single" w:sz="4" w:space="0" w:color="auto"/>
            </w:tcBorders>
            <w:shd w:val="clear" w:color="auto" w:fill="auto"/>
            <w:noWrap/>
            <w:vAlign w:val="center"/>
            <w:hideMark/>
          </w:tcPr>
          <w:p w14:paraId="2A17D5AA" w14:textId="77777777" w:rsidR="007F0AE0" w:rsidRPr="00494051" w:rsidRDefault="007F0AE0" w:rsidP="00453DE3">
            <w:pPr>
              <w:spacing w:after="120"/>
              <w:jc w:val="center"/>
              <w:rPr>
                <w:rFonts w:eastAsia="Times New Roman" w:cstheme="minorHAnsi"/>
                <w:color w:val="000000"/>
                <w:sz w:val="16"/>
                <w:szCs w:val="16"/>
              </w:rPr>
            </w:pPr>
            <w:r w:rsidRPr="00D25529">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6F6CA4DC" w14:textId="77777777" w:rsidR="007F0AE0" w:rsidRPr="00494051" w:rsidRDefault="007F0AE0" w:rsidP="00453DE3">
            <w:pPr>
              <w:spacing w:after="120"/>
              <w:jc w:val="center"/>
              <w:rPr>
                <w:rFonts w:eastAsia="Times New Roman" w:cstheme="minorHAnsi"/>
                <w:color w:val="000000"/>
                <w:sz w:val="16"/>
                <w:szCs w:val="16"/>
              </w:rPr>
            </w:pPr>
            <w:r w:rsidRPr="00D25529">
              <w:rPr>
                <w:rFonts w:eastAsia="Times New Roman" w:cstheme="minorHAnsi"/>
                <w:color w:val="000000"/>
                <w:sz w:val="16"/>
                <w:szCs w:val="16"/>
              </w:rPr>
              <w:t>N/A</w:t>
            </w:r>
          </w:p>
        </w:tc>
        <w:tc>
          <w:tcPr>
            <w:tcW w:w="93" w:type="pct"/>
            <w:tcBorders>
              <w:top w:val="nil"/>
              <w:left w:val="nil"/>
              <w:bottom w:val="single" w:sz="4" w:space="0" w:color="auto"/>
              <w:right w:val="single" w:sz="4" w:space="0" w:color="auto"/>
            </w:tcBorders>
            <w:shd w:val="clear" w:color="auto" w:fill="auto"/>
            <w:noWrap/>
            <w:vAlign w:val="center"/>
            <w:hideMark/>
          </w:tcPr>
          <w:p w14:paraId="35FD7E6A"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D0CECE" w:themeFill="background2" w:themeFillShade="E6"/>
            <w:noWrap/>
            <w:vAlign w:val="center"/>
            <w:hideMark/>
          </w:tcPr>
          <w:p w14:paraId="58E770F6"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413" w:type="pct"/>
            <w:tcBorders>
              <w:top w:val="nil"/>
              <w:left w:val="nil"/>
              <w:bottom w:val="single" w:sz="4" w:space="0" w:color="auto"/>
              <w:right w:val="single" w:sz="4" w:space="0" w:color="auto"/>
            </w:tcBorders>
            <w:shd w:val="clear" w:color="auto" w:fill="auto"/>
            <w:noWrap/>
            <w:vAlign w:val="center"/>
            <w:hideMark/>
          </w:tcPr>
          <w:p w14:paraId="41E58002"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4" w:space="0" w:color="auto"/>
              <w:right w:val="single" w:sz="4" w:space="0" w:color="auto"/>
            </w:tcBorders>
            <w:shd w:val="clear" w:color="auto" w:fill="auto"/>
            <w:noWrap/>
            <w:vAlign w:val="center"/>
            <w:hideMark/>
          </w:tcPr>
          <w:p w14:paraId="1C6CA31F"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D9D9D9" w:themeFill="background1" w:themeFillShade="D9"/>
            <w:noWrap/>
            <w:vAlign w:val="center"/>
            <w:hideMark/>
          </w:tcPr>
          <w:p w14:paraId="0EBAA04D"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284" w:type="pct"/>
            <w:tcBorders>
              <w:top w:val="nil"/>
              <w:left w:val="nil"/>
              <w:bottom w:val="single" w:sz="4" w:space="0" w:color="auto"/>
              <w:right w:val="single" w:sz="4" w:space="0" w:color="auto"/>
            </w:tcBorders>
            <w:shd w:val="clear" w:color="auto" w:fill="auto"/>
            <w:noWrap/>
            <w:vAlign w:val="center"/>
            <w:hideMark/>
          </w:tcPr>
          <w:p w14:paraId="28A45AC1" w14:textId="77777777" w:rsidR="007F0AE0" w:rsidRPr="00494051" w:rsidRDefault="007F0AE0" w:rsidP="00453DE3">
            <w:pPr>
              <w:spacing w:after="120"/>
              <w:jc w:val="center"/>
              <w:rPr>
                <w:rFonts w:eastAsia="Times New Roman" w:cstheme="minorHAnsi"/>
                <w:color w:val="000000"/>
                <w:sz w:val="16"/>
                <w:szCs w:val="16"/>
              </w:rPr>
            </w:pPr>
            <w:r w:rsidRPr="00BC18EE">
              <w:rPr>
                <w:rFonts w:eastAsia="Times New Roman" w:cstheme="minorHAnsi"/>
                <w:color w:val="000000"/>
                <w:sz w:val="16"/>
                <w:szCs w:val="16"/>
              </w:rPr>
              <w:t>N/A</w:t>
            </w:r>
          </w:p>
        </w:tc>
        <w:tc>
          <w:tcPr>
            <w:tcW w:w="265" w:type="pct"/>
            <w:tcBorders>
              <w:top w:val="nil"/>
              <w:left w:val="nil"/>
              <w:bottom w:val="single" w:sz="4" w:space="0" w:color="auto"/>
              <w:right w:val="single" w:sz="4" w:space="0" w:color="auto"/>
            </w:tcBorders>
            <w:shd w:val="clear" w:color="auto" w:fill="auto"/>
            <w:noWrap/>
            <w:vAlign w:val="center"/>
            <w:hideMark/>
          </w:tcPr>
          <w:p w14:paraId="443A5B1B" w14:textId="77777777" w:rsidR="007F0AE0" w:rsidRPr="00494051" w:rsidRDefault="007F0AE0" w:rsidP="00453DE3">
            <w:pPr>
              <w:spacing w:after="120"/>
              <w:jc w:val="center"/>
              <w:rPr>
                <w:rFonts w:eastAsia="Times New Roman" w:cstheme="minorHAnsi"/>
                <w:color w:val="000000"/>
                <w:sz w:val="16"/>
                <w:szCs w:val="16"/>
              </w:rPr>
            </w:pPr>
            <w:r w:rsidRPr="00BC18EE">
              <w:rPr>
                <w:rFonts w:eastAsia="Times New Roman" w:cstheme="minorHAnsi"/>
                <w:color w:val="000000"/>
                <w:sz w:val="16"/>
                <w:szCs w:val="16"/>
              </w:rPr>
              <w:t>N/A</w:t>
            </w:r>
          </w:p>
        </w:tc>
        <w:tc>
          <w:tcPr>
            <w:tcW w:w="705" w:type="pct"/>
            <w:gridSpan w:val="2"/>
            <w:tcBorders>
              <w:top w:val="nil"/>
              <w:left w:val="nil"/>
              <w:bottom w:val="single" w:sz="4" w:space="0" w:color="auto"/>
              <w:right w:val="single" w:sz="4" w:space="0" w:color="auto"/>
            </w:tcBorders>
            <w:shd w:val="clear" w:color="auto" w:fill="auto"/>
            <w:noWrap/>
            <w:vAlign w:val="center"/>
            <w:hideMark/>
          </w:tcPr>
          <w:p w14:paraId="0DC5EF1B"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A</w:t>
            </w:r>
          </w:p>
        </w:tc>
      </w:tr>
      <w:tr w:rsidR="007F0AE0" w:rsidRPr="00494051" w14:paraId="3AEF83EA" w14:textId="77777777" w:rsidTr="00453DE3">
        <w:trPr>
          <w:trHeight w:val="300"/>
        </w:trPr>
        <w:tc>
          <w:tcPr>
            <w:tcW w:w="5000" w:type="pct"/>
            <w:gridSpan w:val="13"/>
            <w:tcBorders>
              <w:top w:val="single" w:sz="4" w:space="0" w:color="auto"/>
              <w:left w:val="single" w:sz="4" w:space="0" w:color="auto"/>
              <w:bottom w:val="single" w:sz="4" w:space="0" w:color="auto"/>
              <w:right w:val="single" w:sz="4" w:space="0" w:color="auto"/>
            </w:tcBorders>
            <w:shd w:val="clear" w:color="auto" w:fill="auto"/>
            <w:vAlign w:val="center"/>
          </w:tcPr>
          <w:p w14:paraId="315F954D" w14:textId="77777777" w:rsidR="007F0AE0" w:rsidRPr="00494051" w:rsidRDefault="007F0AE0" w:rsidP="00453DE3">
            <w:pPr>
              <w:spacing w:after="120"/>
              <w:rPr>
                <w:rFonts w:eastAsia="Times New Roman" w:cstheme="minorHAnsi"/>
                <w:b/>
                <w:color w:val="000000"/>
                <w:sz w:val="16"/>
                <w:szCs w:val="16"/>
              </w:rPr>
            </w:pPr>
            <w:r w:rsidRPr="00494051">
              <w:rPr>
                <w:rFonts w:eastAsia="Times New Roman" w:cstheme="minorHAnsi"/>
                <w:color w:val="000000"/>
                <w:sz w:val="16"/>
                <w:szCs w:val="16"/>
              </w:rPr>
              <w:t>Quit attempts</w:t>
            </w:r>
          </w:p>
        </w:tc>
      </w:tr>
      <w:tr w:rsidR="007F0AE0" w:rsidRPr="00494051" w14:paraId="695893E8" w14:textId="77777777" w:rsidTr="00453DE3">
        <w:trPr>
          <w:trHeight w:val="300"/>
        </w:trPr>
        <w:tc>
          <w:tcPr>
            <w:tcW w:w="1188" w:type="pct"/>
            <w:tcBorders>
              <w:top w:val="single" w:sz="4" w:space="0" w:color="auto"/>
              <w:left w:val="single" w:sz="4" w:space="0" w:color="auto"/>
              <w:bottom w:val="nil"/>
              <w:right w:val="single" w:sz="4" w:space="0" w:color="auto"/>
            </w:tcBorders>
            <w:shd w:val="clear" w:color="auto" w:fill="auto"/>
            <w:vAlign w:val="center"/>
          </w:tcPr>
          <w:p w14:paraId="11A472CA" w14:textId="77777777" w:rsidR="007F0AE0" w:rsidRPr="00494051" w:rsidRDefault="007F0AE0" w:rsidP="00453DE3">
            <w:pPr>
              <w:spacing w:after="120"/>
              <w:ind w:firstLine="422"/>
              <w:rPr>
                <w:rFonts w:eastAsia="Times New Roman" w:cstheme="minorHAnsi"/>
                <w:color w:val="000000"/>
                <w:sz w:val="16"/>
                <w:szCs w:val="16"/>
              </w:rPr>
            </w:pPr>
            <w:r w:rsidRPr="00494051">
              <w:rPr>
                <w:rFonts w:eastAsia="Times New Roman" w:cstheme="minorHAnsi"/>
                <w:color w:val="000000"/>
                <w:sz w:val="16"/>
                <w:szCs w:val="16"/>
              </w:rPr>
              <w:t>Any quit attempts</w:t>
            </w:r>
          </w:p>
        </w:tc>
        <w:tc>
          <w:tcPr>
            <w:tcW w:w="312" w:type="pct"/>
            <w:tcBorders>
              <w:top w:val="single" w:sz="6" w:space="0" w:color="000000"/>
              <w:left w:val="nil"/>
              <w:bottom w:val="single" w:sz="4" w:space="0" w:color="auto"/>
              <w:right w:val="single" w:sz="4" w:space="0" w:color="auto"/>
            </w:tcBorders>
            <w:shd w:val="clear" w:color="auto" w:fill="D0CECE" w:themeFill="background2" w:themeFillShade="E6"/>
            <w:noWrap/>
            <w:vAlign w:val="center"/>
            <w:hideMark/>
          </w:tcPr>
          <w:p w14:paraId="6CD46D7F"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314" w:type="pct"/>
            <w:tcBorders>
              <w:top w:val="single" w:sz="4" w:space="0" w:color="auto"/>
              <w:left w:val="nil"/>
              <w:bottom w:val="single" w:sz="4" w:space="0" w:color="auto"/>
              <w:right w:val="single" w:sz="4" w:space="0" w:color="auto"/>
            </w:tcBorders>
            <w:shd w:val="clear" w:color="auto" w:fill="auto"/>
            <w:noWrap/>
            <w:vAlign w:val="center"/>
            <w:hideMark/>
          </w:tcPr>
          <w:p w14:paraId="2C79913B" w14:textId="77777777" w:rsidR="007F0AE0" w:rsidRPr="00494051" w:rsidRDefault="007F0AE0" w:rsidP="00453DE3">
            <w:pPr>
              <w:spacing w:after="120"/>
              <w:jc w:val="center"/>
              <w:rPr>
                <w:rFonts w:eastAsia="Times New Roman" w:cstheme="minorHAnsi"/>
                <w:color w:val="000000"/>
                <w:sz w:val="16"/>
                <w:szCs w:val="16"/>
              </w:rPr>
            </w:pPr>
            <w:r w:rsidRPr="00624750">
              <w:rPr>
                <w:rFonts w:eastAsia="Times New Roman" w:cstheme="minorHAnsi"/>
                <w:color w:val="000000"/>
                <w:sz w:val="16"/>
                <w:szCs w:val="16"/>
              </w:rPr>
              <w:t>N/A</w:t>
            </w:r>
          </w:p>
        </w:tc>
        <w:tc>
          <w:tcPr>
            <w:tcW w:w="296" w:type="pct"/>
            <w:tcBorders>
              <w:top w:val="single" w:sz="4" w:space="0" w:color="auto"/>
              <w:left w:val="nil"/>
              <w:bottom w:val="single" w:sz="4" w:space="0" w:color="auto"/>
              <w:right w:val="single" w:sz="4" w:space="0" w:color="auto"/>
            </w:tcBorders>
            <w:shd w:val="clear" w:color="auto" w:fill="auto"/>
            <w:noWrap/>
            <w:vAlign w:val="center"/>
            <w:hideMark/>
          </w:tcPr>
          <w:p w14:paraId="4EC55415" w14:textId="77777777" w:rsidR="007F0AE0" w:rsidRPr="00494051" w:rsidRDefault="007F0AE0" w:rsidP="00453DE3">
            <w:pPr>
              <w:spacing w:after="120"/>
              <w:jc w:val="center"/>
              <w:rPr>
                <w:rFonts w:eastAsia="Times New Roman" w:cstheme="minorHAnsi"/>
                <w:color w:val="000000"/>
                <w:sz w:val="16"/>
                <w:szCs w:val="16"/>
              </w:rPr>
            </w:pPr>
            <w:r w:rsidRPr="00624750">
              <w:rPr>
                <w:rFonts w:eastAsia="Times New Roman" w:cstheme="minorHAnsi"/>
                <w:color w:val="000000"/>
                <w:sz w:val="16"/>
                <w:szCs w:val="16"/>
              </w:rPr>
              <w:t>N/A</w:t>
            </w:r>
          </w:p>
        </w:tc>
        <w:tc>
          <w:tcPr>
            <w:tcW w:w="93" w:type="pct"/>
            <w:tcBorders>
              <w:top w:val="single" w:sz="4" w:space="0" w:color="auto"/>
              <w:left w:val="nil"/>
              <w:bottom w:val="nil"/>
              <w:right w:val="single" w:sz="4" w:space="0" w:color="auto"/>
            </w:tcBorders>
            <w:shd w:val="clear" w:color="auto" w:fill="auto"/>
            <w:noWrap/>
            <w:vAlign w:val="center"/>
            <w:hideMark/>
          </w:tcPr>
          <w:p w14:paraId="033786B2"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single" w:sz="4" w:space="0" w:color="auto"/>
              <w:left w:val="nil"/>
              <w:bottom w:val="single" w:sz="4" w:space="0" w:color="auto"/>
              <w:right w:val="single" w:sz="4" w:space="0" w:color="auto"/>
            </w:tcBorders>
            <w:shd w:val="clear" w:color="auto" w:fill="auto"/>
            <w:noWrap/>
            <w:vAlign w:val="center"/>
            <w:hideMark/>
          </w:tcPr>
          <w:p w14:paraId="0436FEB5"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No</w:t>
            </w:r>
          </w:p>
        </w:tc>
        <w:tc>
          <w:tcPr>
            <w:tcW w:w="413" w:type="pct"/>
            <w:tcBorders>
              <w:top w:val="single" w:sz="4" w:space="0" w:color="auto"/>
              <w:left w:val="nil"/>
              <w:bottom w:val="single" w:sz="4" w:space="0" w:color="auto"/>
              <w:right w:val="single" w:sz="4" w:space="0" w:color="auto"/>
            </w:tcBorders>
            <w:shd w:val="clear" w:color="auto" w:fill="auto"/>
            <w:noWrap/>
            <w:vAlign w:val="center"/>
            <w:hideMark/>
          </w:tcPr>
          <w:p w14:paraId="4CD62765"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4EB21CA8"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220234D2"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No</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14:paraId="49B12352" w14:textId="77777777" w:rsidR="007F0AE0" w:rsidRPr="00494051" w:rsidRDefault="007F0AE0" w:rsidP="00453DE3">
            <w:pPr>
              <w:spacing w:after="120"/>
              <w:jc w:val="center"/>
              <w:rPr>
                <w:rFonts w:eastAsia="Times New Roman" w:cstheme="minorHAnsi"/>
                <w:color w:val="000000"/>
                <w:sz w:val="16"/>
                <w:szCs w:val="16"/>
              </w:rPr>
            </w:pPr>
            <w:r w:rsidRPr="00DE1E69">
              <w:rPr>
                <w:rFonts w:eastAsia="Times New Roman" w:cstheme="minorHAnsi"/>
                <w:color w:val="000000"/>
                <w:sz w:val="16"/>
                <w:szCs w:val="16"/>
              </w:rPr>
              <w:t>N/A</w:t>
            </w:r>
          </w:p>
        </w:tc>
        <w:tc>
          <w:tcPr>
            <w:tcW w:w="265" w:type="pct"/>
            <w:tcBorders>
              <w:top w:val="single" w:sz="4" w:space="0" w:color="auto"/>
              <w:left w:val="nil"/>
              <w:bottom w:val="single" w:sz="4" w:space="0" w:color="auto"/>
              <w:right w:val="single" w:sz="4" w:space="0" w:color="auto"/>
            </w:tcBorders>
            <w:shd w:val="clear" w:color="auto" w:fill="auto"/>
            <w:noWrap/>
            <w:vAlign w:val="center"/>
            <w:hideMark/>
          </w:tcPr>
          <w:p w14:paraId="2BA4E21F" w14:textId="77777777" w:rsidR="007F0AE0" w:rsidRPr="00494051" w:rsidRDefault="007F0AE0" w:rsidP="00453DE3">
            <w:pPr>
              <w:spacing w:after="120"/>
              <w:jc w:val="center"/>
              <w:rPr>
                <w:rFonts w:eastAsia="Times New Roman" w:cstheme="minorHAnsi"/>
                <w:color w:val="000000"/>
                <w:sz w:val="16"/>
                <w:szCs w:val="16"/>
              </w:rPr>
            </w:pPr>
            <w:r w:rsidRPr="00DE1E69">
              <w:rPr>
                <w:rFonts w:eastAsia="Times New Roman" w:cstheme="minorHAnsi"/>
                <w:color w:val="000000"/>
                <w:sz w:val="16"/>
                <w:szCs w:val="16"/>
              </w:rPr>
              <w:t>N/A</w:t>
            </w:r>
          </w:p>
        </w:tc>
        <w:tc>
          <w:tcPr>
            <w:tcW w:w="705" w:type="pct"/>
            <w:gridSpan w:val="2"/>
            <w:vMerge w:val="restart"/>
            <w:tcBorders>
              <w:top w:val="single" w:sz="4" w:space="0" w:color="auto"/>
              <w:left w:val="nil"/>
              <w:right w:val="single" w:sz="4" w:space="0" w:color="auto"/>
            </w:tcBorders>
            <w:shd w:val="clear" w:color="auto" w:fill="auto"/>
            <w:noWrap/>
            <w:vAlign w:val="center"/>
            <w:hideMark/>
          </w:tcPr>
          <w:p w14:paraId="6F83973A" w14:textId="77777777" w:rsidR="007F0AE0" w:rsidRPr="00494051" w:rsidRDefault="007F0AE0" w:rsidP="00453DE3">
            <w:pPr>
              <w:spacing w:after="120"/>
              <w:jc w:val="center"/>
              <w:rPr>
                <w:rFonts w:eastAsia="Times New Roman" w:cstheme="minorHAnsi"/>
                <w:color w:val="000000"/>
                <w:sz w:val="16"/>
                <w:szCs w:val="16"/>
              </w:rPr>
            </w:pPr>
          </w:p>
          <w:p w14:paraId="264D6F5A"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A</w:t>
            </w:r>
          </w:p>
          <w:p w14:paraId="03B59D1A" w14:textId="77777777" w:rsidR="007F0AE0" w:rsidRPr="00494051" w:rsidRDefault="007F0AE0" w:rsidP="00453DE3">
            <w:pPr>
              <w:spacing w:after="120"/>
              <w:jc w:val="center"/>
              <w:rPr>
                <w:rFonts w:eastAsia="Times New Roman" w:cstheme="minorHAnsi"/>
                <w:color w:val="000000"/>
                <w:sz w:val="16"/>
                <w:szCs w:val="16"/>
              </w:rPr>
            </w:pPr>
          </w:p>
        </w:tc>
      </w:tr>
      <w:tr w:rsidR="007F0AE0" w:rsidRPr="00494051" w14:paraId="6BB4803B" w14:textId="77777777" w:rsidTr="00453DE3">
        <w:trPr>
          <w:trHeight w:val="300"/>
        </w:trPr>
        <w:tc>
          <w:tcPr>
            <w:tcW w:w="1188" w:type="pct"/>
            <w:tcBorders>
              <w:top w:val="single" w:sz="4" w:space="0" w:color="auto"/>
              <w:left w:val="single" w:sz="4" w:space="0" w:color="auto"/>
              <w:bottom w:val="single" w:sz="4" w:space="0" w:color="auto"/>
              <w:right w:val="single" w:sz="4" w:space="0" w:color="auto"/>
            </w:tcBorders>
            <w:shd w:val="clear" w:color="auto" w:fill="auto"/>
            <w:vAlign w:val="center"/>
          </w:tcPr>
          <w:p w14:paraId="062F2498" w14:textId="77777777" w:rsidR="007F0AE0" w:rsidRPr="00494051" w:rsidRDefault="007F0AE0" w:rsidP="00453DE3">
            <w:pPr>
              <w:spacing w:after="120"/>
              <w:ind w:firstLine="422"/>
              <w:rPr>
                <w:rFonts w:eastAsia="Times New Roman" w:cstheme="minorHAnsi"/>
                <w:color w:val="000000"/>
                <w:sz w:val="16"/>
                <w:szCs w:val="16"/>
              </w:rPr>
            </w:pPr>
            <w:r w:rsidRPr="00494051">
              <w:rPr>
                <w:rFonts w:eastAsia="Times New Roman" w:cstheme="minorHAnsi"/>
                <w:color w:val="000000"/>
                <w:sz w:val="16"/>
                <w:szCs w:val="16"/>
              </w:rPr>
              <w:t>Number of quit attempts</w:t>
            </w:r>
            <w:r>
              <w:rPr>
                <w:rFonts w:eastAsia="Times New Roman" w:cstheme="minorHAnsi"/>
                <w:color w:val="000000"/>
                <w:sz w:val="16"/>
                <w:szCs w:val="16"/>
              </w:rPr>
              <w:t xml:space="preserve"> per person</w:t>
            </w:r>
          </w:p>
        </w:tc>
        <w:tc>
          <w:tcPr>
            <w:tcW w:w="312" w:type="pct"/>
            <w:tcBorders>
              <w:top w:val="nil"/>
              <w:left w:val="nil"/>
              <w:bottom w:val="single" w:sz="4" w:space="0" w:color="auto"/>
              <w:right w:val="single" w:sz="4" w:space="0" w:color="auto"/>
            </w:tcBorders>
            <w:shd w:val="clear" w:color="auto" w:fill="D0CECE" w:themeFill="background2" w:themeFillShade="E6"/>
            <w:noWrap/>
            <w:vAlign w:val="center"/>
            <w:hideMark/>
          </w:tcPr>
          <w:p w14:paraId="599B919E"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314" w:type="pct"/>
            <w:tcBorders>
              <w:top w:val="nil"/>
              <w:left w:val="nil"/>
              <w:bottom w:val="single" w:sz="4" w:space="0" w:color="auto"/>
              <w:right w:val="single" w:sz="4" w:space="0" w:color="auto"/>
            </w:tcBorders>
            <w:shd w:val="clear" w:color="auto" w:fill="auto"/>
            <w:noWrap/>
            <w:vAlign w:val="center"/>
            <w:hideMark/>
          </w:tcPr>
          <w:p w14:paraId="402E2F4B" w14:textId="77777777" w:rsidR="007F0AE0" w:rsidRPr="00494051" w:rsidRDefault="007F0AE0" w:rsidP="00453DE3">
            <w:pPr>
              <w:spacing w:after="120"/>
              <w:jc w:val="center"/>
              <w:rPr>
                <w:rFonts w:eastAsia="Times New Roman" w:cstheme="minorHAnsi"/>
                <w:color w:val="000000"/>
                <w:sz w:val="16"/>
                <w:szCs w:val="16"/>
              </w:rPr>
            </w:pPr>
            <w:r w:rsidRPr="00624750">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46D9225E" w14:textId="77777777" w:rsidR="007F0AE0" w:rsidRPr="00494051" w:rsidRDefault="007F0AE0" w:rsidP="00453DE3">
            <w:pPr>
              <w:spacing w:after="120"/>
              <w:jc w:val="center"/>
              <w:rPr>
                <w:rFonts w:eastAsia="Times New Roman" w:cstheme="minorHAnsi"/>
                <w:color w:val="000000"/>
                <w:sz w:val="16"/>
                <w:szCs w:val="16"/>
              </w:rPr>
            </w:pPr>
            <w:r w:rsidRPr="00624750">
              <w:rPr>
                <w:rFonts w:eastAsia="Times New Roman" w:cstheme="minorHAnsi"/>
                <w:color w:val="000000"/>
                <w:sz w:val="16"/>
                <w:szCs w:val="16"/>
              </w:rPr>
              <w:t>N/A</w:t>
            </w:r>
          </w:p>
        </w:tc>
        <w:tc>
          <w:tcPr>
            <w:tcW w:w="93" w:type="pct"/>
            <w:tcBorders>
              <w:top w:val="nil"/>
              <w:left w:val="nil"/>
              <w:bottom w:val="nil"/>
              <w:right w:val="single" w:sz="4" w:space="0" w:color="auto"/>
            </w:tcBorders>
            <w:shd w:val="clear" w:color="auto" w:fill="auto"/>
            <w:noWrap/>
            <w:vAlign w:val="center"/>
            <w:hideMark/>
          </w:tcPr>
          <w:p w14:paraId="13084CFD"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D0CECE" w:themeFill="background2" w:themeFillShade="E6"/>
            <w:noWrap/>
            <w:vAlign w:val="center"/>
            <w:hideMark/>
          </w:tcPr>
          <w:p w14:paraId="407E3B69"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413" w:type="pct"/>
            <w:tcBorders>
              <w:top w:val="nil"/>
              <w:left w:val="nil"/>
              <w:bottom w:val="single" w:sz="4" w:space="0" w:color="auto"/>
              <w:right w:val="single" w:sz="4" w:space="0" w:color="auto"/>
            </w:tcBorders>
            <w:shd w:val="clear" w:color="auto" w:fill="auto"/>
            <w:noWrap/>
            <w:vAlign w:val="center"/>
            <w:hideMark/>
          </w:tcPr>
          <w:p w14:paraId="45B9F925"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4" w:space="0" w:color="auto"/>
              <w:right w:val="single" w:sz="4" w:space="0" w:color="auto"/>
            </w:tcBorders>
            <w:shd w:val="clear" w:color="auto" w:fill="auto"/>
            <w:noWrap/>
            <w:vAlign w:val="center"/>
            <w:hideMark/>
          </w:tcPr>
          <w:p w14:paraId="0A97DDA8"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auto"/>
            <w:noWrap/>
            <w:vAlign w:val="center"/>
            <w:hideMark/>
          </w:tcPr>
          <w:p w14:paraId="7F1F2801"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284" w:type="pct"/>
            <w:tcBorders>
              <w:top w:val="nil"/>
              <w:left w:val="nil"/>
              <w:bottom w:val="single" w:sz="4" w:space="0" w:color="auto"/>
              <w:right w:val="single" w:sz="4" w:space="0" w:color="auto"/>
            </w:tcBorders>
            <w:shd w:val="clear" w:color="auto" w:fill="auto"/>
            <w:noWrap/>
            <w:vAlign w:val="center"/>
            <w:hideMark/>
          </w:tcPr>
          <w:p w14:paraId="694EB47C" w14:textId="77777777" w:rsidR="007F0AE0" w:rsidRPr="00494051" w:rsidRDefault="007F0AE0" w:rsidP="00453DE3">
            <w:pPr>
              <w:spacing w:after="120"/>
              <w:jc w:val="center"/>
              <w:rPr>
                <w:rFonts w:eastAsia="Times New Roman" w:cstheme="minorHAnsi"/>
                <w:color w:val="000000"/>
                <w:sz w:val="16"/>
                <w:szCs w:val="16"/>
              </w:rPr>
            </w:pPr>
            <w:r w:rsidRPr="00DE1E69">
              <w:rPr>
                <w:rFonts w:eastAsia="Times New Roman" w:cstheme="minorHAnsi"/>
                <w:color w:val="000000"/>
                <w:sz w:val="16"/>
                <w:szCs w:val="16"/>
              </w:rPr>
              <w:t>N/A</w:t>
            </w:r>
          </w:p>
        </w:tc>
        <w:tc>
          <w:tcPr>
            <w:tcW w:w="265" w:type="pct"/>
            <w:tcBorders>
              <w:top w:val="nil"/>
              <w:left w:val="nil"/>
              <w:bottom w:val="single" w:sz="4" w:space="0" w:color="auto"/>
              <w:right w:val="single" w:sz="4" w:space="0" w:color="auto"/>
            </w:tcBorders>
            <w:shd w:val="clear" w:color="auto" w:fill="auto"/>
            <w:noWrap/>
            <w:vAlign w:val="center"/>
            <w:hideMark/>
          </w:tcPr>
          <w:p w14:paraId="0B6ED849" w14:textId="77777777" w:rsidR="007F0AE0" w:rsidRPr="00494051" w:rsidRDefault="007F0AE0" w:rsidP="00453DE3">
            <w:pPr>
              <w:spacing w:after="120"/>
              <w:jc w:val="center"/>
              <w:rPr>
                <w:rFonts w:eastAsia="Times New Roman" w:cstheme="minorHAnsi"/>
                <w:color w:val="000000"/>
                <w:sz w:val="16"/>
                <w:szCs w:val="16"/>
              </w:rPr>
            </w:pPr>
            <w:r w:rsidRPr="00DE1E69">
              <w:rPr>
                <w:rFonts w:eastAsia="Times New Roman" w:cstheme="minorHAnsi"/>
                <w:color w:val="000000"/>
                <w:sz w:val="16"/>
                <w:szCs w:val="16"/>
              </w:rPr>
              <w:t>N/A</w:t>
            </w:r>
          </w:p>
        </w:tc>
        <w:tc>
          <w:tcPr>
            <w:tcW w:w="705" w:type="pct"/>
            <w:gridSpan w:val="2"/>
            <w:vMerge/>
            <w:tcBorders>
              <w:left w:val="nil"/>
              <w:right w:val="single" w:sz="4" w:space="0" w:color="auto"/>
            </w:tcBorders>
            <w:shd w:val="clear" w:color="auto" w:fill="auto"/>
            <w:noWrap/>
            <w:vAlign w:val="center"/>
            <w:hideMark/>
          </w:tcPr>
          <w:p w14:paraId="366C16D3" w14:textId="77777777" w:rsidR="007F0AE0" w:rsidRPr="00494051" w:rsidRDefault="007F0AE0" w:rsidP="00453DE3">
            <w:pPr>
              <w:spacing w:after="120"/>
              <w:jc w:val="center"/>
              <w:rPr>
                <w:rFonts w:eastAsia="Times New Roman" w:cstheme="minorHAnsi"/>
                <w:color w:val="000000"/>
                <w:sz w:val="16"/>
                <w:szCs w:val="16"/>
              </w:rPr>
            </w:pPr>
          </w:p>
        </w:tc>
      </w:tr>
      <w:tr w:rsidR="007F0AE0" w:rsidRPr="00494051" w14:paraId="7FC46196" w14:textId="77777777" w:rsidTr="00453DE3">
        <w:trPr>
          <w:trHeight w:val="70"/>
        </w:trPr>
        <w:tc>
          <w:tcPr>
            <w:tcW w:w="5000" w:type="pct"/>
            <w:gridSpan w:val="13"/>
            <w:tcBorders>
              <w:top w:val="single" w:sz="4" w:space="0" w:color="auto"/>
              <w:left w:val="single" w:sz="4" w:space="0" w:color="auto"/>
              <w:bottom w:val="single" w:sz="4" w:space="0" w:color="auto"/>
              <w:right w:val="single" w:sz="4" w:space="0" w:color="auto"/>
            </w:tcBorders>
            <w:shd w:val="clear" w:color="auto" w:fill="auto"/>
            <w:vAlign w:val="center"/>
          </w:tcPr>
          <w:p w14:paraId="06A840A3"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xml:space="preserve">Rate of </w:t>
            </w:r>
            <w:r>
              <w:rPr>
                <w:rFonts w:eastAsia="Times New Roman" w:cstheme="minorHAnsi"/>
                <w:color w:val="000000"/>
                <w:sz w:val="16"/>
                <w:szCs w:val="16"/>
              </w:rPr>
              <w:t>a</w:t>
            </w:r>
            <w:r w:rsidRPr="00494051">
              <w:rPr>
                <w:rFonts w:eastAsia="Times New Roman" w:cstheme="minorHAnsi"/>
                <w:color w:val="000000"/>
                <w:sz w:val="16"/>
                <w:szCs w:val="16"/>
              </w:rPr>
              <w:t>bstinence/quitting</w:t>
            </w:r>
          </w:p>
        </w:tc>
      </w:tr>
      <w:tr w:rsidR="007F0AE0" w:rsidRPr="00494051" w14:paraId="37E12A07" w14:textId="77777777" w:rsidTr="00453DE3">
        <w:trPr>
          <w:trHeight w:val="404"/>
        </w:trPr>
        <w:tc>
          <w:tcPr>
            <w:tcW w:w="1188" w:type="pct"/>
            <w:tcBorders>
              <w:top w:val="single" w:sz="4" w:space="0" w:color="auto"/>
              <w:left w:val="single" w:sz="4" w:space="0" w:color="auto"/>
              <w:bottom w:val="nil"/>
              <w:right w:val="single" w:sz="4" w:space="0" w:color="auto"/>
            </w:tcBorders>
            <w:shd w:val="clear" w:color="auto" w:fill="auto"/>
            <w:vAlign w:val="center"/>
          </w:tcPr>
          <w:p w14:paraId="2BE0B66C" w14:textId="77777777" w:rsidR="007F0AE0" w:rsidRPr="00494051" w:rsidRDefault="007F0AE0" w:rsidP="00453DE3">
            <w:pPr>
              <w:spacing w:after="120" w:line="240" w:lineRule="auto"/>
              <w:ind w:left="422"/>
              <w:rPr>
                <w:rFonts w:eastAsia="Times New Roman" w:cstheme="minorHAnsi"/>
                <w:color w:val="000000"/>
                <w:sz w:val="16"/>
                <w:szCs w:val="16"/>
              </w:rPr>
            </w:pPr>
            <w:r w:rsidRPr="00494051">
              <w:rPr>
                <w:rFonts w:eastAsia="Times New Roman" w:cstheme="minorHAnsi"/>
                <w:color w:val="000000"/>
                <w:sz w:val="16"/>
                <w:szCs w:val="16"/>
              </w:rPr>
              <w:t>Point/period prevalence abstinence (PPA)</w:t>
            </w:r>
          </w:p>
        </w:tc>
        <w:tc>
          <w:tcPr>
            <w:tcW w:w="312" w:type="pct"/>
            <w:tcBorders>
              <w:top w:val="single" w:sz="6" w:space="0" w:color="000000"/>
              <w:left w:val="nil"/>
              <w:bottom w:val="single" w:sz="4" w:space="0" w:color="auto"/>
              <w:right w:val="single" w:sz="4" w:space="0" w:color="auto"/>
            </w:tcBorders>
            <w:shd w:val="clear" w:color="auto" w:fill="D9D9D9" w:themeFill="background1" w:themeFillShade="D9"/>
            <w:noWrap/>
            <w:vAlign w:val="center"/>
            <w:hideMark/>
          </w:tcPr>
          <w:p w14:paraId="66C31BAF" w14:textId="77777777" w:rsidR="007F0AE0" w:rsidRPr="00494051" w:rsidRDefault="007F0AE0" w:rsidP="00453DE3">
            <w:pPr>
              <w:spacing w:after="120" w:line="240" w:lineRule="auto"/>
              <w:jc w:val="center"/>
              <w:rPr>
                <w:rFonts w:eastAsia="Times New Roman" w:cstheme="minorHAnsi"/>
                <w:color w:val="000000"/>
                <w:sz w:val="16"/>
                <w:szCs w:val="16"/>
              </w:rPr>
            </w:pPr>
            <w:r>
              <w:rPr>
                <w:rFonts w:eastAsia="Times New Roman" w:cstheme="minorHAnsi"/>
                <w:color w:val="000000"/>
                <w:sz w:val="16"/>
                <w:szCs w:val="16"/>
              </w:rPr>
              <w:t>Yes</w:t>
            </w:r>
          </w:p>
        </w:tc>
        <w:tc>
          <w:tcPr>
            <w:tcW w:w="314" w:type="pct"/>
            <w:tcBorders>
              <w:top w:val="single" w:sz="4" w:space="0" w:color="auto"/>
              <w:left w:val="nil"/>
              <w:bottom w:val="single" w:sz="4" w:space="0" w:color="auto"/>
              <w:right w:val="single" w:sz="4" w:space="0" w:color="auto"/>
            </w:tcBorders>
            <w:shd w:val="clear" w:color="auto" w:fill="auto"/>
            <w:noWrap/>
            <w:vAlign w:val="center"/>
            <w:hideMark/>
          </w:tcPr>
          <w:p w14:paraId="6609E93B" w14:textId="77777777" w:rsidR="007F0AE0" w:rsidRPr="00494051" w:rsidRDefault="007F0AE0" w:rsidP="00453DE3">
            <w:pPr>
              <w:spacing w:after="120" w:line="240" w:lineRule="auto"/>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single" w:sz="4" w:space="0" w:color="auto"/>
              <w:left w:val="nil"/>
              <w:bottom w:val="single" w:sz="4" w:space="0" w:color="auto"/>
              <w:right w:val="single" w:sz="4" w:space="0" w:color="auto"/>
            </w:tcBorders>
            <w:shd w:val="clear" w:color="auto" w:fill="auto"/>
            <w:noWrap/>
            <w:vAlign w:val="center"/>
            <w:hideMark/>
          </w:tcPr>
          <w:p w14:paraId="2545626A" w14:textId="77777777" w:rsidR="007F0AE0" w:rsidRPr="00494051" w:rsidRDefault="007F0AE0" w:rsidP="00453DE3">
            <w:pPr>
              <w:spacing w:after="120" w:line="240" w:lineRule="auto"/>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single" w:sz="4" w:space="0" w:color="auto"/>
              <w:left w:val="nil"/>
              <w:bottom w:val="nil"/>
              <w:right w:val="single" w:sz="4" w:space="0" w:color="auto"/>
            </w:tcBorders>
            <w:shd w:val="clear" w:color="auto" w:fill="auto"/>
            <w:noWrap/>
            <w:vAlign w:val="center"/>
            <w:hideMark/>
          </w:tcPr>
          <w:p w14:paraId="71DD3826" w14:textId="77777777" w:rsidR="007F0AE0" w:rsidRPr="00494051" w:rsidRDefault="007F0AE0" w:rsidP="00453DE3">
            <w:pPr>
              <w:spacing w:after="120" w:line="240" w:lineRule="auto"/>
              <w:jc w:val="center"/>
              <w:rPr>
                <w:rFonts w:eastAsia="Times New Roman" w:cstheme="minorHAnsi"/>
                <w:color w:val="000000"/>
                <w:sz w:val="16"/>
                <w:szCs w:val="16"/>
              </w:rPr>
            </w:pPr>
          </w:p>
        </w:tc>
        <w:tc>
          <w:tcPr>
            <w:tcW w:w="379" w:type="pct"/>
            <w:tcBorders>
              <w:top w:val="single" w:sz="4" w:space="0" w:color="auto"/>
              <w:left w:val="nil"/>
              <w:bottom w:val="single" w:sz="4" w:space="0" w:color="auto"/>
              <w:right w:val="single" w:sz="4" w:space="0" w:color="auto"/>
            </w:tcBorders>
            <w:shd w:val="clear" w:color="auto" w:fill="auto"/>
            <w:noWrap/>
            <w:vAlign w:val="center"/>
            <w:hideMark/>
          </w:tcPr>
          <w:p w14:paraId="4EBFFA1F" w14:textId="77777777" w:rsidR="007F0AE0" w:rsidRPr="00494051" w:rsidRDefault="007F0AE0" w:rsidP="00453DE3">
            <w:pPr>
              <w:spacing w:after="120" w:line="240" w:lineRule="auto"/>
              <w:jc w:val="center"/>
              <w:rPr>
                <w:rFonts w:eastAsia="Times New Roman" w:cstheme="minorHAnsi"/>
                <w:color w:val="000000"/>
                <w:sz w:val="16"/>
                <w:szCs w:val="16"/>
              </w:rPr>
            </w:pPr>
            <w:r>
              <w:rPr>
                <w:rFonts w:eastAsia="Times New Roman" w:cstheme="minorHAnsi"/>
                <w:color w:val="000000"/>
                <w:sz w:val="16"/>
                <w:szCs w:val="16"/>
              </w:rPr>
              <w:t>No</w:t>
            </w:r>
          </w:p>
        </w:tc>
        <w:tc>
          <w:tcPr>
            <w:tcW w:w="413"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5EB5BE4" w14:textId="77777777" w:rsidR="007F0AE0" w:rsidRPr="00494051" w:rsidRDefault="007F0AE0" w:rsidP="00453DE3">
            <w:pPr>
              <w:spacing w:after="120" w:line="240" w:lineRule="auto"/>
              <w:jc w:val="center"/>
              <w:rPr>
                <w:rFonts w:eastAsia="Times New Roman" w:cstheme="minorHAnsi"/>
                <w:color w:val="000000"/>
                <w:sz w:val="16"/>
                <w:szCs w:val="16"/>
              </w:rPr>
            </w:pPr>
            <w:r>
              <w:rPr>
                <w:rFonts w:eastAsia="Times New Roman" w:cstheme="minorHAnsi"/>
                <w:color w:val="000000"/>
                <w:sz w:val="16"/>
                <w:szCs w:val="16"/>
              </w:rPr>
              <w:t>Yes</w:t>
            </w: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14:paraId="2131117F" w14:textId="77777777" w:rsidR="007F0AE0" w:rsidRPr="00494051" w:rsidRDefault="007F0AE0" w:rsidP="00453DE3">
            <w:pPr>
              <w:spacing w:after="120" w:line="240" w:lineRule="auto"/>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7278FC8A" w14:textId="77777777" w:rsidR="007F0AE0" w:rsidRPr="00494051" w:rsidRDefault="007F0AE0" w:rsidP="00453DE3">
            <w:pPr>
              <w:spacing w:after="120" w:line="240" w:lineRule="auto"/>
              <w:jc w:val="center"/>
              <w:rPr>
                <w:rFonts w:eastAsia="Times New Roman" w:cstheme="minorHAnsi"/>
                <w:color w:val="000000"/>
                <w:sz w:val="16"/>
                <w:szCs w:val="16"/>
              </w:rPr>
            </w:pPr>
            <w:r>
              <w:rPr>
                <w:rFonts w:eastAsia="Times New Roman" w:cstheme="minorHAnsi"/>
                <w:color w:val="000000"/>
                <w:sz w:val="16"/>
                <w:szCs w:val="16"/>
              </w:rPr>
              <w:t>No</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14:paraId="267D3E4F" w14:textId="77777777" w:rsidR="007F0AE0" w:rsidRPr="00494051" w:rsidRDefault="007F0AE0" w:rsidP="00453DE3">
            <w:pPr>
              <w:spacing w:after="120" w:line="240" w:lineRule="auto"/>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single" w:sz="4" w:space="0" w:color="auto"/>
              <w:left w:val="nil"/>
              <w:bottom w:val="single" w:sz="4" w:space="0" w:color="auto"/>
              <w:right w:val="single" w:sz="4" w:space="0" w:color="auto"/>
            </w:tcBorders>
            <w:shd w:val="clear" w:color="auto" w:fill="auto"/>
            <w:noWrap/>
            <w:vAlign w:val="center"/>
            <w:hideMark/>
          </w:tcPr>
          <w:p w14:paraId="2DCC2010" w14:textId="77777777" w:rsidR="007F0AE0" w:rsidRPr="00494051" w:rsidRDefault="007F0AE0" w:rsidP="00453DE3">
            <w:pPr>
              <w:spacing w:after="120" w:line="240" w:lineRule="auto"/>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vMerge w:val="restart"/>
            <w:tcBorders>
              <w:top w:val="single" w:sz="4" w:space="0" w:color="auto"/>
              <w:left w:val="nil"/>
              <w:right w:val="single" w:sz="4" w:space="0" w:color="auto"/>
            </w:tcBorders>
            <w:shd w:val="clear" w:color="auto" w:fill="auto"/>
            <w:noWrap/>
            <w:vAlign w:val="center"/>
            <w:hideMark/>
          </w:tcPr>
          <w:p w14:paraId="0AF6C49B"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A</w:t>
            </w:r>
          </w:p>
        </w:tc>
      </w:tr>
      <w:tr w:rsidR="007F0AE0" w:rsidRPr="00494051" w14:paraId="351B789F" w14:textId="77777777" w:rsidTr="00453DE3">
        <w:trPr>
          <w:trHeight w:val="300"/>
        </w:trPr>
        <w:tc>
          <w:tcPr>
            <w:tcW w:w="1188" w:type="pct"/>
            <w:tcBorders>
              <w:top w:val="single" w:sz="4" w:space="0" w:color="auto"/>
              <w:left w:val="single" w:sz="4" w:space="0" w:color="auto"/>
              <w:bottom w:val="single" w:sz="4" w:space="0" w:color="auto"/>
              <w:right w:val="single" w:sz="4" w:space="0" w:color="auto"/>
            </w:tcBorders>
            <w:shd w:val="clear" w:color="auto" w:fill="auto"/>
            <w:vAlign w:val="center"/>
          </w:tcPr>
          <w:p w14:paraId="54161F77" w14:textId="77777777" w:rsidR="007F0AE0" w:rsidRPr="00494051" w:rsidRDefault="007F0AE0" w:rsidP="00453DE3">
            <w:pPr>
              <w:spacing w:after="120"/>
              <w:ind w:left="422"/>
              <w:rPr>
                <w:rFonts w:eastAsia="Times New Roman" w:cstheme="minorHAnsi"/>
                <w:color w:val="000000"/>
                <w:sz w:val="16"/>
                <w:szCs w:val="16"/>
              </w:rPr>
            </w:pPr>
            <w:r w:rsidRPr="00494051">
              <w:rPr>
                <w:rFonts w:eastAsia="Times New Roman" w:cstheme="minorHAnsi"/>
                <w:color w:val="000000"/>
                <w:sz w:val="16"/>
                <w:szCs w:val="16"/>
              </w:rPr>
              <w:t>Prolonged abstinence (PA)</w:t>
            </w:r>
          </w:p>
        </w:tc>
        <w:tc>
          <w:tcPr>
            <w:tcW w:w="312" w:type="pct"/>
            <w:tcBorders>
              <w:top w:val="nil"/>
              <w:left w:val="nil"/>
              <w:bottom w:val="single" w:sz="4" w:space="0" w:color="auto"/>
              <w:right w:val="single" w:sz="4" w:space="0" w:color="auto"/>
            </w:tcBorders>
            <w:shd w:val="clear" w:color="auto" w:fill="auto"/>
            <w:noWrap/>
            <w:vAlign w:val="center"/>
            <w:hideMark/>
          </w:tcPr>
          <w:p w14:paraId="6FC1F8A9"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14" w:type="pct"/>
            <w:tcBorders>
              <w:top w:val="nil"/>
              <w:left w:val="nil"/>
              <w:bottom w:val="single" w:sz="4" w:space="0" w:color="auto"/>
              <w:right w:val="single" w:sz="4" w:space="0" w:color="auto"/>
            </w:tcBorders>
            <w:shd w:val="clear" w:color="auto" w:fill="auto"/>
            <w:noWrap/>
            <w:vAlign w:val="center"/>
            <w:hideMark/>
          </w:tcPr>
          <w:p w14:paraId="7F6D62D4"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22754D89"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nil"/>
              <w:left w:val="nil"/>
              <w:bottom w:val="nil"/>
              <w:right w:val="single" w:sz="4" w:space="0" w:color="auto"/>
            </w:tcBorders>
            <w:shd w:val="clear" w:color="auto" w:fill="auto"/>
            <w:noWrap/>
            <w:vAlign w:val="center"/>
            <w:hideMark/>
          </w:tcPr>
          <w:p w14:paraId="092C579D"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D0CECE" w:themeFill="background2" w:themeFillShade="E6"/>
            <w:noWrap/>
            <w:vAlign w:val="center"/>
            <w:hideMark/>
          </w:tcPr>
          <w:p w14:paraId="0529E985"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Yes</w:t>
            </w:r>
          </w:p>
        </w:tc>
        <w:tc>
          <w:tcPr>
            <w:tcW w:w="413" w:type="pct"/>
            <w:tcBorders>
              <w:top w:val="nil"/>
              <w:left w:val="nil"/>
              <w:bottom w:val="single" w:sz="4" w:space="0" w:color="auto"/>
              <w:right w:val="single" w:sz="4" w:space="0" w:color="auto"/>
            </w:tcBorders>
            <w:shd w:val="clear" w:color="auto" w:fill="auto"/>
            <w:noWrap/>
            <w:vAlign w:val="center"/>
            <w:hideMark/>
          </w:tcPr>
          <w:p w14:paraId="33F051BC"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4" w:space="0" w:color="auto"/>
              <w:right w:val="single" w:sz="4" w:space="0" w:color="auto"/>
            </w:tcBorders>
            <w:shd w:val="clear" w:color="auto" w:fill="auto"/>
            <w:noWrap/>
            <w:vAlign w:val="center"/>
            <w:hideMark/>
          </w:tcPr>
          <w:p w14:paraId="257C588A"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auto"/>
            <w:noWrap/>
            <w:vAlign w:val="center"/>
            <w:hideMark/>
          </w:tcPr>
          <w:p w14:paraId="2E5D654C"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Yes</w:t>
            </w:r>
          </w:p>
        </w:tc>
        <w:tc>
          <w:tcPr>
            <w:tcW w:w="284" w:type="pct"/>
            <w:tcBorders>
              <w:top w:val="nil"/>
              <w:left w:val="nil"/>
              <w:bottom w:val="single" w:sz="4" w:space="0" w:color="auto"/>
              <w:right w:val="single" w:sz="4" w:space="0" w:color="auto"/>
            </w:tcBorders>
            <w:shd w:val="clear" w:color="auto" w:fill="auto"/>
            <w:noWrap/>
            <w:vAlign w:val="center"/>
            <w:hideMark/>
          </w:tcPr>
          <w:p w14:paraId="5003F32B"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nil"/>
              <w:left w:val="nil"/>
              <w:bottom w:val="nil"/>
              <w:right w:val="single" w:sz="4" w:space="0" w:color="auto"/>
            </w:tcBorders>
            <w:shd w:val="clear" w:color="auto" w:fill="auto"/>
            <w:noWrap/>
            <w:vAlign w:val="center"/>
            <w:hideMark/>
          </w:tcPr>
          <w:p w14:paraId="42949B4D"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vMerge/>
            <w:tcBorders>
              <w:left w:val="nil"/>
              <w:right w:val="single" w:sz="4" w:space="0" w:color="auto"/>
            </w:tcBorders>
            <w:shd w:val="clear" w:color="auto" w:fill="auto"/>
            <w:noWrap/>
            <w:vAlign w:val="center"/>
            <w:hideMark/>
          </w:tcPr>
          <w:p w14:paraId="5A16BB47" w14:textId="77777777" w:rsidR="007F0AE0" w:rsidRPr="00494051" w:rsidRDefault="007F0AE0" w:rsidP="00453DE3">
            <w:pPr>
              <w:spacing w:after="120"/>
              <w:jc w:val="center"/>
              <w:rPr>
                <w:rFonts w:eastAsia="Times New Roman" w:cstheme="minorHAnsi"/>
                <w:color w:val="000000"/>
                <w:sz w:val="16"/>
                <w:szCs w:val="16"/>
              </w:rPr>
            </w:pPr>
          </w:p>
        </w:tc>
      </w:tr>
      <w:tr w:rsidR="007F0AE0" w:rsidRPr="00494051" w14:paraId="7E2411DE" w14:textId="77777777" w:rsidTr="00453DE3">
        <w:trPr>
          <w:trHeight w:val="300"/>
        </w:trPr>
        <w:tc>
          <w:tcPr>
            <w:tcW w:w="1188" w:type="pct"/>
            <w:tcBorders>
              <w:top w:val="nil"/>
              <w:left w:val="single" w:sz="4" w:space="0" w:color="auto"/>
              <w:bottom w:val="nil"/>
              <w:right w:val="single" w:sz="4" w:space="0" w:color="auto"/>
            </w:tcBorders>
            <w:shd w:val="clear" w:color="auto" w:fill="auto"/>
            <w:vAlign w:val="center"/>
          </w:tcPr>
          <w:p w14:paraId="79EF3FD4" w14:textId="77777777" w:rsidR="007F0AE0" w:rsidRPr="00494051" w:rsidRDefault="007F0AE0" w:rsidP="00453DE3">
            <w:pPr>
              <w:spacing w:after="120"/>
              <w:ind w:left="422"/>
              <w:rPr>
                <w:rFonts w:eastAsia="Times New Roman" w:cstheme="minorHAnsi"/>
                <w:color w:val="000000"/>
                <w:sz w:val="16"/>
                <w:szCs w:val="16"/>
              </w:rPr>
            </w:pPr>
            <w:r w:rsidRPr="00494051">
              <w:rPr>
                <w:rFonts w:eastAsia="Times New Roman" w:cstheme="minorHAnsi"/>
                <w:color w:val="000000"/>
                <w:sz w:val="16"/>
                <w:szCs w:val="16"/>
              </w:rPr>
              <w:t>Former smoker vs. current smoker</w:t>
            </w:r>
          </w:p>
        </w:tc>
        <w:tc>
          <w:tcPr>
            <w:tcW w:w="312" w:type="pct"/>
            <w:tcBorders>
              <w:top w:val="nil"/>
              <w:left w:val="nil"/>
              <w:bottom w:val="single" w:sz="4" w:space="0" w:color="auto"/>
              <w:right w:val="single" w:sz="4" w:space="0" w:color="auto"/>
            </w:tcBorders>
            <w:shd w:val="clear" w:color="auto" w:fill="auto"/>
            <w:noWrap/>
            <w:vAlign w:val="center"/>
            <w:hideMark/>
          </w:tcPr>
          <w:p w14:paraId="6A70A093"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14" w:type="pct"/>
            <w:tcBorders>
              <w:top w:val="nil"/>
              <w:left w:val="nil"/>
              <w:bottom w:val="single" w:sz="4" w:space="0" w:color="auto"/>
              <w:right w:val="single" w:sz="4" w:space="0" w:color="auto"/>
            </w:tcBorders>
            <w:shd w:val="clear" w:color="auto" w:fill="auto"/>
            <w:noWrap/>
            <w:vAlign w:val="center"/>
            <w:hideMark/>
          </w:tcPr>
          <w:p w14:paraId="7DCD0B47"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3E36A7DE"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nil"/>
              <w:left w:val="nil"/>
              <w:bottom w:val="nil"/>
              <w:right w:val="single" w:sz="4" w:space="0" w:color="auto"/>
            </w:tcBorders>
            <w:shd w:val="clear" w:color="auto" w:fill="auto"/>
            <w:noWrap/>
            <w:vAlign w:val="center"/>
            <w:hideMark/>
          </w:tcPr>
          <w:p w14:paraId="51D2B9E7"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auto"/>
            <w:noWrap/>
            <w:vAlign w:val="center"/>
            <w:hideMark/>
          </w:tcPr>
          <w:p w14:paraId="1C32ACFC"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413" w:type="pct"/>
            <w:tcBorders>
              <w:top w:val="nil"/>
              <w:left w:val="nil"/>
              <w:bottom w:val="single" w:sz="4" w:space="0" w:color="auto"/>
              <w:right w:val="single" w:sz="4" w:space="0" w:color="auto"/>
            </w:tcBorders>
            <w:shd w:val="clear" w:color="auto" w:fill="auto"/>
            <w:noWrap/>
            <w:vAlign w:val="center"/>
            <w:hideMark/>
          </w:tcPr>
          <w:p w14:paraId="5F22FFC2"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4" w:space="0" w:color="auto"/>
              <w:right w:val="single" w:sz="4" w:space="0" w:color="auto"/>
            </w:tcBorders>
            <w:shd w:val="clear" w:color="auto" w:fill="auto"/>
            <w:noWrap/>
            <w:vAlign w:val="center"/>
            <w:hideMark/>
          </w:tcPr>
          <w:p w14:paraId="5CBAA8DD"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auto"/>
            <w:noWrap/>
            <w:vAlign w:val="center"/>
            <w:hideMark/>
          </w:tcPr>
          <w:p w14:paraId="7FED1BFE"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284" w:type="pct"/>
            <w:tcBorders>
              <w:top w:val="nil"/>
              <w:left w:val="nil"/>
              <w:bottom w:val="single" w:sz="4" w:space="0" w:color="auto"/>
              <w:right w:val="single" w:sz="4" w:space="0" w:color="auto"/>
            </w:tcBorders>
            <w:shd w:val="clear" w:color="auto" w:fill="auto"/>
            <w:noWrap/>
            <w:vAlign w:val="center"/>
            <w:hideMark/>
          </w:tcPr>
          <w:p w14:paraId="4657ED30"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single" w:sz="4" w:space="0" w:color="auto"/>
              <w:left w:val="nil"/>
              <w:bottom w:val="single" w:sz="4" w:space="0" w:color="auto"/>
              <w:right w:val="single" w:sz="4" w:space="0" w:color="auto"/>
            </w:tcBorders>
            <w:shd w:val="clear" w:color="auto" w:fill="auto"/>
            <w:noWrap/>
            <w:vAlign w:val="center"/>
            <w:hideMark/>
          </w:tcPr>
          <w:p w14:paraId="3633257A"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vMerge/>
            <w:tcBorders>
              <w:left w:val="nil"/>
              <w:right w:val="single" w:sz="4" w:space="0" w:color="auto"/>
            </w:tcBorders>
            <w:shd w:val="clear" w:color="auto" w:fill="auto"/>
            <w:noWrap/>
            <w:vAlign w:val="center"/>
            <w:hideMark/>
          </w:tcPr>
          <w:p w14:paraId="63318765" w14:textId="77777777" w:rsidR="007F0AE0" w:rsidRPr="00494051" w:rsidRDefault="007F0AE0" w:rsidP="00453DE3">
            <w:pPr>
              <w:spacing w:after="120"/>
              <w:jc w:val="center"/>
              <w:rPr>
                <w:rFonts w:eastAsia="Times New Roman" w:cstheme="minorHAnsi"/>
                <w:color w:val="000000"/>
                <w:sz w:val="16"/>
                <w:szCs w:val="16"/>
              </w:rPr>
            </w:pPr>
          </w:p>
        </w:tc>
      </w:tr>
      <w:tr w:rsidR="007F0AE0" w:rsidRPr="00494051" w14:paraId="65869F1E" w14:textId="77777777" w:rsidTr="00453DE3">
        <w:trPr>
          <w:trHeight w:val="300"/>
        </w:trPr>
        <w:tc>
          <w:tcPr>
            <w:tcW w:w="1188" w:type="pct"/>
            <w:tcBorders>
              <w:top w:val="single" w:sz="4" w:space="0" w:color="auto"/>
              <w:left w:val="single" w:sz="4" w:space="0" w:color="auto"/>
              <w:bottom w:val="single" w:sz="4" w:space="0" w:color="auto"/>
              <w:right w:val="single" w:sz="4" w:space="0" w:color="auto"/>
            </w:tcBorders>
            <w:shd w:val="clear" w:color="auto" w:fill="auto"/>
            <w:vAlign w:val="center"/>
          </w:tcPr>
          <w:p w14:paraId="48CE6C3B" w14:textId="77777777" w:rsidR="007F0AE0" w:rsidRPr="00494051" w:rsidRDefault="007F0AE0" w:rsidP="00453DE3">
            <w:pPr>
              <w:spacing w:after="120"/>
              <w:ind w:left="422"/>
              <w:rPr>
                <w:rFonts w:eastAsia="Times New Roman" w:cstheme="minorHAnsi"/>
                <w:color w:val="000000"/>
                <w:sz w:val="16"/>
                <w:szCs w:val="16"/>
              </w:rPr>
            </w:pPr>
            <w:r w:rsidRPr="00494051">
              <w:rPr>
                <w:rFonts w:eastAsia="Times New Roman" w:cstheme="minorHAnsi"/>
                <w:color w:val="000000"/>
                <w:sz w:val="16"/>
                <w:szCs w:val="16"/>
              </w:rPr>
              <w:t>Menthol cigarette use prior to quitting</w:t>
            </w:r>
          </w:p>
        </w:tc>
        <w:tc>
          <w:tcPr>
            <w:tcW w:w="312" w:type="pct"/>
            <w:tcBorders>
              <w:top w:val="nil"/>
              <w:left w:val="nil"/>
              <w:bottom w:val="single" w:sz="6" w:space="0" w:color="000000"/>
              <w:right w:val="single" w:sz="4" w:space="0" w:color="auto"/>
            </w:tcBorders>
            <w:shd w:val="clear" w:color="auto" w:fill="auto"/>
            <w:noWrap/>
            <w:vAlign w:val="center"/>
            <w:hideMark/>
          </w:tcPr>
          <w:p w14:paraId="321AF391"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14" w:type="pct"/>
            <w:tcBorders>
              <w:top w:val="nil"/>
              <w:left w:val="nil"/>
              <w:bottom w:val="single" w:sz="4" w:space="0" w:color="auto"/>
              <w:right w:val="single" w:sz="4" w:space="0" w:color="auto"/>
            </w:tcBorders>
            <w:shd w:val="clear" w:color="auto" w:fill="auto"/>
            <w:noWrap/>
            <w:vAlign w:val="center"/>
            <w:hideMark/>
          </w:tcPr>
          <w:p w14:paraId="4EFEDD3D"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227A45A7"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nil"/>
              <w:left w:val="nil"/>
              <w:bottom w:val="nil"/>
              <w:right w:val="single" w:sz="4" w:space="0" w:color="auto"/>
            </w:tcBorders>
            <w:shd w:val="clear" w:color="auto" w:fill="auto"/>
            <w:noWrap/>
            <w:vAlign w:val="center"/>
            <w:hideMark/>
          </w:tcPr>
          <w:p w14:paraId="47CEDF00"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auto"/>
            <w:noWrap/>
            <w:vAlign w:val="center"/>
            <w:hideMark/>
          </w:tcPr>
          <w:p w14:paraId="664DD9D7"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413" w:type="pct"/>
            <w:tcBorders>
              <w:top w:val="nil"/>
              <w:left w:val="nil"/>
              <w:bottom w:val="single" w:sz="4" w:space="0" w:color="auto"/>
              <w:right w:val="single" w:sz="4" w:space="0" w:color="auto"/>
            </w:tcBorders>
            <w:shd w:val="clear" w:color="auto" w:fill="auto"/>
            <w:noWrap/>
            <w:vAlign w:val="center"/>
            <w:hideMark/>
          </w:tcPr>
          <w:p w14:paraId="53AAFAF3"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4" w:space="0" w:color="auto"/>
              <w:right w:val="single" w:sz="4" w:space="0" w:color="auto"/>
            </w:tcBorders>
            <w:shd w:val="clear" w:color="auto" w:fill="auto"/>
            <w:noWrap/>
            <w:vAlign w:val="center"/>
            <w:hideMark/>
          </w:tcPr>
          <w:p w14:paraId="616A210E"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auto"/>
            <w:noWrap/>
            <w:vAlign w:val="center"/>
            <w:hideMark/>
          </w:tcPr>
          <w:p w14:paraId="3F82FBB0"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284" w:type="pct"/>
            <w:tcBorders>
              <w:top w:val="nil"/>
              <w:left w:val="nil"/>
              <w:bottom w:val="single" w:sz="4" w:space="0" w:color="auto"/>
              <w:right w:val="single" w:sz="4" w:space="0" w:color="auto"/>
            </w:tcBorders>
            <w:shd w:val="clear" w:color="auto" w:fill="auto"/>
            <w:noWrap/>
            <w:vAlign w:val="center"/>
            <w:hideMark/>
          </w:tcPr>
          <w:p w14:paraId="1EFE7478"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nil"/>
              <w:left w:val="nil"/>
              <w:bottom w:val="single" w:sz="4" w:space="0" w:color="auto"/>
              <w:right w:val="single" w:sz="4" w:space="0" w:color="auto"/>
            </w:tcBorders>
            <w:shd w:val="clear" w:color="auto" w:fill="auto"/>
            <w:noWrap/>
            <w:vAlign w:val="center"/>
            <w:hideMark/>
          </w:tcPr>
          <w:p w14:paraId="22C6D7CB"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vMerge/>
            <w:tcBorders>
              <w:left w:val="nil"/>
              <w:bottom w:val="single" w:sz="4" w:space="0" w:color="auto"/>
              <w:right w:val="single" w:sz="4" w:space="0" w:color="auto"/>
            </w:tcBorders>
            <w:shd w:val="clear" w:color="auto" w:fill="auto"/>
            <w:noWrap/>
            <w:vAlign w:val="center"/>
            <w:hideMark/>
          </w:tcPr>
          <w:p w14:paraId="41514310" w14:textId="77777777" w:rsidR="007F0AE0" w:rsidRPr="00494051" w:rsidRDefault="007F0AE0" w:rsidP="00453DE3">
            <w:pPr>
              <w:spacing w:after="120"/>
              <w:jc w:val="center"/>
              <w:rPr>
                <w:rFonts w:eastAsia="Times New Roman" w:cstheme="minorHAnsi"/>
                <w:color w:val="000000"/>
                <w:sz w:val="16"/>
                <w:szCs w:val="16"/>
              </w:rPr>
            </w:pPr>
          </w:p>
        </w:tc>
      </w:tr>
      <w:tr w:rsidR="007F0AE0" w:rsidRPr="00494051" w14:paraId="3DA9D9B5" w14:textId="77777777" w:rsidTr="00453DE3">
        <w:trPr>
          <w:trHeight w:val="300"/>
        </w:trPr>
        <w:tc>
          <w:tcPr>
            <w:tcW w:w="1188" w:type="pct"/>
            <w:tcBorders>
              <w:top w:val="nil"/>
              <w:left w:val="single" w:sz="4" w:space="0" w:color="auto"/>
              <w:bottom w:val="nil"/>
              <w:right w:val="single" w:sz="4" w:space="0" w:color="auto"/>
            </w:tcBorders>
            <w:shd w:val="clear" w:color="auto" w:fill="auto"/>
            <w:vAlign w:val="center"/>
            <w:hideMark/>
          </w:tcPr>
          <w:p w14:paraId="789327B9"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Change in smoking quantity/frequency</w:t>
            </w:r>
          </w:p>
        </w:tc>
        <w:tc>
          <w:tcPr>
            <w:tcW w:w="312" w:type="pct"/>
            <w:tcBorders>
              <w:top w:val="single" w:sz="6" w:space="0" w:color="000000"/>
              <w:left w:val="nil"/>
              <w:bottom w:val="single" w:sz="6" w:space="0" w:color="auto"/>
              <w:right w:val="single" w:sz="4" w:space="0" w:color="auto"/>
            </w:tcBorders>
            <w:shd w:val="clear" w:color="auto" w:fill="D9D9D9" w:themeFill="background1" w:themeFillShade="D9"/>
            <w:noWrap/>
            <w:vAlign w:val="center"/>
            <w:hideMark/>
          </w:tcPr>
          <w:p w14:paraId="4067DEA4"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314" w:type="pct"/>
            <w:tcBorders>
              <w:top w:val="nil"/>
              <w:left w:val="nil"/>
              <w:bottom w:val="single" w:sz="4" w:space="0" w:color="auto"/>
              <w:right w:val="single" w:sz="4" w:space="0" w:color="auto"/>
            </w:tcBorders>
            <w:shd w:val="clear" w:color="auto" w:fill="auto"/>
            <w:noWrap/>
            <w:vAlign w:val="center"/>
            <w:hideMark/>
          </w:tcPr>
          <w:p w14:paraId="6BD50BEC"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nil"/>
              <w:left w:val="nil"/>
              <w:bottom w:val="single" w:sz="4" w:space="0" w:color="auto"/>
              <w:right w:val="single" w:sz="4" w:space="0" w:color="auto"/>
            </w:tcBorders>
            <w:shd w:val="clear" w:color="auto" w:fill="auto"/>
            <w:noWrap/>
            <w:vAlign w:val="center"/>
            <w:hideMark/>
          </w:tcPr>
          <w:p w14:paraId="67374E79"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nil"/>
              <w:left w:val="nil"/>
              <w:bottom w:val="nil"/>
              <w:right w:val="single" w:sz="4" w:space="0" w:color="auto"/>
            </w:tcBorders>
            <w:shd w:val="clear" w:color="auto" w:fill="auto"/>
            <w:noWrap/>
            <w:vAlign w:val="center"/>
            <w:hideMark/>
          </w:tcPr>
          <w:p w14:paraId="4FCA6DF8"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nil"/>
              <w:bottom w:val="single" w:sz="4" w:space="0" w:color="auto"/>
              <w:right w:val="single" w:sz="4" w:space="0" w:color="auto"/>
            </w:tcBorders>
            <w:shd w:val="clear" w:color="auto" w:fill="D9D9D9" w:themeFill="background1" w:themeFillShade="D9"/>
            <w:noWrap/>
            <w:vAlign w:val="center"/>
            <w:hideMark/>
          </w:tcPr>
          <w:p w14:paraId="23E9A028"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413" w:type="pct"/>
            <w:tcBorders>
              <w:top w:val="nil"/>
              <w:left w:val="nil"/>
              <w:bottom w:val="single" w:sz="4" w:space="0" w:color="auto"/>
              <w:right w:val="single" w:sz="4" w:space="0" w:color="auto"/>
            </w:tcBorders>
            <w:shd w:val="clear" w:color="auto" w:fill="D9D9D9" w:themeFill="background1" w:themeFillShade="D9"/>
            <w:noWrap/>
            <w:vAlign w:val="center"/>
            <w:hideMark/>
          </w:tcPr>
          <w:p w14:paraId="54B1E8EF"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345" w:type="pct"/>
            <w:tcBorders>
              <w:top w:val="nil"/>
              <w:left w:val="nil"/>
              <w:bottom w:val="single" w:sz="4" w:space="0" w:color="auto"/>
              <w:right w:val="single" w:sz="4" w:space="0" w:color="auto"/>
            </w:tcBorders>
            <w:shd w:val="clear" w:color="auto" w:fill="auto"/>
            <w:noWrap/>
            <w:vAlign w:val="center"/>
            <w:hideMark/>
          </w:tcPr>
          <w:p w14:paraId="484200D3"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4" w:space="0" w:color="auto"/>
              <w:right w:val="single" w:sz="4" w:space="0" w:color="auto"/>
            </w:tcBorders>
            <w:shd w:val="clear" w:color="auto" w:fill="D9D9D9" w:themeFill="background1" w:themeFillShade="D9"/>
            <w:noWrap/>
            <w:vAlign w:val="center"/>
            <w:hideMark/>
          </w:tcPr>
          <w:p w14:paraId="27267CFD"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284" w:type="pct"/>
            <w:tcBorders>
              <w:top w:val="nil"/>
              <w:left w:val="nil"/>
              <w:bottom w:val="single" w:sz="4" w:space="0" w:color="auto"/>
              <w:right w:val="single" w:sz="4" w:space="0" w:color="auto"/>
            </w:tcBorders>
            <w:shd w:val="clear" w:color="auto" w:fill="auto"/>
            <w:noWrap/>
            <w:vAlign w:val="center"/>
            <w:hideMark/>
          </w:tcPr>
          <w:p w14:paraId="0A95C3B0"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nil"/>
              <w:left w:val="nil"/>
              <w:bottom w:val="single" w:sz="4" w:space="0" w:color="auto"/>
              <w:right w:val="single" w:sz="4" w:space="0" w:color="auto"/>
            </w:tcBorders>
            <w:shd w:val="clear" w:color="auto" w:fill="auto"/>
            <w:noWrap/>
            <w:vAlign w:val="center"/>
            <w:hideMark/>
          </w:tcPr>
          <w:p w14:paraId="2E80FF3F"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tcBorders>
              <w:top w:val="nil"/>
              <w:left w:val="nil"/>
              <w:bottom w:val="single" w:sz="4" w:space="0" w:color="auto"/>
              <w:right w:val="single" w:sz="4" w:space="0" w:color="auto"/>
            </w:tcBorders>
            <w:shd w:val="clear" w:color="auto" w:fill="auto"/>
            <w:noWrap/>
            <w:vAlign w:val="center"/>
            <w:hideMark/>
          </w:tcPr>
          <w:p w14:paraId="25CCD23B"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A</w:t>
            </w:r>
          </w:p>
        </w:tc>
      </w:tr>
      <w:tr w:rsidR="007F0AE0" w:rsidRPr="00494051" w14:paraId="089116FD" w14:textId="77777777" w:rsidTr="00453DE3">
        <w:trPr>
          <w:trHeight w:val="315"/>
        </w:trPr>
        <w:tc>
          <w:tcPr>
            <w:tcW w:w="1188" w:type="pct"/>
            <w:tcBorders>
              <w:top w:val="single" w:sz="4" w:space="0" w:color="auto"/>
              <w:left w:val="single" w:sz="4" w:space="0" w:color="auto"/>
              <w:bottom w:val="single" w:sz="8" w:space="0" w:color="auto"/>
              <w:right w:val="single" w:sz="6" w:space="0" w:color="auto"/>
            </w:tcBorders>
            <w:shd w:val="clear" w:color="auto" w:fill="auto"/>
            <w:vAlign w:val="center"/>
            <w:hideMark/>
          </w:tcPr>
          <w:p w14:paraId="3811B80A" w14:textId="77777777" w:rsidR="007F0AE0" w:rsidRPr="00494051" w:rsidRDefault="007F0AE0" w:rsidP="00453DE3">
            <w:pPr>
              <w:spacing w:after="120"/>
              <w:rPr>
                <w:rFonts w:eastAsia="Times New Roman" w:cstheme="minorHAnsi"/>
                <w:color w:val="000000"/>
                <w:sz w:val="16"/>
                <w:szCs w:val="16"/>
              </w:rPr>
            </w:pPr>
            <w:r>
              <w:rPr>
                <w:rFonts w:eastAsia="Times New Roman" w:cstheme="minorHAnsi"/>
                <w:color w:val="000000"/>
                <w:sz w:val="16"/>
                <w:szCs w:val="16"/>
              </w:rPr>
              <w:t>Return to smoking/r</w:t>
            </w:r>
            <w:r w:rsidRPr="00494051">
              <w:rPr>
                <w:rFonts w:eastAsia="Times New Roman" w:cstheme="minorHAnsi"/>
                <w:color w:val="000000"/>
                <w:sz w:val="16"/>
                <w:szCs w:val="16"/>
              </w:rPr>
              <w:t>elapse</w:t>
            </w:r>
          </w:p>
        </w:tc>
        <w:tc>
          <w:tcPr>
            <w:tcW w:w="312" w:type="pct"/>
            <w:tcBorders>
              <w:top w:val="single" w:sz="6" w:space="0" w:color="auto"/>
              <w:left w:val="single" w:sz="6" w:space="0" w:color="auto"/>
              <w:bottom w:val="single" w:sz="8" w:space="0" w:color="auto"/>
              <w:right w:val="single" w:sz="6" w:space="0" w:color="auto"/>
            </w:tcBorders>
            <w:shd w:val="clear" w:color="auto" w:fill="D9D9D9" w:themeFill="background1" w:themeFillShade="D9"/>
            <w:noWrap/>
            <w:vAlign w:val="center"/>
            <w:hideMark/>
          </w:tcPr>
          <w:p w14:paraId="1ACE35D2" w14:textId="77777777" w:rsidR="007F0AE0" w:rsidRPr="00494051" w:rsidRDefault="007F0AE0" w:rsidP="00453DE3">
            <w:pPr>
              <w:spacing w:after="120"/>
              <w:jc w:val="center"/>
              <w:rPr>
                <w:rFonts w:eastAsia="Times New Roman" w:cstheme="minorHAnsi"/>
                <w:color w:val="000000"/>
                <w:sz w:val="16"/>
                <w:szCs w:val="16"/>
              </w:rPr>
            </w:pPr>
            <w:r>
              <w:rPr>
                <w:rFonts w:eastAsia="Times New Roman" w:cstheme="minorHAnsi"/>
                <w:color w:val="000000"/>
                <w:sz w:val="16"/>
                <w:szCs w:val="16"/>
              </w:rPr>
              <w:t>Yes</w:t>
            </w:r>
          </w:p>
        </w:tc>
        <w:tc>
          <w:tcPr>
            <w:tcW w:w="314" w:type="pct"/>
            <w:tcBorders>
              <w:top w:val="nil"/>
              <w:left w:val="single" w:sz="6" w:space="0" w:color="auto"/>
              <w:bottom w:val="single" w:sz="8" w:space="0" w:color="auto"/>
              <w:right w:val="single" w:sz="4" w:space="0" w:color="auto"/>
            </w:tcBorders>
            <w:shd w:val="clear" w:color="auto" w:fill="auto"/>
            <w:noWrap/>
            <w:vAlign w:val="center"/>
            <w:hideMark/>
          </w:tcPr>
          <w:p w14:paraId="73F37920"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296" w:type="pct"/>
            <w:tcBorders>
              <w:top w:val="nil"/>
              <w:left w:val="nil"/>
              <w:bottom w:val="single" w:sz="8" w:space="0" w:color="auto"/>
              <w:right w:val="single" w:sz="4" w:space="0" w:color="auto"/>
            </w:tcBorders>
            <w:shd w:val="clear" w:color="auto" w:fill="auto"/>
            <w:noWrap/>
            <w:vAlign w:val="center"/>
            <w:hideMark/>
          </w:tcPr>
          <w:p w14:paraId="5E7AB789" w14:textId="77777777" w:rsidR="007F0AE0" w:rsidRPr="00494051" w:rsidRDefault="007F0AE0" w:rsidP="00453DE3">
            <w:pPr>
              <w:spacing w:after="120"/>
              <w:jc w:val="center"/>
              <w:rPr>
                <w:rFonts w:eastAsia="Times New Roman" w:cstheme="minorHAnsi"/>
                <w:color w:val="000000"/>
                <w:sz w:val="16"/>
                <w:szCs w:val="16"/>
              </w:rPr>
            </w:pPr>
            <w:r w:rsidRPr="00BE240B">
              <w:rPr>
                <w:rFonts w:eastAsia="Times New Roman" w:cstheme="minorHAnsi"/>
                <w:color w:val="000000"/>
                <w:sz w:val="16"/>
                <w:szCs w:val="16"/>
              </w:rPr>
              <w:t>N/A</w:t>
            </w:r>
          </w:p>
        </w:tc>
        <w:tc>
          <w:tcPr>
            <w:tcW w:w="93" w:type="pct"/>
            <w:tcBorders>
              <w:top w:val="nil"/>
              <w:left w:val="nil"/>
              <w:bottom w:val="single" w:sz="8" w:space="0" w:color="auto"/>
              <w:right w:val="nil"/>
            </w:tcBorders>
            <w:shd w:val="clear" w:color="auto" w:fill="auto"/>
            <w:noWrap/>
            <w:vAlign w:val="center"/>
            <w:hideMark/>
          </w:tcPr>
          <w:p w14:paraId="24DFE6CD" w14:textId="77777777" w:rsidR="007F0AE0" w:rsidRPr="00494051" w:rsidRDefault="007F0AE0" w:rsidP="00453DE3">
            <w:pPr>
              <w:spacing w:after="120"/>
              <w:jc w:val="center"/>
              <w:rPr>
                <w:rFonts w:eastAsia="Times New Roman" w:cstheme="minorHAnsi"/>
                <w:color w:val="000000"/>
                <w:sz w:val="16"/>
                <w:szCs w:val="16"/>
              </w:rPr>
            </w:pPr>
          </w:p>
        </w:tc>
        <w:tc>
          <w:tcPr>
            <w:tcW w:w="379" w:type="pct"/>
            <w:tcBorders>
              <w:top w:val="nil"/>
              <w:left w:val="single" w:sz="4" w:space="0" w:color="auto"/>
              <w:bottom w:val="single" w:sz="8" w:space="0" w:color="auto"/>
              <w:right w:val="single" w:sz="4" w:space="0" w:color="auto"/>
            </w:tcBorders>
            <w:shd w:val="clear" w:color="auto" w:fill="auto"/>
            <w:noWrap/>
            <w:vAlign w:val="center"/>
            <w:hideMark/>
          </w:tcPr>
          <w:p w14:paraId="3CA60CC2"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413" w:type="pct"/>
            <w:tcBorders>
              <w:top w:val="nil"/>
              <w:left w:val="nil"/>
              <w:bottom w:val="single" w:sz="8" w:space="0" w:color="auto"/>
              <w:right w:val="single" w:sz="4" w:space="0" w:color="auto"/>
            </w:tcBorders>
            <w:shd w:val="clear" w:color="auto" w:fill="auto"/>
            <w:noWrap/>
            <w:vAlign w:val="center"/>
            <w:hideMark/>
          </w:tcPr>
          <w:p w14:paraId="4944307D"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345" w:type="pct"/>
            <w:tcBorders>
              <w:top w:val="nil"/>
              <w:left w:val="nil"/>
              <w:bottom w:val="single" w:sz="8" w:space="0" w:color="auto"/>
              <w:right w:val="single" w:sz="4" w:space="0" w:color="auto"/>
            </w:tcBorders>
            <w:shd w:val="clear" w:color="auto" w:fill="auto"/>
            <w:noWrap/>
            <w:vAlign w:val="center"/>
            <w:hideMark/>
          </w:tcPr>
          <w:p w14:paraId="58050639"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N/A</w:t>
            </w:r>
          </w:p>
        </w:tc>
        <w:tc>
          <w:tcPr>
            <w:tcW w:w="406" w:type="pct"/>
            <w:tcBorders>
              <w:top w:val="nil"/>
              <w:left w:val="nil"/>
              <w:bottom w:val="single" w:sz="8" w:space="0" w:color="auto"/>
              <w:right w:val="single" w:sz="4" w:space="0" w:color="auto"/>
            </w:tcBorders>
            <w:shd w:val="clear" w:color="auto" w:fill="auto"/>
            <w:noWrap/>
            <w:vAlign w:val="center"/>
            <w:hideMark/>
          </w:tcPr>
          <w:p w14:paraId="53CC983D"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No</w:t>
            </w:r>
          </w:p>
        </w:tc>
        <w:tc>
          <w:tcPr>
            <w:tcW w:w="284" w:type="pct"/>
            <w:tcBorders>
              <w:top w:val="nil"/>
              <w:left w:val="nil"/>
              <w:bottom w:val="single" w:sz="8" w:space="0" w:color="auto"/>
              <w:right w:val="single" w:sz="4" w:space="0" w:color="auto"/>
            </w:tcBorders>
            <w:shd w:val="clear" w:color="auto" w:fill="auto"/>
            <w:noWrap/>
            <w:vAlign w:val="center"/>
            <w:hideMark/>
          </w:tcPr>
          <w:p w14:paraId="6AF94CB3"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265" w:type="pct"/>
            <w:tcBorders>
              <w:top w:val="nil"/>
              <w:left w:val="nil"/>
              <w:bottom w:val="single" w:sz="8" w:space="0" w:color="auto"/>
              <w:right w:val="single" w:sz="4" w:space="0" w:color="auto"/>
            </w:tcBorders>
            <w:shd w:val="clear" w:color="auto" w:fill="auto"/>
            <w:noWrap/>
            <w:vAlign w:val="center"/>
            <w:hideMark/>
          </w:tcPr>
          <w:p w14:paraId="7900687C" w14:textId="77777777" w:rsidR="007F0AE0" w:rsidRPr="00494051" w:rsidRDefault="007F0AE0" w:rsidP="00453DE3">
            <w:pPr>
              <w:spacing w:after="120"/>
              <w:jc w:val="center"/>
              <w:rPr>
                <w:rFonts w:eastAsia="Times New Roman" w:cstheme="minorHAnsi"/>
                <w:color w:val="000000"/>
                <w:sz w:val="16"/>
                <w:szCs w:val="16"/>
              </w:rPr>
            </w:pPr>
            <w:r w:rsidRPr="00A97763">
              <w:rPr>
                <w:rFonts w:eastAsia="Times New Roman" w:cstheme="minorHAnsi"/>
                <w:color w:val="000000"/>
                <w:sz w:val="16"/>
                <w:szCs w:val="16"/>
              </w:rPr>
              <w:t>N/A</w:t>
            </w:r>
          </w:p>
        </w:tc>
        <w:tc>
          <w:tcPr>
            <w:tcW w:w="705" w:type="pct"/>
            <w:gridSpan w:val="2"/>
            <w:tcBorders>
              <w:top w:val="nil"/>
              <w:left w:val="nil"/>
              <w:bottom w:val="single" w:sz="8" w:space="0" w:color="auto"/>
              <w:right w:val="single" w:sz="4" w:space="0" w:color="auto"/>
            </w:tcBorders>
            <w:shd w:val="clear" w:color="auto" w:fill="auto"/>
            <w:noWrap/>
            <w:vAlign w:val="center"/>
            <w:hideMark/>
          </w:tcPr>
          <w:p w14:paraId="1FB547D2"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I</w:t>
            </w:r>
          </w:p>
        </w:tc>
      </w:tr>
      <w:tr w:rsidR="007F0AE0" w:rsidRPr="00494051" w14:paraId="12708827" w14:textId="77777777" w:rsidTr="00453DE3">
        <w:trPr>
          <w:trHeight w:val="315"/>
        </w:trPr>
        <w:tc>
          <w:tcPr>
            <w:tcW w:w="1500" w:type="pct"/>
            <w:gridSpan w:val="2"/>
            <w:tcBorders>
              <w:top w:val="nil"/>
              <w:left w:val="single" w:sz="4" w:space="0" w:color="auto"/>
              <w:bottom w:val="single" w:sz="4" w:space="0" w:color="auto"/>
              <w:right w:val="nil"/>
            </w:tcBorders>
            <w:shd w:val="clear" w:color="auto" w:fill="auto"/>
            <w:noWrap/>
            <w:vAlign w:val="bottom"/>
            <w:hideMark/>
          </w:tcPr>
          <w:p w14:paraId="412B9744"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xml:space="preserve">*Not used in any studies included in this </w:t>
            </w:r>
            <w:r>
              <w:rPr>
                <w:rFonts w:eastAsia="Times New Roman" w:cstheme="minorHAnsi"/>
                <w:color w:val="000000"/>
                <w:sz w:val="16"/>
                <w:szCs w:val="16"/>
              </w:rPr>
              <w:t>r</w:t>
            </w:r>
            <w:r w:rsidRPr="00494051">
              <w:rPr>
                <w:rFonts w:eastAsia="Times New Roman" w:cstheme="minorHAnsi"/>
                <w:color w:val="000000"/>
                <w:sz w:val="16"/>
                <w:szCs w:val="16"/>
              </w:rPr>
              <w:t>eview</w:t>
            </w:r>
          </w:p>
        </w:tc>
        <w:tc>
          <w:tcPr>
            <w:tcW w:w="314" w:type="pct"/>
            <w:tcBorders>
              <w:top w:val="nil"/>
              <w:left w:val="nil"/>
              <w:bottom w:val="single" w:sz="4" w:space="0" w:color="auto"/>
              <w:right w:val="nil"/>
            </w:tcBorders>
            <w:shd w:val="clear" w:color="auto" w:fill="auto"/>
            <w:noWrap/>
            <w:vAlign w:val="bottom"/>
            <w:hideMark/>
          </w:tcPr>
          <w:p w14:paraId="4056DDC0"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296" w:type="pct"/>
            <w:tcBorders>
              <w:top w:val="nil"/>
              <w:left w:val="nil"/>
              <w:bottom w:val="single" w:sz="4" w:space="0" w:color="auto"/>
              <w:right w:val="nil"/>
            </w:tcBorders>
            <w:shd w:val="clear" w:color="auto" w:fill="auto"/>
            <w:noWrap/>
            <w:vAlign w:val="bottom"/>
            <w:hideMark/>
          </w:tcPr>
          <w:p w14:paraId="5F85E49E"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93" w:type="pct"/>
            <w:tcBorders>
              <w:top w:val="nil"/>
              <w:left w:val="nil"/>
              <w:bottom w:val="single" w:sz="4" w:space="0" w:color="auto"/>
              <w:right w:val="nil"/>
            </w:tcBorders>
            <w:shd w:val="clear" w:color="auto" w:fill="auto"/>
            <w:noWrap/>
            <w:vAlign w:val="bottom"/>
            <w:hideMark/>
          </w:tcPr>
          <w:p w14:paraId="2EA06162"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379" w:type="pct"/>
            <w:tcBorders>
              <w:top w:val="nil"/>
              <w:left w:val="nil"/>
              <w:bottom w:val="single" w:sz="4" w:space="0" w:color="auto"/>
              <w:right w:val="nil"/>
            </w:tcBorders>
            <w:shd w:val="clear" w:color="auto" w:fill="auto"/>
            <w:noWrap/>
            <w:vAlign w:val="bottom"/>
            <w:hideMark/>
          </w:tcPr>
          <w:p w14:paraId="59C4BA3A"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 </w:t>
            </w:r>
          </w:p>
        </w:tc>
        <w:tc>
          <w:tcPr>
            <w:tcW w:w="413" w:type="pct"/>
            <w:tcBorders>
              <w:top w:val="nil"/>
              <w:left w:val="nil"/>
              <w:bottom w:val="single" w:sz="4" w:space="0" w:color="auto"/>
              <w:right w:val="nil"/>
            </w:tcBorders>
            <w:shd w:val="clear" w:color="auto" w:fill="auto"/>
            <w:noWrap/>
            <w:vAlign w:val="bottom"/>
            <w:hideMark/>
          </w:tcPr>
          <w:p w14:paraId="6B2923CD"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 </w:t>
            </w:r>
          </w:p>
        </w:tc>
        <w:tc>
          <w:tcPr>
            <w:tcW w:w="345" w:type="pct"/>
            <w:tcBorders>
              <w:top w:val="nil"/>
              <w:left w:val="nil"/>
              <w:bottom w:val="single" w:sz="4" w:space="0" w:color="auto"/>
              <w:right w:val="nil"/>
            </w:tcBorders>
            <w:shd w:val="clear" w:color="auto" w:fill="auto"/>
            <w:noWrap/>
            <w:vAlign w:val="bottom"/>
            <w:hideMark/>
          </w:tcPr>
          <w:p w14:paraId="244F5C6C"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 </w:t>
            </w:r>
          </w:p>
        </w:tc>
        <w:tc>
          <w:tcPr>
            <w:tcW w:w="406" w:type="pct"/>
            <w:tcBorders>
              <w:top w:val="nil"/>
              <w:left w:val="nil"/>
              <w:bottom w:val="single" w:sz="4" w:space="0" w:color="auto"/>
              <w:right w:val="nil"/>
            </w:tcBorders>
            <w:shd w:val="clear" w:color="auto" w:fill="auto"/>
            <w:noWrap/>
            <w:vAlign w:val="bottom"/>
            <w:hideMark/>
          </w:tcPr>
          <w:p w14:paraId="139952E9"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284" w:type="pct"/>
            <w:tcBorders>
              <w:top w:val="nil"/>
              <w:left w:val="nil"/>
              <w:bottom w:val="single" w:sz="4" w:space="0" w:color="auto"/>
              <w:right w:val="nil"/>
            </w:tcBorders>
            <w:shd w:val="clear" w:color="auto" w:fill="auto"/>
            <w:noWrap/>
            <w:vAlign w:val="bottom"/>
            <w:hideMark/>
          </w:tcPr>
          <w:p w14:paraId="7C0E668B"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265" w:type="pct"/>
            <w:tcBorders>
              <w:top w:val="nil"/>
              <w:left w:val="nil"/>
              <w:bottom w:val="single" w:sz="4" w:space="0" w:color="auto"/>
              <w:right w:val="nil"/>
            </w:tcBorders>
            <w:shd w:val="clear" w:color="auto" w:fill="auto"/>
            <w:noWrap/>
            <w:vAlign w:val="bottom"/>
            <w:hideMark/>
          </w:tcPr>
          <w:p w14:paraId="4F80E1A6"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353" w:type="pct"/>
            <w:tcBorders>
              <w:top w:val="nil"/>
              <w:left w:val="nil"/>
              <w:bottom w:val="single" w:sz="4" w:space="0" w:color="auto"/>
              <w:right w:val="nil"/>
            </w:tcBorders>
            <w:shd w:val="clear" w:color="auto" w:fill="auto"/>
            <w:noWrap/>
            <w:vAlign w:val="bottom"/>
            <w:hideMark/>
          </w:tcPr>
          <w:p w14:paraId="1E5D8096" w14:textId="77777777" w:rsidR="007F0AE0" w:rsidRPr="00494051" w:rsidRDefault="007F0AE0" w:rsidP="00453DE3">
            <w:pPr>
              <w:spacing w:after="120"/>
              <w:rPr>
                <w:rFonts w:eastAsia="Times New Roman" w:cstheme="minorHAnsi"/>
                <w:color w:val="000000"/>
                <w:sz w:val="16"/>
                <w:szCs w:val="16"/>
              </w:rPr>
            </w:pPr>
            <w:r w:rsidRPr="00494051">
              <w:rPr>
                <w:rFonts w:eastAsia="Times New Roman" w:cstheme="minorHAnsi"/>
                <w:color w:val="000000"/>
                <w:sz w:val="16"/>
                <w:szCs w:val="16"/>
              </w:rPr>
              <w:t> </w:t>
            </w:r>
          </w:p>
        </w:tc>
        <w:tc>
          <w:tcPr>
            <w:tcW w:w="352" w:type="pct"/>
            <w:tcBorders>
              <w:top w:val="nil"/>
              <w:left w:val="nil"/>
              <w:bottom w:val="single" w:sz="4" w:space="0" w:color="auto"/>
              <w:right w:val="single" w:sz="4" w:space="0" w:color="auto"/>
            </w:tcBorders>
            <w:shd w:val="clear" w:color="auto" w:fill="auto"/>
            <w:noWrap/>
            <w:vAlign w:val="bottom"/>
            <w:hideMark/>
          </w:tcPr>
          <w:p w14:paraId="041AC7D2" w14:textId="77777777" w:rsidR="007F0AE0" w:rsidRPr="00494051" w:rsidRDefault="007F0AE0" w:rsidP="00453DE3">
            <w:pPr>
              <w:spacing w:after="120"/>
              <w:jc w:val="center"/>
              <w:rPr>
                <w:rFonts w:eastAsia="Times New Roman" w:cstheme="minorHAnsi"/>
                <w:color w:val="000000"/>
                <w:sz w:val="16"/>
                <w:szCs w:val="16"/>
              </w:rPr>
            </w:pPr>
            <w:r w:rsidRPr="00494051">
              <w:rPr>
                <w:rFonts w:eastAsia="Times New Roman" w:cstheme="minorHAnsi"/>
                <w:color w:val="000000"/>
                <w:sz w:val="16"/>
                <w:szCs w:val="16"/>
              </w:rPr>
              <w:t> </w:t>
            </w:r>
          </w:p>
        </w:tc>
      </w:tr>
    </w:tbl>
    <w:p w14:paraId="0223F0E0" w14:textId="77777777" w:rsidR="007F0AE0" w:rsidRPr="00494051" w:rsidRDefault="007F0AE0" w:rsidP="007F0AE0">
      <w:pPr>
        <w:rPr>
          <w:rFonts w:cstheme="minorHAnsi"/>
        </w:rPr>
      </w:pPr>
    </w:p>
    <w:p w14:paraId="37DC7766" w14:textId="77777777" w:rsidR="007F0AE0" w:rsidRPr="00494051" w:rsidRDefault="007F0AE0" w:rsidP="007F0AE0">
      <w:pPr>
        <w:jc w:val="both"/>
        <w:rPr>
          <w:rFonts w:eastAsia="Calibri" w:cstheme="minorHAnsi"/>
          <w:b/>
        </w:rPr>
      </w:pPr>
    </w:p>
    <w:p w14:paraId="1FDD5C7A" w14:textId="77777777" w:rsidR="007F0AE0" w:rsidRPr="00494051" w:rsidRDefault="007F0AE0" w:rsidP="007F0AE0">
      <w:pPr>
        <w:jc w:val="both"/>
        <w:rPr>
          <w:rFonts w:eastAsia="Calibri" w:cstheme="minorHAnsi"/>
          <w:b/>
        </w:rPr>
      </w:pPr>
    </w:p>
    <w:p w14:paraId="0A316554" w14:textId="77777777" w:rsidR="007F0AE0" w:rsidRPr="00494051" w:rsidRDefault="007F0AE0" w:rsidP="007F0AE0">
      <w:pPr>
        <w:rPr>
          <w:rFonts w:cstheme="minorHAnsi"/>
        </w:rPr>
        <w:sectPr w:rsidR="007F0AE0" w:rsidRPr="00494051" w:rsidSect="00DB4A6A">
          <w:pgSz w:w="15840" w:h="12240" w:orient="landscape"/>
          <w:pgMar w:top="1296" w:right="1152" w:bottom="1296" w:left="1152" w:header="720" w:footer="720" w:gutter="0"/>
          <w:cols w:space="720"/>
          <w:docGrid w:linePitch="360"/>
        </w:sectPr>
      </w:pPr>
    </w:p>
    <w:p w14:paraId="2408F30D" w14:textId="77777777" w:rsidR="007F0AE0" w:rsidRPr="00494051" w:rsidRDefault="007F0AE0" w:rsidP="007F0AE0">
      <w:pPr>
        <w:widowControl w:val="0"/>
        <w:spacing w:after="120" w:line="240" w:lineRule="auto"/>
        <w:jc w:val="both"/>
        <w:outlineLvl w:val="1"/>
        <w:rPr>
          <w:rFonts w:eastAsia="Calibri" w:cstheme="minorHAnsi"/>
          <w:sz w:val="24"/>
          <w:u w:val="single"/>
        </w:rPr>
      </w:pPr>
      <w:bookmarkStart w:id="18" w:name="Table5_2"/>
      <w:r w:rsidRPr="00494051">
        <w:rPr>
          <w:rFonts w:eastAsia="Calibri" w:cstheme="minorHAnsi"/>
          <w:b/>
        </w:rPr>
        <w:lastRenderedPageBreak/>
        <w:t xml:space="preserve">Table </w:t>
      </w:r>
      <w:r>
        <w:rPr>
          <w:rFonts w:eastAsia="Calibri" w:cstheme="minorHAnsi"/>
          <w:b/>
        </w:rPr>
        <w:t>8</w:t>
      </w:r>
      <w:r w:rsidRPr="00494051">
        <w:rPr>
          <w:rFonts w:eastAsia="Calibri" w:cstheme="minorHAnsi"/>
          <w:b/>
        </w:rPr>
        <w:t>-2: CQ Results Overview for Smoking Cessation (Single-Item Measures; N=10)</w:t>
      </w:r>
    </w:p>
    <w:tbl>
      <w:tblPr>
        <w:tblStyle w:val="TableGrid"/>
        <w:tblW w:w="13639" w:type="dxa"/>
        <w:tblLayout w:type="fixed"/>
        <w:tblLook w:val="04A0" w:firstRow="1" w:lastRow="0" w:firstColumn="1" w:lastColumn="0" w:noHBand="0" w:noVBand="1"/>
      </w:tblPr>
      <w:tblGrid>
        <w:gridCol w:w="2065"/>
        <w:gridCol w:w="1350"/>
        <w:gridCol w:w="5310"/>
        <w:gridCol w:w="4914"/>
      </w:tblGrid>
      <w:tr w:rsidR="007F0AE0" w:rsidRPr="00494051" w14:paraId="1AE9F649" w14:textId="77777777" w:rsidTr="00453DE3">
        <w:trPr>
          <w:trHeight w:val="323"/>
          <w:tblHeader/>
        </w:trPr>
        <w:tc>
          <w:tcPr>
            <w:tcW w:w="2065" w:type="dxa"/>
            <w:shd w:val="clear" w:color="auto" w:fill="44546A"/>
            <w:vAlign w:val="center"/>
          </w:tcPr>
          <w:bookmarkEnd w:id="18"/>
          <w:p w14:paraId="066101A8" w14:textId="77777777" w:rsidR="007F0AE0" w:rsidRPr="00494051" w:rsidRDefault="007F0AE0" w:rsidP="00453DE3">
            <w:pPr>
              <w:widowControl w:val="0"/>
              <w:jc w:val="center"/>
              <w:rPr>
                <w:rFonts w:cstheme="minorHAnsi"/>
                <w:b/>
                <w:sz w:val="18"/>
                <w:szCs w:val="18"/>
              </w:rPr>
            </w:pPr>
            <w:r w:rsidRPr="00494051">
              <w:rPr>
                <w:rFonts w:cstheme="minorHAnsi"/>
                <w:b/>
                <w:color w:val="FFFFFF" w:themeColor="background1"/>
                <w:sz w:val="18"/>
                <w:szCs w:val="18"/>
              </w:rPr>
              <w:t>Measure</w:t>
            </w:r>
          </w:p>
        </w:tc>
        <w:tc>
          <w:tcPr>
            <w:tcW w:w="1350" w:type="dxa"/>
            <w:shd w:val="clear" w:color="auto" w:fill="44546A"/>
            <w:vAlign w:val="center"/>
          </w:tcPr>
          <w:p w14:paraId="52894BE4" w14:textId="77777777" w:rsidR="007F0AE0" w:rsidRPr="00494051" w:rsidRDefault="007F0AE0" w:rsidP="00453DE3">
            <w:pPr>
              <w:widowControl w:val="0"/>
              <w:jc w:val="center"/>
              <w:rPr>
                <w:rFonts w:cstheme="minorHAnsi"/>
                <w:b/>
                <w:sz w:val="18"/>
                <w:szCs w:val="18"/>
              </w:rPr>
            </w:pPr>
            <w:r w:rsidRPr="00494051">
              <w:rPr>
                <w:rFonts w:cstheme="minorHAnsi"/>
                <w:b/>
                <w:color w:val="FFFFFF" w:themeColor="background1"/>
                <w:sz w:val="18"/>
                <w:szCs w:val="18"/>
              </w:rPr>
              <w:t>Final Grade</w:t>
            </w:r>
          </w:p>
        </w:tc>
        <w:tc>
          <w:tcPr>
            <w:tcW w:w="5310" w:type="dxa"/>
            <w:shd w:val="clear" w:color="auto" w:fill="44546A"/>
            <w:vAlign w:val="center"/>
          </w:tcPr>
          <w:p w14:paraId="78315D11" w14:textId="77777777" w:rsidR="007F0AE0" w:rsidRPr="00494051" w:rsidRDefault="007F0AE0" w:rsidP="00453DE3">
            <w:pPr>
              <w:widowControl w:val="0"/>
              <w:jc w:val="center"/>
              <w:rPr>
                <w:rFonts w:cstheme="minorHAnsi"/>
                <w:b/>
                <w:color w:val="FFFFFF" w:themeColor="background1"/>
                <w:sz w:val="18"/>
                <w:szCs w:val="18"/>
              </w:rPr>
            </w:pPr>
            <w:r w:rsidRPr="00494051">
              <w:rPr>
                <w:rFonts w:cstheme="minorHAnsi"/>
                <w:b/>
                <w:color w:val="FFFFFF" w:themeColor="background1"/>
                <w:sz w:val="18"/>
                <w:szCs w:val="18"/>
              </w:rPr>
              <w:t xml:space="preserve">Reliability </w:t>
            </w:r>
          </w:p>
          <w:p w14:paraId="18CC3CF4" w14:textId="77777777" w:rsidR="007F0AE0" w:rsidRPr="00494051" w:rsidRDefault="007F0AE0" w:rsidP="00453DE3">
            <w:pPr>
              <w:widowControl w:val="0"/>
              <w:jc w:val="center"/>
              <w:rPr>
                <w:rFonts w:cstheme="minorHAnsi"/>
                <w:b/>
                <w:sz w:val="18"/>
                <w:szCs w:val="18"/>
              </w:rPr>
            </w:pPr>
            <w:r w:rsidRPr="00494051">
              <w:rPr>
                <w:rFonts w:cstheme="minorHAnsi"/>
                <w:b/>
                <w:color w:val="FFFFFF" w:themeColor="background1"/>
                <w:sz w:val="18"/>
                <w:szCs w:val="18"/>
              </w:rPr>
              <w:t>(Study, statistical method, result, test-retest interval, study population)</w:t>
            </w:r>
          </w:p>
        </w:tc>
        <w:tc>
          <w:tcPr>
            <w:tcW w:w="4914" w:type="dxa"/>
            <w:shd w:val="clear" w:color="auto" w:fill="44546A"/>
            <w:vAlign w:val="center"/>
          </w:tcPr>
          <w:p w14:paraId="6E4B2625" w14:textId="77777777" w:rsidR="007F0AE0" w:rsidRPr="00494051" w:rsidRDefault="007F0AE0" w:rsidP="00453DE3">
            <w:pPr>
              <w:widowControl w:val="0"/>
              <w:jc w:val="center"/>
              <w:rPr>
                <w:rFonts w:cstheme="minorHAnsi"/>
                <w:b/>
                <w:color w:val="FFFFFF" w:themeColor="background1"/>
                <w:sz w:val="18"/>
                <w:szCs w:val="18"/>
              </w:rPr>
            </w:pPr>
            <w:r w:rsidRPr="00494051">
              <w:rPr>
                <w:rFonts w:cstheme="minorHAnsi"/>
                <w:b/>
                <w:color w:val="FFFFFF" w:themeColor="background1"/>
                <w:sz w:val="18"/>
                <w:szCs w:val="18"/>
              </w:rPr>
              <w:t xml:space="preserve">Validity </w:t>
            </w:r>
          </w:p>
          <w:p w14:paraId="54033A8C" w14:textId="77777777" w:rsidR="007F0AE0" w:rsidRPr="00494051" w:rsidRDefault="007F0AE0" w:rsidP="00453DE3">
            <w:pPr>
              <w:widowControl w:val="0"/>
              <w:jc w:val="center"/>
              <w:rPr>
                <w:rFonts w:cstheme="minorHAnsi"/>
                <w:b/>
                <w:sz w:val="18"/>
                <w:szCs w:val="18"/>
              </w:rPr>
            </w:pPr>
            <w:r w:rsidRPr="00494051">
              <w:rPr>
                <w:rFonts w:cstheme="minorHAnsi"/>
                <w:b/>
                <w:color w:val="FFFFFF" w:themeColor="background1"/>
                <w:sz w:val="18"/>
                <w:szCs w:val="18"/>
              </w:rPr>
              <w:t xml:space="preserve"> (Study, behavioral/biochemical measure, statistical method, result, study population)</w:t>
            </w:r>
          </w:p>
        </w:tc>
      </w:tr>
      <w:tr w:rsidR="007F0AE0" w:rsidRPr="00494051" w14:paraId="568E132B" w14:textId="77777777" w:rsidTr="00453DE3">
        <w:tc>
          <w:tcPr>
            <w:tcW w:w="2065" w:type="dxa"/>
            <w:shd w:val="clear" w:color="auto" w:fill="auto"/>
          </w:tcPr>
          <w:p w14:paraId="1C9A17CD" w14:textId="77777777" w:rsidR="007F0AE0" w:rsidRPr="00494051" w:rsidRDefault="007F0AE0" w:rsidP="00453DE3">
            <w:pPr>
              <w:widowControl w:val="0"/>
              <w:rPr>
                <w:rFonts w:cstheme="minorHAnsi"/>
                <w:sz w:val="18"/>
                <w:szCs w:val="18"/>
              </w:rPr>
            </w:pPr>
            <w:r w:rsidRPr="00494051">
              <w:rPr>
                <w:rFonts w:cstheme="minorHAnsi"/>
                <w:sz w:val="18"/>
                <w:szCs w:val="18"/>
              </w:rPr>
              <w:t>Duration of abstinence</w:t>
            </w:r>
          </w:p>
        </w:tc>
        <w:tc>
          <w:tcPr>
            <w:tcW w:w="1350" w:type="dxa"/>
            <w:shd w:val="clear" w:color="auto" w:fill="auto"/>
          </w:tcPr>
          <w:p w14:paraId="5E8FDFAC" w14:textId="77777777" w:rsidR="007F0AE0" w:rsidRPr="00494051" w:rsidRDefault="007F0AE0" w:rsidP="00453DE3">
            <w:pPr>
              <w:widowControl w:val="0"/>
              <w:rPr>
                <w:rFonts w:cstheme="minorHAnsi"/>
                <w:sz w:val="18"/>
                <w:szCs w:val="18"/>
              </w:rPr>
            </w:pPr>
            <w:r>
              <w:rPr>
                <w:rFonts w:cstheme="minorHAnsi"/>
                <w:b/>
                <w:sz w:val="18"/>
                <w:szCs w:val="18"/>
              </w:rPr>
              <w:t>ACCEPTABLE</w:t>
            </w:r>
          </w:p>
        </w:tc>
        <w:tc>
          <w:tcPr>
            <w:tcW w:w="5310" w:type="dxa"/>
            <w:shd w:val="clear" w:color="auto" w:fill="auto"/>
          </w:tcPr>
          <w:p w14:paraId="5084BF45"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&lt;EndNote&gt;&lt;Cite&gt;&lt;Author&gt;Brigham&lt;/Author&gt;&lt;Year&gt;2009&lt;/Year&gt;&lt;RecNum&gt;143&lt;/RecNum&gt;&lt;DisplayText&gt;(98)&lt;/DisplayText&gt;&lt;record&gt;&lt;rec-number&gt;143&lt;/rec-number&gt;&lt;foreign-keys&gt;&lt;key app="EN" db-id="a2vz2dfp8xrad6exes75zwpiw5rxwa0vwapv" timestamp="0"&gt;143&lt;/key&gt;&lt;/foreign-keys&gt;&lt;ref-type name="Journal Article"&gt;17&lt;/ref-type&gt;&lt;contributors&gt;&lt;authors&gt;&lt;author&gt;Brigham, J.&lt;/author&gt;&lt;author&gt;Lessov-Schlaggar, C. N.&lt;/author&gt;&lt;author&gt;Javitz, H. S.&lt;/author&gt;&lt;author&gt;Krasnow, R. E.&lt;/author&gt;&lt;author&gt;McElroy, M.&lt;/author&gt;&lt;author&gt;Swan, G. E.&lt;/author&gt;&lt;/authors&gt;&lt;/contributors&gt;&lt;auth-address&gt;Center for Health Sciences, SRI International, Menlo Park, CA, USA.&lt;/auth-address&gt;&lt;titles&gt;&lt;title&gt;Test-retest reliability of web-based retrospective self-report of tobacco exposure and risk&lt;/title&gt;&lt;secondary-title&gt;J Med Internet Res&lt;/secondary-title&gt;&lt;alt-title&gt;Journal of medical Internet research&lt;/alt-title&gt;&lt;/titles&gt;&lt;alt-periodical&gt;&lt;full-title&gt;Journal of Medical Internet Research&lt;/full-title&gt;&lt;/alt-periodical&gt;&lt;pages&gt;e35&lt;/pages&gt;&lt;volume&gt;11&lt;/volume&gt;&lt;number&gt;3&lt;/number&gt;&lt;edition&gt;2009/08/14&lt;/edition&gt;&lt;keywords&gt;&lt;keyword&gt;Adolescent&lt;/keyword&gt;&lt;keyword&gt;Adult&lt;/keyword&gt;&lt;keyword&gt;Aged&lt;/keyword&gt;&lt;keyword&gt;Alcohol Drinking&lt;/keyword&gt;&lt;keyword&gt;Humans&lt;/keyword&gt;&lt;keyword&gt;*Internet&lt;/keyword&gt;&lt;keyword&gt;Middle Aged&lt;/keyword&gt;&lt;keyword&gt;Religion&lt;/keyword&gt;&lt;keyword&gt;*Reproducibility of Results&lt;/keyword&gt;&lt;keyword&gt;Retrospective Studies&lt;/keyword&gt;&lt;keyword&gt;Risk Assessment&lt;/keyword&gt;&lt;keyword&gt;*Surveys and Questionnaires&lt;/keyword&gt;&lt;keyword&gt;Tobacco Smoke Pollution/statistics &amp;amp; numerical data&lt;/keyword&gt;&lt;keyword&gt;Tobacco Use Cessation/*statistics &amp;amp; numerical data&lt;/keyword&gt;&lt;keyword&gt;Tobacco Use Disorder/*rehabilitation&lt;/keyword&gt;&lt;keyword&gt;Young Adult&lt;/keyword&gt;&lt;/keywords&gt;&lt;dates&gt;&lt;year&gt;2009&lt;/year&gt;&lt;/dates&gt;&lt;isbn&gt;1438-8871&lt;/isbn&gt;&lt;accession-num&gt;19674962&lt;/accession-num&gt;&lt;urls&gt;&lt;/urls&gt;&lt;custom2&gt;PMC2762856&lt;/custom2&gt;&lt;electronic-resource-num&gt;10.2196/jmir.1248&lt;/electronic-resource-num&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8" w:tooltip="Brigham, 2009 #143" w:history="1">
              <w:r>
                <w:rPr>
                  <w:rFonts w:cstheme="minorHAnsi"/>
                  <w:iCs/>
                  <w:noProof/>
                  <w:sz w:val="20"/>
                  <w:szCs w:val="20"/>
                  <w:u w:val="single"/>
                </w:rPr>
                <w:t>98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FAAA89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A closed, password-controlled, invitation-only website questionnaire </w:t>
            </w:r>
          </w:p>
          <w:p w14:paraId="2112594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0.79 (self-reported: number of months of first or only cigarette quit attempt ≥3 months’ duration)</w:t>
            </w:r>
          </w:p>
          <w:p w14:paraId="57F71FD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2 months</w:t>
            </w:r>
          </w:p>
          <w:p w14:paraId="3E8DD718"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
                <w:iCs/>
                <w:sz w:val="20"/>
                <w:szCs w:val="20"/>
              </w:rPr>
              <w:t>430 anonymous adults (baseline sample: 1229 adults aged 18 years and older) drawn from a U.S. consumer panel (comprising databases such as:</w:t>
            </w:r>
            <w:r w:rsidRPr="00494051">
              <w:rPr>
                <w:rFonts w:cstheme="minorHAnsi"/>
              </w:rPr>
              <w:t xml:space="preserve"> </w:t>
            </w:r>
            <w:r w:rsidRPr="00494051">
              <w:rPr>
                <w:rFonts w:cstheme="minorHAnsi"/>
                <w:i/>
                <w:iCs/>
                <w:sz w:val="20"/>
                <w:szCs w:val="20"/>
              </w:rPr>
              <w:t>public utility customers, airline, dining, and hotel program members).</w:t>
            </w:r>
          </w:p>
          <w:p w14:paraId="628198F2" w14:textId="77777777" w:rsidR="007F0AE0" w:rsidRPr="00494051" w:rsidRDefault="007F0AE0" w:rsidP="00453DE3">
            <w:pPr>
              <w:widowControl w:val="0"/>
              <w:spacing w:before="60" w:after="120"/>
              <w:contextualSpacing/>
              <w:rPr>
                <w:rFonts w:cstheme="minorHAnsi"/>
                <w:iCs/>
                <w:sz w:val="20"/>
                <w:szCs w:val="20"/>
                <w:u w:val="single"/>
              </w:rPr>
            </w:pPr>
          </w:p>
          <w:p w14:paraId="20D564F7"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58F248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4F79563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Cigarette non-smoking phases of ≥3 months (cumulative number of non-smoking months)</w:t>
            </w:r>
          </w:p>
          <w:p w14:paraId="7CED4987"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w:t>
            </w:r>
            <w:r w:rsidRPr="00494051">
              <w:rPr>
                <w:rFonts w:cstheme="minorHAnsi"/>
                <w:iCs/>
                <w:sz w:val="20"/>
                <w:szCs w:val="20"/>
              </w:rPr>
              <w:t>=0.83; p&lt;0.0001</w:t>
            </w:r>
          </w:p>
          <w:p w14:paraId="362AC02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ICC= 0.84 </w:t>
            </w:r>
          </w:p>
          <w:p w14:paraId="211B22D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29145731"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92 adults (baseline sample: 1,625 adults ages 34-44, mainly white, from the U.S.)</w:t>
            </w:r>
          </w:p>
          <w:p w14:paraId="0C61B86A" w14:textId="77777777" w:rsidR="007F0AE0" w:rsidRPr="00494051" w:rsidRDefault="007F0AE0" w:rsidP="00453DE3">
            <w:pPr>
              <w:widowControl w:val="0"/>
              <w:spacing w:before="60" w:after="120"/>
              <w:contextualSpacing/>
              <w:rPr>
                <w:rFonts w:cstheme="minorHAnsi"/>
                <w:iCs/>
                <w:sz w:val="20"/>
                <w:szCs w:val="20"/>
              </w:rPr>
            </w:pPr>
          </w:p>
          <w:p w14:paraId="1BEC642C"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PEVuZE5vdGU+PENpdGU+PEF1dGhvcj5Tb3VsYWtvdmE8L0F1dGhvcj48WWVhcj4yMDEyPC9ZZWFy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PEVuZE5vdGU+PENpdGU+PEF1dGhvcj5Tb3VsYWtvdmE8L0F1dGhvcj48WWVhcj4yMDEyPC9ZZWFy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5" w:tooltip="Soulakova, 2012 #141" w:history="1">
              <w:r>
                <w:rPr>
                  <w:rFonts w:cstheme="minorHAnsi"/>
                  <w:iCs/>
                  <w:noProof/>
                  <w:sz w:val="20"/>
                  <w:szCs w:val="20"/>
                  <w:u w:val="single"/>
                </w:rPr>
                <w:t>5</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56CB9F2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Combination of in-person and telephone interviews</w:t>
            </w:r>
          </w:p>
          <w:p w14:paraId="5CA5C40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Self-report of the time (in years) since completely quitting smoking, which was assessed for former smokers who did not relapse between the two surveys (2002-2003). This measure is based on the survey question “About how long has it been since you completely quit smoking cigarettes?” and is adjusted for one-year difference.</w:t>
            </w:r>
          </w:p>
          <w:p w14:paraId="5E5F36F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sidRPr="00494051">
              <w:rPr>
                <w:rFonts w:cstheme="minorHAnsi"/>
                <w:iCs/>
                <w:sz w:val="20"/>
                <w:szCs w:val="20"/>
              </w:rPr>
              <w:t>=0.86; p&lt;0.001</w:t>
            </w:r>
          </w:p>
          <w:p w14:paraId="05CC481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0.86</w:t>
            </w:r>
          </w:p>
          <w:p w14:paraId="08F69A9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1 year ± 2 weeks</w:t>
            </w:r>
          </w:p>
          <w:p w14:paraId="7794319E" w14:textId="77777777" w:rsidR="007F0AE0" w:rsidRPr="00494051" w:rsidRDefault="007F0AE0" w:rsidP="00453DE3">
            <w:pPr>
              <w:widowControl w:val="0"/>
              <w:spacing w:after="120"/>
              <w:contextualSpacing/>
              <w:rPr>
                <w:rFonts w:cstheme="minorHAnsi"/>
                <w:sz w:val="18"/>
                <w:szCs w:val="18"/>
              </w:rPr>
            </w:pPr>
            <w:r w:rsidRPr="00494051">
              <w:rPr>
                <w:rFonts w:cstheme="minorHAnsi"/>
                <w:i/>
                <w:iCs/>
                <w:sz w:val="20"/>
                <w:szCs w:val="20"/>
              </w:rPr>
              <w:t>Sample size: 2,722 people; ages 15 to 65 years and older, in the U.S.</w:t>
            </w:r>
          </w:p>
        </w:tc>
        <w:tc>
          <w:tcPr>
            <w:tcW w:w="4914" w:type="dxa"/>
          </w:tcPr>
          <w:p w14:paraId="0B407A28"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PEVuZE5vdGU+PENpdGU+PEF1dGhvcj5Tb3VsYWtvdmE8L0F1dGhvcj48WWVhcj4yMDEyPC9ZZWFy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PEVuZE5vdGU+PENpdGU+PEF1dGhvcj5Tb3VsYWtvdmE8L0F1dGhvcj48WWVhcj4yMDEyPC9ZZWFy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5" w:tooltip="Soulakova, 2012 #141" w:history="1">
              <w:r>
                <w:rPr>
                  <w:rFonts w:cstheme="minorHAnsi"/>
                  <w:iCs/>
                  <w:noProof/>
                  <w:sz w:val="20"/>
                  <w:szCs w:val="20"/>
                  <w:u w:val="single"/>
                </w:rPr>
                <w:t>5</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439AF87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Combination of in-person and telephone interviews</w:t>
            </w:r>
          </w:p>
          <w:p w14:paraId="2B3AE65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Self-report of the time (in years) since completely quitting smoking, which was assessed for former smokers who did not relapse between the two surveys (adjusted for one-year difference). This measure is based on the survey question “About how long has it been since you completely quit smoking cigarettes?”</w:t>
            </w:r>
          </w:p>
          <w:p w14:paraId="0DA27949"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Gender (OR of male vs female respondents):</w:t>
            </w:r>
          </w:p>
          <w:p w14:paraId="2D13A06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OR=0.79; p=0.043</w:t>
            </w:r>
          </w:p>
          <w:p w14:paraId="64FDD381"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2003 Interview method and region (OR of telephone vs in-person interview: Midwest region):</w:t>
            </w:r>
          </w:p>
          <w:p w14:paraId="78A7E34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OR=0.50; adjusted p=0.048</w:t>
            </w:r>
          </w:p>
          <w:p w14:paraId="5BC674A7"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2003 Interview method and region (OR of telephone vs in-person interview: South region):</w:t>
            </w:r>
          </w:p>
          <w:p w14:paraId="6776197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OR=2.28; adjusted p=0.043</w:t>
            </w:r>
          </w:p>
          <w:p w14:paraId="38BC9CB0" w14:textId="77777777" w:rsidR="007F0AE0" w:rsidRDefault="007F0AE0" w:rsidP="00453DE3">
            <w:pPr>
              <w:widowControl w:val="0"/>
              <w:spacing w:after="120"/>
              <w:contextualSpacing/>
              <w:rPr>
                <w:rFonts w:cstheme="minorHAnsi"/>
                <w:i/>
                <w:iCs/>
                <w:sz w:val="20"/>
                <w:szCs w:val="20"/>
              </w:rPr>
            </w:pPr>
            <w:r w:rsidRPr="00494051">
              <w:rPr>
                <w:rFonts w:cstheme="minorHAnsi"/>
                <w:i/>
                <w:iCs/>
                <w:sz w:val="20"/>
                <w:szCs w:val="20"/>
              </w:rPr>
              <w:t>Sample size: 2,722 people; ages 15 to 65 years and older, in the U.S.</w:t>
            </w:r>
          </w:p>
          <w:p w14:paraId="36D3E255" w14:textId="77777777" w:rsidR="007F0AE0" w:rsidRDefault="007F0AE0" w:rsidP="00453DE3">
            <w:pPr>
              <w:widowControl w:val="0"/>
              <w:spacing w:after="120"/>
              <w:contextualSpacing/>
              <w:rPr>
                <w:rFonts w:cstheme="minorHAnsi"/>
                <w:i/>
                <w:iCs/>
                <w:sz w:val="20"/>
                <w:szCs w:val="20"/>
              </w:rPr>
            </w:pPr>
          </w:p>
          <w:p w14:paraId="799E9AE9" w14:textId="77777777" w:rsidR="007F0AE0" w:rsidRPr="00266CE4" w:rsidRDefault="007F0AE0" w:rsidP="00453DE3">
            <w:pPr>
              <w:widowControl w:val="0"/>
              <w:spacing w:before="60" w:after="120"/>
              <w:contextualSpacing/>
              <w:rPr>
                <w:rFonts w:cstheme="minorHAnsi"/>
                <w:iCs/>
                <w:sz w:val="20"/>
                <w:szCs w:val="20"/>
              </w:rPr>
            </w:pPr>
            <w:r w:rsidRPr="00266CE4">
              <w:rPr>
                <w:rFonts w:cstheme="minorHAnsi"/>
                <w:iCs/>
                <w:sz w:val="20"/>
                <w:szCs w:val="20"/>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rPr>
              <w:instrText xml:space="preserve"> ADDIN EN.CITE </w:instrText>
            </w:r>
            <w:r>
              <w:rPr>
                <w:rFonts w:cstheme="minorHAnsi"/>
                <w:iCs/>
                <w:sz w:val="20"/>
                <w:szCs w:val="20"/>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rPr>
              <w:instrText xml:space="preserve"> ADDIN EN.CITE.DATA </w:instrText>
            </w:r>
            <w:r>
              <w:rPr>
                <w:rFonts w:cstheme="minorHAnsi"/>
                <w:iCs/>
                <w:sz w:val="20"/>
                <w:szCs w:val="20"/>
              </w:rPr>
            </w:r>
            <w:r>
              <w:rPr>
                <w:rFonts w:cstheme="minorHAnsi"/>
                <w:iCs/>
                <w:sz w:val="20"/>
                <w:szCs w:val="20"/>
              </w:rPr>
              <w:fldChar w:fldCharType="end"/>
            </w:r>
            <w:r w:rsidRPr="00266CE4">
              <w:rPr>
                <w:rFonts w:cstheme="minorHAnsi"/>
                <w:iCs/>
                <w:sz w:val="20"/>
                <w:szCs w:val="20"/>
              </w:rPr>
              <w:fldChar w:fldCharType="separate"/>
            </w:r>
            <w:r>
              <w:rPr>
                <w:rFonts w:cstheme="minorHAnsi"/>
                <w:iCs/>
                <w:noProof/>
                <w:sz w:val="20"/>
                <w:szCs w:val="20"/>
              </w:rPr>
              <w:t>(</w:t>
            </w:r>
            <w:hyperlink w:anchor="_ENREF_100" w:tooltip="Borland, 2010 #156" w:history="1">
              <w:r>
                <w:rPr>
                  <w:rFonts w:cstheme="minorHAnsi"/>
                  <w:iCs/>
                  <w:noProof/>
                  <w:sz w:val="20"/>
                  <w:szCs w:val="20"/>
                </w:rPr>
                <w:t>100</w:t>
              </w:r>
            </w:hyperlink>
            <w:r>
              <w:rPr>
                <w:rFonts w:cstheme="minorHAnsi"/>
                <w:iCs/>
                <w:noProof/>
                <w:sz w:val="20"/>
                <w:szCs w:val="20"/>
              </w:rPr>
              <w:t>)</w:t>
            </w:r>
            <w:r w:rsidRPr="00266CE4">
              <w:rPr>
                <w:rFonts w:cstheme="minorHAnsi"/>
                <w:iCs/>
                <w:sz w:val="20"/>
                <w:szCs w:val="20"/>
              </w:rPr>
              <w:fldChar w:fldCharType="end"/>
            </w:r>
            <w:r w:rsidRPr="00266CE4">
              <w:rPr>
                <w:rFonts w:cstheme="minorHAnsi"/>
                <w:iCs/>
                <w:sz w:val="20"/>
                <w:szCs w:val="20"/>
              </w:rPr>
              <w:t>:</w:t>
            </w:r>
          </w:p>
          <w:p w14:paraId="54A9DA26" w14:textId="77777777" w:rsidR="007F0AE0" w:rsidRPr="00266CE4" w:rsidRDefault="007F0AE0" w:rsidP="00453DE3">
            <w:pPr>
              <w:widowControl w:val="0"/>
              <w:spacing w:before="60" w:after="120"/>
              <w:contextualSpacing/>
              <w:rPr>
                <w:rFonts w:cstheme="minorHAnsi"/>
                <w:iCs/>
                <w:sz w:val="20"/>
                <w:szCs w:val="20"/>
              </w:rPr>
            </w:pPr>
            <w:r w:rsidRPr="00266CE4">
              <w:rPr>
                <w:rFonts w:cstheme="minorHAnsi"/>
                <w:iCs/>
                <w:sz w:val="20"/>
                <w:szCs w:val="20"/>
              </w:rPr>
              <w:t>Telephone interview</w:t>
            </w:r>
          </w:p>
          <w:p w14:paraId="1322C73D" w14:textId="77777777" w:rsidR="007F0AE0" w:rsidRPr="00266CE4" w:rsidRDefault="007F0AE0" w:rsidP="00453DE3">
            <w:pPr>
              <w:widowControl w:val="0"/>
              <w:spacing w:before="60" w:after="120"/>
              <w:contextualSpacing/>
              <w:rPr>
                <w:rFonts w:cstheme="minorHAnsi"/>
                <w:iCs/>
                <w:sz w:val="20"/>
                <w:szCs w:val="20"/>
              </w:rPr>
            </w:pPr>
            <w:r w:rsidRPr="00266CE4">
              <w:rPr>
                <w:rFonts w:cstheme="minorHAnsi"/>
                <w:iCs/>
                <w:sz w:val="20"/>
                <w:szCs w:val="20"/>
              </w:rPr>
              <w:t>Predicting sustained quitting (quit &gt;1 month) at Wave 2 using measures of CPD (square root) at Wave 1</w:t>
            </w:r>
          </w:p>
          <w:p w14:paraId="3842240F"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t>OR (categorical): 0.84; p&lt;0.01</w:t>
            </w:r>
          </w:p>
          <w:p w14:paraId="5C6E366E"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t>OR (continuous): 0.84; p&lt;0.001</w:t>
            </w:r>
          </w:p>
          <w:p w14:paraId="0B2AF1C8" w14:textId="77777777" w:rsidR="007F0AE0" w:rsidRPr="00266CE4" w:rsidRDefault="007F0AE0" w:rsidP="00453DE3">
            <w:pPr>
              <w:widowControl w:val="0"/>
              <w:spacing w:before="60" w:after="120"/>
              <w:rPr>
                <w:rFonts w:cs="Calibri"/>
                <w:iCs/>
                <w:sz w:val="20"/>
                <w:szCs w:val="20"/>
              </w:rPr>
            </w:pPr>
            <w:r w:rsidRPr="00266CE4">
              <w:rPr>
                <w:rFonts w:cs="Calibri"/>
                <w:iCs/>
                <w:sz w:val="20"/>
                <w:szCs w:val="20"/>
              </w:rPr>
              <w:t>Predicting sustained quitting (quit &gt;1 month) at Wave 3 using measures of CPD (square root) at Wave 2</w:t>
            </w:r>
          </w:p>
          <w:p w14:paraId="098A34A4"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t>OR (categorical): 0.71; p&lt;0.001</w:t>
            </w:r>
          </w:p>
          <w:p w14:paraId="161226C9"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t>OR (continuous): 0.81; p&lt;0.001</w:t>
            </w:r>
          </w:p>
          <w:p w14:paraId="5166B121" w14:textId="77777777" w:rsidR="007F0AE0" w:rsidRPr="00266CE4" w:rsidRDefault="007F0AE0" w:rsidP="00453DE3">
            <w:pPr>
              <w:widowControl w:val="0"/>
              <w:spacing w:before="60" w:after="120"/>
              <w:rPr>
                <w:rFonts w:cs="Calibri"/>
                <w:iCs/>
                <w:sz w:val="20"/>
                <w:szCs w:val="20"/>
              </w:rPr>
            </w:pPr>
            <w:r w:rsidRPr="00266CE4">
              <w:rPr>
                <w:rFonts w:cs="Calibri"/>
                <w:iCs/>
                <w:sz w:val="20"/>
                <w:szCs w:val="20"/>
              </w:rPr>
              <w:t>Predicting sustained quitting (quit &gt;1 month) at Wave 4 using measures of CPD (square root) at Wave 3</w:t>
            </w:r>
          </w:p>
          <w:p w14:paraId="6BA61D19"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lastRenderedPageBreak/>
              <w:t>OR (categorical): 0.72; p&lt;0.001</w:t>
            </w:r>
          </w:p>
          <w:p w14:paraId="5EB72750" w14:textId="77777777" w:rsidR="007F0AE0" w:rsidRPr="00266CE4" w:rsidRDefault="007F0AE0" w:rsidP="007F0AE0">
            <w:pPr>
              <w:pStyle w:val="ListParagraph"/>
              <w:widowControl w:val="0"/>
              <w:numPr>
                <w:ilvl w:val="0"/>
                <w:numId w:val="27"/>
              </w:numPr>
              <w:spacing w:before="60" w:after="120"/>
              <w:ind w:left="245" w:hanging="187"/>
              <w:rPr>
                <w:rFonts w:cstheme="minorHAnsi"/>
                <w:i/>
                <w:iCs/>
                <w:sz w:val="20"/>
                <w:szCs w:val="20"/>
              </w:rPr>
            </w:pPr>
            <w:r w:rsidRPr="00266CE4">
              <w:rPr>
                <w:rFonts w:cstheme="minorHAnsi"/>
                <w:i/>
                <w:iCs/>
                <w:sz w:val="20"/>
                <w:szCs w:val="20"/>
              </w:rPr>
              <w:t>OR (continuous): 0.76; p&lt;0.001</w:t>
            </w:r>
          </w:p>
          <w:p w14:paraId="336C232C" w14:textId="77777777" w:rsidR="007F0AE0" w:rsidRPr="00690CC4" w:rsidRDefault="007F0AE0" w:rsidP="00453DE3">
            <w:pPr>
              <w:widowControl w:val="0"/>
              <w:spacing w:before="60" w:after="120"/>
              <w:rPr>
                <w:rFonts w:cs="Calibri"/>
                <w:i/>
                <w:iCs/>
                <w:sz w:val="20"/>
                <w:szCs w:val="20"/>
              </w:rPr>
            </w:pPr>
            <w:r w:rsidRPr="00266CE4">
              <w:rPr>
                <w:rFonts w:cs="Calibri"/>
                <w:i/>
                <w:iCs/>
                <w:sz w:val="20"/>
                <w:szCs w:val="20"/>
              </w:rPr>
              <w:t>Daily smokers from Wave 1 to 4 of the ITC-4 country survey from the U.S., U.K., Canada, and Australia (wave 1 to 2: 5,459 participants; wave 2 to 3: 4,356 participants; wave 3 to 4: 4,376 participants; wave 1 to 3: 3,535 participants; wave 2 to 4: 3,080 participants; wave 1 to 4: 2,594 participants).</w:t>
            </w:r>
          </w:p>
        </w:tc>
      </w:tr>
      <w:tr w:rsidR="007F0AE0" w:rsidRPr="00494051" w14:paraId="59231838" w14:textId="77777777" w:rsidTr="00453DE3">
        <w:tc>
          <w:tcPr>
            <w:tcW w:w="2065" w:type="dxa"/>
            <w:shd w:val="clear" w:color="auto" w:fill="auto"/>
          </w:tcPr>
          <w:p w14:paraId="23823DB4" w14:textId="77777777" w:rsidR="007F0AE0" w:rsidRPr="00494051" w:rsidRDefault="007F0AE0" w:rsidP="00453DE3">
            <w:pPr>
              <w:widowControl w:val="0"/>
              <w:rPr>
                <w:rFonts w:cstheme="minorHAnsi"/>
                <w:sz w:val="18"/>
                <w:szCs w:val="18"/>
              </w:rPr>
            </w:pPr>
            <w:r w:rsidRPr="00494051">
              <w:rPr>
                <w:rFonts w:cstheme="minorHAnsi"/>
                <w:sz w:val="18"/>
                <w:szCs w:val="18"/>
              </w:rPr>
              <w:lastRenderedPageBreak/>
              <w:t>Quit attempts (any quit attempts</w:t>
            </w:r>
            <w:r>
              <w:rPr>
                <w:rFonts w:cstheme="minorHAnsi"/>
                <w:sz w:val="18"/>
                <w:szCs w:val="18"/>
              </w:rPr>
              <w:t xml:space="preserve">; </w:t>
            </w:r>
            <w:r w:rsidRPr="00494051">
              <w:rPr>
                <w:rFonts w:cstheme="minorHAnsi"/>
                <w:sz w:val="18"/>
                <w:szCs w:val="18"/>
              </w:rPr>
              <w:t>number of quit attempts per person)</w:t>
            </w:r>
          </w:p>
        </w:tc>
        <w:tc>
          <w:tcPr>
            <w:tcW w:w="1350" w:type="dxa"/>
            <w:shd w:val="clear" w:color="auto" w:fill="auto"/>
          </w:tcPr>
          <w:p w14:paraId="5685D724" w14:textId="77777777" w:rsidR="007F0AE0" w:rsidRPr="00494051" w:rsidRDefault="007F0AE0" w:rsidP="00453DE3">
            <w:pPr>
              <w:widowControl w:val="0"/>
              <w:rPr>
                <w:rFonts w:cstheme="minorHAnsi"/>
                <w:b/>
                <w:sz w:val="18"/>
                <w:szCs w:val="18"/>
              </w:rPr>
            </w:pPr>
            <w:r w:rsidRPr="00494051">
              <w:rPr>
                <w:rFonts w:cstheme="minorHAnsi"/>
                <w:b/>
                <w:sz w:val="18"/>
                <w:szCs w:val="18"/>
              </w:rPr>
              <w:t>ACCEPTABLE</w:t>
            </w:r>
          </w:p>
          <w:p w14:paraId="679B551F" w14:textId="77777777" w:rsidR="007F0AE0" w:rsidRPr="00494051" w:rsidRDefault="007F0AE0" w:rsidP="00453DE3">
            <w:pPr>
              <w:widowControl w:val="0"/>
              <w:rPr>
                <w:rFonts w:cstheme="minorHAnsi"/>
                <w:sz w:val="18"/>
                <w:szCs w:val="18"/>
              </w:rPr>
            </w:pPr>
          </w:p>
        </w:tc>
        <w:tc>
          <w:tcPr>
            <w:tcW w:w="5310" w:type="dxa"/>
            <w:shd w:val="clear" w:color="auto" w:fill="auto"/>
          </w:tcPr>
          <w:p w14:paraId="4D1D6652"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7BEB2C6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0812883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Cigarette lifetime number of quit attempts</w:t>
            </w:r>
          </w:p>
          <w:p w14:paraId="4A006CF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sidRPr="00494051">
              <w:rPr>
                <w:rFonts w:cstheme="minorHAnsi"/>
                <w:iCs/>
                <w:sz w:val="20"/>
                <w:szCs w:val="20"/>
              </w:rPr>
              <w:t>=0.74; p&lt;0.0001</w:t>
            </w:r>
          </w:p>
          <w:p w14:paraId="0D600D8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ICC=0.66</w:t>
            </w:r>
          </w:p>
          <w:p w14:paraId="38F4B64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1F02D79B"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124 adults (baseline sample: 1,625 adults ages 34-44, mainly white, from the U.S.)</w:t>
            </w:r>
          </w:p>
          <w:p w14:paraId="4B162628" w14:textId="77777777" w:rsidR="007F0AE0" w:rsidRPr="00494051" w:rsidRDefault="007F0AE0" w:rsidP="00453DE3">
            <w:pPr>
              <w:widowControl w:val="0"/>
              <w:spacing w:before="60" w:after="120"/>
              <w:contextualSpacing/>
              <w:rPr>
                <w:rFonts w:cstheme="minorHAnsi"/>
                <w:i/>
                <w:iCs/>
                <w:sz w:val="20"/>
                <w:szCs w:val="20"/>
              </w:rPr>
            </w:pPr>
          </w:p>
          <w:p w14:paraId="2BC2A5FF" w14:textId="77777777" w:rsidR="007F0AE0" w:rsidRPr="00494051" w:rsidRDefault="007F0AE0" w:rsidP="00453DE3">
            <w:pPr>
              <w:widowControl w:val="0"/>
              <w:spacing w:before="60" w:after="120"/>
              <w:contextualSpacing/>
              <w:rPr>
                <w:rFonts w:cstheme="minorHAnsi"/>
                <w:sz w:val="20"/>
                <w:szCs w:val="20"/>
                <w:u w:val="single"/>
              </w:rPr>
            </w:pPr>
            <w:r>
              <w:rPr>
                <w:rFonts w:cstheme="minorHAnsi"/>
                <w:sz w:val="20"/>
                <w:szCs w:val="20"/>
                <w:u w:val="single"/>
              </w:rPr>
              <w:fldChar w:fldCharType="begin"/>
            </w:r>
            <w:r>
              <w:rPr>
                <w:rFonts w:cstheme="minorHAnsi"/>
                <w:sz w:val="20"/>
                <w:szCs w:val="20"/>
                <w:u w:val="single"/>
              </w:rPr>
              <w:instrText xml:space="preserve"> ADDIN EN.CITE &lt;EndNote&gt;&lt;Cite&gt;&lt;Author&gt;Brigham&lt;/Author&gt;&lt;Year&gt;2010&lt;/Year&gt;&lt;RecNum&gt;310&lt;/RecNum&gt;&lt;DisplayText&gt;(101)&lt;/DisplayText&gt;&lt;record&gt;&lt;rec-number&gt;310&lt;/rec-number&gt;&lt;foreign-keys&gt;&lt;key app="EN" db-id="a2vz2dfp8xrad6exes75zwpiw5rxwa0vwapv" timestamp="1541524148"&gt;310&lt;/key&gt;&lt;/foreign-keys&gt;&lt;ref-type name="Journal Article"&gt;17&lt;/ref-type&gt;&lt;contributors&gt;&lt;authors&gt;&lt;author&gt;Brigham, Janet&lt;/author&gt;&lt;author&gt;Lessov-Schlaggar, Christina N.&lt;/author&gt;&lt;author&gt;Javitz, Harold S.&lt;/author&gt;&lt;author&gt;Krasnow, Ruth E.&lt;/author&gt;&lt;author&gt;Tildesley, Elizabeth&lt;/author&gt;&lt;author&gt;Andrews, Judy&lt;/author&gt;&lt;author&gt;Hops, Hyman&lt;/author&gt;&lt;author&gt;Cornelius, Marie D.&lt;/author&gt;&lt;author&gt;Day, Nancy L.&lt;/author&gt;&lt;author&gt;McElroy, Mary&lt;/author&gt;&lt;author&gt;Swan, Gary E.&lt;/author&gt;&lt;/authors&gt;&lt;/contributors&gt;&lt;titles&gt;&lt;title&gt;Validity of recall of tobacco use in two prospective cohorts&lt;/title&gt;&lt;secondary-title&gt;American journal of epidemiology&lt;/secondary-title&gt;&lt;/titles&gt;&lt;periodical&gt;&lt;full-title&gt;American journal of epidemiology&lt;/full-title&gt;&lt;/periodical&gt;&lt;pages&gt;828-835&lt;/pages&gt;&lt;volume&gt;172&lt;/volume&gt;&lt;number&gt;7&lt;/number&gt;&lt;edition&gt;08/18&lt;/edition&gt;&lt;dates&gt;&lt;year&gt;2010&lt;/year&gt;&lt;/dates&gt;&lt;publisher&gt;Oxford University Press&lt;/publisher&gt;&lt;isbn&gt;1476-6256&amp;#xD;0002-9262&lt;/isbn&gt;&lt;accession-num&gt;20720099&lt;/accession-num&gt;&lt;urls&gt;&lt;related-urls&gt;&lt;url&gt;https://www.ncbi.nlm.nih.gov/pubmed/20720099&lt;/url&gt;&lt;url&gt;https://www.ncbi.nlm.nih.gov/pmc/PMC2945825/&lt;/url&gt;&lt;/related-urls&gt;&lt;/urls&gt;&lt;electronic-resource-num&gt;10.1093/aje/kwq179&lt;/electronic-resource-num&gt;&lt;remote-database-name&gt;PubMed&lt;/remote-database-name&gt;&lt;/record&gt;&lt;/Cite&gt;&lt;/EndNote&gt;</w:instrText>
            </w:r>
            <w:r>
              <w:rPr>
                <w:rFonts w:cstheme="minorHAnsi"/>
                <w:sz w:val="20"/>
                <w:szCs w:val="20"/>
                <w:u w:val="single"/>
              </w:rPr>
              <w:fldChar w:fldCharType="separate"/>
            </w:r>
            <w:r>
              <w:rPr>
                <w:rFonts w:cstheme="minorHAnsi"/>
                <w:noProof/>
                <w:sz w:val="20"/>
                <w:szCs w:val="20"/>
                <w:u w:val="single"/>
              </w:rPr>
              <w:t>(</w:t>
            </w:r>
            <w:hyperlink w:anchor="_ENREF_101" w:tooltip="Brigham, 2010 #310" w:history="1">
              <w:r>
                <w:rPr>
                  <w:rFonts w:cstheme="minorHAnsi"/>
                  <w:noProof/>
                  <w:sz w:val="20"/>
                  <w:szCs w:val="20"/>
                  <w:u w:val="single"/>
                </w:rPr>
                <w:t>101</w:t>
              </w:r>
            </w:hyperlink>
            <w:r>
              <w:rPr>
                <w:rFonts w:cstheme="minorHAnsi"/>
                <w:noProof/>
                <w:sz w:val="20"/>
                <w:szCs w:val="20"/>
                <w:u w:val="single"/>
              </w:rPr>
              <w:t>)</w:t>
            </w:r>
            <w:r>
              <w:rPr>
                <w:rFonts w:cstheme="minorHAnsi"/>
                <w:sz w:val="20"/>
                <w:szCs w:val="20"/>
                <w:u w:val="single"/>
              </w:rPr>
              <w:fldChar w:fldCharType="end"/>
            </w:r>
            <w:r w:rsidRPr="00494051">
              <w:rPr>
                <w:rFonts w:cstheme="minorHAnsi"/>
                <w:sz w:val="20"/>
                <w:szCs w:val="20"/>
                <w:u w:val="single"/>
              </w:rPr>
              <w:t>:</w:t>
            </w:r>
          </w:p>
          <w:p w14:paraId="6566FCD4"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 xml:space="preserve">In-person interview, phone interview, questionnaire, or website questionnaire </w:t>
            </w:r>
          </w:p>
          <w:p w14:paraId="3AFE3F03"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0.33; p</w:t>
            </w:r>
            <w:r>
              <w:rPr>
                <w:rFonts w:cstheme="minorHAnsi"/>
                <w:sz w:val="20"/>
                <w:szCs w:val="20"/>
              </w:rPr>
              <w:t>&lt;</w:t>
            </w:r>
            <w:r w:rsidRPr="00494051">
              <w:rPr>
                <w:rFonts w:cstheme="minorHAnsi"/>
                <w:sz w:val="20"/>
                <w:szCs w:val="20"/>
              </w:rPr>
              <w:t>0.00 (Oregon cohort: self-reported “Number of times tried to quit”)</w:t>
            </w:r>
          </w:p>
          <w:p w14:paraId="46C42271"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Test-retest interval: average interval of 19.5 years for the Oregon cohort</w:t>
            </w:r>
          </w:p>
          <w:p w14:paraId="6D6A2669" w14:textId="77777777" w:rsidR="007F0AE0" w:rsidRPr="00494051" w:rsidRDefault="007F0AE0" w:rsidP="00453DE3">
            <w:pPr>
              <w:widowControl w:val="0"/>
              <w:spacing w:before="60" w:after="120"/>
              <w:contextualSpacing/>
              <w:rPr>
                <w:rFonts w:cstheme="minorHAnsi"/>
                <w:i/>
                <w:sz w:val="20"/>
                <w:szCs w:val="20"/>
              </w:rPr>
            </w:pPr>
            <w:r w:rsidRPr="00494051">
              <w:rPr>
                <w:rFonts w:cstheme="minorHAnsi"/>
                <w:i/>
                <w:sz w:val="20"/>
                <w:szCs w:val="20"/>
              </w:rPr>
              <w:t>176 individuals (mainly white) from Oregon, U.S. (baseline: this study recruited 346 of 483 original subjects who underwent initial testing for the Smoking in Families Study in Oregon and retested them with the Lifetime Tobacco Use Questionnaire from 2005 through 2008).</w:t>
            </w:r>
          </w:p>
          <w:p w14:paraId="1C50706D" w14:textId="77777777" w:rsidR="007F0AE0" w:rsidRPr="00494051" w:rsidRDefault="007F0AE0" w:rsidP="00453DE3">
            <w:pPr>
              <w:widowControl w:val="0"/>
              <w:spacing w:before="60" w:after="120"/>
              <w:contextualSpacing/>
              <w:rPr>
                <w:rFonts w:cstheme="minorHAnsi"/>
                <w:sz w:val="20"/>
                <w:szCs w:val="20"/>
              </w:rPr>
            </w:pPr>
          </w:p>
          <w:p w14:paraId="54F5B6D3"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&lt;EndNote&gt;&lt;Cite&gt;&lt;Author&gt;Brener&lt;/Author&gt;&lt;Year&gt;2002&lt;/Year&gt;&lt;RecNum&gt;128&lt;/RecNum&gt;&lt;DisplayText&gt;(102)&lt;/DisplayText&gt;&lt;record&gt;&lt;rec-number&gt;128&lt;/rec-number&gt;&lt;foreign-keys&gt;&lt;key app="EN" db-id="a2vz2dfp8xrad6exes75zwpiw5rxwa0vwapv" timestamp="0"&gt;128&lt;/key&gt;&lt;/foreign-keys&gt;&lt;ref-type name="Journal Article"&gt;17&lt;/ref-type&gt;&lt;contributors&gt;&lt;authors&gt;&lt;author&gt;Brener, N. D.&lt;/author&gt;&lt;author&gt;Kann, L.&lt;/author&gt;&lt;author&gt;McManus, T.&lt;/author&gt;&lt;author&gt;Kinchen, S. A.&lt;/author&gt;&lt;author&gt;Sundberg, E. C.&lt;/author&gt;&lt;author&gt;Ross, J. G.&lt;/author&gt;&lt;/authors&gt;&lt;/contributors&gt;&lt;auth-address&gt;Division of Adolescent and School Health, National Center for Chronic Disease Prevention and Health Promotion, Centers for Disease Control and Prevention, Atlanta, Georgia 30341, USA. nad1@cdc.gov&lt;/auth-address&gt;&lt;titles&gt;&lt;title&gt;Reliability of the 1999 youth risk behavior survey questionnaire&lt;/title&gt;&lt;secondary-title&gt;J Adolesc Health&lt;/secondary-title&gt;&lt;alt-title&gt;The Journal of adolescent health : official publication of the Society for Adolescent Medicine&lt;/alt-title&gt;&lt;/titles&gt;&lt;alt-periodical&gt;&lt;full-title&gt;The Journal of adolescent health : official publication of the Society for Adolescent Medicine&lt;/full-title&gt;&lt;/alt-periodical&gt;&lt;pages&gt;336-42&lt;/pages&gt;&lt;volume&gt;31&lt;/volume&gt;&lt;number&gt;4&lt;/number&gt;&lt;edition&gt;2002/10/03&lt;/edition&gt;&lt;keywords&gt;&lt;keyword&gt;Adolescent&lt;/keyword&gt;&lt;keyword&gt;*Adolescent Behavior&lt;/keyword&gt;&lt;keyword&gt;Female&lt;/keyword&gt;&lt;keyword&gt;*Health Behavior&lt;/keyword&gt;&lt;keyword&gt;*Health Surveys&lt;/keyword&gt;&lt;keyword&gt;Humans&lt;/keyword&gt;&lt;keyword&gt;Male&lt;/keyword&gt;&lt;keyword&gt;Reproducibility of Results&lt;/keyword&gt;&lt;keyword&gt;*Risk-Taking&lt;/keyword&gt;&lt;keyword&gt;*Surveys and Questionnaires&lt;/keyword&gt;&lt;keyword&gt;United States&lt;/keyword&gt;&lt;/keywords&gt;&lt;dates&gt;&lt;year&gt;2002&lt;/year&gt;&lt;pub-dates&gt;&lt;date&gt;Oct&lt;/date&gt;&lt;/pub-dates&gt;&lt;/dates&gt;&lt;isbn&gt;1054-139X (Print)&amp;#xD;1054-139x&lt;/isbn&gt;&lt;accession-num&gt;12359379&lt;/accession-num&gt;&lt;urls&gt;&lt;/urls&gt;&lt;remote-database-provider&gt;NLM&lt;/remote-database-provider&gt;&lt;language&gt;eng&lt;/language&gt;&lt;/record&gt;&lt;/Cite&gt;&lt;/EndNote&gt;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2" w:tooltip="Brener, 2002 #128" w:history="1">
              <w:r>
                <w:rPr>
                  <w:rFonts w:cstheme="minorHAnsi"/>
                  <w:iCs/>
                  <w:noProof/>
                  <w:sz w:val="20"/>
                  <w:szCs w:val="20"/>
                  <w:u w:val="single"/>
                </w:rPr>
                <w:t>102</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7173A37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Questionnaire administered in classrooms</w:t>
            </w:r>
          </w:p>
          <w:p w14:paraId="7C527B1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w:t>
            </w:r>
            <w:r>
              <w:rPr>
                <w:rFonts w:cstheme="minorHAnsi"/>
                <w:iCs/>
                <w:sz w:val="20"/>
                <w:szCs w:val="20"/>
              </w:rPr>
              <w:t>=</w:t>
            </w:r>
            <w:r w:rsidRPr="00494051">
              <w:rPr>
                <w:rFonts w:cstheme="minorHAnsi"/>
                <w:iCs/>
                <w:sz w:val="20"/>
                <w:szCs w:val="20"/>
              </w:rPr>
              <w:t>70.3 (self-reported: tried to quit smoking cigarettes during the past 12 months)</w:t>
            </w:r>
          </w:p>
          <w:p w14:paraId="03484AF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lastRenderedPageBreak/>
              <w:t>Test-retest interval: 2 weeks</w:t>
            </w:r>
          </w:p>
          <w:p w14:paraId="0770AF17"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4,619 male (46.6%) and female (53.4%) high-school students (Grade 9 through 12) from white (52.2%), black (31.4%), Hispanic (6.1%), and other groups (10.3%) in the U.S.</w:t>
            </w:r>
          </w:p>
          <w:p w14:paraId="08F9B22B" w14:textId="77777777" w:rsidR="007F0AE0" w:rsidRPr="00494051" w:rsidRDefault="007F0AE0" w:rsidP="00453DE3">
            <w:pPr>
              <w:widowControl w:val="0"/>
              <w:spacing w:before="60" w:after="120"/>
              <w:contextualSpacing/>
              <w:rPr>
                <w:rFonts w:cstheme="minorHAnsi"/>
                <w:i/>
                <w:iCs/>
                <w:sz w:val="20"/>
                <w:szCs w:val="20"/>
              </w:rPr>
            </w:pPr>
          </w:p>
          <w:p w14:paraId="6E34D78D" w14:textId="77777777" w:rsidR="007F0AE0" w:rsidRPr="00494051" w:rsidRDefault="007F0AE0" w:rsidP="00453DE3">
            <w:pPr>
              <w:widowControl w:val="0"/>
              <w:spacing w:before="60" w:after="120"/>
              <w:contextualSpacing/>
              <w:rPr>
                <w:rFonts w:cstheme="minorHAnsi"/>
                <w:sz w:val="20"/>
                <w:szCs w:val="20"/>
                <w:u w:val="single"/>
              </w:rPr>
            </w:pPr>
            <w:r>
              <w:rPr>
                <w:rFonts w:cstheme="minorHAnsi"/>
                <w:sz w:val="20"/>
                <w:szCs w:val="20"/>
                <w:u w:val="single"/>
              </w:rPr>
              <w:fldChar w:fldCharType="begin"/>
            </w:r>
            <w:r>
              <w:rPr>
                <w:rFonts w:cstheme="minorHAnsi"/>
                <w:sz w:val="20"/>
                <w:szCs w:val="20"/>
                <w:u w:val="single"/>
              </w:rPr>
              <w:instrText xml:space="preserve"> ADDIN EN.CITE &lt;EndNote&gt;&lt;Cite&gt;&lt;Author&gt;Brigham&lt;/Author&gt;&lt;Year&gt;2010&lt;/Year&gt;&lt;RecNum&gt;310&lt;/RecNum&gt;&lt;DisplayText&gt;(101)&lt;/DisplayText&gt;&lt;record&gt;&lt;rec-number&gt;310&lt;/rec-number&gt;&lt;foreign-keys&gt;&lt;key app="EN" db-id="a2vz2dfp8xrad6exes75zwpiw5rxwa0vwapv" timestamp="1541524148"&gt;310&lt;/key&gt;&lt;/foreign-keys&gt;&lt;ref-type name="Journal Article"&gt;17&lt;/ref-type&gt;&lt;contributors&gt;&lt;authors&gt;&lt;author&gt;Brigham, Janet&lt;/author&gt;&lt;author&gt;Lessov-Schlaggar, Christina N.&lt;/author&gt;&lt;author&gt;Javitz, Harold S.&lt;/author&gt;&lt;author&gt;Krasnow, Ruth E.&lt;/author&gt;&lt;author&gt;Tildesley, Elizabeth&lt;/author&gt;&lt;author&gt;Andrews, Judy&lt;/author&gt;&lt;author&gt;Hops, Hyman&lt;/author&gt;&lt;author&gt;Cornelius, Marie D.&lt;/author&gt;&lt;author&gt;Day, Nancy L.&lt;/author&gt;&lt;author&gt;McElroy, Mary&lt;/author&gt;&lt;author&gt;Swan, Gary E.&lt;/author&gt;&lt;/authors&gt;&lt;/contributors&gt;&lt;titles&gt;&lt;title&gt;Validity of recall of tobacco use in two prospective cohorts&lt;/title&gt;&lt;secondary-title&gt;American journal of epidemiology&lt;/secondary-title&gt;&lt;/titles&gt;&lt;periodical&gt;&lt;full-title&gt;American journal of epidemiology&lt;/full-title&gt;&lt;/periodical&gt;&lt;pages&gt;828-835&lt;/pages&gt;&lt;volume&gt;172&lt;/volume&gt;&lt;number&gt;7&lt;/number&gt;&lt;edition&gt;08/18&lt;/edition&gt;&lt;dates&gt;&lt;year&gt;2010&lt;/year&gt;&lt;/dates&gt;&lt;publisher&gt;Oxford University Press&lt;/publisher&gt;&lt;isbn&gt;1476-6256&amp;#xD;0002-9262&lt;/isbn&gt;&lt;accession-num&gt;20720099&lt;/accession-num&gt;&lt;urls&gt;&lt;related-urls&gt;&lt;url&gt;https://www.ncbi.nlm.nih.gov/pubmed/20720099&lt;/url&gt;&lt;url&gt;https://www.ncbi.nlm.nih.gov/pmc/PMC2945825/&lt;/url&gt;&lt;/related-urls&gt;&lt;/urls&gt;&lt;electronic-resource-num&gt;10.1093/aje/kwq179&lt;/electronic-resource-num&gt;&lt;remote-database-name&gt;PubMed&lt;/remote-database-name&gt;&lt;/record&gt;&lt;/Cite&gt;&lt;/EndNote&gt;</w:instrText>
            </w:r>
            <w:r>
              <w:rPr>
                <w:rFonts w:cstheme="minorHAnsi"/>
                <w:sz w:val="20"/>
                <w:szCs w:val="20"/>
                <w:u w:val="single"/>
              </w:rPr>
              <w:fldChar w:fldCharType="separate"/>
            </w:r>
            <w:r>
              <w:rPr>
                <w:rFonts w:cstheme="minorHAnsi"/>
                <w:noProof/>
                <w:sz w:val="20"/>
                <w:szCs w:val="20"/>
                <w:u w:val="single"/>
              </w:rPr>
              <w:t>(</w:t>
            </w:r>
            <w:hyperlink w:anchor="_ENREF_101" w:tooltip="Brigham, 2010 #310" w:history="1">
              <w:r>
                <w:rPr>
                  <w:rFonts w:cstheme="minorHAnsi"/>
                  <w:noProof/>
                  <w:sz w:val="20"/>
                  <w:szCs w:val="20"/>
                  <w:u w:val="single"/>
                </w:rPr>
                <w:t>101</w:t>
              </w:r>
            </w:hyperlink>
            <w:r>
              <w:rPr>
                <w:rFonts w:cstheme="minorHAnsi"/>
                <w:noProof/>
                <w:sz w:val="20"/>
                <w:szCs w:val="20"/>
                <w:u w:val="single"/>
              </w:rPr>
              <w:t>)</w:t>
            </w:r>
            <w:r>
              <w:rPr>
                <w:rFonts w:cstheme="minorHAnsi"/>
                <w:sz w:val="20"/>
                <w:szCs w:val="20"/>
                <w:u w:val="single"/>
              </w:rPr>
              <w:fldChar w:fldCharType="end"/>
            </w:r>
            <w:r w:rsidRPr="00494051">
              <w:rPr>
                <w:rFonts w:cstheme="minorHAnsi"/>
                <w:sz w:val="20"/>
                <w:szCs w:val="20"/>
                <w:u w:val="single"/>
              </w:rPr>
              <w:t>:</w:t>
            </w:r>
          </w:p>
          <w:p w14:paraId="7C3E3927"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 xml:space="preserve">In-person interview, phone interview, questionnaire, or website questionnaire </w:t>
            </w:r>
          </w:p>
          <w:p w14:paraId="7A238CEB"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0.38; p</w:t>
            </w:r>
            <w:r>
              <w:rPr>
                <w:rFonts w:cstheme="minorHAnsi"/>
                <w:sz w:val="20"/>
                <w:szCs w:val="20"/>
              </w:rPr>
              <w:t>&lt;</w:t>
            </w:r>
            <w:r w:rsidRPr="00494051">
              <w:rPr>
                <w:rFonts w:cstheme="minorHAnsi"/>
                <w:sz w:val="20"/>
                <w:szCs w:val="20"/>
              </w:rPr>
              <w:t>0.01 (Oregon cohort: self-reported “ever tried to quit”)</w:t>
            </w:r>
          </w:p>
          <w:p w14:paraId="40E20809"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Test-retest interval: average interval of 19.5 years for the Oregon cohort</w:t>
            </w:r>
          </w:p>
          <w:p w14:paraId="3A5B1411" w14:textId="77777777" w:rsidR="007F0AE0" w:rsidRPr="00494051" w:rsidRDefault="007F0AE0" w:rsidP="00453DE3">
            <w:pPr>
              <w:widowControl w:val="0"/>
              <w:spacing w:after="120"/>
              <w:contextualSpacing/>
              <w:rPr>
                <w:rFonts w:cstheme="minorHAnsi"/>
                <w:sz w:val="18"/>
                <w:szCs w:val="18"/>
              </w:rPr>
            </w:pPr>
            <w:r w:rsidRPr="00494051">
              <w:rPr>
                <w:rFonts w:cstheme="minorHAnsi"/>
                <w:i/>
                <w:sz w:val="20"/>
                <w:szCs w:val="20"/>
              </w:rPr>
              <w:t>157 individuals (mainly white) from Oregon, U.S. (baseline: this study recruited 346 of 483 original subjects who underwent initial testing for the Smoking in Families Study in Oregon and retested them with the Lifetime Tobacco Use Questionnaire from 2005 through 2008).</w:t>
            </w:r>
          </w:p>
        </w:tc>
        <w:tc>
          <w:tcPr>
            <w:tcW w:w="4914" w:type="dxa"/>
          </w:tcPr>
          <w:p w14:paraId="531D9F00" w14:textId="77777777" w:rsidR="007F0AE0" w:rsidRPr="00494051" w:rsidRDefault="007F0AE0" w:rsidP="00453DE3">
            <w:pPr>
              <w:widowControl w:val="0"/>
              <w:spacing w:before="60" w:after="120"/>
              <w:contextualSpacing/>
              <w:rPr>
                <w:rFonts w:cstheme="minorHAnsi"/>
                <w:sz w:val="20"/>
                <w:szCs w:val="20"/>
                <w:u w:val="single"/>
              </w:rPr>
            </w:pPr>
            <w:r>
              <w:rPr>
                <w:rFonts w:cstheme="minorHAnsi"/>
                <w:sz w:val="20"/>
                <w:szCs w:val="20"/>
                <w:u w:val="single"/>
              </w:rPr>
              <w:lastRenderedPageBreak/>
              <w:fldChar w:fldCharType="begin"/>
            </w:r>
            <w:r>
              <w:rPr>
                <w:rFonts w:cstheme="minorHAnsi"/>
                <w:sz w:val="20"/>
                <w:szCs w:val="20"/>
                <w:u w:val="single"/>
              </w:rPr>
              <w:instrText xml:space="preserve"> ADDIN EN.CITE &lt;EndNote&gt;&lt;Cite&gt;&lt;Author&gt;Brigham&lt;/Author&gt;&lt;Year&gt;2010&lt;/Year&gt;&lt;RecNum&gt;310&lt;/RecNum&gt;&lt;DisplayText&gt;(101)&lt;/DisplayText&gt;&lt;record&gt;&lt;rec-number&gt;310&lt;/rec-number&gt;&lt;foreign-keys&gt;&lt;key app="EN" db-id="a2vz2dfp8xrad6exes75zwpiw5rxwa0vwapv" timestamp="1541524148"&gt;310&lt;/key&gt;&lt;/foreign-keys&gt;&lt;ref-type name="Journal Article"&gt;17&lt;/ref-type&gt;&lt;contributors&gt;&lt;authors&gt;&lt;author&gt;Brigham, Janet&lt;/author&gt;&lt;author&gt;Lessov-Schlaggar, Christina N.&lt;/author&gt;&lt;author&gt;Javitz, Harold S.&lt;/author&gt;&lt;author&gt;Krasnow, Ruth E.&lt;/author&gt;&lt;author&gt;Tildesley, Elizabeth&lt;/author&gt;&lt;author&gt;Andrews, Judy&lt;/author&gt;&lt;author&gt;Hops, Hyman&lt;/author&gt;&lt;author&gt;Cornelius, Marie D.&lt;/author&gt;&lt;author&gt;Day, Nancy L.&lt;/author&gt;&lt;author&gt;McElroy, Mary&lt;/author&gt;&lt;author&gt;Swan, Gary E.&lt;/author&gt;&lt;/authors&gt;&lt;/contributors&gt;&lt;titles&gt;&lt;title&gt;Validity of recall of tobacco use in two prospective cohorts&lt;/title&gt;&lt;secondary-title&gt;American journal of epidemiology&lt;/secondary-title&gt;&lt;/titles&gt;&lt;periodical&gt;&lt;full-title&gt;American journal of epidemiology&lt;/full-title&gt;&lt;/periodical&gt;&lt;pages&gt;828-835&lt;/pages&gt;&lt;volume&gt;172&lt;/volume&gt;&lt;number&gt;7&lt;/number&gt;&lt;edition&gt;08/18&lt;/edition&gt;&lt;dates&gt;&lt;year&gt;2010&lt;/year&gt;&lt;/dates&gt;&lt;publisher&gt;Oxford University Press&lt;/publisher&gt;&lt;isbn&gt;1476-6256&amp;#xD;0002-9262&lt;/isbn&gt;&lt;accession-num&gt;20720099&lt;/accession-num&gt;&lt;urls&gt;&lt;related-urls&gt;&lt;url&gt;https://www.ncbi.nlm.nih.gov/pubmed/20720099&lt;/url&gt;&lt;url&gt;https://www.ncbi.nlm.nih.gov/pmc/PMC2945825/&lt;/url&gt;&lt;/related-urls&gt;&lt;/urls&gt;&lt;electronic-resource-num&gt;10.1093/aje/kwq179&lt;/electronic-resource-num&gt;&lt;remote-database-name&gt;PubMed&lt;/remote-database-name&gt;&lt;/record&gt;&lt;/Cite&gt;&lt;/EndNote&gt;</w:instrText>
            </w:r>
            <w:r>
              <w:rPr>
                <w:rFonts w:cstheme="minorHAnsi"/>
                <w:sz w:val="20"/>
                <w:szCs w:val="20"/>
                <w:u w:val="single"/>
              </w:rPr>
              <w:fldChar w:fldCharType="separate"/>
            </w:r>
            <w:r>
              <w:rPr>
                <w:rFonts w:cstheme="minorHAnsi"/>
                <w:noProof/>
                <w:sz w:val="20"/>
                <w:szCs w:val="20"/>
                <w:u w:val="single"/>
              </w:rPr>
              <w:t>(</w:t>
            </w:r>
            <w:hyperlink w:anchor="_ENREF_101" w:tooltip="Brigham, 2010 #310" w:history="1">
              <w:r>
                <w:rPr>
                  <w:rFonts w:cstheme="minorHAnsi"/>
                  <w:noProof/>
                  <w:sz w:val="20"/>
                  <w:szCs w:val="20"/>
                  <w:u w:val="single"/>
                </w:rPr>
                <w:t>101</w:t>
              </w:r>
            </w:hyperlink>
            <w:r>
              <w:rPr>
                <w:rFonts w:cstheme="minorHAnsi"/>
                <w:noProof/>
                <w:sz w:val="20"/>
                <w:szCs w:val="20"/>
                <w:u w:val="single"/>
              </w:rPr>
              <w:t>)</w:t>
            </w:r>
            <w:r>
              <w:rPr>
                <w:rFonts w:cstheme="minorHAnsi"/>
                <w:sz w:val="20"/>
                <w:szCs w:val="20"/>
                <w:u w:val="single"/>
              </w:rPr>
              <w:fldChar w:fldCharType="end"/>
            </w:r>
            <w:r w:rsidRPr="00494051">
              <w:rPr>
                <w:rFonts w:cstheme="minorHAnsi"/>
                <w:sz w:val="20"/>
                <w:szCs w:val="20"/>
                <w:u w:val="single"/>
              </w:rPr>
              <w:t>:</w:t>
            </w:r>
          </w:p>
          <w:p w14:paraId="3269A023"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In-person interview, phone interview, questionnaire, or website questionnaire</w:t>
            </w:r>
          </w:p>
          <w:p w14:paraId="19313017"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Number of times tried to quit (Oregon cohort: convergent validity by sex):</w:t>
            </w:r>
          </w:p>
          <w:p w14:paraId="0F0E9FE0"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0.29; p=0.01 (Male; N=71)</w:t>
            </w:r>
          </w:p>
          <w:p w14:paraId="3F180CB9"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0.36; p=0.00 (Female; N=105)</w:t>
            </w:r>
          </w:p>
          <w:p w14:paraId="18ACDF77"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sz w:val="20"/>
                <w:szCs w:val="20"/>
              </w:rPr>
              <w:t>Sex comparison: p=0.62</w:t>
            </w:r>
          </w:p>
          <w:p w14:paraId="3B058BEE"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Number of times tried to quit (Oregon cohort: convergent validity by race):</w:t>
            </w:r>
          </w:p>
          <w:p w14:paraId="5ED61009"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0.37; p=0.00 (White; N=151)</w:t>
            </w:r>
          </w:p>
          <w:p w14:paraId="55321CA8"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0.14; p=0.52 (Non-white; N=23)</w:t>
            </w:r>
          </w:p>
          <w:p w14:paraId="7E824EBD"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sz w:val="20"/>
                <w:szCs w:val="20"/>
              </w:rPr>
              <w:t>Race comparison: p=0.30</w:t>
            </w:r>
          </w:p>
          <w:p w14:paraId="6813B692"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Number of times tried to quit (Oregon cohort: convergent validity by educational level):</w:t>
            </w:r>
          </w:p>
          <w:p w14:paraId="57500070"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0.35; p=0.00 (High school degree or less; N=117)</w:t>
            </w:r>
          </w:p>
          <w:p w14:paraId="332DBD21"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0.29; p=0.02 (Post-high school education; N=59)</w:t>
            </w:r>
          </w:p>
          <w:p w14:paraId="7CBD58CD" w14:textId="77777777" w:rsidR="007F0AE0" w:rsidRPr="00494051" w:rsidRDefault="007F0AE0" w:rsidP="007F0AE0">
            <w:pPr>
              <w:pStyle w:val="ListParagraph"/>
              <w:widowControl w:val="0"/>
              <w:numPr>
                <w:ilvl w:val="0"/>
                <w:numId w:val="27"/>
              </w:numPr>
              <w:spacing w:before="60" w:after="120"/>
              <w:ind w:left="245" w:hanging="187"/>
              <w:rPr>
                <w:rFonts w:cstheme="minorHAnsi"/>
                <w:sz w:val="20"/>
                <w:szCs w:val="20"/>
              </w:rPr>
            </w:pPr>
            <w:r w:rsidRPr="00494051">
              <w:rPr>
                <w:rFonts w:cstheme="minorHAnsi"/>
                <w:sz w:val="20"/>
                <w:szCs w:val="20"/>
              </w:rPr>
              <w:t>Education level comparison: p=0.68</w:t>
            </w:r>
          </w:p>
          <w:p w14:paraId="0704AB0F" w14:textId="77777777" w:rsidR="007F0AE0" w:rsidRPr="00494051" w:rsidRDefault="007F0AE0" w:rsidP="00453DE3">
            <w:pPr>
              <w:widowControl w:val="0"/>
              <w:spacing w:after="120"/>
              <w:contextualSpacing/>
              <w:rPr>
                <w:rFonts w:cstheme="minorHAnsi"/>
                <w:sz w:val="18"/>
                <w:szCs w:val="18"/>
              </w:rPr>
            </w:pPr>
            <w:r w:rsidRPr="00494051">
              <w:rPr>
                <w:rFonts w:cstheme="minorHAnsi"/>
                <w:i/>
                <w:sz w:val="20"/>
                <w:szCs w:val="20"/>
              </w:rPr>
              <w:t>176 individuals (mainly white) from Oregon, U.S. (baseline: this study recruited 346 of 483 original subjects who underwent initial testing for the Smoking in Families Study in Oregon and retested them with the Lifetime Tobacco Use Questionnaire from 2005 through 2008).</w:t>
            </w:r>
          </w:p>
        </w:tc>
      </w:tr>
      <w:tr w:rsidR="007F0AE0" w:rsidRPr="00494051" w14:paraId="39895F81" w14:textId="77777777" w:rsidTr="00453DE3">
        <w:tc>
          <w:tcPr>
            <w:tcW w:w="2065" w:type="dxa"/>
            <w:shd w:val="clear" w:color="auto" w:fill="auto"/>
          </w:tcPr>
          <w:p w14:paraId="3264F7E8" w14:textId="77777777" w:rsidR="007F0AE0" w:rsidRPr="00494051" w:rsidRDefault="007F0AE0" w:rsidP="00453DE3">
            <w:pPr>
              <w:widowControl w:val="0"/>
              <w:rPr>
                <w:rFonts w:cstheme="minorHAnsi"/>
                <w:sz w:val="18"/>
                <w:szCs w:val="18"/>
              </w:rPr>
            </w:pPr>
            <w:r w:rsidRPr="00494051">
              <w:rPr>
                <w:rFonts w:cstheme="minorHAnsi"/>
                <w:sz w:val="18"/>
                <w:szCs w:val="18"/>
              </w:rPr>
              <w:t>Rate of abstinence/quitting (including but not limited to prolonged abstinence [PA], point prevalence abstinence [PPA], identifiable cigarette type [menthol versus non-menthol] smoked before quitting, and being a former smoker [versus current smoker])</w:t>
            </w:r>
          </w:p>
        </w:tc>
        <w:tc>
          <w:tcPr>
            <w:tcW w:w="1350" w:type="dxa"/>
            <w:shd w:val="clear" w:color="auto" w:fill="auto"/>
          </w:tcPr>
          <w:p w14:paraId="668757C5" w14:textId="77777777" w:rsidR="007F0AE0" w:rsidRPr="00494051" w:rsidRDefault="007F0AE0" w:rsidP="00453DE3">
            <w:pPr>
              <w:widowControl w:val="0"/>
              <w:rPr>
                <w:rFonts w:cstheme="minorHAnsi"/>
                <w:b/>
                <w:sz w:val="18"/>
                <w:szCs w:val="18"/>
              </w:rPr>
            </w:pPr>
            <w:r w:rsidRPr="00494051">
              <w:rPr>
                <w:rFonts w:cstheme="minorHAnsi"/>
                <w:b/>
                <w:sz w:val="18"/>
                <w:szCs w:val="18"/>
              </w:rPr>
              <w:t>ACCEPTABLE</w:t>
            </w:r>
          </w:p>
          <w:p w14:paraId="713F0E42" w14:textId="77777777" w:rsidR="007F0AE0" w:rsidRPr="00494051" w:rsidRDefault="007F0AE0" w:rsidP="00453DE3">
            <w:pPr>
              <w:widowControl w:val="0"/>
              <w:rPr>
                <w:rFonts w:cstheme="minorHAnsi"/>
                <w:sz w:val="18"/>
                <w:szCs w:val="18"/>
              </w:rPr>
            </w:pPr>
          </w:p>
        </w:tc>
        <w:tc>
          <w:tcPr>
            <w:tcW w:w="5310" w:type="dxa"/>
            <w:shd w:val="clear" w:color="auto" w:fill="auto"/>
          </w:tcPr>
          <w:p w14:paraId="1B12F72F"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41A18DA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6DC3453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Ever cigarette abstinent ≥3 months (%):</w:t>
            </w:r>
          </w:p>
          <w:p w14:paraId="7743F04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k= 0.83</w:t>
            </w:r>
          </w:p>
          <w:p w14:paraId="0465B9C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4D949CA6"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220 adults (baseline sample: 1,625 adults ages 34-44, mainly white, from the U.S.).</w:t>
            </w:r>
          </w:p>
          <w:p w14:paraId="594A5D3A" w14:textId="77777777" w:rsidR="007F0AE0" w:rsidRPr="00494051" w:rsidRDefault="007F0AE0" w:rsidP="00453DE3">
            <w:pPr>
              <w:widowControl w:val="0"/>
              <w:spacing w:before="60" w:after="120"/>
              <w:contextualSpacing/>
              <w:rPr>
                <w:rFonts w:cstheme="minorHAnsi"/>
                <w:iCs/>
                <w:sz w:val="20"/>
                <w:szCs w:val="20"/>
                <w:u w:val="single"/>
              </w:rPr>
            </w:pPr>
          </w:p>
          <w:p w14:paraId="14E75A82"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&lt;EndNote&gt;&lt;Cite&gt;&lt;Author&gt;Hughes&lt;/Author&gt;&lt;Year&gt;2010&lt;/Year&gt;&lt;RecNum&gt;239&lt;/RecNum&gt;&lt;DisplayText&gt;(103)&lt;/DisplayText&gt;&lt;record&gt;&lt;rec-number&gt;239&lt;/rec-number&gt;&lt;foreign-keys&gt;&lt;key app="EN" db-id="a2vz2dfp8xrad6exes75zwpiw5rxwa0vwapv" timestamp="1479412516"&gt;239&lt;/key&gt;&lt;/foreign-keys&gt;&lt;ref-type name="Journal Article"&gt;17&lt;/ref-type&gt;&lt;contributors&gt;&lt;authors&gt;&lt;author&gt;Hughes, J. R.&lt;/author&gt;&lt;author&gt;Carpenter, M. J.&lt;/author&gt;&lt;author&gt;Naud, S.&lt;/author&gt;&lt;/authors&gt;&lt;/contributors&gt;&lt;auth-address&gt;Department of Psychiatry, University of Vermont, University Health Center, Mailstop 482, 1 South Prospect Street, Burlington, VT 05401, USA. john.hughes@uvm.edu&lt;/auth-address&gt;&lt;titles&gt;&lt;title&gt;Do point prevalence and prolonged abstinence measures produce similar results in smoking cessation studies? A systematic review&lt;/title&gt;&lt;secondary-title&gt;Nicotine Tob Res&lt;/secondary-title&gt;&lt;/titles&gt;&lt;periodical&gt;&lt;full-title&gt;Nicotine Tob Res&lt;/full-title&gt;&lt;/periodical&gt;&lt;pages&gt;756-62&lt;/pages&gt;&lt;volume&gt;12&lt;/volume&gt;&lt;number&gt;7&lt;/number&gt;&lt;keywords&gt;&lt;keyword&gt;Clinical Trials as Topic&lt;/keyword&gt;&lt;keyword&gt;Follow-Up Studies&lt;/keyword&gt;&lt;keyword&gt;Humans&lt;/keyword&gt;&lt;keyword&gt;Nicotine/administration &amp;amp; dosage&lt;/keyword&gt;&lt;keyword&gt;Nicotinic Agonists/administration &amp;amp; dosage&lt;/keyword&gt;&lt;keyword&gt;Odds Ratio&lt;/keyword&gt;&lt;keyword&gt;*Outcome Assessment (Health Care)&lt;/keyword&gt;&lt;keyword&gt;Predictive Value of Tests&lt;/keyword&gt;&lt;keyword&gt;Smoking/*prevention &amp;amp; control&lt;/keyword&gt;&lt;keyword&gt;Smoking Cessation/*statistics &amp;amp; numerical data&lt;/keyword&gt;&lt;keyword&gt;Substance Withdrawal Syndrome/drug therapy/epidemiology&lt;/keyword&gt;&lt;keyword&gt;Tobacco Use Disorder/*drug therapy/epidemiology&lt;/keyword&gt;&lt;/keywords&gt;&lt;dates&gt;&lt;year&gt;2010&lt;/year&gt;&lt;pub-dates&gt;&lt;date&gt;Jul&lt;/date&gt;&lt;/pub-dates&gt;&lt;/dates&gt;&lt;isbn&gt;1469-994X (Electronic)&amp;#xD;1462-2203 (Linking)&lt;/isbn&gt;&lt;accession-num&gt;20504946&lt;/accession-num&gt;&lt;urls&gt;&lt;related-urls&gt;&lt;url&gt;https://www.ncbi.nlm.nih.gov/pubmed/20504946&lt;/url&gt;&lt;/related-urls&gt;&lt;/urls&gt;&lt;custom2&gt;PMC2893294&lt;/custom2&gt;&lt;electronic-resource-num&gt;10.1093/ntr/ntq078&lt;/electronic-resource-num&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3" w:tooltip="Hughes, 2010 #239" w:history="1">
              <w:r>
                <w:rPr>
                  <w:rFonts w:cstheme="minorHAnsi"/>
                  <w:iCs/>
                  <w:noProof/>
                  <w:sz w:val="20"/>
                  <w:szCs w:val="20"/>
                  <w:u w:val="single"/>
                </w:rPr>
                <w:t>103</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A87D7F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Systematic review that correlates two measures of abstinence: PA with PPA </w:t>
            </w:r>
          </w:p>
          <w:p w14:paraId="1873DA3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Unweighted </w:t>
            </w:r>
            <w:r w:rsidRPr="00494051">
              <w:rPr>
                <w:rFonts w:cstheme="minorHAnsi"/>
                <w:i/>
                <w:iCs/>
                <w:sz w:val="20"/>
                <w:szCs w:val="20"/>
              </w:rPr>
              <w:t>r</w:t>
            </w:r>
            <w:r w:rsidRPr="00494051">
              <w:rPr>
                <w:rFonts w:cstheme="minorHAnsi"/>
                <w:iCs/>
                <w:sz w:val="20"/>
                <w:szCs w:val="20"/>
              </w:rPr>
              <w:t xml:space="preserve"> =0.88, p&lt;0.0001</w:t>
            </w:r>
            <w:r w:rsidRPr="00494051">
              <w:rPr>
                <w:rFonts w:cstheme="minorHAnsi"/>
                <w:iCs/>
                <w:sz w:val="20"/>
                <w:szCs w:val="20"/>
              </w:rPr>
              <w:br/>
              <w:t>Studies of PA and PPA had to report follow-ups of at least 6 months</w:t>
            </w:r>
          </w:p>
          <w:p w14:paraId="2F8678FF"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Meta-analysis of 28 pharmacotherapy RCTs involving only adults (no special populations [i.e., pregnant smokers] were included).</w:t>
            </w:r>
          </w:p>
          <w:p w14:paraId="54DC9764" w14:textId="77777777" w:rsidR="007F0AE0" w:rsidRPr="00494051" w:rsidRDefault="007F0AE0" w:rsidP="00453DE3">
            <w:pPr>
              <w:widowControl w:val="0"/>
              <w:spacing w:before="60" w:after="120"/>
              <w:contextualSpacing/>
              <w:rPr>
                <w:rFonts w:cstheme="minorHAnsi"/>
                <w:iCs/>
                <w:sz w:val="20"/>
                <w:szCs w:val="20"/>
              </w:rPr>
            </w:pPr>
          </w:p>
          <w:p w14:paraId="2DA8BF7B"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lastRenderedPageBreak/>
              <w:fldChar w:fldCharType="begin"/>
            </w:r>
            <w:r>
              <w:rPr>
                <w:rFonts w:cstheme="minorHAnsi"/>
                <w:iCs/>
                <w:sz w:val="20"/>
                <w:szCs w:val="20"/>
                <w:u w:val="single"/>
              </w:rPr>
              <w:instrText xml:space="preserve"> ADDIN EN.CITE &lt;EndNote&gt;&lt;Cite&gt;&lt;Author&gt;Velicer&lt;/Author&gt;&lt;Year&gt;2004&lt;/Year&gt;&lt;RecNum&gt;2853&lt;/RecNum&gt;&lt;DisplayText&gt;(104)&lt;/DisplayText&gt;&lt;record&gt;&lt;rec-number&gt;2853&lt;/rec-number&gt;&lt;foreign-keys&gt;&lt;key app="EN" db-id="a2vz2dfp8xrad6exes75zwpiw5rxwa0vwapv" timestamp="1556134968"&gt;2853&lt;/key&gt;&lt;/foreign-keys&gt;&lt;ref-type name="Journal Article"&gt;17&lt;/ref-type&gt;&lt;contributors&gt;&lt;authors&gt;&lt;author&gt;Velicer, W. F.&lt;/author&gt;&lt;author&gt;Prochaska, J. O.&lt;/author&gt;&lt;/authors&gt;&lt;/contributors&gt;&lt;auth-address&gt;Cancer Prevention Research Center, University of Rhode Island, 2 Chafee Road, Kingston, RI 02881, USA. velicer@uri.edu&lt;/auth-address&gt;&lt;titles&gt;&lt;title&gt;A comparison of four self-report smoking cessation outcome measures&lt;/title&gt;&lt;secondary-title&gt;Addict Behav&lt;/secondary-title&gt;&lt;/titles&gt;&lt;periodical&gt;&lt;full-title&gt;Addict Behav&lt;/full-title&gt;&lt;/periodical&gt;&lt;pages&gt;51-60&lt;/pages&gt;&lt;volume&gt;29&lt;/volume&gt;&lt;number&gt;1&lt;/number&gt;&lt;keywords&gt;&lt;keyword&gt;Data Collection&lt;/keyword&gt;&lt;keyword&gt;Humans&lt;/keyword&gt;&lt;keyword&gt;Outcome Assessment (Health Care)/statistics &amp;amp; numerical data&lt;/keyword&gt;&lt;keyword&gt;Patient Compliance&lt;/keyword&gt;&lt;keyword&gt;Randomized Controlled Trials as Topic&lt;/keyword&gt;&lt;keyword&gt;Self Disclosure&lt;/keyword&gt;&lt;keyword&gt;Smoking Cessation/methods/*psychology&lt;/keyword&gt;&lt;/keywords&gt;&lt;dates&gt;&lt;year&gt;2004&lt;/year&gt;&lt;pub-dates&gt;&lt;date&gt;Jan&lt;/date&gt;&lt;/pub-dates&gt;&lt;/dates&gt;&lt;isbn&gt;0306-4603 (Print)&amp;#xD;0306-4603 (Linking)&lt;/isbn&gt;&lt;accession-num&gt;14667420&lt;/accession-num&gt;&lt;work-type&gt;REPLACE&lt;/work-type&gt;&lt;urls&gt;&lt;related-urls&gt;&lt;url&gt;https://www.ncbi.nlm.nih.gov/pubmed/14667420&lt;/url&gt;&lt;/related-urls&gt;&lt;/urls&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4" w:tooltip="Velicer, 2004 #2853" w:history="1">
              <w:r>
                <w:rPr>
                  <w:rFonts w:cstheme="minorHAnsi"/>
                  <w:iCs/>
                  <w:noProof/>
                  <w:sz w:val="20"/>
                  <w:szCs w:val="20"/>
                  <w:u w:val="single"/>
                </w:rPr>
                <w:t>104</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DC6979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Correlates the following 4 measures of self-reported smoking-cessation outcomes: 24-hour PPA, 7-day PPA, 30-day PA, and 6-month PA</w:t>
            </w:r>
          </w:p>
          <w:p w14:paraId="06B267C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sidRPr="00494051">
              <w:rPr>
                <w:rFonts w:cstheme="minorHAnsi"/>
                <w:iCs/>
                <w:sz w:val="20"/>
                <w:szCs w:val="20"/>
              </w:rPr>
              <w:t xml:space="preserve">: 6 measures of </w:t>
            </w:r>
            <w:r w:rsidRPr="00494051">
              <w:rPr>
                <w:rFonts w:cstheme="minorHAnsi"/>
                <w:i/>
                <w:iCs/>
                <w:sz w:val="20"/>
                <w:szCs w:val="20"/>
              </w:rPr>
              <w:t xml:space="preserve">r </w:t>
            </w:r>
            <w:r w:rsidRPr="00494051">
              <w:rPr>
                <w:rFonts w:cstheme="minorHAnsi"/>
                <w:iCs/>
                <w:sz w:val="20"/>
                <w:szCs w:val="20"/>
              </w:rPr>
              <w:t>from 0.82 to 0.99</w:t>
            </w:r>
          </w:p>
          <w:p w14:paraId="0543202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24-hour PPA and 7-day PPA): 0.99</w:t>
            </w:r>
          </w:p>
          <w:p w14:paraId="7B35EF4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24-hour PPA and 30-day PA): 0.98</w:t>
            </w:r>
          </w:p>
          <w:p w14:paraId="5F2978F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24-hour PPA and 6-month PA): 0.82</w:t>
            </w:r>
          </w:p>
          <w:p w14:paraId="5511A30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7-day PPA and 30-day PA): 0.98</w:t>
            </w:r>
          </w:p>
          <w:p w14:paraId="20A7DF1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7-day PPA and 6-month PA): 0.85</w:t>
            </w:r>
          </w:p>
          <w:p w14:paraId="632755B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 xml:space="preserve">r </w:t>
            </w:r>
            <w:r w:rsidRPr="00494051">
              <w:rPr>
                <w:rFonts w:cstheme="minorHAnsi"/>
                <w:iCs/>
                <w:sz w:val="20"/>
                <w:szCs w:val="20"/>
              </w:rPr>
              <w:t>(between 30-day PA and 6-month PA): 0.85</w:t>
            </w:r>
          </w:p>
          <w:p w14:paraId="77113DAD"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Three population based RCTs with representative samples from the general population.</w:t>
            </w:r>
          </w:p>
          <w:p w14:paraId="6B780603" w14:textId="77777777" w:rsidR="007F0AE0" w:rsidRPr="00494051" w:rsidRDefault="007F0AE0" w:rsidP="00453DE3">
            <w:pPr>
              <w:widowControl w:val="0"/>
              <w:spacing w:before="60" w:after="120"/>
              <w:contextualSpacing/>
              <w:rPr>
                <w:rFonts w:cstheme="minorHAnsi"/>
                <w:i/>
                <w:iCs/>
                <w:sz w:val="20"/>
                <w:szCs w:val="20"/>
              </w:rPr>
            </w:pPr>
          </w:p>
          <w:p w14:paraId="768B9E24"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&lt;EndNote&gt;&lt;Cite&gt;&lt;Author&gt;Rahman&lt;/Author&gt;&lt;Year&gt;2016&lt;/Year&gt;&lt;RecNum&gt;2849&lt;/RecNum&gt;&lt;DisplayText&gt;(105)&lt;/DisplayText&gt;&lt;record&gt;&lt;rec-number&gt;2849&lt;/rec-number&gt;&lt;foreign-keys&gt;&lt;key app="EN" db-id="a2vz2dfp8xrad6exes75zwpiw5rxwa0vwapv" timestamp="1556134968"&gt;2849&lt;/key&gt;&lt;/foreign-keys&gt;&lt;ref-type name="Journal Article"&gt;17&lt;/ref-type&gt;&lt;contributors&gt;&lt;authors&gt;&lt;author&gt;Rahman, A.&lt;/author&gt;&lt;author&gt;Mohamad, M. H. N.&lt;/author&gt;&lt;author&gt;Jamshed, S. &lt;/author&gt;&lt;/authors&gt;&lt;/contributors&gt;&lt;titles&gt;&lt;title&gt;Evaluating effectiveness and safety toward electronic cigarette among Malaysian vapers: One-month observational study&lt;/title&gt;&lt;secondary-title&gt;Arch Pharma Pract&lt;/secondary-title&gt;&lt;/titles&gt;&lt;periodical&gt;&lt;full-title&gt;Arch Pharma Pract&lt;/full-title&gt;&lt;/periodical&gt;&lt;pages&gt;43&lt;/pages&gt;&lt;volume&gt;7&lt;/volume&gt;&lt;dates&gt;&lt;year&gt;2016&lt;/year&gt;&lt;/dates&gt;&lt;work-type&gt;REPLACE&lt;/work-type&gt;&lt;urls&gt;&lt;/urls&gt;&lt;/record&gt;&lt;/Cite&gt;&lt;/EndNote&gt;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5" w:tooltip="Rahman, 2016 #2849" w:history="1">
              <w:r>
                <w:rPr>
                  <w:rFonts w:cstheme="minorHAnsi"/>
                  <w:iCs/>
                  <w:noProof/>
                  <w:sz w:val="20"/>
                  <w:szCs w:val="20"/>
                  <w:u w:val="single"/>
                </w:rPr>
                <w:t>105</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653ED16C"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Cs/>
                <w:sz w:val="20"/>
                <w:szCs w:val="20"/>
              </w:rPr>
              <w:t>In-person interview</w:t>
            </w:r>
          </w:p>
          <w:p w14:paraId="35F5104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Internal reliability of study questionnaire (including 7-day PPA from cigarettes):</w:t>
            </w:r>
          </w:p>
          <w:p w14:paraId="157F1B5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α=0.72</w:t>
            </w:r>
          </w:p>
          <w:p w14:paraId="48478E8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sidRPr="00494051">
              <w:rPr>
                <w:rFonts w:cstheme="minorHAnsi"/>
                <w:iCs/>
                <w:sz w:val="20"/>
                <w:szCs w:val="20"/>
              </w:rPr>
              <w:t>=0.730, p&lt;0.05 (at 2-week retest)</w:t>
            </w:r>
          </w:p>
          <w:p w14:paraId="7C3388F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w:t>
            </w:r>
            <w:r w:rsidRPr="00494051">
              <w:rPr>
                <w:rFonts w:ascii="Cambria Math" w:hAnsi="Cambria Math" w:cs="Cambria Math"/>
                <w:iCs/>
                <w:sz w:val="20"/>
                <w:szCs w:val="20"/>
              </w:rPr>
              <w:t>‑</w:t>
            </w:r>
            <w:r w:rsidRPr="00494051">
              <w:rPr>
                <w:rFonts w:cstheme="minorHAnsi"/>
                <w:iCs/>
                <w:sz w:val="20"/>
                <w:szCs w:val="20"/>
              </w:rPr>
              <w:t>retest interval: 2 weeks</w:t>
            </w:r>
          </w:p>
          <w:p w14:paraId="60194C5B" w14:textId="77777777" w:rsidR="007F0AE0" w:rsidRPr="00494051" w:rsidRDefault="007F0AE0" w:rsidP="00453DE3">
            <w:pPr>
              <w:widowControl w:val="0"/>
              <w:spacing w:after="120"/>
              <w:contextualSpacing/>
              <w:rPr>
                <w:rFonts w:cstheme="minorHAnsi"/>
                <w:sz w:val="18"/>
                <w:szCs w:val="18"/>
              </w:rPr>
            </w:pPr>
            <w:r w:rsidRPr="00494051">
              <w:rPr>
                <w:rFonts w:cstheme="minorHAnsi"/>
                <w:i/>
                <w:iCs/>
                <w:sz w:val="20"/>
                <w:szCs w:val="20"/>
              </w:rPr>
              <w:t>30 Malaysian e</w:t>
            </w:r>
            <w:r w:rsidRPr="00494051">
              <w:rPr>
                <w:rFonts w:ascii="Cambria Math" w:hAnsi="Cambria Math" w:cs="Cambria Math"/>
                <w:i/>
                <w:iCs/>
                <w:sz w:val="20"/>
                <w:szCs w:val="20"/>
              </w:rPr>
              <w:t>‑</w:t>
            </w:r>
            <w:r w:rsidRPr="00494051">
              <w:rPr>
                <w:rFonts w:cstheme="minorHAnsi"/>
                <w:i/>
                <w:iCs/>
                <w:sz w:val="20"/>
                <w:szCs w:val="20"/>
              </w:rPr>
              <w:t>cigarette users; 20 e-cigarette users at retest (baseline population: 218 e</w:t>
            </w:r>
            <w:r w:rsidRPr="00494051">
              <w:rPr>
                <w:rFonts w:ascii="Cambria Math" w:hAnsi="Cambria Math" w:cs="Cambria Math"/>
                <w:i/>
                <w:iCs/>
                <w:sz w:val="20"/>
                <w:szCs w:val="20"/>
              </w:rPr>
              <w:t>‑</w:t>
            </w:r>
            <w:r w:rsidRPr="00494051">
              <w:rPr>
                <w:rFonts w:cstheme="minorHAnsi"/>
                <w:i/>
                <w:iCs/>
                <w:sz w:val="20"/>
                <w:szCs w:val="20"/>
              </w:rPr>
              <w:t>cigarette users aged &gt;18 to 65 years and mostly male [98.2%]).</w:t>
            </w:r>
          </w:p>
        </w:tc>
        <w:tc>
          <w:tcPr>
            <w:tcW w:w="4914" w:type="dxa"/>
          </w:tcPr>
          <w:p w14:paraId="459331EC"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lastRenderedPageBreak/>
              <w:fldChar w:fldCharType="begin"/>
            </w:r>
            <w:r>
              <w:rPr>
                <w:rFonts w:cstheme="minorHAnsi"/>
                <w:iCs/>
                <w:sz w:val="20"/>
                <w:szCs w:val="20"/>
                <w:u w:val="single"/>
              </w:rPr>
              <w:instrText xml:space="preserve"> ADDIN EN.CITE &lt;EndNote&gt;&lt;Cite&gt;&lt;Author&gt;Abrams&lt;/Author&gt;&lt;Year&gt;1987&lt;/Year&gt;&lt;RecNum&gt;2843&lt;/RecNum&gt;&lt;DisplayText&gt;(106)&lt;/DisplayText&gt;&lt;record&gt;&lt;rec-number&gt;2843&lt;/rec-number&gt;&lt;foreign-keys&gt;&lt;key app="EN" db-id="a2vz2dfp8xrad6exes75zwpiw5rxwa0vwapv" timestamp="1556134968"&gt;2843&lt;/key&gt;&lt;/foreign-keys&gt;&lt;ref-type name="Journal Article"&gt;17&lt;/ref-type&gt;&lt;contributors&gt;&lt;authors&gt;&lt;author&gt;Abrams, D. B.&lt;/author&gt;&lt;author&gt;Follick, M. J.&lt;/author&gt;&lt;author&gt;Biener, L.&lt;/author&gt;&lt;author&gt;Carey, K. B.&lt;/author&gt;&lt;author&gt;Hitti, J.&lt;/author&gt;&lt;/authors&gt;&lt;/contributors&gt;&lt;titles&gt;&lt;title&gt;Saliva cotinine as a measure of smoking status in field settings&lt;/title&gt;&lt;secondary-title&gt;Am J Public Health&lt;/secondary-title&gt;&lt;/titles&gt;&lt;periodical&gt;&lt;full-title&gt;Am J Public Health&lt;/full-title&gt;&lt;/periodical&gt;&lt;pages&gt;846-8&lt;/pages&gt;&lt;volume&gt;77&lt;/volume&gt;&lt;number&gt;7&lt;/number&gt;&lt;keywords&gt;&lt;keyword&gt;Adult&lt;/keyword&gt;&lt;keyword&gt;Cotinine/*analysis&lt;/keyword&gt;&lt;keyword&gt;Female&lt;/keyword&gt;&lt;keyword&gt;Humans&lt;/keyword&gt;&lt;keyword&gt;Male&lt;/keyword&gt;&lt;keyword&gt;Pyrrolidinones/*analysis&lt;/keyword&gt;&lt;keyword&gt;Radioimmunoassay&lt;/keyword&gt;&lt;keyword&gt;Saliva/*analysis&lt;/keyword&gt;&lt;keyword&gt;*Smoking&lt;/keyword&gt;&lt;/keywords&gt;&lt;dates&gt;&lt;year&gt;1987&lt;/year&gt;&lt;pub-dates&gt;&lt;date&gt;Jul&lt;/date&gt;&lt;/pub-dates&gt;&lt;/dates&gt;&lt;isbn&gt;0090-0036 (Print)&amp;#xD;0090-0036 (Linking)&lt;/isbn&gt;&lt;accession-num&gt;3592039&lt;/accession-num&gt;&lt;work-type&gt;REPLACE&lt;/work-type&gt;&lt;urls&gt;&lt;related-urls&gt;&lt;url&gt;https://www.ncbi.nlm.nih.gov/pubmed/3592039&lt;/url&gt;&lt;/related-urls&gt;&lt;/urls&gt;&lt;custom2&gt;PMC1647227&lt;/custom2&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6" w:tooltip="Abrams, 1987 #2843" w:history="1">
              <w:r>
                <w:rPr>
                  <w:rFonts w:cstheme="minorHAnsi"/>
                  <w:iCs/>
                  <w:noProof/>
                  <w:sz w:val="20"/>
                  <w:szCs w:val="20"/>
                  <w:u w:val="single"/>
                </w:rPr>
                <w:t>106</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AEF160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Questionnaire and in-person biochemical validation</w:t>
            </w:r>
          </w:p>
          <w:p w14:paraId="012D0EF2"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Cs/>
                <w:sz w:val="20"/>
                <w:szCs w:val="20"/>
              </w:rPr>
              <w:t xml:space="preserve">Biochemically verified 7-day PPA with cotinine: </w:t>
            </w:r>
          </w:p>
          <w:p w14:paraId="38A30BD1"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10 of 11 (91%) self-reported cigarette abstinent smokers had smoking abstinence validated by cotinine</w:t>
            </w:r>
          </w:p>
          <w:p w14:paraId="620929B7"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1 of 11 (9%) self-reported cigarette abstinent smokers had smoking abstinence contradicted by cotinine</w:t>
            </w:r>
          </w:p>
          <w:p w14:paraId="14924027"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Cs/>
                <w:sz w:val="20"/>
                <w:szCs w:val="20"/>
              </w:rPr>
              <w:t xml:space="preserve">Biochemically verified 7-day PPA with </w:t>
            </w:r>
            <w:r>
              <w:rPr>
                <w:rFonts w:cstheme="minorHAnsi"/>
                <w:iCs/>
                <w:sz w:val="20"/>
                <w:szCs w:val="20"/>
              </w:rPr>
              <w:t>e</w:t>
            </w:r>
            <w:r w:rsidRPr="00494051">
              <w:rPr>
                <w:rFonts w:cstheme="minorHAnsi"/>
                <w:iCs/>
                <w:sz w:val="20"/>
                <w:szCs w:val="20"/>
              </w:rPr>
              <w:t xml:space="preserve">CO: </w:t>
            </w:r>
          </w:p>
          <w:p w14:paraId="49B3D682"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 xml:space="preserve">8 of 9 (89%) self-reported cigarette abstinent smokers had smoking abstinence validated by </w:t>
            </w:r>
            <w:r>
              <w:rPr>
                <w:rFonts w:cstheme="minorHAnsi"/>
                <w:iCs/>
                <w:sz w:val="20"/>
                <w:szCs w:val="20"/>
              </w:rPr>
              <w:t>e</w:t>
            </w:r>
            <w:r w:rsidRPr="00494051">
              <w:rPr>
                <w:rFonts w:cstheme="minorHAnsi"/>
                <w:iCs/>
                <w:sz w:val="20"/>
                <w:szCs w:val="20"/>
              </w:rPr>
              <w:t>CO</w:t>
            </w:r>
          </w:p>
          <w:p w14:paraId="133917DD"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 xml:space="preserve">1 of 9 (11%) self-reported cigarette abstinent smokers had smoking abstinence contradicted by </w:t>
            </w:r>
            <w:r>
              <w:rPr>
                <w:rFonts w:cstheme="minorHAnsi"/>
                <w:iCs/>
                <w:sz w:val="20"/>
                <w:szCs w:val="20"/>
              </w:rPr>
              <w:t>e</w:t>
            </w:r>
            <w:r w:rsidRPr="00494051">
              <w:rPr>
                <w:rFonts w:cstheme="minorHAnsi"/>
                <w:iCs/>
                <w:sz w:val="20"/>
                <w:szCs w:val="20"/>
              </w:rPr>
              <w:t>CO</w:t>
            </w:r>
          </w:p>
          <w:p w14:paraId="10553C93"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 xml:space="preserve">Baseline population: 96 cigarette smokers (74% female with a mean age of 39 years) who were hospital employees enrolled in a self-help smoking cessation program at the worksite (91 participants provided saliva </w:t>
            </w:r>
            <w:r w:rsidRPr="00494051">
              <w:rPr>
                <w:rFonts w:cstheme="minorHAnsi"/>
                <w:i/>
                <w:iCs/>
                <w:sz w:val="20"/>
                <w:szCs w:val="20"/>
              </w:rPr>
              <w:lastRenderedPageBreak/>
              <w:t>samples).</w:t>
            </w:r>
          </w:p>
          <w:p w14:paraId="31018B3A" w14:textId="77777777" w:rsidR="007F0AE0" w:rsidRPr="00494051" w:rsidRDefault="007F0AE0" w:rsidP="00453DE3">
            <w:pPr>
              <w:widowControl w:val="0"/>
              <w:spacing w:before="60" w:after="120"/>
              <w:contextualSpacing/>
              <w:rPr>
                <w:rFonts w:cstheme="minorHAnsi"/>
                <w:iCs/>
                <w:sz w:val="20"/>
                <w:szCs w:val="20"/>
                <w:u w:val="single"/>
              </w:rPr>
            </w:pPr>
          </w:p>
          <w:p w14:paraId="2346EFE9"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PEVuZE5vdGU+PENpdGU+PEF1dGhvcj5Gcm9tIEF0dGVicmluZzwvQXV0aG9yPjxZZWFyPjIwMDE8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=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PEVuZE5vdGU+PENpdGU+PEF1dGhvcj5Gcm9tIEF0dGVicmluZzwvQXV0aG9yPjxZZWFyPjIwMDE8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=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07" w:tooltip="From Attebring, 2001 #2846" w:history="1">
              <w:r>
                <w:rPr>
                  <w:rFonts w:cstheme="minorHAnsi"/>
                  <w:iCs/>
                  <w:noProof/>
                  <w:sz w:val="20"/>
                  <w:szCs w:val="20"/>
                  <w:u w:val="single"/>
                </w:rPr>
                <w:t>107</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736E8E3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interviews</w:t>
            </w:r>
          </w:p>
          <w:p w14:paraId="7351D1C1"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Cs/>
                <w:sz w:val="20"/>
                <w:szCs w:val="20"/>
              </w:rPr>
              <w:t xml:space="preserve">Biochemically verified abstinence: </w:t>
            </w:r>
          </w:p>
          <w:p w14:paraId="24E8BEF1"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 xml:space="preserve">243 of 260 self-reported former smokers had smoking abstinence validated by biochemical markers (cotinine in plasma, </w:t>
            </w:r>
            <w:r>
              <w:rPr>
                <w:rFonts w:cstheme="minorHAnsi"/>
                <w:iCs/>
                <w:sz w:val="20"/>
                <w:szCs w:val="20"/>
              </w:rPr>
              <w:t>e</w:t>
            </w:r>
            <w:r w:rsidRPr="00494051">
              <w:rPr>
                <w:rFonts w:cstheme="minorHAnsi"/>
                <w:iCs/>
                <w:sz w:val="20"/>
                <w:szCs w:val="20"/>
              </w:rPr>
              <w:t xml:space="preserve">CO, or both). </w:t>
            </w:r>
          </w:p>
          <w:p w14:paraId="0FF1F7B3"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 xml:space="preserve">17 of 260 self-reported former smokers had chemical markers that contradicted their self-report with raised </w:t>
            </w:r>
            <w:r>
              <w:rPr>
                <w:rFonts w:cstheme="minorHAnsi"/>
                <w:iCs/>
                <w:sz w:val="20"/>
                <w:szCs w:val="20"/>
              </w:rPr>
              <w:t>e</w:t>
            </w:r>
            <w:r w:rsidRPr="00494051">
              <w:rPr>
                <w:rFonts w:cstheme="minorHAnsi"/>
                <w:iCs/>
                <w:sz w:val="20"/>
                <w:szCs w:val="20"/>
              </w:rPr>
              <w:t>CO (n</w:t>
            </w:r>
            <w:r>
              <w:rPr>
                <w:rFonts w:cstheme="minorHAnsi"/>
                <w:iCs/>
                <w:sz w:val="20"/>
                <w:szCs w:val="20"/>
              </w:rPr>
              <w:t>=</w:t>
            </w:r>
            <w:r w:rsidRPr="00494051">
              <w:rPr>
                <w:rFonts w:cstheme="minorHAnsi"/>
                <w:iCs/>
                <w:sz w:val="20"/>
                <w:szCs w:val="20"/>
              </w:rPr>
              <w:t>6) and/or raised cotinine levels (n</w:t>
            </w:r>
            <w:r>
              <w:rPr>
                <w:rFonts w:cstheme="minorHAnsi"/>
                <w:iCs/>
                <w:sz w:val="20"/>
                <w:szCs w:val="20"/>
              </w:rPr>
              <w:t>=</w:t>
            </w:r>
            <w:r w:rsidRPr="00494051">
              <w:rPr>
                <w:rFonts w:cstheme="minorHAnsi"/>
                <w:iCs/>
                <w:sz w:val="20"/>
                <w:szCs w:val="20"/>
              </w:rPr>
              <w:t>13)</w:t>
            </w:r>
          </w:p>
          <w:p w14:paraId="50B840D4"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260 self-reported former smokers who provided adequate biochemical data of at least one of the two markers (baseline sample: 556 patients with ischemic heart disease [mostly male] 75 years or younger; mean age of the former smoker group (N=308): 61.4 ± 8.4 years).</w:t>
            </w:r>
          </w:p>
          <w:p w14:paraId="479BE4B3" w14:textId="77777777" w:rsidR="007F0AE0" w:rsidRPr="00494051" w:rsidRDefault="007F0AE0" w:rsidP="00453DE3">
            <w:pPr>
              <w:widowControl w:val="0"/>
              <w:spacing w:before="60" w:after="120"/>
              <w:contextualSpacing/>
              <w:rPr>
                <w:rFonts w:cstheme="minorHAnsi"/>
                <w:i/>
                <w:iCs/>
                <w:sz w:val="20"/>
                <w:szCs w:val="20"/>
              </w:rPr>
            </w:pPr>
          </w:p>
          <w:p w14:paraId="42A17F25"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&lt;EndNote&gt;&lt;Cite&gt;&lt;Author&gt;Bender&lt;/Author&gt;&lt;Year&gt;2015&lt;/Year&gt;&lt;RecNum&gt;2844&lt;/RecNum&gt;&lt;DisplayText&gt;(108)&lt;/DisplayText&gt;&lt;record&gt;&lt;rec-number&gt;2844&lt;/rec-number&gt;&lt;foreign-keys&gt;&lt;key app="EN" db-id="a2vz2dfp8xrad6exes75zwpiw5rxwa0vwapv" timestamp="1556134968"&gt;2844&lt;/key&gt;&lt;/foreign-keys&gt;&lt;ref-type name="Journal Article"&gt;17&lt;/ref-type&gt;&lt;contributors&gt;&lt;authors&gt;&lt;author&gt;Bender, D.&lt;/author&gt;&lt;author&gt;Haubruck, P.&lt;/author&gt;&lt;author&gt;Boxriker, S.&lt;/author&gt;&lt;author&gt;Korff, S.&lt;/author&gt;&lt;author&gt;Schmidmaier, G.&lt;/author&gt;&lt;author&gt;Moghaddam, A.&lt;/author&gt;&lt;/authors&gt;&lt;/contributors&gt;&lt;auth-address&gt;Trauma and Reconstructive Surgery, Center for Orthopedics, Trauma Surgery and Spinal Cord Injury, Heidelberg University Hospital, Heidelberg, Germany.&lt;/auth-address&gt;&lt;titles&gt;&lt;title&gt;Validity of subjective smoking status in orthopedic patients&lt;/title&gt;&lt;secondary-title&gt;Ther Clin Risk Manag&lt;/secondary-title&gt;&lt;/titles&gt;&lt;periodical&gt;&lt;full-title&gt;Ther Clin Risk Manag&lt;/full-title&gt;&lt;/periodical&gt;&lt;pages&gt;1297-303&lt;/pages&gt;&lt;volume&gt;11&lt;/volume&gt;&lt;keywords&gt;&lt;keyword&gt;cotinine&lt;/keyword&gt;&lt;keyword&gt;nonunion&lt;/keyword&gt;&lt;keyword&gt;risk evaluation&lt;/keyword&gt;&lt;keyword&gt;smoking&lt;/keyword&gt;&lt;keyword&gt;smoking behavior&lt;/keyword&gt;&lt;keyword&gt;smoking cessation&lt;/keyword&gt;&lt;/keywords&gt;&lt;dates&gt;&lt;year&gt;2015&lt;/year&gt;&lt;/dates&gt;&lt;isbn&gt;1176-6336 (Print)&amp;#xD;1176-6336 (Linking)&lt;/isbn&gt;&lt;accession-num&gt;26345646&lt;/accession-num&gt;&lt;work-type&gt;REPLACE&lt;/work-type&gt;&lt;urls&gt;&lt;related-urls&gt;&lt;url&gt;https://www.ncbi.nlm.nih.gov/pubmed/26345646&lt;/url&gt;&lt;/related-urls&gt;&lt;/urls&gt;&lt;custom2&gt;PMC4556244&lt;/custom2&gt;&lt;electronic-resource-num&gt;10.2147/TCRM.S86212&lt;/electronic-resource-num&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8" w:tooltip="Bender, 2015 #2844" w:history="1">
              <w:r>
                <w:rPr>
                  <w:rFonts w:cstheme="minorHAnsi"/>
                  <w:iCs/>
                  <w:noProof/>
                  <w:sz w:val="20"/>
                  <w:szCs w:val="20"/>
                  <w:u w:val="single"/>
                </w:rPr>
                <w:t>108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4897794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Interview and in-person biochemical validation</w:t>
            </w:r>
          </w:p>
          <w:p w14:paraId="76151DB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Biochemically verified abstinence (serum cotinine):</w:t>
            </w:r>
          </w:p>
          <w:p w14:paraId="2320FB46"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20 of 26 (76.9%) self-reported previous cigarette smokers had smoking abstinence validated by serum cotinine testing</w:t>
            </w:r>
          </w:p>
          <w:p w14:paraId="43547C87"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6 of 26 (23.1%) self-reported previous cigarette smokers had smoking abstinence contradicted by serum cotinine testing</w:t>
            </w:r>
          </w:p>
          <w:p w14:paraId="1B3A278E" w14:textId="77777777" w:rsidR="007F0AE0" w:rsidRPr="00494051" w:rsidRDefault="007F0AE0" w:rsidP="00453DE3">
            <w:pPr>
              <w:widowControl w:val="0"/>
              <w:spacing w:before="60" w:after="120"/>
              <w:ind w:left="58"/>
              <w:contextualSpacing/>
              <w:rPr>
                <w:rFonts w:cstheme="minorHAnsi"/>
                <w:iCs/>
                <w:sz w:val="20"/>
                <w:szCs w:val="20"/>
              </w:rPr>
            </w:pPr>
            <w:r w:rsidRPr="00494051">
              <w:rPr>
                <w:rFonts w:cstheme="minorHAnsi"/>
                <w:i/>
                <w:iCs/>
                <w:sz w:val="20"/>
                <w:szCs w:val="20"/>
              </w:rPr>
              <w:t>26 self-reported previous smokers who also underwent biochemical validation (17 male participants and 9 female participants; median age: 51 years [range: 22 to 84 years]; baseline population:</w:t>
            </w:r>
            <w:r w:rsidRPr="00494051">
              <w:rPr>
                <w:rFonts w:cstheme="minorHAnsi"/>
              </w:rPr>
              <w:t xml:space="preserve"> </w:t>
            </w:r>
            <w:r w:rsidRPr="00494051">
              <w:rPr>
                <w:rFonts w:cstheme="minorHAnsi"/>
                <w:i/>
                <w:iCs/>
                <w:sz w:val="20"/>
                <w:szCs w:val="20"/>
              </w:rPr>
              <w:t>orthopedic patients 18 years and older in Germany).</w:t>
            </w:r>
          </w:p>
          <w:p w14:paraId="210C2444" w14:textId="77777777" w:rsidR="007F0AE0" w:rsidRPr="00494051" w:rsidRDefault="007F0AE0" w:rsidP="00453DE3">
            <w:pPr>
              <w:widowControl w:val="0"/>
              <w:spacing w:before="60" w:after="120"/>
              <w:contextualSpacing/>
              <w:rPr>
                <w:rFonts w:cstheme="minorHAnsi"/>
                <w:i/>
                <w:iCs/>
                <w:sz w:val="20"/>
                <w:szCs w:val="20"/>
              </w:rPr>
            </w:pPr>
          </w:p>
          <w:p w14:paraId="69D80896"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PEVuZE5vdGU+PENpdGU+PEF1dGhvcj5HZXJyaXRzZW48L0F1dGhvcj48WWVhcj4yMDE1PC9ZZWFy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PEVuZE5vdGU+PENpdGU+PEF1dGhvcj5HZXJyaXRzZW48L0F1dGhvcj48WWVhcj4yMDE1PC9ZZWFy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09" w:tooltip="Gerritsen, 2015 #2847" w:history="1">
              <w:r>
                <w:rPr>
                  <w:rFonts w:cstheme="minorHAnsi"/>
                  <w:iCs/>
                  <w:noProof/>
                  <w:sz w:val="20"/>
                  <w:szCs w:val="20"/>
                  <w:u w:val="single"/>
                </w:rPr>
                <w:t>109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FCE521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lastRenderedPageBreak/>
              <w:t>Self-reported smoking cessation assessed by telephone and in-person biochemical validation</w:t>
            </w:r>
          </w:p>
          <w:p w14:paraId="492EF50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Biochemically verified PPA at 12 months (cotinine levels): </w:t>
            </w:r>
          </w:p>
          <w:p w14:paraId="297BA0E8"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Of the 95 self-reported former cigarette smokers who also underwent biochemical validation, cotinine validation of PPA was observed in 74.5% of total patients (PPA by smoking cessation intervention subgroup: 81.6% of patients receiving usual care, 80.6% of patients receiving telephone counseling, and 56.0% of patients receiving face-to-face counseling had self-reported PPA validated by cotinine testing).</w:t>
            </w:r>
          </w:p>
          <w:p w14:paraId="06D8AC11"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95 self-reported former smokers who underwent biochemical validation (baseline population: 625 Dutch cardiac patients who participated in a smoking cessation program, mostly male [73.1%] and with a mean age of 56.83±9.67 years).</w:t>
            </w:r>
          </w:p>
          <w:p w14:paraId="414DBC1A" w14:textId="77777777" w:rsidR="007F0AE0" w:rsidRPr="00494051" w:rsidRDefault="007F0AE0" w:rsidP="00453DE3">
            <w:pPr>
              <w:widowControl w:val="0"/>
              <w:spacing w:before="60" w:after="120"/>
              <w:contextualSpacing/>
              <w:rPr>
                <w:rFonts w:cstheme="minorHAnsi"/>
                <w:i/>
                <w:iCs/>
                <w:sz w:val="20"/>
                <w:szCs w:val="20"/>
              </w:rPr>
            </w:pPr>
          </w:p>
          <w:p w14:paraId="5E360690" w14:textId="77777777" w:rsidR="007F0AE0" w:rsidRPr="00494051" w:rsidRDefault="007F0AE0" w:rsidP="00453DE3">
            <w:pPr>
              <w:widowControl w:val="0"/>
              <w:tabs>
                <w:tab w:val="left" w:pos="1881"/>
              </w:tabs>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PEVuZE5vdGU+PENpdGU+PEF1dGhvcj5IaWxiZXJpbms8L0F1dGhvcj48WWVhcj4yMDExPC9ZZWFy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PEVuZE5vdGU+PENpdGU+PEF1dGhvcj5IaWxiZXJpbms8L0F1dGhvcj48WWVhcj4yMDExPC9ZZWFy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0" w:tooltip="Hilberink, 2011 #2848" w:history="1">
              <w:r>
                <w:rPr>
                  <w:rFonts w:cstheme="minorHAnsi"/>
                  <w:iCs/>
                  <w:noProof/>
                  <w:sz w:val="20"/>
                  <w:szCs w:val="20"/>
                  <w:u w:val="single"/>
                </w:rPr>
                <w:t>110</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59A6A95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assessment of biochemical validation</w:t>
            </w:r>
          </w:p>
          <w:p w14:paraId="69BB3F1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Biochemically verified PPA at 12 months (cotinine levels): </w:t>
            </w:r>
          </w:p>
          <w:p w14:paraId="4F6FBF40"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Self-reported smoking cessation rates of former cigarette smokers were 7.4% for the usual care group, 14.4% for the smoking cessation counseling + NRT group, and 14.5% for the smoking cessation counseling + NRT + standard-release bupropion group.</w:t>
            </w:r>
          </w:p>
          <w:p w14:paraId="0D08E40D"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Biochemically validated smoking cessation rates of former cigarette smokers were 3.4% for the usual care group, 7.4% for the smoking cessation counseling + NRT group, and 7.6% for the smoking cessation counseling + NRT + standard-release bupropion group.</w:t>
            </w:r>
          </w:p>
          <w:p w14:paraId="29218C7C"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RCT of 667 smokers with COPD from The Netherlands randomized to different smoking cessation intervention arms.</w:t>
            </w:r>
          </w:p>
          <w:p w14:paraId="071728A6" w14:textId="77777777" w:rsidR="007F0AE0" w:rsidRPr="00494051" w:rsidRDefault="007F0AE0" w:rsidP="00453DE3">
            <w:pPr>
              <w:widowControl w:val="0"/>
              <w:spacing w:before="60" w:after="120"/>
              <w:contextualSpacing/>
              <w:rPr>
                <w:rFonts w:cstheme="minorHAnsi"/>
                <w:i/>
                <w:iCs/>
                <w:sz w:val="20"/>
                <w:szCs w:val="20"/>
              </w:rPr>
            </w:pPr>
          </w:p>
          <w:p w14:paraId="1E7F133E"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PEVuZE5vdGU+PENpdGU+PEF1dGhvcj5TdHVkdHM8L0F1dGhvcj48WWVhcj4yMDA2PC9ZZWFyPjxS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PEVuZE5vdGU+PENpdGU+PEF1dGhvcj5TdHVkdHM8L0F1dGhvcj48WWVhcj4yMDA2PC9ZZWFyPjxS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1" w:tooltip="Studts, 2006 #2850" w:history="1">
              <w:r>
                <w:rPr>
                  <w:rFonts w:cstheme="minorHAnsi"/>
                  <w:iCs/>
                  <w:noProof/>
                  <w:sz w:val="20"/>
                  <w:szCs w:val="20"/>
                  <w:u w:val="single"/>
                </w:rPr>
                <w:t>111</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C11E81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Mail questionnaire and in-person biochemical validation</w:t>
            </w:r>
          </w:p>
          <w:p w14:paraId="2600DD5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Biochemically verified tobacco abstinence (cotinine levels)–includes 3 participants with use of NRT:</w:t>
            </w:r>
          </w:p>
          <w:p w14:paraId="0A394F65"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20 of 23 (87%) self-reported former smokers had smoking abstinence validated by cotinine testing</w:t>
            </w:r>
          </w:p>
          <w:p w14:paraId="53A78CEA"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3 of 23 (13%) self-reported former smokers had smoking abstinence contradicted by cotinine testing</w:t>
            </w:r>
          </w:p>
          <w:p w14:paraId="5DD5C1D3"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κ=0.85; p&lt;0.001 (agreement between self-reported smoking status [current user vs former smoker] and biochemical data [cotinine testing])</w:t>
            </w:r>
          </w:p>
          <w:p w14:paraId="6C79AD2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Biochemically verified tobacco abstinence (cotinine levels)–does not include the 3 participants with NRT use:</w:t>
            </w:r>
          </w:p>
          <w:p w14:paraId="12F52B95"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20 of 20 (100%) self-reported former smokers had smoking abstinence validated by cotinine testing</w:t>
            </w:r>
          </w:p>
          <w:p w14:paraId="6295A867"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0 of 20 (%) self-reported former smokers had smoking abstinence contradicted by cotinine testing</w:t>
            </w:r>
          </w:p>
          <w:p w14:paraId="226A56E1"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κ=0.96; p&lt;0.001 (agreement between self-reported smoking status [current user vs former smoker] and biochemical data [cotinine testing])</w:t>
            </w:r>
          </w:p>
          <w:p w14:paraId="6493B8F2" w14:textId="77777777" w:rsidR="007F0AE0" w:rsidRPr="00494051" w:rsidRDefault="007F0AE0" w:rsidP="00453DE3">
            <w:pPr>
              <w:widowControl w:val="0"/>
              <w:spacing w:before="60" w:after="120"/>
              <w:ind w:left="58"/>
              <w:contextualSpacing/>
              <w:rPr>
                <w:rFonts w:cstheme="minorHAnsi"/>
                <w:i/>
                <w:iCs/>
                <w:sz w:val="20"/>
                <w:szCs w:val="20"/>
              </w:rPr>
            </w:pPr>
            <w:r w:rsidRPr="00494051">
              <w:rPr>
                <w:rFonts w:cstheme="minorHAnsi"/>
                <w:i/>
                <w:iCs/>
                <w:sz w:val="20"/>
                <w:szCs w:val="20"/>
              </w:rPr>
              <w:t>23 self-reported former smokers (including 3 former smokers concurrently using NRT) enrolled in a lung cancer screening trial (baseline population: 55 participants, predominantly white [96%], and male [55%].</w:t>
            </w:r>
          </w:p>
          <w:p w14:paraId="122B197F" w14:textId="77777777" w:rsidR="007F0AE0" w:rsidRPr="00494051" w:rsidRDefault="007F0AE0" w:rsidP="00453DE3">
            <w:pPr>
              <w:widowControl w:val="0"/>
              <w:spacing w:before="60" w:after="120"/>
              <w:ind w:left="58"/>
              <w:contextualSpacing/>
              <w:rPr>
                <w:rFonts w:cstheme="minorHAnsi"/>
                <w:iCs/>
                <w:sz w:val="20"/>
                <w:szCs w:val="20"/>
              </w:rPr>
            </w:pPr>
          </w:p>
          <w:p w14:paraId="1A7DE119"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&lt;EndNote&gt;&lt;Cite&gt;&lt;Author&gt;Tourangeau&lt;/Author&gt;&lt;Year&gt;2018&lt;/Year&gt;&lt;RecNum&gt;2851&lt;/RecNum&gt;&lt;DisplayText&gt;(112)&lt;/DisplayText&gt;&lt;record&gt;&lt;rec-number&gt;2851&lt;/rec-number&gt;&lt;foreign-keys&gt;&lt;key app="EN" db-id="a2vz2dfp8xrad6exes75zwpiw5rxwa0vwapv" timestamp="1556134968"&gt;2851&lt;/key&gt;&lt;/foreign-keys&gt;&lt;ref-type name="Journal Article"&gt;17&lt;/ref-type&gt;&lt;contributors&gt;&lt;authors&gt;&lt;author&gt;Tourangeau, R.&lt;/author&gt;&lt;author&gt;Yan, T.&lt;/author&gt;&lt;author&gt;Sun, H.&lt;/author&gt;&lt;author&gt;Hyland, A.&lt;/author&gt;&lt;author&gt;Stanton, C. A.&lt;/author&gt;&lt;/authors&gt;&lt;/contributors&gt;&lt;auth-address&gt;Westat, Rockville, Maryland, USA.&amp;#xD;Department of Health Behavior, Roswell Park Comprehensive Cancer Center, Buffalo, New York, USA.&amp;#xD;Department of Oncology, Georgetown University Medical Center, Washington, DC, USA.&lt;/auth-address&gt;&lt;titles&gt;&lt;title&gt;Population Assessment of Tobacco and Health (PATH) reliability and validity study: selected reliability and validity estimates&lt;/title&gt;&lt;secondary-title&gt;Tob Control&lt;/secondary-title&gt;&lt;/titles&gt;&lt;periodical&gt;&lt;full-title&gt;Tob Control&lt;/full-title&gt;&lt;/periodical&gt;&lt;keywords&gt;&lt;keyword&gt;cotinine&lt;/keyword&gt;&lt;keyword&gt;nicotine&lt;/keyword&gt;&lt;keyword&gt;non-cigarette tobacco products&lt;/keyword&gt;&lt;/keywords&gt;&lt;dates&gt;&lt;year&gt;2018&lt;/year&gt;&lt;pub-dates&gt;&lt;date&gt;Oct 8&lt;/date&gt;&lt;/pub-dates&gt;&lt;/dates&gt;&lt;isbn&gt;1468-3318 (Electronic)&amp;#xD;0964-4563 (Linking)&lt;/isbn&gt;&lt;accession-num&gt;30297373&lt;/accession-num&gt;&lt;work-type&gt;REPLACE&lt;/work-type&gt;&lt;urls&gt;&lt;related-urls&gt;&lt;url&gt;https://www.ncbi.nlm.nih.gov/pubmed/30297373&lt;/url&gt;&lt;/related-urls&gt;&lt;/urls&gt;&lt;electronic-resource-num&gt;10.1136/tobaccocontrol-2018-054561&lt;/electronic-resource-num&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12" w:tooltip="Tourangeau, 2018 #2851" w:history="1">
              <w:r>
                <w:rPr>
                  <w:rFonts w:cstheme="minorHAnsi"/>
                  <w:iCs/>
                  <w:noProof/>
                  <w:sz w:val="20"/>
                  <w:szCs w:val="20"/>
                  <w:u w:val="single"/>
                </w:rPr>
                <w:t>112</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6A314C4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software (audio computer administered self-interviews with synthesized voice) and interviewers administered questions</w:t>
            </w:r>
          </w:p>
          <w:p w14:paraId="0047411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κ=0.72 (agreement between self-reported tobacco user status [current user vs not current user] and biochemical </w:t>
            </w:r>
            <w:r w:rsidRPr="00494051">
              <w:rPr>
                <w:rFonts w:cstheme="minorHAnsi"/>
                <w:iCs/>
                <w:sz w:val="20"/>
                <w:szCs w:val="20"/>
              </w:rPr>
              <w:lastRenderedPageBreak/>
              <w:t>data [cotinine testing])</w:t>
            </w:r>
          </w:p>
          <w:p w14:paraId="4898E34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Biochemically verified abstinence (cotinine levels):</w:t>
            </w:r>
          </w:p>
          <w:p w14:paraId="2C53DF0E"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192 of 217 (88.5%) self-reported not current users of tobacco products at re-interview had smoking abstinence validated by cotinine testing</w:t>
            </w:r>
          </w:p>
          <w:p w14:paraId="28A0F028"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25 of 217 (11.5) self-reported not current users of tobacco products at re-interview had smoking abstinence contradicted by serum cotinine testing</w:t>
            </w:r>
          </w:p>
          <w:p w14:paraId="412A00BA"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366 adults and 102 youths provided saliva samples; baseline: 407 adults and 117 youth respondents from the U.S. who completed Wave 4 (2016–2017) of the PATH Study interview twice.</w:t>
            </w:r>
          </w:p>
          <w:p w14:paraId="036AC361" w14:textId="77777777" w:rsidR="007F0AE0" w:rsidRPr="00494051" w:rsidRDefault="007F0AE0" w:rsidP="00453DE3">
            <w:pPr>
              <w:widowControl w:val="0"/>
              <w:spacing w:before="60" w:after="120"/>
              <w:contextualSpacing/>
              <w:rPr>
                <w:rFonts w:cstheme="minorHAnsi"/>
                <w:i/>
                <w:iCs/>
                <w:sz w:val="20"/>
                <w:szCs w:val="20"/>
              </w:rPr>
            </w:pPr>
          </w:p>
          <w:p w14:paraId="31D6119E"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PEVuZE5vdGU+PENpdGU+PEF1dGhvcj52YW4gZGVyIEFhbHN0PC9BdXRob3I+PFllYXI+MjAxNjwv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PEVuZE5vdGU+PENpdGU+PEF1dGhvcj52YW4gZGVyIEFhbHN0PC9BdXRob3I+PFllYXI+MjAxNjwv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3" w:tooltip="van der Aalst, 2016 #2852" w:history="1">
              <w:r>
                <w:rPr>
                  <w:rFonts w:cstheme="minorHAnsi"/>
                  <w:iCs/>
                  <w:noProof/>
                  <w:sz w:val="20"/>
                  <w:szCs w:val="20"/>
                  <w:u w:val="single"/>
                </w:rPr>
                <w:t>113</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7C6EA8C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 person questionnaire and biochemical validation</w:t>
            </w:r>
          </w:p>
          <w:p w14:paraId="3C4D8D9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Smoking status (agreement between self-reported data and biochemically verified data [cotinine levels]:</w:t>
            </w:r>
          </w:p>
          <w:p w14:paraId="063ED09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κ=0.96</w:t>
            </w:r>
          </w:p>
          <w:p w14:paraId="32D459A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Biochemically verified abstinence (cotinine levels):</w:t>
            </w:r>
          </w:p>
          <w:p w14:paraId="177FB1F0"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116 of 118 self-reported former cigarette smokers had smoking abstinence validated by cotinine testing</w:t>
            </w:r>
          </w:p>
          <w:p w14:paraId="18D9F0FF" w14:textId="77777777" w:rsidR="007F0AE0" w:rsidRPr="00494051" w:rsidRDefault="007F0AE0" w:rsidP="007F0AE0">
            <w:pPr>
              <w:pStyle w:val="ListParagraph"/>
              <w:widowControl w:val="0"/>
              <w:numPr>
                <w:ilvl w:val="0"/>
                <w:numId w:val="28"/>
              </w:numPr>
              <w:spacing w:before="60" w:after="120"/>
              <w:ind w:left="245" w:hanging="187"/>
              <w:rPr>
                <w:rFonts w:cstheme="minorHAnsi"/>
                <w:iCs/>
                <w:sz w:val="20"/>
                <w:szCs w:val="20"/>
              </w:rPr>
            </w:pPr>
            <w:r w:rsidRPr="00494051">
              <w:rPr>
                <w:rFonts w:cstheme="minorHAnsi"/>
                <w:iCs/>
                <w:sz w:val="20"/>
                <w:szCs w:val="20"/>
              </w:rPr>
              <w:t>2 of 118 self-reported former cigarette smokers had smoking abstinence contradicted by serum cotinine testing</w:t>
            </w:r>
          </w:p>
          <w:p w14:paraId="7BFF31F0" w14:textId="77777777" w:rsidR="007F0AE0" w:rsidRPr="00DA7C5E" w:rsidRDefault="007F0AE0" w:rsidP="00453DE3">
            <w:pPr>
              <w:widowControl w:val="0"/>
              <w:spacing w:after="120"/>
              <w:contextualSpacing/>
              <w:rPr>
                <w:rFonts w:cstheme="minorHAnsi"/>
                <w:i/>
                <w:iCs/>
                <w:sz w:val="20"/>
                <w:szCs w:val="20"/>
              </w:rPr>
            </w:pPr>
            <w:r w:rsidRPr="00494051">
              <w:rPr>
                <w:rFonts w:cstheme="minorHAnsi"/>
                <w:i/>
                <w:iCs/>
                <w:sz w:val="20"/>
                <w:szCs w:val="20"/>
              </w:rPr>
              <w:t>118 self-reported former smokers who underwent biochemical validation (baseline population: 475 smokers at high risk for developing lung cancer and that were a sub-</w:t>
            </w:r>
            <w:r w:rsidRPr="00DA7C5E">
              <w:rPr>
                <w:rFonts w:cstheme="minorHAnsi"/>
                <w:i/>
                <w:iCs/>
                <w:sz w:val="20"/>
                <w:szCs w:val="20"/>
              </w:rPr>
              <w:t>population of participants in a Dutch-Belgian lung cancer screening RCT).</w:t>
            </w:r>
          </w:p>
          <w:p w14:paraId="082BB316" w14:textId="77777777" w:rsidR="007F0AE0" w:rsidRPr="007E1219" w:rsidRDefault="007F0AE0" w:rsidP="00453DE3">
            <w:pPr>
              <w:widowControl w:val="0"/>
              <w:spacing w:after="120"/>
              <w:contextualSpacing/>
              <w:rPr>
                <w:rFonts w:cstheme="minorHAnsi"/>
                <w:i/>
                <w:iCs/>
                <w:sz w:val="20"/>
                <w:szCs w:val="20"/>
              </w:rPr>
            </w:pPr>
          </w:p>
          <w:p w14:paraId="0F81FFE1" w14:textId="77777777" w:rsidR="007F0AE0" w:rsidRPr="000A5E4D" w:rsidRDefault="007F0AE0" w:rsidP="00453DE3">
            <w:pPr>
              <w:tabs>
                <w:tab w:val="left" w:pos="2552"/>
              </w:tabs>
              <w:spacing w:before="60"/>
              <w:rPr>
                <w:rFonts w:cs="Calibri"/>
                <w:sz w:val="20"/>
                <w:szCs w:val="20"/>
                <w:u w:val="single"/>
              </w:rPr>
            </w:pPr>
            <w:r w:rsidRPr="000A5E4D">
              <w:rPr>
                <w:rFonts w:cs="Calibri"/>
                <w:sz w:val="20"/>
                <w:szCs w:val="20"/>
                <w:u w:val="single"/>
              </w:rPr>
              <w:fldChar w:fldCharType="begin"/>
            </w:r>
            <w:r>
              <w:rPr>
                <w:rFonts w:cs="Calibri"/>
                <w:sz w:val="20"/>
                <w:szCs w:val="20"/>
                <w:u w:val="single"/>
              </w:rPr>
              <w:instrText xml:space="preserve"> ADDIN EN.CITE &lt;EndNote&gt;&lt;Cite&gt;&lt;Author&gt;Hymowitz&lt;/Author&gt;&lt;Year&gt;1997&lt;/Year&gt;&lt;RecNum&gt;271&lt;/RecNum&gt;&lt;DisplayText&gt;(114)&lt;/DisplayText&gt;&lt;record&gt;&lt;rec-number&gt;271&lt;/rec-number&gt;&lt;foreign-keys&gt;&lt;key app="EN" db-id="a2vz2dfp8xrad6exes75zwpiw5rxwa0vwapv" timestamp="1480700762"&gt;271&lt;/key&gt;&lt;/foreign-keys&gt;&lt;ref-type name="Journal Article"&gt;17&lt;/ref-type&gt;&lt;contributors&gt;&lt;authors&gt;&lt;author&gt;Hymowitz, N.&lt;/author&gt;&lt;author&gt;Cummings, K. M.&lt;/author&gt;&lt;author&gt;Hyland, A.&lt;/author&gt;&lt;author&gt;Lynn, W. R.&lt;/author&gt;&lt;author&gt;Pechacek, T. F.&lt;/author&gt;&lt;author&gt;Hartwell, T. D.&lt;/author&gt;&lt;/authors&gt;&lt;/contributors&gt;&lt;auth-address&gt;Department of Psychiatry, University of Medicine and Dentistry of New Jersey, Newark, USA.&lt;/auth-address&gt;&lt;titles&gt;&lt;title&gt;Predictors of smoking cessation in a cohort of adult smokers followed for five years&lt;/title&gt;&lt;secondary-title&gt;Tob Control&lt;/secondary-title&gt;&lt;/titles&gt;&lt;periodical&gt;&lt;full-title&gt;Tob Control&lt;/full-title&gt;&lt;/periodical&gt;&lt;pages&gt;S57-62&lt;/pages&gt;&lt;volume&gt;6 Suppl 2&lt;/volume&gt;&lt;keywords&gt;&lt;keyword&gt;Adult&lt;/keyword&gt;&lt;keyword&gt;Age Distribution&lt;/keyword&gt;&lt;keyword&gt;Canada/epidemiology&lt;/keyword&gt;&lt;keyword&gt;Cohort Studies&lt;/keyword&gt;&lt;keyword&gt;Female&lt;/keyword&gt;&lt;keyword&gt;Follow-Up Studies&lt;/keyword&gt;&lt;keyword&gt;Humans&lt;/keyword&gt;&lt;keyword&gt;Male&lt;/keyword&gt;&lt;keyword&gt;Middle Aged&lt;/keyword&gt;&lt;keyword&gt;*Plants, Toxic&lt;/keyword&gt;&lt;keyword&gt;Prospective Studies&lt;/keyword&gt;&lt;keyword&gt;Sex Distribution&lt;/keyword&gt;&lt;keyword&gt;*Smoking Cessation&lt;/keyword&gt;&lt;keyword&gt;Surveys and Questionnaires&lt;/keyword&gt;&lt;keyword&gt;*Tobacco&lt;/keyword&gt;&lt;keyword&gt;Tobacco Use Disorder/*epidemiology&lt;/keyword&gt;&lt;keyword&gt;United States/epidemiology&lt;/keyword&gt;&lt;/keywords&gt;&lt;dates&gt;&lt;year&gt;1997&lt;/year&gt;&lt;/dates&gt;&lt;isbn&gt;0964-4563 (Print)&amp;#xD;0964-4563 (Linking)&lt;/isbn&gt;&lt;accession-num&gt;9583654&lt;/accession-num&gt;&lt;urls&gt;&lt;related-urls&gt;&lt;url&gt;https://www.ncbi.nlm.nih.gov/pubmed/9583654&lt;/url&gt;&lt;/related-urls&gt;&lt;/urls&gt;&lt;custom2&gt;PMC1766209&lt;/custom2&gt;&lt;/record&gt;&lt;/Cite&gt;&lt;/EndNote&gt;</w:instrText>
            </w:r>
            <w:r w:rsidRPr="000A5E4D">
              <w:rPr>
                <w:rFonts w:cs="Calibri"/>
                <w:sz w:val="20"/>
                <w:szCs w:val="20"/>
                <w:u w:val="single"/>
              </w:rPr>
              <w:fldChar w:fldCharType="separate"/>
            </w:r>
            <w:r>
              <w:rPr>
                <w:rFonts w:cs="Calibri"/>
                <w:noProof/>
                <w:sz w:val="20"/>
                <w:szCs w:val="20"/>
                <w:u w:val="single"/>
              </w:rPr>
              <w:t>(</w:t>
            </w:r>
            <w:hyperlink w:anchor="_ENREF_114" w:tooltip="Hymowitz, 1997 #271" w:history="1">
              <w:r>
                <w:rPr>
                  <w:rFonts w:cs="Calibri"/>
                  <w:noProof/>
                  <w:sz w:val="20"/>
                  <w:szCs w:val="20"/>
                  <w:u w:val="single"/>
                </w:rPr>
                <w:t>114</w:t>
              </w:r>
            </w:hyperlink>
            <w:r>
              <w:rPr>
                <w:rFonts w:cs="Calibri"/>
                <w:noProof/>
                <w:sz w:val="20"/>
                <w:szCs w:val="20"/>
                <w:u w:val="single"/>
              </w:rPr>
              <w:t>)</w:t>
            </w:r>
            <w:r w:rsidRPr="000A5E4D">
              <w:rPr>
                <w:rFonts w:cs="Calibri"/>
                <w:sz w:val="20"/>
                <w:szCs w:val="20"/>
                <w:u w:val="single"/>
              </w:rPr>
              <w:fldChar w:fldCharType="end"/>
            </w:r>
          </w:p>
          <w:p w14:paraId="094206A6" w14:textId="77777777" w:rsidR="007F0AE0" w:rsidRPr="000A5E4D" w:rsidRDefault="007F0AE0" w:rsidP="00453DE3">
            <w:pPr>
              <w:tabs>
                <w:tab w:val="left" w:pos="2552"/>
              </w:tabs>
              <w:spacing w:before="60" w:after="120"/>
              <w:rPr>
                <w:rFonts w:cs="Calibri"/>
                <w:sz w:val="20"/>
                <w:szCs w:val="20"/>
              </w:rPr>
            </w:pPr>
            <w:r w:rsidRPr="000A5E4D">
              <w:rPr>
                <w:rFonts w:cs="Calibri"/>
                <w:sz w:val="20"/>
                <w:szCs w:val="20"/>
              </w:rPr>
              <w:t xml:space="preserve">Results of logistic regression analysis relating CPD measured in 1988 and smoking cessation measured in </w:t>
            </w:r>
            <w:r w:rsidRPr="000A5E4D">
              <w:rPr>
                <w:rFonts w:cs="Calibri"/>
                <w:sz w:val="20"/>
                <w:szCs w:val="20"/>
              </w:rPr>
              <w:lastRenderedPageBreak/>
              <w:t>1993 (N = 13,415). Successful smoking cessation (not smoking for 6 months prior):</w:t>
            </w:r>
          </w:p>
          <w:p w14:paraId="4505D2B7" w14:textId="77777777" w:rsidR="007F0AE0" w:rsidRPr="000A5E4D" w:rsidRDefault="007F0AE0" w:rsidP="007F0AE0">
            <w:pPr>
              <w:pStyle w:val="ListParagraph"/>
              <w:widowControl w:val="0"/>
              <w:numPr>
                <w:ilvl w:val="0"/>
                <w:numId w:val="27"/>
              </w:numPr>
              <w:spacing w:before="60" w:after="120"/>
              <w:ind w:left="245" w:hanging="187"/>
              <w:rPr>
                <w:rFonts w:cstheme="minorHAnsi"/>
                <w:i/>
                <w:iCs/>
                <w:sz w:val="20"/>
                <w:szCs w:val="20"/>
              </w:rPr>
            </w:pPr>
            <w:r w:rsidRPr="000A5E4D">
              <w:rPr>
                <w:rFonts w:cstheme="minorHAnsi"/>
                <w:i/>
                <w:iCs/>
                <w:sz w:val="20"/>
                <w:szCs w:val="20"/>
              </w:rPr>
              <w:t>≥25 CPD: relative risk = 1.0</w:t>
            </w:r>
          </w:p>
          <w:p w14:paraId="0B718A1B" w14:textId="77777777" w:rsidR="007F0AE0" w:rsidRPr="000A5E4D" w:rsidRDefault="007F0AE0" w:rsidP="007F0AE0">
            <w:pPr>
              <w:pStyle w:val="ListParagraph"/>
              <w:widowControl w:val="0"/>
              <w:numPr>
                <w:ilvl w:val="0"/>
                <w:numId w:val="27"/>
              </w:numPr>
              <w:spacing w:before="60" w:after="120"/>
              <w:ind w:left="245" w:hanging="187"/>
              <w:rPr>
                <w:rFonts w:cstheme="minorHAnsi"/>
                <w:i/>
                <w:iCs/>
                <w:sz w:val="20"/>
                <w:szCs w:val="20"/>
              </w:rPr>
            </w:pPr>
            <w:r w:rsidRPr="000A5E4D">
              <w:rPr>
                <w:rFonts w:cstheme="minorHAnsi"/>
                <w:i/>
                <w:iCs/>
                <w:sz w:val="20"/>
                <w:szCs w:val="20"/>
              </w:rPr>
              <w:t>15-24 CPD: relative risk = 1.15</w:t>
            </w:r>
          </w:p>
          <w:p w14:paraId="1DCBD633" w14:textId="77777777" w:rsidR="007F0AE0" w:rsidRPr="000A5E4D" w:rsidRDefault="007F0AE0" w:rsidP="007F0AE0">
            <w:pPr>
              <w:pStyle w:val="ListParagraph"/>
              <w:widowControl w:val="0"/>
              <w:numPr>
                <w:ilvl w:val="0"/>
                <w:numId w:val="27"/>
              </w:numPr>
              <w:spacing w:before="60" w:after="120"/>
              <w:ind w:left="245" w:hanging="187"/>
              <w:rPr>
                <w:rFonts w:cstheme="minorHAnsi"/>
                <w:i/>
                <w:iCs/>
                <w:sz w:val="20"/>
                <w:szCs w:val="20"/>
              </w:rPr>
            </w:pPr>
            <w:r w:rsidRPr="000A5E4D">
              <w:rPr>
                <w:rFonts w:cstheme="minorHAnsi"/>
                <w:i/>
                <w:iCs/>
                <w:sz w:val="20"/>
                <w:szCs w:val="20"/>
              </w:rPr>
              <w:t>5-14 CPD: relative risk = 1.59</w:t>
            </w:r>
          </w:p>
          <w:p w14:paraId="2FE51255" w14:textId="77777777" w:rsidR="007F0AE0" w:rsidRPr="000A5E4D" w:rsidRDefault="007F0AE0" w:rsidP="007F0AE0">
            <w:pPr>
              <w:pStyle w:val="ListParagraph"/>
              <w:widowControl w:val="0"/>
              <w:numPr>
                <w:ilvl w:val="0"/>
                <w:numId w:val="27"/>
              </w:numPr>
              <w:spacing w:before="60" w:after="120"/>
              <w:ind w:left="245" w:hanging="187"/>
              <w:rPr>
                <w:rFonts w:cstheme="minorHAnsi"/>
                <w:i/>
                <w:iCs/>
                <w:sz w:val="20"/>
                <w:szCs w:val="20"/>
              </w:rPr>
            </w:pPr>
            <w:r w:rsidRPr="000A5E4D">
              <w:rPr>
                <w:rFonts w:cstheme="minorHAnsi"/>
                <w:i/>
                <w:iCs/>
                <w:sz w:val="20"/>
                <w:szCs w:val="20"/>
              </w:rPr>
              <w:t>&lt;5: relative risk = 2.38</w:t>
            </w:r>
          </w:p>
          <w:p w14:paraId="01FD1C60" w14:textId="77777777" w:rsidR="007F0AE0" w:rsidRPr="002A49C3" w:rsidRDefault="007F0AE0" w:rsidP="007F0AE0">
            <w:pPr>
              <w:pStyle w:val="ListParagraph"/>
              <w:widowControl w:val="0"/>
              <w:numPr>
                <w:ilvl w:val="0"/>
                <w:numId w:val="27"/>
              </w:numPr>
              <w:spacing w:before="60" w:after="120"/>
              <w:ind w:left="245" w:hanging="187"/>
              <w:rPr>
                <w:rFonts w:cstheme="minorHAnsi"/>
                <w:iCs/>
                <w:sz w:val="20"/>
                <w:szCs w:val="20"/>
              </w:rPr>
            </w:pPr>
            <w:r w:rsidRPr="000A5E4D">
              <w:rPr>
                <w:rFonts w:cstheme="minorHAnsi"/>
                <w:iCs/>
                <w:sz w:val="20"/>
                <w:szCs w:val="20"/>
              </w:rPr>
              <w:t>p&lt;0.05</w:t>
            </w:r>
          </w:p>
          <w:p w14:paraId="66364C04" w14:textId="77777777" w:rsidR="007F0AE0" w:rsidRPr="002A49C3" w:rsidRDefault="007F0AE0" w:rsidP="00453DE3">
            <w:pPr>
              <w:tabs>
                <w:tab w:val="left" w:pos="2552"/>
              </w:tabs>
              <w:spacing w:before="60" w:after="240"/>
              <w:rPr>
                <w:rFonts w:cs="Calibri"/>
                <w:i/>
                <w:sz w:val="20"/>
                <w:szCs w:val="20"/>
              </w:rPr>
            </w:pPr>
            <w:r w:rsidRPr="000A5E4D">
              <w:rPr>
                <w:rFonts w:cs="Calibri"/>
                <w:i/>
                <w:sz w:val="20"/>
                <w:szCs w:val="20"/>
              </w:rPr>
              <w:t>Longitudinal cessation study involving smokers from 20 U.S. and 2 Canadian communities.</w:t>
            </w:r>
          </w:p>
          <w:p w14:paraId="4C0F17B0" w14:textId="77777777" w:rsidR="007F0AE0" w:rsidRPr="000A5E4D" w:rsidRDefault="007F0AE0" w:rsidP="00453DE3">
            <w:pPr>
              <w:rPr>
                <w:rFonts w:cstheme="minorHAnsi"/>
                <w:sz w:val="20"/>
                <w:szCs w:val="20"/>
                <w:u w:val="single"/>
              </w:rPr>
            </w:pPr>
            <w:r w:rsidRPr="000A5E4D">
              <w:rPr>
                <w:rFonts w:cstheme="minorHAnsi"/>
                <w:sz w:val="20"/>
                <w:szCs w:val="20"/>
                <w:u w:val="single"/>
              </w:rPr>
              <w:fldChar w:fldCharType="begin">
                <w:fldData xml:space="preserve">PEVuZE5vdGU+PENpdGU+PEF1dGhvcj5Sb2hzZW5vdzwvQXV0aG9yPjxZZWFyPjIwMTM8L1llYXI+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=
</w:fldData>
              </w:fldChar>
            </w:r>
            <w:r>
              <w:rPr>
                <w:rFonts w:cstheme="minorHAnsi"/>
                <w:sz w:val="20"/>
                <w:szCs w:val="20"/>
                <w:u w:val="single"/>
              </w:rPr>
              <w:instrText xml:space="preserve"> ADDIN EN.CITE </w:instrText>
            </w:r>
            <w:r>
              <w:rPr>
                <w:rFonts w:cstheme="minorHAnsi"/>
                <w:sz w:val="20"/>
                <w:szCs w:val="20"/>
                <w:u w:val="single"/>
              </w:rPr>
              <w:fldChar w:fldCharType="begin">
                <w:fldData xml:space="preserve">PEVuZE5vdGU+PENpdGU+PEF1dGhvcj5Sb2hzZW5vdzwvQXV0aG9yPjxZZWFyPjIwMTM8L1llYXI+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=
</w:fldData>
              </w:fldChar>
            </w:r>
            <w:r>
              <w:rPr>
                <w:rFonts w:cstheme="minorHAnsi"/>
                <w:sz w:val="20"/>
                <w:szCs w:val="20"/>
                <w:u w:val="single"/>
              </w:rPr>
              <w:instrText xml:space="preserve"> ADDIN EN.CITE.DATA </w:instrText>
            </w:r>
            <w:r>
              <w:rPr>
                <w:rFonts w:cstheme="minorHAnsi"/>
                <w:sz w:val="20"/>
                <w:szCs w:val="20"/>
                <w:u w:val="single"/>
              </w:rPr>
            </w:r>
            <w:r>
              <w:rPr>
                <w:rFonts w:cstheme="minorHAnsi"/>
                <w:sz w:val="20"/>
                <w:szCs w:val="20"/>
                <w:u w:val="single"/>
              </w:rPr>
              <w:fldChar w:fldCharType="end"/>
            </w:r>
            <w:r w:rsidRPr="000A5E4D">
              <w:rPr>
                <w:rFonts w:cstheme="minorHAnsi"/>
                <w:sz w:val="20"/>
                <w:szCs w:val="20"/>
                <w:u w:val="single"/>
              </w:rPr>
              <w:fldChar w:fldCharType="separate"/>
            </w:r>
            <w:r>
              <w:rPr>
                <w:rFonts w:cstheme="minorHAnsi"/>
                <w:noProof/>
                <w:sz w:val="20"/>
                <w:szCs w:val="20"/>
                <w:u w:val="single"/>
              </w:rPr>
              <w:t>(</w:t>
            </w:r>
            <w:hyperlink w:anchor="_ENREF_115" w:tooltip="Rohsenow, 2013 #183" w:history="1">
              <w:r>
                <w:rPr>
                  <w:rFonts w:cstheme="minorHAnsi"/>
                  <w:noProof/>
                  <w:sz w:val="20"/>
                  <w:szCs w:val="20"/>
                  <w:u w:val="single"/>
                </w:rPr>
                <w:t>115</w:t>
              </w:r>
            </w:hyperlink>
            <w:r>
              <w:rPr>
                <w:rFonts w:cstheme="minorHAnsi"/>
                <w:noProof/>
                <w:sz w:val="20"/>
                <w:szCs w:val="20"/>
                <w:u w:val="single"/>
              </w:rPr>
              <w:t>)</w:t>
            </w:r>
            <w:r w:rsidRPr="000A5E4D">
              <w:rPr>
                <w:rFonts w:cstheme="minorHAnsi"/>
                <w:sz w:val="20"/>
                <w:szCs w:val="20"/>
                <w:u w:val="single"/>
              </w:rPr>
              <w:fldChar w:fldCharType="end"/>
            </w:r>
          </w:p>
          <w:p w14:paraId="7A0C8A6F" w14:textId="77777777" w:rsidR="007F0AE0" w:rsidRPr="000A5E4D" w:rsidRDefault="007F0AE0" w:rsidP="00453DE3">
            <w:pPr>
              <w:rPr>
                <w:rFonts w:cstheme="minorHAnsi"/>
                <w:sz w:val="20"/>
                <w:szCs w:val="20"/>
              </w:rPr>
            </w:pPr>
            <w:r w:rsidRPr="000A5E4D">
              <w:rPr>
                <w:rFonts w:cstheme="minorHAnsi"/>
                <w:sz w:val="20"/>
                <w:szCs w:val="20"/>
              </w:rPr>
              <w:t>Cessation</w:t>
            </w:r>
          </w:p>
          <w:p w14:paraId="4E27B9D0" w14:textId="77777777" w:rsidR="007F0AE0" w:rsidRPr="000A5E4D" w:rsidRDefault="007F0AE0" w:rsidP="00453DE3">
            <w:pPr>
              <w:spacing w:after="120"/>
              <w:rPr>
                <w:rFonts w:cstheme="minorHAnsi"/>
                <w:sz w:val="20"/>
                <w:szCs w:val="20"/>
              </w:rPr>
            </w:pPr>
            <w:r w:rsidRPr="000A5E4D">
              <w:rPr>
                <w:rFonts w:cstheme="minorHAnsi"/>
                <w:sz w:val="20"/>
                <w:szCs w:val="20"/>
              </w:rPr>
              <w:t>OR for TTFC (scored continuously) = 2.01 (95% CI: 1.07-3.78; p=0.03) for 7 day abstinence; 2.41 (</w:t>
            </w:r>
            <w:r>
              <w:rPr>
                <w:rFonts w:cstheme="minorHAnsi"/>
                <w:sz w:val="20"/>
                <w:szCs w:val="20"/>
              </w:rPr>
              <w:t>95%CI:</w:t>
            </w:r>
            <w:r w:rsidRPr="000A5E4D">
              <w:rPr>
                <w:rFonts w:cstheme="minorHAnsi"/>
                <w:sz w:val="20"/>
                <w:szCs w:val="20"/>
              </w:rPr>
              <w:t>1.30-4.49; p=0.05) for 14 day abstinence; 1.89 (</w:t>
            </w:r>
            <w:r>
              <w:rPr>
                <w:rFonts w:cstheme="minorHAnsi"/>
                <w:sz w:val="20"/>
                <w:szCs w:val="20"/>
              </w:rPr>
              <w:t>95%CI:</w:t>
            </w:r>
            <w:r w:rsidRPr="000A5E4D">
              <w:rPr>
                <w:rFonts w:cstheme="minorHAnsi"/>
                <w:sz w:val="20"/>
                <w:szCs w:val="20"/>
              </w:rPr>
              <w:t>0.75-4.76; p=NS)</w:t>
            </w:r>
          </w:p>
          <w:p w14:paraId="65103335" w14:textId="77777777" w:rsidR="007F0AE0" w:rsidRPr="000A5E4D" w:rsidRDefault="007F0AE0" w:rsidP="00453DE3">
            <w:pPr>
              <w:rPr>
                <w:rFonts w:cs="Calibri"/>
                <w:i/>
              </w:rPr>
            </w:pPr>
            <w:r w:rsidRPr="000A5E4D">
              <w:rPr>
                <w:rFonts w:cstheme="minorHAnsi"/>
                <w:i/>
                <w:sz w:val="20"/>
                <w:szCs w:val="20"/>
              </w:rPr>
              <w:t>“Moderate-heavy” smokers, varying ethnicities, adults (age 19-62 years) currently in substance abuse treatment.</w:t>
            </w:r>
          </w:p>
        </w:tc>
      </w:tr>
      <w:tr w:rsidR="007F0AE0" w:rsidRPr="00494051" w14:paraId="23EB6158" w14:textId="77777777" w:rsidTr="00453DE3">
        <w:tc>
          <w:tcPr>
            <w:tcW w:w="2065" w:type="dxa"/>
            <w:shd w:val="clear" w:color="auto" w:fill="auto"/>
          </w:tcPr>
          <w:p w14:paraId="6621BD3D" w14:textId="77777777" w:rsidR="007F0AE0" w:rsidRPr="00494051" w:rsidRDefault="007F0AE0" w:rsidP="00453DE3">
            <w:pPr>
              <w:widowControl w:val="0"/>
              <w:rPr>
                <w:rFonts w:cstheme="minorHAnsi"/>
                <w:sz w:val="18"/>
                <w:szCs w:val="18"/>
              </w:rPr>
            </w:pPr>
            <w:r w:rsidRPr="00494051">
              <w:rPr>
                <w:rFonts w:cstheme="minorHAnsi"/>
                <w:sz w:val="18"/>
                <w:szCs w:val="18"/>
              </w:rPr>
              <w:lastRenderedPageBreak/>
              <w:t>Change in smoking quantity/</w:t>
            </w:r>
          </w:p>
          <w:p w14:paraId="3765C426" w14:textId="77777777" w:rsidR="007F0AE0" w:rsidRPr="00494051" w:rsidRDefault="007F0AE0" w:rsidP="00453DE3">
            <w:pPr>
              <w:widowControl w:val="0"/>
              <w:rPr>
                <w:rFonts w:cstheme="minorHAnsi"/>
                <w:sz w:val="18"/>
                <w:szCs w:val="18"/>
              </w:rPr>
            </w:pPr>
            <w:r w:rsidRPr="00494051">
              <w:rPr>
                <w:rFonts w:cstheme="minorHAnsi"/>
                <w:sz w:val="18"/>
                <w:szCs w:val="18"/>
              </w:rPr>
              <w:t>frequency</w:t>
            </w:r>
          </w:p>
        </w:tc>
        <w:tc>
          <w:tcPr>
            <w:tcW w:w="1350" w:type="dxa"/>
            <w:shd w:val="clear" w:color="auto" w:fill="auto"/>
          </w:tcPr>
          <w:p w14:paraId="5622AA5D" w14:textId="77777777" w:rsidR="007F0AE0" w:rsidRPr="00494051" w:rsidRDefault="007F0AE0" w:rsidP="00453DE3">
            <w:pPr>
              <w:widowControl w:val="0"/>
              <w:rPr>
                <w:rFonts w:cstheme="minorHAnsi"/>
                <w:b/>
                <w:sz w:val="18"/>
                <w:szCs w:val="18"/>
              </w:rPr>
            </w:pPr>
            <w:r w:rsidRPr="00494051">
              <w:rPr>
                <w:rFonts w:cstheme="minorHAnsi"/>
                <w:b/>
                <w:sz w:val="18"/>
                <w:szCs w:val="18"/>
              </w:rPr>
              <w:t>ACCEPTABLE</w:t>
            </w:r>
          </w:p>
          <w:p w14:paraId="0AEE9358" w14:textId="77777777" w:rsidR="007F0AE0" w:rsidRPr="00494051" w:rsidRDefault="007F0AE0" w:rsidP="00453DE3">
            <w:pPr>
              <w:widowControl w:val="0"/>
              <w:rPr>
                <w:rFonts w:cstheme="minorHAnsi"/>
                <w:sz w:val="18"/>
                <w:szCs w:val="18"/>
              </w:rPr>
            </w:pPr>
          </w:p>
        </w:tc>
        <w:tc>
          <w:tcPr>
            <w:tcW w:w="5310" w:type="dxa"/>
            <w:shd w:val="clear" w:color="auto" w:fill="auto"/>
          </w:tcPr>
          <w:p w14:paraId="7D975D79"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&lt;EndNote&gt;&lt;Cite&gt;&lt;Author&gt;Brener&lt;/Author&gt;&lt;Year&gt;2002&lt;/Year&gt;&lt;RecNum&gt;128&lt;/RecNum&gt;&lt;DisplayText&gt;(102)&lt;/DisplayText&gt;&lt;record&gt;&lt;rec-number&gt;128&lt;/rec-number&gt;&lt;foreign-keys&gt;&lt;key app="EN" db-id="a2vz2dfp8xrad6exes75zwpiw5rxwa0vwapv" timestamp="0"&gt;128&lt;/key&gt;&lt;/foreign-keys&gt;&lt;ref-type name="Journal Article"&gt;17&lt;/ref-type&gt;&lt;contributors&gt;&lt;authors&gt;&lt;author&gt;Brener, N. D.&lt;/author&gt;&lt;author&gt;Kann, L.&lt;/author&gt;&lt;author&gt;McManus, T.&lt;/author&gt;&lt;author&gt;Kinchen, S. A.&lt;/author&gt;&lt;author&gt;Sundberg, E. C.&lt;/author&gt;&lt;author&gt;Ross, J. G.&lt;/author&gt;&lt;/authors&gt;&lt;/contributors&gt;&lt;auth-address&gt;Division of Adolescent and School Health, National Center for Chronic Disease Prevention and Health Promotion, Centers for Disease Control and Prevention, Atlanta, Georgia 30341, USA. nad1@cdc.gov&lt;/auth-address&gt;&lt;titles&gt;&lt;title&gt;Reliability of the 1999 youth risk behavior survey questionnaire&lt;/title&gt;&lt;secondary-title&gt;J Adolesc Health&lt;/secondary-title&gt;&lt;alt-title&gt;The Journal of adolescent health : official publication of the Society for Adolescent Medicine&lt;/alt-title&gt;&lt;/titles&gt;&lt;alt-periodical&gt;&lt;full-title&gt;The Journal of adolescent health : official publication of the Society for Adolescent Medicine&lt;/full-title&gt;&lt;/alt-periodical&gt;&lt;pages&gt;336-42&lt;/pages&gt;&lt;volume&gt;31&lt;/volume&gt;&lt;number&gt;4&lt;/number&gt;&lt;edition&gt;2002/10/03&lt;/edition&gt;&lt;keywords&gt;&lt;keyword&gt;Adolescent&lt;/keyword&gt;&lt;keyword&gt;*Adolescent Behavior&lt;/keyword&gt;&lt;keyword&gt;Female&lt;/keyword&gt;&lt;keyword&gt;*Health Behavior&lt;/keyword&gt;&lt;keyword&gt;*Health Surveys&lt;/keyword&gt;&lt;keyword&gt;Humans&lt;/keyword&gt;&lt;keyword&gt;Male&lt;/keyword&gt;&lt;keyword&gt;Reproducibility of Results&lt;/keyword&gt;&lt;keyword&gt;*Risk-Taking&lt;/keyword&gt;&lt;keyword&gt;*Surveys and Questionnaires&lt;/keyword&gt;&lt;keyword&gt;United States&lt;/keyword&gt;&lt;/keywords&gt;&lt;dates&gt;&lt;year&gt;2002&lt;/year&gt;&lt;pub-dates&gt;&lt;date&gt;Oct&lt;/date&gt;&lt;/pub-dates&gt;&lt;/dates&gt;&lt;isbn&gt;1054-139X (Print)&amp;#xD;1054-139x&lt;/isbn&gt;&lt;accession-num&gt;12359379&lt;/accession-num&gt;&lt;urls&gt;&lt;/urls&gt;&lt;remote-database-provider&gt;NLM&lt;/remote-database-provider&gt;&lt;language&gt;eng&lt;/language&gt;&lt;/record&gt;&lt;/Cite&gt;&lt;/EndNote&gt;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2" w:tooltip="Brener, 2002 #128" w:history="1">
              <w:r>
                <w:rPr>
                  <w:rFonts w:cstheme="minorHAnsi"/>
                  <w:iCs/>
                  <w:noProof/>
                  <w:sz w:val="20"/>
                  <w:szCs w:val="20"/>
                  <w:u w:val="single"/>
                </w:rPr>
                <w:t>102</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2E9E83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Questionnaire administered in classrooms</w:t>
            </w:r>
          </w:p>
          <w:p w14:paraId="527F3A9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 (%)</w:t>
            </w:r>
            <w:r>
              <w:rPr>
                <w:rFonts w:cstheme="minorHAnsi"/>
                <w:iCs/>
                <w:sz w:val="20"/>
                <w:szCs w:val="20"/>
              </w:rPr>
              <w:t xml:space="preserve"> = </w:t>
            </w:r>
            <w:r w:rsidRPr="00494051">
              <w:rPr>
                <w:rFonts w:cstheme="minorHAnsi"/>
                <w:iCs/>
                <w:sz w:val="20"/>
                <w:szCs w:val="20"/>
              </w:rPr>
              <w:t>81.9 (self-reported: smoked cigarettes ≥1 day during the past 30 days)</w:t>
            </w:r>
          </w:p>
          <w:p w14:paraId="75F8535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 (%)</w:t>
            </w:r>
            <w:r>
              <w:rPr>
                <w:rFonts w:cstheme="minorHAnsi"/>
                <w:iCs/>
                <w:sz w:val="20"/>
                <w:szCs w:val="20"/>
              </w:rPr>
              <w:t xml:space="preserve"> = </w:t>
            </w:r>
            <w:r w:rsidRPr="00494051">
              <w:rPr>
                <w:rFonts w:cstheme="minorHAnsi"/>
                <w:iCs/>
                <w:sz w:val="20"/>
                <w:szCs w:val="20"/>
              </w:rPr>
              <w:t xml:space="preserve">83.5 (self-reported: smoked ≥20 </w:t>
            </w:r>
            <w:r>
              <w:rPr>
                <w:rFonts w:cstheme="minorHAnsi"/>
                <w:iCs/>
                <w:sz w:val="20"/>
                <w:szCs w:val="20"/>
              </w:rPr>
              <w:t>CPD</w:t>
            </w:r>
            <w:r w:rsidRPr="00494051">
              <w:rPr>
                <w:rFonts w:cstheme="minorHAnsi"/>
                <w:iCs/>
                <w:sz w:val="20"/>
                <w:szCs w:val="20"/>
              </w:rPr>
              <w:t xml:space="preserve"> on the days smoked during the past 30 days)</w:t>
            </w:r>
          </w:p>
          <w:p w14:paraId="52A1A37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 (%)</w:t>
            </w:r>
            <w:r>
              <w:rPr>
                <w:rFonts w:cstheme="minorHAnsi"/>
                <w:iCs/>
                <w:sz w:val="20"/>
                <w:szCs w:val="20"/>
              </w:rPr>
              <w:t xml:space="preserve"> = </w:t>
            </w:r>
            <w:r w:rsidRPr="00494051">
              <w:rPr>
                <w:rFonts w:cstheme="minorHAnsi"/>
                <w:iCs/>
                <w:sz w:val="20"/>
                <w:szCs w:val="20"/>
              </w:rPr>
              <w:t>79.8 (self-reported: ever cigarettes regularly)</w:t>
            </w:r>
          </w:p>
          <w:p w14:paraId="1E09FAD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2 weeks</w:t>
            </w:r>
          </w:p>
          <w:p w14:paraId="7FE9747A"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4,619 male (46.6%) and female (53.4%) high-school students (Grade 9 through 12) from white (52.2%), black (31.4%), Hispanic (6.1%), and other groups (10.3%) in the U.S.</w:t>
            </w:r>
          </w:p>
          <w:p w14:paraId="3A26731E" w14:textId="77777777" w:rsidR="007F0AE0" w:rsidRPr="00494051" w:rsidRDefault="007F0AE0" w:rsidP="00453DE3">
            <w:pPr>
              <w:widowControl w:val="0"/>
              <w:spacing w:before="60" w:after="120"/>
              <w:contextualSpacing/>
              <w:rPr>
                <w:rFonts w:cstheme="minorHAnsi"/>
                <w:iCs/>
                <w:sz w:val="20"/>
                <w:szCs w:val="20"/>
                <w:u w:val="single"/>
              </w:rPr>
            </w:pPr>
          </w:p>
          <w:p w14:paraId="701B170B"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&lt;EndNote&gt;&lt;Cite&gt;&lt;Author&gt;Brigham&lt;/Author&gt;&lt;Year&gt;2009&lt;/Year&gt;&lt;RecNum&gt;143&lt;/RecNum&gt;&lt;DisplayText&gt;(98)&lt;/DisplayText&gt;&lt;record&gt;&lt;rec-number&gt;143&lt;/rec-number&gt;&lt;foreign-keys&gt;&lt;key app="EN" db-id="a2vz2dfp8xrad6exes75zwpiw5rxwa0vwapv" timestamp="0"&gt;143&lt;/key&gt;&lt;/foreign-keys&gt;&lt;ref-type name="Journal Article"&gt;17&lt;/ref-type&gt;&lt;contributors&gt;&lt;authors&gt;&lt;author&gt;Brigham, J.&lt;/author&gt;&lt;author&gt;Lessov-Schlaggar, C. N.&lt;/author&gt;&lt;author&gt;Javitz, H. S.&lt;/author&gt;&lt;author&gt;Krasnow, R. E.&lt;/author&gt;&lt;author&gt;McElroy, M.&lt;/author&gt;&lt;author&gt;Swan, G. E.&lt;/author&gt;&lt;/authors&gt;&lt;/contributors&gt;&lt;auth-address&gt;Center for Health Sciences, SRI International, Menlo Park, CA, USA.&lt;/auth-address&gt;&lt;titles&gt;&lt;title&gt;Test-retest reliability of web-based retrospective self-report of tobacco exposure and risk&lt;/title&gt;&lt;secondary-title&gt;J Med Internet Res&lt;/secondary-title&gt;&lt;alt-title&gt;Journal of medical Internet research&lt;/alt-title&gt;&lt;/titles&gt;&lt;alt-periodical&gt;&lt;full-title&gt;Journal of Medical Internet Research&lt;/full-title&gt;&lt;/alt-periodical&gt;&lt;pages&gt;e35&lt;/pages&gt;&lt;volume&gt;11&lt;/volume&gt;&lt;number&gt;3&lt;/number&gt;&lt;edition&gt;2009/08/14&lt;/edition&gt;&lt;keywords&gt;&lt;keyword&gt;Adolescent&lt;/keyword&gt;&lt;keyword&gt;Adult&lt;/keyword&gt;&lt;keyword&gt;Aged&lt;/keyword&gt;&lt;keyword&gt;Alcohol Drinking&lt;/keyword&gt;&lt;keyword&gt;Humans&lt;/keyword&gt;&lt;keyword&gt;*Internet&lt;/keyword&gt;&lt;keyword&gt;Middle Aged&lt;/keyword&gt;&lt;keyword&gt;Religion&lt;/keyword&gt;&lt;keyword&gt;*Reproducibility of Results&lt;/keyword&gt;&lt;keyword&gt;Retrospective Studies&lt;/keyword&gt;&lt;keyword&gt;Risk Assessment&lt;/keyword&gt;&lt;keyword&gt;*Surveys and Questionnaires&lt;/keyword&gt;&lt;keyword&gt;Tobacco Smoke Pollution/statistics &amp;amp; numerical data&lt;/keyword&gt;&lt;keyword&gt;Tobacco Use Cessation/*statistics &amp;amp; numerical data&lt;/keyword&gt;&lt;keyword&gt;Tobacco Use Disorder/*rehabilitation&lt;/keyword&gt;&lt;keyword&gt;Young Adult&lt;/keyword&gt;&lt;/keywords&gt;&lt;dates&gt;&lt;year&gt;2009&lt;/year&gt;&lt;/dates&gt;&lt;isbn&gt;1438-8871&lt;/isbn&gt;&lt;accession-num&gt;19674962&lt;/accession-num&gt;&lt;urls&gt;&lt;/urls&gt;&lt;custom2&gt;PMC2762856&lt;/custom2&gt;&lt;electronic-resource-num&gt;10.2196/jmir.1248&lt;/electronic-resource-num&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8" w:tooltip="Brigham, 2009 #143" w:history="1">
              <w:r>
                <w:rPr>
                  <w:rFonts w:cstheme="minorHAnsi"/>
                  <w:iCs/>
                  <w:noProof/>
                  <w:sz w:val="20"/>
                  <w:szCs w:val="20"/>
                  <w:u w:val="single"/>
                </w:rPr>
                <w:t>98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5A4FF65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A closed, password-controlled, invitation-only website questionnaire </w:t>
            </w:r>
          </w:p>
          <w:p w14:paraId="48AA061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κ= 0.51 (self-reported: % of individual who use cigarettes </w:t>
            </w:r>
            <w:r w:rsidRPr="00494051">
              <w:rPr>
                <w:rFonts w:cstheme="minorHAnsi"/>
                <w:iCs/>
                <w:sz w:val="20"/>
                <w:szCs w:val="20"/>
              </w:rPr>
              <w:lastRenderedPageBreak/>
              <w:t>daily)</w:t>
            </w:r>
          </w:p>
          <w:p w14:paraId="3DB8EA8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2 months</w:t>
            </w:r>
          </w:p>
          <w:p w14:paraId="7A097FF9"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1102</w:t>
            </w:r>
            <w:r w:rsidRPr="00494051">
              <w:rPr>
                <w:rFonts w:cstheme="minorHAnsi"/>
                <w:iCs/>
                <w:sz w:val="20"/>
                <w:szCs w:val="20"/>
              </w:rPr>
              <w:t xml:space="preserve"> </w:t>
            </w:r>
            <w:r w:rsidRPr="00494051">
              <w:rPr>
                <w:rFonts w:cstheme="minorHAnsi"/>
                <w:i/>
                <w:iCs/>
                <w:sz w:val="20"/>
                <w:szCs w:val="20"/>
              </w:rPr>
              <w:t>anonymous adults (baseline sample: 1229 adults aged 18 years and older) drawn from a U.S. consumer panel (comprising databases such as:</w:t>
            </w:r>
            <w:r w:rsidRPr="00494051">
              <w:rPr>
                <w:rFonts w:cstheme="minorHAnsi"/>
              </w:rPr>
              <w:t xml:space="preserve"> </w:t>
            </w:r>
            <w:r w:rsidRPr="00494051">
              <w:rPr>
                <w:rFonts w:cstheme="minorHAnsi"/>
                <w:i/>
                <w:iCs/>
                <w:sz w:val="20"/>
                <w:szCs w:val="20"/>
              </w:rPr>
              <w:t>public utility customers, airline, dining, and hotel program members).</w:t>
            </w:r>
          </w:p>
          <w:p w14:paraId="597F723C" w14:textId="77777777" w:rsidR="007F0AE0" w:rsidRPr="00494051" w:rsidRDefault="007F0AE0" w:rsidP="00453DE3">
            <w:pPr>
              <w:widowControl w:val="0"/>
              <w:spacing w:before="60" w:after="120"/>
              <w:contextualSpacing/>
              <w:rPr>
                <w:rFonts w:cstheme="minorHAnsi"/>
                <w:iCs/>
                <w:sz w:val="20"/>
                <w:szCs w:val="20"/>
                <w:u w:val="single"/>
              </w:rPr>
            </w:pPr>
          </w:p>
          <w:p w14:paraId="094E4E87"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C2745A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29A7920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k= 0.92 (Ever smoked cigarettes weekly [%]):</w:t>
            </w:r>
          </w:p>
          <w:p w14:paraId="1C9ABEA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k= 0.95 (Ever smoked cigarettes daily [%]):</w:t>
            </w:r>
          </w:p>
          <w:p w14:paraId="77912D3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178160D1"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220 adults (baseline sample: 1,625 adults ages 34-44, mainly white, from the U.S.)</w:t>
            </w:r>
          </w:p>
          <w:p w14:paraId="596BFBE1" w14:textId="77777777" w:rsidR="007F0AE0" w:rsidRPr="00494051" w:rsidRDefault="007F0AE0" w:rsidP="00453DE3">
            <w:pPr>
              <w:widowControl w:val="0"/>
              <w:spacing w:before="60" w:after="120"/>
              <w:contextualSpacing/>
              <w:rPr>
                <w:rFonts w:cstheme="minorHAnsi"/>
                <w:i/>
                <w:iCs/>
                <w:sz w:val="20"/>
                <w:szCs w:val="20"/>
              </w:rPr>
            </w:pPr>
          </w:p>
          <w:p w14:paraId="1EAACB4B"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&lt;EndNote&gt;&lt;Cite&gt;&lt;Author&gt;Tourangeau&lt;/Author&gt;&lt;Year&gt;2018&lt;/Year&gt;&lt;RecNum&gt;2851&lt;/RecNum&gt;&lt;DisplayText&gt;(112)&lt;/DisplayText&gt;&lt;record&gt;&lt;rec-number&gt;2851&lt;/rec-number&gt;&lt;foreign-keys&gt;&lt;key app="EN" db-id="a2vz2dfp8xrad6exes75zwpiw5rxwa0vwapv" timestamp="1556134968"&gt;2851&lt;/key&gt;&lt;/foreign-keys&gt;&lt;ref-type name="Journal Article"&gt;17&lt;/ref-type&gt;&lt;contributors&gt;&lt;authors&gt;&lt;author&gt;Tourangeau, R.&lt;/author&gt;&lt;author&gt;Yan, T.&lt;/author&gt;&lt;author&gt;Sun, H.&lt;/author&gt;&lt;author&gt;Hyland, A.&lt;/author&gt;&lt;author&gt;Stanton, C. A.&lt;/author&gt;&lt;/authors&gt;&lt;/contributors&gt;&lt;auth-address&gt;Westat, Rockville, Maryland, USA.&amp;#xD;Department of Health Behavior, Roswell Park Comprehensive Cancer Center, Buffalo, New York, USA.&amp;#xD;Department of Oncology, Georgetown University Medical Center, Washington, DC, USA.&lt;/auth-address&gt;&lt;titles&gt;&lt;title&gt;Population Assessment of Tobacco and Health (PATH) reliability and validity study: selected reliability and validity estimates&lt;/title&gt;&lt;secondary-title&gt;Tob Control&lt;/secondary-title&gt;&lt;/titles&gt;&lt;periodical&gt;&lt;full-title&gt;Tob Control&lt;/full-title&gt;&lt;/periodical&gt;&lt;keywords&gt;&lt;keyword&gt;cotinine&lt;/keyword&gt;&lt;keyword&gt;nicotine&lt;/keyword&gt;&lt;keyword&gt;non-cigarette tobacco products&lt;/keyword&gt;&lt;/keywords&gt;&lt;dates&gt;&lt;year&gt;2018&lt;/year&gt;&lt;pub-dates&gt;&lt;date&gt;Oct 8&lt;/date&gt;&lt;/pub-dates&gt;&lt;/dates&gt;&lt;isbn&gt;1468-3318 (Electronic)&amp;#xD;0964-4563 (Linking)&lt;/isbn&gt;&lt;accession-num&gt;30297373&lt;/accession-num&gt;&lt;work-type&gt;REPLACE&lt;/work-type&gt;&lt;urls&gt;&lt;related-urls&gt;&lt;url&gt;https://www.ncbi.nlm.nih.gov/pubmed/30297373&lt;/url&gt;&lt;/related-urls&gt;&lt;/urls&gt;&lt;electronic-resource-num&gt;10.1136/tobaccocontrol-2018-054561&lt;/electronic-resource-num&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12" w:tooltip="Tourangeau, 2018 #2851" w:history="1">
              <w:r>
                <w:rPr>
                  <w:rFonts w:cstheme="minorHAnsi"/>
                  <w:iCs/>
                  <w:noProof/>
                  <w:sz w:val="20"/>
                  <w:szCs w:val="20"/>
                  <w:u w:val="single"/>
                </w:rPr>
                <w:t>112</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945CCF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software (audio computer administered self-interviews with synthesized voice) and interviewers administered questions</w:t>
            </w:r>
          </w:p>
          <w:p w14:paraId="25D42B7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κ=0.94 (current use of cigarettes–adults)</w:t>
            </w:r>
          </w:p>
          <w:p w14:paraId="57936B7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κ=1.00 (current use of cigarettes–youth)</w:t>
            </w:r>
          </w:p>
          <w:p w14:paraId="4D8F614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κ=0.95 (lifetime use of cigarettes–PATH reliability and validity study [N=524 adult and youth participants] vs 2006 National Survey on Drug Use and Health reliability study [N=3129 to 3136 participants])</w:t>
            </w:r>
          </w:p>
          <w:p w14:paraId="10944DA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κ=0.94 (past year use of cigarettes–PATH reliability and validity study [N=524 adult and youth participants] vs 2006 National Survey on Drug Use and Health reliability study [N=3129 to 3136 participants])</w:t>
            </w:r>
          </w:p>
          <w:p w14:paraId="24736CC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6 to 24 days apart</w:t>
            </w:r>
          </w:p>
          <w:p w14:paraId="7B213D8C"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
                <w:iCs/>
                <w:sz w:val="20"/>
                <w:szCs w:val="20"/>
              </w:rPr>
              <w:t>407 adults and 117 youth respondents from the U.S. who completed Wave 4 (2016–2017) of the PATH Study interview twice.</w:t>
            </w:r>
          </w:p>
          <w:p w14:paraId="45431E98" w14:textId="77777777" w:rsidR="007F0AE0" w:rsidRPr="00494051" w:rsidRDefault="007F0AE0" w:rsidP="00453DE3">
            <w:pPr>
              <w:widowControl w:val="0"/>
              <w:spacing w:before="60" w:after="120"/>
              <w:contextualSpacing/>
              <w:rPr>
                <w:rFonts w:cstheme="minorHAnsi"/>
                <w:iCs/>
                <w:sz w:val="20"/>
                <w:szCs w:val="20"/>
                <w:u w:val="single"/>
              </w:rPr>
            </w:pPr>
          </w:p>
          <w:p w14:paraId="3AF97513"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00" w:tooltip="Borland, 2010 #156" w:history="1">
              <w:r>
                <w:rPr>
                  <w:rFonts w:cstheme="minorHAnsi"/>
                  <w:iCs/>
                  <w:noProof/>
                  <w:sz w:val="20"/>
                  <w:szCs w:val="20"/>
                  <w:u w:val="single"/>
                </w:rPr>
                <w:t>100</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F0D3B2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lastRenderedPageBreak/>
              <w:t>Telephone interview</w:t>
            </w:r>
          </w:p>
          <w:p w14:paraId="09A364E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Interwave reliability across two waves of smoking (self-reported </w:t>
            </w:r>
            <w:r>
              <w:rPr>
                <w:rFonts w:cstheme="minorHAnsi"/>
                <w:iCs/>
                <w:sz w:val="20"/>
                <w:szCs w:val="20"/>
              </w:rPr>
              <w:t>CPD</w:t>
            </w:r>
            <w:r w:rsidRPr="00494051">
              <w:rPr>
                <w:rFonts w:cstheme="minorHAnsi"/>
                <w:iCs/>
                <w:sz w:val="20"/>
                <w:szCs w:val="20"/>
              </w:rPr>
              <w:t>):</w:t>
            </w:r>
          </w:p>
          <w:p w14:paraId="5C62663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2 (continuous): 0.76</w:t>
            </w:r>
          </w:p>
          <w:p w14:paraId="45F8B26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2 (categorical): 0.71</w:t>
            </w:r>
          </w:p>
          <w:p w14:paraId="70E0485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2 to Wave 3 (continuous): 0.77</w:t>
            </w:r>
          </w:p>
          <w:p w14:paraId="674443A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2 to Wave 3 (categorical): 0.72</w:t>
            </w:r>
          </w:p>
          <w:p w14:paraId="40E3C52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3 to Wave 4 (continuous): 0.74</w:t>
            </w:r>
          </w:p>
          <w:p w14:paraId="7D0FCD3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3 to Wave 4 (categorical): 0.70</w:t>
            </w:r>
          </w:p>
          <w:p w14:paraId="6241E6CA" w14:textId="77777777" w:rsidR="007F0AE0" w:rsidRPr="00494051" w:rsidRDefault="007F0AE0" w:rsidP="00453DE3">
            <w:pPr>
              <w:widowControl w:val="0"/>
              <w:spacing w:before="60" w:after="120"/>
              <w:contextualSpacing/>
              <w:rPr>
                <w:rFonts w:cstheme="minorHAnsi"/>
                <w:iCs/>
                <w:sz w:val="20"/>
                <w:szCs w:val="20"/>
              </w:rPr>
            </w:pPr>
          </w:p>
          <w:p w14:paraId="153FCBC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Interwave reliability across three waves of smoking (self-reported </w:t>
            </w:r>
            <w:r>
              <w:rPr>
                <w:rFonts w:cstheme="minorHAnsi"/>
                <w:iCs/>
                <w:sz w:val="20"/>
                <w:szCs w:val="20"/>
              </w:rPr>
              <w:t>CPD</w:t>
            </w:r>
            <w:r w:rsidRPr="00494051">
              <w:rPr>
                <w:rFonts w:cstheme="minorHAnsi"/>
                <w:iCs/>
                <w:sz w:val="20"/>
                <w:szCs w:val="20"/>
              </w:rPr>
              <w:t>):</w:t>
            </w:r>
          </w:p>
          <w:p w14:paraId="4B7A009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3 (continuous): 0.72</w:t>
            </w:r>
          </w:p>
          <w:p w14:paraId="2276670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3 (categorical): 0.68</w:t>
            </w:r>
          </w:p>
          <w:p w14:paraId="335AF87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2 to Wave 4 (continuous): 0.69</w:t>
            </w:r>
          </w:p>
          <w:p w14:paraId="43F9E7C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2 to Wave 4 (categorical): 0.68</w:t>
            </w:r>
          </w:p>
          <w:p w14:paraId="653DD09A" w14:textId="77777777" w:rsidR="007F0AE0" w:rsidRPr="00494051" w:rsidRDefault="007F0AE0" w:rsidP="00453DE3">
            <w:pPr>
              <w:widowControl w:val="0"/>
              <w:spacing w:before="60" w:after="120"/>
              <w:contextualSpacing/>
              <w:rPr>
                <w:rFonts w:cstheme="minorHAnsi"/>
                <w:iCs/>
                <w:sz w:val="20"/>
                <w:szCs w:val="20"/>
                <w:u w:val="single"/>
              </w:rPr>
            </w:pPr>
          </w:p>
          <w:p w14:paraId="0F7881D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Interwave reliability across four waves of smoking (self-reported </w:t>
            </w:r>
            <w:r>
              <w:rPr>
                <w:rFonts w:cstheme="minorHAnsi"/>
                <w:iCs/>
                <w:sz w:val="20"/>
                <w:szCs w:val="20"/>
              </w:rPr>
              <w:t>CPD</w:t>
            </w:r>
            <w:r w:rsidRPr="00494051">
              <w:rPr>
                <w:rFonts w:cstheme="minorHAnsi"/>
                <w:iCs/>
                <w:sz w:val="20"/>
                <w:szCs w:val="20"/>
              </w:rPr>
              <w:t>):</w:t>
            </w:r>
          </w:p>
          <w:p w14:paraId="1D1992B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4 (continuous): 0.66</w:t>
            </w:r>
          </w:p>
          <w:p w14:paraId="791E0AC8"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Wave 1 to Wave 4 (categorical): 0.64</w:t>
            </w:r>
          </w:p>
          <w:p w14:paraId="1090A37B" w14:textId="77777777" w:rsidR="007F0AE0" w:rsidRPr="00494051" w:rsidRDefault="007F0AE0" w:rsidP="00453DE3">
            <w:pPr>
              <w:widowControl w:val="0"/>
              <w:spacing w:before="60" w:after="120"/>
              <w:contextualSpacing/>
              <w:rPr>
                <w:rFonts w:cstheme="minorHAnsi"/>
                <w:iCs/>
                <w:sz w:val="20"/>
                <w:szCs w:val="20"/>
                <w:u w:val="single"/>
              </w:rPr>
            </w:pPr>
          </w:p>
          <w:p w14:paraId="17DC4CE0"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p&lt;0.0001 for all correlations</w:t>
            </w:r>
          </w:p>
          <w:p w14:paraId="797DE0C6"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Daily smokers from Wave 1 to 4 of the International Tobacco Control cohort from the U.S., U.K., Canada, and Australia (wave 1 to 2: 5,459 participants; wave 2 to 3: 4,356 participants; wave 3 to 4: 4,376 participants; wave 1 to 3: 3,535 participants; wave 2 to 4: 3,080 participants; wave 1 to 4: 2,594 participants).</w:t>
            </w:r>
          </w:p>
          <w:p w14:paraId="6D24FCFE" w14:textId="77777777" w:rsidR="007F0AE0" w:rsidRPr="00494051" w:rsidRDefault="007F0AE0" w:rsidP="00453DE3">
            <w:pPr>
              <w:widowControl w:val="0"/>
              <w:spacing w:before="60" w:after="120"/>
              <w:contextualSpacing/>
              <w:rPr>
                <w:rFonts w:cstheme="minorHAnsi"/>
                <w:i/>
                <w:iCs/>
                <w:sz w:val="20"/>
                <w:szCs w:val="20"/>
              </w:rPr>
            </w:pPr>
          </w:p>
          <w:p w14:paraId="3F0AA039"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&lt;EndNote&gt;&lt;Cite&gt;&lt;Author&gt;Brozek&lt;/Author&gt;&lt;Year&gt;2017&lt;/Year&gt;&lt;RecNum&gt;2845&lt;/RecNum&gt;&lt;DisplayText&gt;(116)&lt;/DisplayText&gt;&lt;record&gt;&lt;rec-number&gt;2845&lt;/rec-number&gt;&lt;foreign-keys&gt;&lt;key app="EN" db-id="a2vz2dfp8xrad6exes75zwpiw5rxwa0vwapv" timestamp="1556134968"&gt;2845&lt;/key&gt;&lt;/foreign-keys&gt;&lt;ref-type name="Journal Article"&gt;17&lt;/ref-type&gt;&lt;contributors&gt;&lt;authors&gt;&lt;author&gt;Brozek, G.&lt;/author&gt;&lt;author&gt;Jankowski, M.&lt;/author&gt;&lt;author&gt;Zejda, J.&lt;/author&gt;&lt;author&gt;Jarosinska, A.&lt;/author&gt;&lt;author&gt;Idzik, A.&lt;/author&gt;&lt;author&gt;Banka, P.&lt;/author&gt;&lt;/authors&gt;&lt;/contributors&gt;&lt;auth-address&gt;gbrozek@sum.edu.pl.&lt;/auth-address&gt;&lt;titles&gt;&lt;title&gt;E-smoking among students of medicine - frequency, pattern and motivations&lt;/title&gt;&lt;secondary-title&gt;Adv Respir Med&lt;/secondary-title&gt;&lt;/titles&gt;&lt;periodical&gt;&lt;full-title&gt;Adv Respir Med&lt;/full-title&gt;&lt;/periodical&gt;&lt;pages&gt;8-14&lt;/pages&gt;&lt;volume&gt;85&lt;/volume&gt;&lt;number&gt;1&lt;/number&gt;&lt;keywords&gt;&lt;keyword&gt;Adult&lt;/keyword&gt;&lt;keyword&gt;*Attitude to Health&lt;/keyword&gt;&lt;keyword&gt;Cross-Sectional Studies&lt;/keyword&gt;&lt;keyword&gt;Electronic Nicotine Delivery Systems/*statistics &amp;amp; numerical data&lt;/keyword&gt;&lt;keyword&gt;Female&lt;/keyword&gt;&lt;keyword&gt;Health Knowledge, Attitudes, Practice&lt;/keyword&gt;&lt;keyword&gt;Humans&lt;/keyword&gt;&lt;keyword&gt;Male&lt;/keyword&gt;&lt;keyword&gt;Motivation&lt;/keyword&gt;&lt;keyword&gt;Peer Group&lt;/keyword&gt;&lt;keyword&gt;Prevalence&lt;/keyword&gt;&lt;keyword&gt;Smokers/*psychology/statistics &amp;amp; numerical data&lt;/keyword&gt;&lt;keyword&gt;Students, Medical/psychology/*statistics &amp;amp; numerical data&lt;/keyword&gt;&lt;keyword&gt;Young Adult&lt;/keyword&gt;&lt;keyword&gt;*electronic cigarettes&lt;/keyword&gt;&lt;keyword&gt;*medical students&lt;/keyword&gt;&lt;keyword&gt;*nicotine&lt;/keyword&gt;&lt;keyword&gt;*smoking&lt;/keyword&gt;&lt;keyword&gt;*tobacco products&lt;/keyword&gt;&lt;/keywords&gt;&lt;dates&gt;&lt;year&gt;2017&lt;/year&gt;&lt;/dates&gt;&lt;isbn&gt;2543-6031 (Electronic)&amp;#xD;2451-4934 (Linking)&lt;/isbn&gt;&lt;accession-num&gt;28198988&lt;/accession-num&gt;&lt;work-type&gt;REPLACE&lt;/work-type&gt;&lt;urls&gt;&lt;related-urls&gt;&lt;url&gt;https://www.ncbi.nlm.nih.gov/pubmed/28198988&lt;/url&gt;&lt;/related-urls&gt;&lt;/urls&gt;&lt;electronic-resource-num&gt;10.5603/ARM.2017.0003&lt;/electronic-resource-num&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16" w:tooltip="Brozek, 2017 #2845" w:history="1">
              <w:r>
                <w:rPr>
                  <w:rFonts w:cstheme="minorHAnsi"/>
                  <w:iCs/>
                  <w:noProof/>
                  <w:sz w:val="20"/>
                  <w:szCs w:val="20"/>
                  <w:u w:val="single"/>
                </w:rPr>
                <w:t>116</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5B17F9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35 question survey (including self-reported </w:t>
            </w:r>
            <w:r>
              <w:rPr>
                <w:rFonts w:cstheme="minorHAnsi"/>
                <w:iCs/>
                <w:sz w:val="20"/>
                <w:szCs w:val="20"/>
              </w:rPr>
              <w:t>CPD</w:t>
            </w:r>
            <w:r w:rsidRPr="00494051">
              <w:rPr>
                <w:rFonts w:cstheme="minorHAnsi"/>
                <w:iCs/>
                <w:sz w:val="20"/>
                <w:szCs w:val="20"/>
              </w:rPr>
              <w:t>):</w:t>
            </w:r>
          </w:p>
          <w:p w14:paraId="5579091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Reliability of study questionnaire: </w:t>
            </w:r>
          </w:p>
          <w:p w14:paraId="1F5DAE0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α=0.72 to 0.92 (depending on the question)</w:t>
            </w:r>
          </w:p>
          <w:p w14:paraId="67E984F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κ=0.62 to 0.95 (depending on the question)</w:t>
            </w:r>
          </w:p>
          <w:p w14:paraId="049E52A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lastRenderedPageBreak/>
              <w:t>Test-retest interval: 2 days</w:t>
            </w:r>
          </w:p>
          <w:p w14:paraId="48D53ACA"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54 medical students (Medical University of Silesia in Poland) validating the questionnaire.</w:t>
            </w:r>
          </w:p>
          <w:p w14:paraId="373D2FB9" w14:textId="77777777" w:rsidR="007F0AE0" w:rsidRPr="00494051" w:rsidRDefault="007F0AE0" w:rsidP="00453DE3">
            <w:pPr>
              <w:widowControl w:val="0"/>
              <w:spacing w:before="60" w:after="120"/>
              <w:contextualSpacing/>
              <w:rPr>
                <w:rFonts w:cstheme="minorHAnsi"/>
                <w:i/>
                <w:iCs/>
                <w:sz w:val="20"/>
                <w:szCs w:val="20"/>
              </w:rPr>
            </w:pPr>
          </w:p>
          <w:p w14:paraId="415CABF7"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B3E01D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34D875A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Current smoking phase (</w:t>
            </w:r>
            <w:r>
              <w:rPr>
                <w:rFonts w:cstheme="minorHAnsi"/>
                <w:iCs/>
                <w:sz w:val="20"/>
                <w:szCs w:val="20"/>
              </w:rPr>
              <w:t>CPD</w:t>
            </w:r>
            <w:r w:rsidRPr="00494051">
              <w:rPr>
                <w:rFonts w:cstheme="minorHAnsi"/>
                <w:iCs/>
                <w:sz w:val="20"/>
                <w:szCs w:val="20"/>
              </w:rPr>
              <w:t>); N= 55 participants:</w:t>
            </w:r>
          </w:p>
          <w:p w14:paraId="6F2699DA"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w:t>
            </w:r>
            <w:r w:rsidRPr="00494051">
              <w:rPr>
                <w:rFonts w:cstheme="minorHAnsi"/>
                <w:iCs/>
                <w:sz w:val="20"/>
                <w:szCs w:val="20"/>
              </w:rPr>
              <w:t>=0.76; p&lt;0.0001</w:t>
            </w:r>
          </w:p>
          <w:p w14:paraId="36E928A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0.77</w:t>
            </w:r>
          </w:p>
          <w:p w14:paraId="29C923E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First daily smoking phase (</w:t>
            </w:r>
            <w:r>
              <w:rPr>
                <w:rFonts w:cstheme="minorHAnsi"/>
                <w:iCs/>
                <w:sz w:val="20"/>
                <w:szCs w:val="20"/>
              </w:rPr>
              <w:t>CPD</w:t>
            </w:r>
            <w:r w:rsidRPr="00494051">
              <w:rPr>
                <w:rFonts w:cstheme="minorHAnsi"/>
                <w:iCs/>
                <w:sz w:val="20"/>
                <w:szCs w:val="20"/>
              </w:rPr>
              <w:t>); N= 121 participants:</w:t>
            </w:r>
          </w:p>
          <w:p w14:paraId="24720B5D"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w:t>
            </w:r>
            <w:r w:rsidRPr="00494051">
              <w:rPr>
                <w:rFonts w:cstheme="minorHAnsi"/>
                <w:iCs/>
                <w:sz w:val="20"/>
                <w:szCs w:val="20"/>
              </w:rPr>
              <w:t>=0.54; p&lt;0.0001</w:t>
            </w:r>
          </w:p>
          <w:p w14:paraId="462AB11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0.54</w:t>
            </w:r>
          </w:p>
          <w:p w14:paraId="6ED8DC6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Heaviest smoking phase (</w:t>
            </w:r>
            <w:r>
              <w:rPr>
                <w:rFonts w:cstheme="minorHAnsi"/>
                <w:iCs/>
                <w:sz w:val="20"/>
                <w:szCs w:val="20"/>
              </w:rPr>
              <w:t>CPD</w:t>
            </w:r>
            <w:r w:rsidRPr="00494051">
              <w:rPr>
                <w:rFonts w:cstheme="minorHAnsi"/>
                <w:iCs/>
                <w:sz w:val="20"/>
                <w:szCs w:val="20"/>
              </w:rPr>
              <w:t>); N= 103 participants:</w:t>
            </w:r>
          </w:p>
          <w:p w14:paraId="108C50D5"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w:t>
            </w:r>
            <w:r w:rsidRPr="00494051">
              <w:rPr>
                <w:rFonts w:cstheme="minorHAnsi"/>
                <w:iCs/>
                <w:sz w:val="20"/>
                <w:szCs w:val="20"/>
              </w:rPr>
              <w:t>=0.73; p&lt;0.0001</w:t>
            </w:r>
          </w:p>
          <w:p w14:paraId="7205C72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0.72</w:t>
            </w:r>
          </w:p>
          <w:p w14:paraId="62B52F5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Most recent smoking phase of former smokers (</w:t>
            </w:r>
            <w:r>
              <w:rPr>
                <w:rFonts w:cstheme="minorHAnsi"/>
                <w:iCs/>
                <w:sz w:val="20"/>
                <w:szCs w:val="20"/>
              </w:rPr>
              <w:t>CPD</w:t>
            </w:r>
            <w:r w:rsidRPr="00494051">
              <w:rPr>
                <w:rFonts w:cstheme="minorHAnsi"/>
                <w:iCs/>
                <w:sz w:val="20"/>
                <w:szCs w:val="20"/>
              </w:rPr>
              <w:t>); N= 50 participants:</w:t>
            </w:r>
          </w:p>
          <w:p w14:paraId="5BE58A8C"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R</w:t>
            </w:r>
            <w:r w:rsidRPr="00494051">
              <w:rPr>
                <w:rFonts w:cstheme="minorHAnsi"/>
                <w:iCs/>
                <w:sz w:val="20"/>
                <w:szCs w:val="20"/>
              </w:rPr>
              <w:t>=0.71; p&lt;0.0001</w:t>
            </w:r>
          </w:p>
          <w:p w14:paraId="1000FF5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 0.65</w:t>
            </w:r>
          </w:p>
          <w:p w14:paraId="114F93D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34E6F7D8"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Baseline sample: 1,625 adults ages 34-44, mainly white, from the U.S.</w:t>
            </w:r>
          </w:p>
          <w:p w14:paraId="1BBEEC6B" w14:textId="77777777" w:rsidR="007F0AE0" w:rsidRPr="00494051" w:rsidRDefault="007F0AE0" w:rsidP="00453DE3">
            <w:pPr>
              <w:widowControl w:val="0"/>
              <w:spacing w:before="60" w:after="120"/>
              <w:contextualSpacing/>
              <w:rPr>
                <w:rFonts w:cstheme="minorHAnsi"/>
                <w:iCs/>
                <w:sz w:val="20"/>
                <w:szCs w:val="20"/>
              </w:rPr>
            </w:pPr>
          </w:p>
          <w:p w14:paraId="06807B46"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PEVuZE5vdGU+PENpdGU+PEF1dGhvcj5HcmFudDwvQXV0aG9yPjxZZWFyPjIwMDM8L1llYXI+PFJl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=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PEVuZE5vdGU+PENpdGU+PEF1dGhvcj5HcmFudDwvQXV0aG9yPjxZZWFyPjIwMDM8L1llYXI+PFJl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=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7" w:tooltip="Grant, 2003 #133" w:history="1">
              <w:r>
                <w:rPr>
                  <w:rFonts w:cstheme="minorHAnsi"/>
                  <w:iCs/>
                  <w:noProof/>
                  <w:sz w:val="20"/>
                  <w:szCs w:val="20"/>
                  <w:u w:val="single"/>
                </w:rPr>
                <w:t>117</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A05DAF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In-person interview </w:t>
            </w:r>
          </w:p>
          <w:p w14:paraId="1DADE17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0.83</w:t>
            </w:r>
            <w:r w:rsidRPr="00494051">
              <w:rPr>
                <w:rFonts w:cstheme="minorHAnsi"/>
              </w:rPr>
              <w:t xml:space="preserve"> </w:t>
            </w:r>
            <w:r w:rsidRPr="00494051">
              <w:rPr>
                <w:rFonts w:cstheme="minorHAnsi"/>
                <w:iCs/>
                <w:sz w:val="20"/>
                <w:szCs w:val="20"/>
              </w:rPr>
              <w:t>(self-reported number of tobacco products smoked/day in past</w:t>
            </w:r>
          </w:p>
          <w:p w14:paraId="32B0553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year/most recent year)</w:t>
            </w:r>
          </w:p>
          <w:p w14:paraId="31C32DC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0.74</w:t>
            </w:r>
            <w:r w:rsidRPr="00494051">
              <w:rPr>
                <w:rFonts w:cstheme="minorHAnsi"/>
              </w:rPr>
              <w:t xml:space="preserve"> </w:t>
            </w:r>
            <w:r w:rsidRPr="00494051">
              <w:rPr>
                <w:rFonts w:cstheme="minorHAnsi"/>
                <w:iCs/>
                <w:sz w:val="20"/>
                <w:szCs w:val="20"/>
              </w:rPr>
              <w:t>(self-reported number of tobacco products smoked/day when smoking daily)</w:t>
            </w:r>
          </w:p>
          <w:p w14:paraId="27BEECC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ranged from 3 to 20 weeks</w:t>
            </w:r>
          </w:p>
          <w:p w14:paraId="628D5EF6"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In the U.S., 347 people from the general population (target: non-institutionalized household population) 18 years and older.</w:t>
            </w:r>
          </w:p>
          <w:p w14:paraId="6480DBB5" w14:textId="77777777" w:rsidR="007F0AE0" w:rsidRPr="00494051" w:rsidRDefault="007F0AE0" w:rsidP="00453DE3">
            <w:pPr>
              <w:widowControl w:val="0"/>
              <w:spacing w:before="60" w:after="120"/>
              <w:contextualSpacing/>
              <w:rPr>
                <w:rFonts w:cstheme="minorHAnsi"/>
                <w:i/>
                <w:iCs/>
                <w:sz w:val="20"/>
                <w:szCs w:val="20"/>
              </w:rPr>
            </w:pPr>
          </w:p>
          <w:p w14:paraId="3E798E83"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lastRenderedPageBreak/>
              <w:fldChar w:fldCharType="begin"/>
            </w:r>
            <w:r>
              <w:rPr>
                <w:rFonts w:cstheme="minorHAnsi"/>
                <w:iCs/>
                <w:sz w:val="20"/>
                <w:szCs w:val="20"/>
                <w:u w:val="single"/>
              </w:rPr>
              <w:instrText xml:space="preserve"> ADDIN EN.CITE &lt;EndNote&gt;&lt;Cite&gt;&lt;Author&gt;Rahman&lt;/Author&gt;&lt;Year&gt;2016&lt;/Year&gt;&lt;RecNum&gt;2849&lt;/RecNum&gt;&lt;DisplayText&gt;(105)&lt;/DisplayText&gt;&lt;record&gt;&lt;rec-number&gt;2849&lt;/rec-number&gt;&lt;foreign-keys&gt;&lt;key app="EN" db-id="a2vz2dfp8xrad6exes75zwpiw5rxwa0vwapv" timestamp="1556134968"&gt;2849&lt;/key&gt;&lt;/foreign-keys&gt;&lt;ref-type name="Journal Article"&gt;17&lt;/ref-type&gt;&lt;contributors&gt;&lt;authors&gt;&lt;author&gt;Rahman, A.&lt;/author&gt;&lt;author&gt;Mohamad, M. H. N.&lt;/author&gt;&lt;author&gt;Jamshed, S. &lt;/author&gt;&lt;/authors&gt;&lt;/contributors&gt;&lt;titles&gt;&lt;title&gt;Evaluating effectiveness and safety toward electronic cigarette among Malaysian vapers: One-month observational study&lt;/title&gt;&lt;secondary-title&gt;Arch Pharma Pract&lt;/secondary-title&gt;&lt;/titles&gt;&lt;periodical&gt;&lt;full-title&gt;Arch Pharma Pract&lt;/full-title&gt;&lt;/periodical&gt;&lt;pages&gt;43&lt;/pages&gt;&lt;volume&gt;7&lt;/volume&gt;&lt;dates&gt;&lt;year&gt;2016&lt;/year&gt;&lt;/dates&gt;&lt;work-type&gt;REPLACE&lt;/work-type&gt;&lt;urls&gt;&lt;/urls&gt;&lt;/record&gt;&lt;/Cite&gt;&lt;/EndNote&gt;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5" w:tooltip="Rahman, 2016 #2849" w:history="1">
              <w:r>
                <w:rPr>
                  <w:rFonts w:cstheme="minorHAnsi"/>
                  <w:iCs/>
                  <w:noProof/>
                  <w:sz w:val="20"/>
                  <w:szCs w:val="20"/>
                  <w:u w:val="single"/>
                </w:rPr>
                <w:t>105</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585D16AC" w14:textId="77777777" w:rsidR="007F0AE0" w:rsidRPr="00494051" w:rsidRDefault="007F0AE0" w:rsidP="00453DE3">
            <w:pPr>
              <w:widowControl w:val="0"/>
              <w:spacing w:before="60" w:after="120"/>
              <w:contextualSpacing/>
              <w:rPr>
                <w:rFonts w:cstheme="minorHAnsi"/>
                <w:iCs/>
                <w:sz w:val="20"/>
                <w:szCs w:val="20"/>
                <w:u w:val="single"/>
              </w:rPr>
            </w:pPr>
            <w:r w:rsidRPr="00494051">
              <w:rPr>
                <w:rFonts w:cstheme="minorHAnsi"/>
                <w:iCs/>
                <w:sz w:val="20"/>
                <w:szCs w:val="20"/>
              </w:rPr>
              <w:t>In-person interview</w:t>
            </w:r>
          </w:p>
          <w:p w14:paraId="063BB19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Internal reliability of study questionnaire (including self-reported </w:t>
            </w:r>
            <w:r>
              <w:rPr>
                <w:rFonts w:cstheme="minorHAnsi"/>
                <w:iCs/>
                <w:sz w:val="20"/>
                <w:szCs w:val="20"/>
              </w:rPr>
              <w:t>CPD</w:t>
            </w:r>
            <w:r w:rsidRPr="00494051">
              <w:rPr>
                <w:rFonts w:cstheme="minorHAnsi"/>
                <w:iCs/>
                <w:sz w:val="20"/>
                <w:szCs w:val="20"/>
              </w:rPr>
              <w:t>):</w:t>
            </w:r>
          </w:p>
          <w:p w14:paraId="3B18669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α=0.72</w:t>
            </w:r>
          </w:p>
          <w:p w14:paraId="322470F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sidRPr="00494051">
              <w:rPr>
                <w:rFonts w:cstheme="minorHAnsi"/>
                <w:iCs/>
                <w:sz w:val="20"/>
                <w:szCs w:val="20"/>
              </w:rPr>
              <w:t>=0.730, p&lt;0.05 (at 2-week retest)</w:t>
            </w:r>
          </w:p>
          <w:p w14:paraId="3B0DAF55" w14:textId="77777777" w:rsidR="007F0AE0" w:rsidRPr="00494051" w:rsidRDefault="007F0AE0" w:rsidP="00453DE3">
            <w:pPr>
              <w:widowControl w:val="0"/>
              <w:spacing w:before="60" w:after="120"/>
              <w:contextualSpacing/>
              <w:rPr>
                <w:rFonts w:cstheme="minorHAnsi"/>
                <w:iCs/>
                <w:sz w:val="20"/>
                <w:szCs w:val="20"/>
              </w:rPr>
            </w:pPr>
            <w:r>
              <w:rPr>
                <w:rFonts w:cstheme="minorHAnsi"/>
                <w:iCs/>
                <w:sz w:val="20"/>
                <w:szCs w:val="20"/>
              </w:rPr>
              <w:t>T</w:t>
            </w:r>
            <w:r w:rsidRPr="00494051">
              <w:rPr>
                <w:rFonts w:cstheme="minorHAnsi"/>
                <w:iCs/>
                <w:sz w:val="20"/>
                <w:szCs w:val="20"/>
              </w:rPr>
              <w:t>est</w:t>
            </w:r>
            <w:r w:rsidRPr="00494051">
              <w:rPr>
                <w:rFonts w:ascii="Cambria Math" w:hAnsi="Cambria Math" w:cs="Cambria Math"/>
                <w:iCs/>
                <w:sz w:val="20"/>
                <w:szCs w:val="20"/>
              </w:rPr>
              <w:t>‑</w:t>
            </w:r>
            <w:r w:rsidRPr="00494051">
              <w:rPr>
                <w:rFonts w:cstheme="minorHAnsi"/>
                <w:iCs/>
                <w:sz w:val="20"/>
                <w:szCs w:val="20"/>
              </w:rPr>
              <w:t>retest interval: 2 weeks</w:t>
            </w:r>
          </w:p>
          <w:p w14:paraId="170C2B4B"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30 Malaysian e</w:t>
            </w:r>
            <w:r w:rsidRPr="00494051">
              <w:rPr>
                <w:rFonts w:ascii="Cambria Math" w:hAnsi="Cambria Math" w:cs="Cambria Math"/>
                <w:i/>
                <w:iCs/>
                <w:sz w:val="20"/>
                <w:szCs w:val="20"/>
              </w:rPr>
              <w:t>‑</w:t>
            </w:r>
            <w:r w:rsidRPr="00494051">
              <w:rPr>
                <w:rFonts w:cstheme="minorHAnsi"/>
                <w:i/>
                <w:iCs/>
                <w:sz w:val="20"/>
                <w:szCs w:val="20"/>
              </w:rPr>
              <w:t>cigarette users; 20 e-cigarette users at retest (baseline population: 218 e</w:t>
            </w:r>
            <w:r w:rsidRPr="00494051">
              <w:rPr>
                <w:rFonts w:ascii="Cambria Math" w:hAnsi="Cambria Math" w:cs="Cambria Math"/>
                <w:i/>
                <w:iCs/>
                <w:sz w:val="20"/>
                <w:szCs w:val="20"/>
              </w:rPr>
              <w:t>‑</w:t>
            </w:r>
            <w:r w:rsidRPr="00494051">
              <w:rPr>
                <w:rFonts w:cstheme="minorHAnsi"/>
                <w:i/>
                <w:iCs/>
                <w:sz w:val="20"/>
                <w:szCs w:val="20"/>
              </w:rPr>
              <w:t>cigarette users aged &gt;18 to 65 years and mostly male [98.2%]).</w:t>
            </w:r>
          </w:p>
          <w:p w14:paraId="48E5A6CD" w14:textId="77777777" w:rsidR="007F0AE0" w:rsidRPr="00494051" w:rsidRDefault="007F0AE0" w:rsidP="00453DE3">
            <w:pPr>
              <w:widowControl w:val="0"/>
              <w:spacing w:before="60" w:after="120"/>
              <w:contextualSpacing/>
              <w:rPr>
                <w:rFonts w:cstheme="minorHAnsi"/>
                <w:i/>
                <w:iCs/>
                <w:sz w:val="20"/>
                <w:szCs w:val="20"/>
              </w:rPr>
            </w:pPr>
          </w:p>
          <w:p w14:paraId="2D3CD60C"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PEVuZE5vdGU+PENpdGU+PEF1dGhvcj5SYW1vPC9BdXRob3I+PFllYXI+MjAxMTwvWWVhcj48UmVj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PEVuZE5vdGU+PENpdGU+PEF1dGhvcj5SYW1vPC9BdXRob3I+PFllYXI+MjAxMTwvWWVhcj48UmVj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8" w:tooltip="Ramo, 2011 #182" w:history="1">
              <w:r>
                <w:rPr>
                  <w:rFonts w:cstheme="minorHAnsi"/>
                  <w:iCs/>
                  <w:noProof/>
                  <w:sz w:val="20"/>
                  <w:szCs w:val="20"/>
                  <w:u w:val="single"/>
                </w:rPr>
                <w:t>118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1EC607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Cross-sectional anonymous online survey </w:t>
            </w:r>
          </w:p>
          <w:p w14:paraId="343D10A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Internal-consistency reliability of self-reported smoking frequency: correlations between two different question formats (Smoking Questionnaire vs Timeline Followback method):</w:t>
            </w:r>
          </w:p>
          <w:p w14:paraId="25B5316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“How many cigarettes did you smoke in the past 24 hours?” vs Average number of cigarettes smoked between today and yesterday:</w:t>
            </w:r>
            <w:r w:rsidRPr="00494051">
              <w:rPr>
                <w:rFonts w:cstheme="minorHAnsi"/>
                <w:i/>
                <w:iCs/>
                <w:sz w:val="20"/>
                <w:szCs w:val="20"/>
              </w:rPr>
              <w:t xml:space="preserve"> r</w:t>
            </w:r>
            <w:r w:rsidRPr="00494051">
              <w:rPr>
                <w:rFonts w:cstheme="minorHAnsi"/>
                <w:iCs/>
                <w:sz w:val="20"/>
                <w:szCs w:val="20"/>
              </w:rPr>
              <w:t>=0.83; p&lt;0.01</w:t>
            </w:r>
          </w:p>
          <w:p w14:paraId="33345E7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7 days?” vs Average number of cigarettes smoked between today and yesterday: </w:t>
            </w:r>
            <w:r w:rsidRPr="00494051">
              <w:rPr>
                <w:rFonts w:cstheme="minorHAnsi"/>
                <w:i/>
                <w:iCs/>
                <w:sz w:val="20"/>
                <w:szCs w:val="20"/>
              </w:rPr>
              <w:t>r</w:t>
            </w:r>
            <w:r w:rsidRPr="00494051">
              <w:rPr>
                <w:rFonts w:cstheme="minorHAnsi"/>
                <w:iCs/>
                <w:sz w:val="20"/>
                <w:szCs w:val="20"/>
              </w:rPr>
              <w:t>=0.82; p&lt;0.01</w:t>
            </w:r>
          </w:p>
          <w:p w14:paraId="7B1890E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“What is the usual number of cigarettes you smoke in a day?” vs Average number of cigarettes smoked between today and yesterday: </w:t>
            </w:r>
            <w:r w:rsidRPr="00494051">
              <w:rPr>
                <w:rFonts w:cstheme="minorHAnsi"/>
                <w:i/>
                <w:iCs/>
                <w:sz w:val="20"/>
                <w:szCs w:val="20"/>
              </w:rPr>
              <w:t>r</w:t>
            </w:r>
            <w:r w:rsidRPr="00494051">
              <w:rPr>
                <w:rFonts w:cstheme="minorHAnsi"/>
                <w:iCs/>
                <w:sz w:val="20"/>
                <w:szCs w:val="20"/>
              </w:rPr>
              <w:t>=0.85; p&lt;0.01</w:t>
            </w:r>
          </w:p>
          <w:p w14:paraId="787B1AE5" w14:textId="77777777" w:rsidR="007F0AE0"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“On average, how many days in a week do you smoke cigarettes (0–7)?” vs Average number of cigarettes smoked between today and yesterday: </w:t>
            </w:r>
            <w:r w:rsidRPr="00494051">
              <w:rPr>
                <w:rFonts w:cstheme="minorHAnsi"/>
                <w:i/>
                <w:iCs/>
                <w:sz w:val="20"/>
                <w:szCs w:val="20"/>
              </w:rPr>
              <w:t>r</w:t>
            </w:r>
            <w:r w:rsidRPr="00494051">
              <w:rPr>
                <w:rFonts w:cstheme="minorHAnsi"/>
                <w:iCs/>
                <w:sz w:val="20"/>
                <w:szCs w:val="20"/>
              </w:rPr>
              <w:t>=0.47; p&lt;0.01</w:t>
            </w:r>
          </w:p>
          <w:p w14:paraId="25C3B981" w14:textId="77777777" w:rsidR="007F0AE0" w:rsidRPr="00494051" w:rsidRDefault="007F0AE0" w:rsidP="00453DE3">
            <w:pPr>
              <w:widowControl w:val="0"/>
              <w:spacing w:before="60" w:after="120"/>
              <w:contextualSpacing/>
              <w:rPr>
                <w:rFonts w:cstheme="minorHAnsi"/>
                <w:iCs/>
                <w:sz w:val="20"/>
                <w:szCs w:val="20"/>
              </w:rPr>
            </w:pPr>
          </w:p>
          <w:p w14:paraId="60B05C8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24 hours?” vs Number of cigarettes smoked in past 7 days: </w:t>
            </w:r>
            <w:r w:rsidRPr="00494051">
              <w:rPr>
                <w:rFonts w:cstheme="minorHAnsi"/>
                <w:i/>
                <w:iCs/>
                <w:sz w:val="20"/>
                <w:szCs w:val="20"/>
              </w:rPr>
              <w:t>r</w:t>
            </w:r>
            <w:r w:rsidRPr="00494051">
              <w:rPr>
                <w:rFonts w:cstheme="minorHAnsi"/>
                <w:iCs/>
                <w:sz w:val="20"/>
                <w:szCs w:val="20"/>
              </w:rPr>
              <w:t>=0.83; p&lt;0.01</w:t>
            </w:r>
          </w:p>
          <w:p w14:paraId="68D9CE7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7 days?” vs Number of cigarettes smoked in past 7 days: </w:t>
            </w:r>
            <w:r w:rsidRPr="00494051">
              <w:rPr>
                <w:rFonts w:cstheme="minorHAnsi"/>
                <w:i/>
                <w:iCs/>
                <w:sz w:val="20"/>
                <w:szCs w:val="20"/>
              </w:rPr>
              <w:t>r</w:t>
            </w:r>
            <w:r w:rsidRPr="00494051">
              <w:rPr>
                <w:rFonts w:cstheme="minorHAnsi"/>
                <w:iCs/>
                <w:sz w:val="20"/>
                <w:szCs w:val="20"/>
              </w:rPr>
              <w:t>=0.86; p&lt;0.01</w:t>
            </w:r>
          </w:p>
          <w:p w14:paraId="06D303B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“What is the usual number of cigarettes you smoke in a day?” </w:t>
            </w:r>
            <w:r w:rsidRPr="00494051">
              <w:rPr>
                <w:rFonts w:cstheme="minorHAnsi"/>
                <w:iCs/>
                <w:sz w:val="20"/>
                <w:szCs w:val="20"/>
              </w:rPr>
              <w:lastRenderedPageBreak/>
              <w:t xml:space="preserve">vs Number of cigarettes smoked in past 7 days: </w:t>
            </w:r>
            <w:r w:rsidRPr="00494051">
              <w:rPr>
                <w:rFonts w:cstheme="minorHAnsi"/>
                <w:i/>
                <w:iCs/>
                <w:sz w:val="20"/>
                <w:szCs w:val="20"/>
              </w:rPr>
              <w:t>r</w:t>
            </w:r>
            <w:r w:rsidRPr="00494051">
              <w:rPr>
                <w:rFonts w:cstheme="minorHAnsi"/>
                <w:iCs/>
                <w:sz w:val="20"/>
                <w:szCs w:val="20"/>
              </w:rPr>
              <w:t>=0.89; p&lt;0.01</w:t>
            </w:r>
          </w:p>
          <w:p w14:paraId="6841BAA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“On average, how many days in a week do you smoke cigarettes (0–7)?” vs Number of cigarettes smoked in past 7 days: </w:t>
            </w:r>
            <w:r w:rsidRPr="00494051">
              <w:rPr>
                <w:rFonts w:cstheme="minorHAnsi"/>
                <w:i/>
                <w:iCs/>
                <w:sz w:val="20"/>
                <w:szCs w:val="20"/>
              </w:rPr>
              <w:t>r</w:t>
            </w:r>
            <w:r w:rsidRPr="00494051">
              <w:rPr>
                <w:rFonts w:cstheme="minorHAnsi"/>
                <w:iCs/>
                <w:sz w:val="20"/>
                <w:szCs w:val="20"/>
              </w:rPr>
              <w:t>=0.49; p&lt;0.01</w:t>
            </w:r>
          </w:p>
          <w:p w14:paraId="3CA25D3A" w14:textId="77777777" w:rsidR="007F0AE0" w:rsidRPr="00494051" w:rsidRDefault="007F0AE0" w:rsidP="00453DE3">
            <w:pPr>
              <w:widowControl w:val="0"/>
              <w:spacing w:before="60" w:after="120"/>
              <w:contextualSpacing/>
              <w:rPr>
                <w:rFonts w:cstheme="minorHAnsi"/>
                <w:iCs/>
                <w:sz w:val="20"/>
                <w:szCs w:val="20"/>
              </w:rPr>
            </w:pPr>
          </w:p>
          <w:p w14:paraId="3BDF5BA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24 hours?” vs Average number of </w:t>
            </w:r>
            <w:r>
              <w:rPr>
                <w:rFonts w:cstheme="minorHAnsi"/>
                <w:iCs/>
                <w:sz w:val="20"/>
                <w:szCs w:val="20"/>
              </w:rPr>
              <w:t>CPD</w:t>
            </w:r>
            <w:r w:rsidRPr="00494051">
              <w:rPr>
                <w:rFonts w:cstheme="minorHAnsi"/>
                <w:iCs/>
                <w:sz w:val="20"/>
                <w:szCs w:val="20"/>
              </w:rPr>
              <w:t xml:space="preserve">: </w:t>
            </w:r>
            <w:r w:rsidRPr="00494051">
              <w:rPr>
                <w:rFonts w:cstheme="minorHAnsi"/>
                <w:i/>
                <w:iCs/>
                <w:sz w:val="20"/>
                <w:szCs w:val="20"/>
              </w:rPr>
              <w:t>r</w:t>
            </w:r>
            <w:r w:rsidRPr="00494051">
              <w:rPr>
                <w:rFonts w:cstheme="minorHAnsi"/>
                <w:iCs/>
                <w:sz w:val="20"/>
                <w:szCs w:val="20"/>
              </w:rPr>
              <w:t>=0.82; p&lt;0.01</w:t>
            </w:r>
          </w:p>
          <w:p w14:paraId="02CAF60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7 days?” vs Average number of </w:t>
            </w:r>
            <w:r>
              <w:rPr>
                <w:rFonts w:cstheme="minorHAnsi"/>
                <w:iCs/>
                <w:sz w:val="20"/>
                <w:szCs w:val="20"/>
              </w:rPr>
              <w:t>CPD</w:t>
            </w:r>
            <w:r w:rsidRPr="00494051">
              <w:rPr>
                <w:rFonts w:cstheme="minorHAnsi"/>
                <w:iCs/>
                <w:sz w:val="20"/>
                <w:szCs w:val="20"/>
              </w:rPr>
              <w:t xml:space="preserve">: </w:t>
            </w:r>
            <w:r w:rsidRPr="00494051">
              <w:rPr>
                <w:rFonts w:cstheme="minorHAnsi"/>
                <w:i/>
                <w:iCs/>
                <w:sz w:val="20"/>
                <w:szCs w:val="20"/>
              </w:rPr>
              <w:t>r</w:t>
            </w:r>
            <w:r w:rsidRPr="00494051">
              <w:rPr>
                <w:rFonts w:cstheme="minorHAnsi"/>
                <w:iCs/>
                <w:sz w:val="20"/>
                <w:szCs w:val="20"/>
              </w:rPr>
              <w:t>=0.87; p&lt;0.01</w:t>
            </w:r>
          </w:p>
          <w:p w14:paraId="3F4C0E8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“What is the usual number of cigarettes you smoke in a day?” vs Average number of </w:t>
            </w:r>
            <w:r>
              <w:rPr>
                <w:rFonts w:cstheme="minorHAnsi"/>
                <w:iCs/>
                <w:sz w:val="20"/>
                <w:szCs w:val="20"/>
              </w:rPr>
              <w:t>CPD</w:t>
            </w:r>
            <w:r w:rsidRPr="00494051">
              <w:rPr>
                <w:rFonts w:cstheme="minorHAnsi"/>
                <w:iCs/>
                <w:sz w:val="20"/>
                <w:szCs w:val="20"/>
              </w:rPr>
              <w:t xml:space="preserve">: </w:t>
            </w:r>
            <w:r w:rsidRPr="00494051">
              <w:rPr>
                <w:rFonts w:cstheme="minorHAnsi"/>
                <w:i/>
                <w:iCs/>
                <w:sz w:val="20"/>
                <w:szCs w:val="20"/>
              </w:rPr>
              <w:t>r</w:t>
            </w:r>
            <w:r w:rsidRPr="00494051">
              <w:rPr>
                <w:rFonts w:cstheme="minorHAnsi"/>
                <w:iCs/>
                <w:sz w:val="20"/>
                <w:szCs w:val="20"/>
              </w:rPr>
              <w:t>=0.90; p&lt;0.01</w:t>
            </w:r>
          </w:p>
          <w:p w14:paraId="63D72C0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“On average, how many days in a week do you smoke cigarettes (0–7)?” vs Average number of </w:t>
            </w:r>
            <w:r>
              <w:rPr>
                <w:rFonts w:cstheme="minorHAnsi"/>
                <w:iCs/>
                <w:sz w:val="20"/>
                <w:szCs w:val="20"/>
              </w:rPr>
              <w:t>CPD</w:t>
            </w:r>
            <w:r w:rsidRPr="00494051">
              <w:rPr>
                <w:rFonts w:cstheme="minorHAnsi"/>
                <w:iCs/>
                <w:sz w:val="20"/>
                <w:szCs w:val="20"/>
              </w:rPr>
              <w:t xml:space="preserve">: </w:t>
            </w:r>
            <w:r w:rsidRPr="00494051">
              <w:rPr>
                <w:rFonts w:cstheme="minorHAnsi"/>
                <w:i/>
                <w:iCs/>
                <w:sz w:val="20"/>
                <w:szCs w:val="20"/>
              </w:rPr>
              <w:t>r</w:t>
            </w:r>
            <w:r w:rsidRPr="00494051">
              <w:rPr>
                <w:rFonts w:cstheme="minorHAnsi"/>
                <w:iCs/>
                <w:sz w:val="20"/>
                <w:szCs w:val="20"/>
              </w:rPr>
              <w:t>=0.50; p&lt;0.01</w:t>
            </w:r>
          </w:p>
          <w:p w14:paraId="50C14CEE" w14:textId="77777777" w:rsidR="007F0AE0" w:rsidRPr="00494051" w:rsidRDefault="007F0AE0" w:rsidP="00453DE3">
            <w:pPr>
              <w:widowControl w:val="0"/>
              <w:spacing w:before="60" w:after="120"/>
              <w:contextualSpacing/>
              <w:rPr>
                <w:rFonts w:cstheme="minorHAnsi"/>
                <w:iCs/>
                <w:sz w:val="20"/>
                <w:szCs w:val="20"/>
              </w:rPr>
            </w:pPr>
          </w:p>
          <w:p w14:paraId="22B1236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24 hours?” vs Average number of smoking days per week: </w:t>
            </w:r>
            <w:r w:rsidRPr="00494051">
              <w:rPr>
                <w:rFonts w:cstheme="minorHAnsi"/>
                <w:i/>
                <w:iCs/>
                <w:sz w:val="20"/>
                <w:szCs w:val="20"/>
              </w:rPr>
              <w:t>r</w:t>
            </w:r>
            <w:r w:rsidRPr="00494051">
              <w:rPr>
                <w:rFonts w:cstheme="minorHAnsi"/>
                <w:iCs/>
                <w:sz w:val="20"/>
                <w:szCs w:val="20"/>
              </w:rPr>
              <w:t>=0.51; p&lt;0.01</w:t>
            </w:r>
          </w:p>
          <w:p w14:paraId="00A6D659"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“How many cigarettes did you smoke in the past 7 days?” vs Average number of smoking days per week: </w:t>
            </w:r>
            <w:r w:rsidRPr="00494051">
              <w:rPr>
                <w:rFonts w:cstheme="minorHAnsi"/>
                <w:i/>
                <w:iCs/>
                <w:sz w:val="20"/>
                <w:szCs w:val="20"/>
              </w:rPr>
              <w:t>r</w:t>
            </w:r>
            <w:r w:rsidRPr="00494051">
              <w:rPr>
                <w:rFonts w:cstheme="minorHAnsi"/>
                <w:iCs/>
                <w:sz w:val="20"/>
                <w:szCs w:val="20"/>
              </w:rPr>
              <w:t>=0.49; p&lt;0.01</w:t>
            </w:r>
          </w:p>
          <w:p w14:paraId="1B79B7D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“What is the usual number of cigarettes you smoke in a day?” vs Average number of smoking days per week: </w:t>
            </w:r>
            <w:r w:rsidRPr="00494051">
              <w:rPr>
                <w:rFonts w:cstheme="minorHAnsi"/>
                <w:i/>
                <w:iCs/>
                <w:sz w:val="20"/>
                <w:szCs w:val="20"/>
              </w:rPr>
              <w:t>r</w:t>
            </w:r>
            <w:r w:rsidRPr="00494051">
              <w:rPr>
                <w:rFonts w:cstheme="minorHAnsi"/>
                <w:iCs/>
                <w:sz w:val="20"/>
                <w:szCs w:val="20"/>
              </w:rPr>
              <w:t>=0.49; p&lt;0.01</w:t>
            </w:r>
          </w:p>
          <w:p w14:paraId="278EDD6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“On average, how many days in a week do you smoke cigarettes (0–7)?” vs Average number of smoking days per week: </w:t>
            </w:r>
            <w:r w:rsidRPr="00494051">
              <w:rPr>
                <w:rFonts w:cstheme="minorHAnsi"/>
                <w:i/>
                <w:iCs/>
                <w:sz w:val="20"/>
                <w:szCs w:val="20"/>
              </w:rPr>
              <w:t>r</w:t>
            </w:r>
            <w:r w:rsidRPr="00494051">
              <w:rPr>
                <w:rFonts w:cstheme="minorHAnsi"/>
                <w:iCs/>
                <w:sz w:val="20"/>
                <w:szCs w:val="20"/>
              </w:rPr>
              <w:t>=0.80; p&lt;0.01</w:t>
            </w:r>
          </w:p>
          <w:p w14:paraId="2ED13231"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248 young adults aged 18 to 25 years who had smoked at least 1 cigarette in the past 30 days from the U.S (N=167 daily smokers; N=81 non-daily smokers).</w:t>
            </w:r>
          </w:p>
          <w:p w14:paraId="2A7F5B9B" w14:textId="77777777" w:rsidR="007F0AE0" w:rsidRPr="00494051" w:rsidRDefault="007F0AE0" w:rsidP="00453DE3">
            <w:pPr>
              <w:widowControl w:val="0"/>
              <w:spacing w:before="60" w:after="120"/>
              <w:contextualSpacing/>
              <w:rPr>
                <w:rFonts w:cstheme="minorHAnsi"/>
                <w:i/>
                <w:iCs/>
                <w:sz w:val="20"/>
                <w:szCs w:val="20"/>
              </w:rPr>
            </w:pPr>
          </w:p>
          <w:p w14:paraId="72EA0450"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&lt;EndNote&gt;&lt;Cite&gt;&lt;Author&gt;Stanton&lt;/Author&gt;&lt;Year&gt;1996&lt;/Year&gt;&lt;RecNum&gt;313&lt;/RecNum&gt;&lt;DisplayText&gt;(119)&lt;/DisplayText&gt;&lt;record&gt;&lt;rec-number&gt;313&lt;/rec-number&gt;&lt;foreign-keys&gt;&lt;key app="EN" db-id="a2vz2dfp8xrad6exes75zwpiw5rxwa0vwapv" timestamp="1541528205"&gt;313&lt;/key&gt;&lt;/foreign-keys&gt;&lt;ref-type name="Journal Article"&gt;17&lt;/ref-type&gt;&lt;contributors&gt;&lt;authors&gt;&lt;author&gt;Stanton, W. R.&lt;/author&gt;&lt;author&gt;McClelland, M.&lt;/author&gt;&lt;author&gt;Elwood, C.&lt;/author&gt;&lt;author&gt;Ferry, D.&lt;/author&gt;&lt;author&gt;Silva, P. A.&lt;/author&gt;&lt;/authors&gt;&lt;/contributors&gt;&lt;auth-address&gt;Centre for Health Promotion and Cancer Prevention Research, University of Queensland Medical School, Herston, Australia.&lt;/auth-address&gt;&lt;titles&gt;&lt;title&gt;Prevalence, reliability and bias of adolescents&amp;apos; reports of smoking and quitting&lt;/title&gt;&lt;secondary-title&gt;Addiction&lt;/secondary-title&gt;&lt;alt-title&gt;Addiction (Abingdon, England)&lt;/alt-title&gt;&lt;/titles&gt;&lt;periodical&gt;&lt;full-title&gt;Addiction&lt;/full-title&gt;&lt;/periodical&gt;&lt;alt-periodical&gt;&lt;full-title&gt;Addiction (Abingdon, England)&lt;/full-title&gt;&lt;/alt-periodical&gt;&lt;pages&gt;1705-14&lt;/pages&gt;&lt;volume&gt;91&lt;/volume&gt;&lt;number&gt;11&lt;/number&gt;&lt;edition&gt;1996/11/01&lt;/edition&gt;&lt;keywords&gt;&lt;keyword&gt;Adolescent&lt;/keyword&gt;&lt;keyword&gt;Bias&lt;/keyword&gt;&lt;keyword&gt;Cohort Studies&lt;/keyword&gt;&lt;keyword&gt;Cross-Sectional Studies&lt;/keyword&gt;&lt;keyword&gt;Female&lt;/keyword&gt;&lt;keyword&gt;Health Knowledge, Attitudes, Practice&lt;/keyword&gt;&lt;keyword&gt;Humans&lt;/keyword&gt;&lt;keyword&gt;Incidence&lt;/keyword&gt;&lt;keyword&gt;Male&lt;/keyword&gt;&lt;keyword&gt;New Zealand/epidemiology&lt;/keyword&gt;&lt;keyword&gt;*Self Disclosure&lt;/keyword&gt;&lt;keyword&gt;Smoking/*epidemiology/psychology&lt;/keyword&gt;&lt;keyword&gt;Smoking Cessation/psychology/*statistics &amp;amp; numerical data&lt;/keyword&gt;&lt;keyword&gt;Smoking Prevention&lt;/keyword&gt;&lt;/keywords&gt;&lt;dates&gt;&lt;year&gt;1996&lt;/year&gt;&lt;pub-dates&gt;&lt;date&gt;Nov&lt;/date&gt;&lt;/pub-dates&gt;&lt;/dates&gt;&lt;isbn&gt;0965-2140 (Print)&amp;#xD;0965-2140&lt;/isbn&gt;&lt;accession-num&gt;8972928&lt;/accession-num&gt;&lt;urls&gt;&lt;/urls&gt;&lt;remote-database-provider&gt;NLM&lt;/remote-database-provider&gt;&lt;language&gt;eng&lt;/language&gt;&lt;/record&gt;&lt;/Cite&gt;&lt;/EndNote&gt;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19" w:tooltip="Stanton, 1996 #313" w:history="1">
              <w:r>
                <w:rPr>
                  <w:rFonts w:cstheme="minorHAnsi"/>
                  <w:iCs/>
                  <w:noProof/>
                  <w:sz w:val="20"/>
                  <w:szCs w:val="20"/>
                  <w:u w:val="single"/>
                </w:rPr>
                <w:t>119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16B45FB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In-person interviews </w:t>
            </w:r>
          </w:p>
          <w:p w14:paraId="20C7FDD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κ</w:t>
            </w:r>
            <w:r>
              <w:rPr>
                <w:rFonts w:cstheme="minorHAnsi"/>
                <w:iCs/>
                <w:sz w:val="20"/>
                <w:szCs w:val="20"/>
              </w:rPr>
              <w:t>=</w:t>
            </w:r>
            <w:r w:rsidRPr="00494051">
              <w:rPr>
                <w:rFonts w:cstheme="minorHAnsi"/>
                <w:iCs/>
                <w:sz w:val="20"/>
                <w:szCs w:val="20"/>
              </w:rPr>
              <w:t xml:space="preserve">0.76; p&lt;0.05 (self-reported number of </w:t>
            </w:r>
            <w:r>
              <w:rPr>
                <w:rFonts w:cstheme="minorHAnsi"/>
                <w:iCs/>
                <w:sz w:val="20"/>
                <w:szCs w:val="20"/>
              </w:rPr>
              <w:t>CPD</w:t>
            </w:r>
            <w:r w:rsidRPr="00494051">
              <w:rPr>
                <w:rFonts w:cstheme="minorHAnsi"/>
                <w:iCs/>
                <w:sz w:val="20"/>
                <w:szCs w:val="20"/>
              </w:rPr>
              <w:t xml:space="preserve"> of daily and weekly smokers, coded as “0, 1-5, 6-15, and 16 plus" assessed at 15 and 18 years of age)</w:t>
            </w:r>
          </w:p>
          <w:p w14:paraId="3360FFB6" w14:textId="77777777" w:rsidR="007F0AE0" w:rsidRPr="00494051" w:rsidRDefault="007F0AE0" w:rsidP="00453DE3">
            <w:pPr>
              <w:widowControl w:val="0"/>
              <w:spacing w:before="60" w:after="120"/>
              <w:contextualSpacing/>
              <w:rPr>
                <w:rFonts w:cstheme="minorHAnsi"/>
                <w:iCs/>
                <w:sz w:val="20"/>
                <w:szCs w:val="20"/>
              </w:rPr>
            </w:pPr>
            <w:r>
              <w:rPr>
                <w:rFonts w:cstheme="minorHAnsi"/>
                <w:iCs/>
                <w:sz w:val="20"/>
                <w:szCs w:val="20"/>
              </w:rPr>
              <w:t>T</w:t>
            </w:r>
            <w:r w:rsidRPr="00494051">
              <w:rPr>
                <w:rFonts w:cstheme="minorHAnsi"/>
                <w:iCs/>
                <w:sz w:val="20"/>
                <w:szCs w:val="20"/>
              </w:rPr>
              <w:t>est</w:t>
            </w:r>
            <w:r w:rsidRPr="00494051">
              <w:rPr>
                <w:rFonts w:ascii="Cambria Math" w:hAnsi="Cambria Math" w:cs="Cambria Math"/>
                <w:iCs/>
                <w:sz w:val="20"/>
                <w:szCs w:val="20"/>
              </w:rPr>
              <w:t>‑</w:t>
            </w:r>
            <w:r w:rsidRPr="00494051">
              <w:rPr>
                <w:rFonts w:cstheme="minorHAnsi"/>
                <w:iCs/>
                <w:sz w:val="20"/>
                <w:szCs w:val="20"/>
              </w:rPr>
              <w:t>retest interval: 3 years</w:t>
            </w:r>
          </w:p>
          <w:p w14:paraId="2B3EB938"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 xml:space="preserve">320 daily or weekly smokers in New Zealand who were part of a longitudinal study (Sample of 18-year-olds included 937 </w:t>
            </w:r>
            <w:r w:rsidRPr="00494051">
              <w:rPr>
                <w:rFonts w:cstheme="minorHAnsi"/>
                <w:i/>
                <w:iCs/>
                <w:sz w:val="20"/>
                <w:szCs w:val="20"/>
              </w:rPr>
              <w:lastRenderedPageBreak/>
              <w:t>adolescents interviewed about smoking histories; this study examines changes in smoking from 15–18 years)</w:t>
            </w:r>
          </w:p>
          <w:p w14:paraId="2054537E" w14:textId="77777777" w:rsidR="007F0AE0" w:rsidRPr="00494051" w:rsidRDefault="007F0AE0" w:rsidP="00453DE3">
            <w:pPr>
              <w:widowControl w:val="0"/>
              <w:spacing w:before="60" w:after="120"/>
              <w:contextualSpacing/>
              <w:rPr>
                <w:rFonts w:cstheme="minorHAnsi"/>
                <w:i/>
                <w:iCs/>
                <w:sz w:val="20"/>
                <w:szCs w:val="20"/>
              </w:rPr>
            </w:pPr>
          </w:p>
          <w:p w14:paraId="5E13BA73"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&lt;EndNote&gt;&lt;Cite&gt;&lt;Author&gt;Brigham&lt;/Author&gt;&lt;Year&gt;2009&lt;/Year&gt;&lt;RecNum&gt;143&lt;/RecNum&gt;&lt;DisplayText&gt;(98)&lt;/DisplayText&gt;&lt;record&gt;&lt;rec-number&gt;143&lt;/rec-number&gt;&lt;foreign-keys&gt;&lt;key app="EN" db-id="a2vz2dfp8xrad6exes75zwpiw5rxwa0vwapv" timestamp="0"&gt;143&lt;/key&gt;&lt;/foreign-keys&gt;&lt;ref-type name="Journal Article"&gt;17&lt;/ref-type&gt;&lt;contributors&gt;&lt;authors&gt;&lt;author&gt;Brigham, J.&lt;/author&gt;&lt;author&gt;Lessov-Schlaggar, C. N.&lt;/author&gt;&lt;author&gt;Javitz, H. S.&lt;/author&gt;&lt;author&gt;Krasnow, R. E.&lt;/author&gt;&lt;author&gt;McElroy, M.&lt;/author&gt;&lt;author&gt;Swan, G. E.&lt;/author&gt;&lt;/authors&gt;&lt;/contributors&gt;&lt;auth-address&gt;Center for Health Sciences, SRI International, Menlo Park, CA, USA.&lt;/auth-address&gt;&lt;titles&gt;&lt;title&gt;Test-retest reliability of web-based retrospective self-report of tobacco exposure and risk&lt;/title&gt;&lt;secondary-title&gt;J Med Internet Res&lt;/secondary-title&gt;&lt;alt-title&gt;Journal of medical Internet research&lt;/alt-title&gt;&lt;/titles&gt;&lt;alt-periodical&gt;&lt;full-title&gt;Journal of Medical Internet Research&lt;/full-title&gt;&lt;/alt-periodical&gt;&lt;pages&gt;e35&lt;/pages&gt;&lt;volume&gt;11&lt;/volume&gt;&lt;number&gt;3&lt;/number&gt;&lt;edition&gt;2009/08/14&lt;/edition&gt;&lt;keywords&gt;&lt;keyword&gt;Adolescent&lt;/keyword&gt;&lt;keyword&gt;Adult&lt;/keyword&gt;&lt;keyword&gt;Aged&lt;/keyword&gt;&lt;keyword&gt;Alcohol Drinking&lt;/keyword&gt;&lt;keyword&gt;Humans&lt;/keyword&gt;&lt;keyword&gt;*Internet&lt;/keyword&gt;&lt;keyword&gt;Middle Aged&lt;/keyword&gt;&lt;keyword&gt;Religion&lt;/keyword&gt;&lt;keyword&gt;*Reproducibility of Results&lt;/keyword&gt;&lt;keyword&gt;Retrospective Studies&lt;/keyword&gt;&lt;keyword&gt;Risk Assessment&lt;/keyword&gt;&lt;keyword&gt;*Surveys and Questionnaires&lt;/keyword&gt;&lt;keyword&gt;Tobacco Smoke Pollution/statistics &amp;amp; numerical data&lt;/keyword&gt;&lt;keyword&gt;Tobacco Use Cessation/*statistics &amp;amp; numerical data&lt;/keyword&gt;&lt;keyword&gt;Tobacco Use Disorder/*rehabilitation&lt;/keyword&gt;&lt;keyword&gt;Young Adult&lt;/keyword&gt;&lt;/keywords&gt;&lt;dates&gt;&lt;year&gt;2009&lt;/year&gt;&lt;/dates&gt;&lt;isbn&gt;1438-8871&lt;/isbn&gt;&lt;accession-num&gt;19674962&lt;/accession-num&gt;&lt;urls&gt;&lt;/urls&gt;&lt;custom2&gt;PMC2762856&lt;/custom2&gt;&lt;electronic-resource-num&gt;10.2196/jmir.1248&lt;/electronic-resource-num&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8" w:tooltip="Brigham, 2009 #143" w:history="1">
              <w:r>
                <w:rPr>
                  <w:rFonts w:cstheme="minorHAnsi"/>
                  <w:iCs/>
                  <w:noProof/>
                  <w:sz w:val="20"/>
                  <w:szCs w:val="20"/>
                  <w:u w:val="single"/>
                </w:rPr>
                <w:t>98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5E4B80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A closed, password-controlled, invitation-only website questionnaire </w:t>
            </w:r>
          </w:p>
          <w:p w14:paraId="2274ADC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0.83 (current tobacco use: self-reported: number of cigarettes per week; N=859 adults)</w:t>
            </w:r>
          </w:p>
          <w:p w14:paraId="713A63F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 xml:space="preserve">0.54 (self-reported: number of </w:t>
            </w:r>
            <w:r>
              <w:rPr>
                <w:rFonts w:cstheme="minorHAnsi"/>
                <w:iCs/>
                <w:sz w:val="20"/>
                <w:szCs w:val="20"/>
              </w:rPr>
              <w:t>CPD</w:t>
            </w:r>
            <w:r w:rsidRPr="00494051">
              <w:rPr>
                <w:rFonts w:cstheme="minorHAnsi"/>
                <w:iCs/>
                <w:sz w:val="20"/>
                <w:szCs w:val="20"/>
              </w:rPr>
              <w:t xml:space="preserve"> when started daily use; N=515 adults)</w:t>
            </w:r>
          </w:p>
          <w:p w14:paraId="681A8E17"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ICC</w:t>
            </w:r>
            <w:r>
              <w:rPr>
                <w:rFonts w:cstheme="minorHAnsi"/>
                <w:iCs/>
                <w:sz w:val="20"/>
                <w:szCs w:val="20"/>
              </w:rPr>
              <w:t>=</w:t>
            </w:r>
            <w:r w:rsidRPr="00494051">
              <w:rPr>
                <w:rFonts w:cstheme="minorHAnsi"/>
                <w:iCs/>
                <w:sz w:val="20"/>
                <w:szCs w:val="20"/>
              </w:rPr>
              <w:t>0.52 (self-reported: number of cigarettes per week when started weekly use; N=554 adults)</w:t>
            </w:r>
          </w:p>
          <w:p w14:paraId="5DC9F69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2 months</w:t>
            </w:r>
          </w:p>
          <w:p w14:paraId="280546A9"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Anonymous adults (baseline sample: 1229 adults aged 18 years and older) drawn from a U.S. consumer panel (comprising databases such as:</w:t>
            </w:r>
            <w:r w:rsidRPr="00494051">
              <w:rPr>
                <w:rFonts w:cstheme="minorHAnsi"/>
              </w:rPr>
              <w:t xml:space="preserve"> </w:t>
            </w:r>
            <w:r w:rsidRPr="00494051">
              <w:rPr>
                <w:rFonts w:cstheme="minorHAnsi"/>
                <w:i/>
                <w:iCs/>
                <w:sz w:val="20"/>
                <w:szCs w:val="20"/>
              </w:rPr>
              <w:t>public utility customers, airline, dining, and hotel program members).</w:t>
            </w:r>
          </w:p>
          <w:p w14:paraId="6D749264" w14:textId="77777777" w:rsidR="007F0AE0" w:rsidRPr="00494051" w:rsidRDefault="007F0AE0" w:rsidP="00453DE3">
            <w:pPr>
              <w:widowControl w:val="0"/>
              <w:spacing w:before="60" w:after="120"/>
              <w:contextualSpacing/>
              <w:rPr>
                <w:rFonts w:cstheme="minorHAnsi"/>
                <w:i/>
                <w:iCs/>
                <w:sz w:val="20"/>
                <w:szCs w:val="20"/>
              </w:rPr>
            </w:pPr>
          </w:p>
          <w:p w14:paraId="2C20EDBB" w14:textId="77777777" w:rsidR="007F0AE0" w:rsidRPr="00494051" w:rsidRDefault="007F0AE0" w:rsidP="00453DE3">
            <w:pPr>
              <w:widowControl w:val="0"/>
              <w:spacing w:before="60" w:after="120"/>
              <w:contextualSpacing/>
              <w:rPr>
                <w:rFonts w:cstheme="minorHAnsi"/>
                <w:sz w:val="20"/>
                <w:szCs w:val="20"/>
                <w:u w:val="single"/>
              </w:rPr>
            </w:pPr>
            <w:r>
              <w:rPr>
                <w:rFonts w:cstheme="minorHAnsi"/>
                <w:sz w:val="20"/>
                <w:szCs w:val="20"/>
                <w:u w:val="single"/>
              </w:rPr>
              <w:fldChar w:fldCharType="begin"/>
            </w:r>
            <w:r>
              <w:rPr>
                <w:rFonts w:cstheme="minorHAnsi"/>
                <w:sz w:val="20"/>
                <w:szCs w:val="20"/>
                <w:u w:val="single"/>
              </w:rPr>
              <w:instrText xml:space="preserve"> ADDIN EN.CITE &lt;EndNote&gt;&lt;Cite&gt;&lt;Author&gt;Brigham&lt;/Author&gt;&lt;Year&gt;2010&lt;/Year&gt;&lt;RecNum&gt;310&lt;/RecNum&gt;&lt;DisplayText&gt;(101)&lt;/DisplayText&gt;&lt;record&gt;&lt;rec-number&gt;310&lt;/rec-number&gt;&lt;foreign-keys&gt;&lt;key app="EN" db-id="a2vz2dfp8xrad6exes75zwpiw5rxwa0vwapv" timestamp="1541524148"&gt;310&lt;/key&gt;&lt;/foreign-keys&gt;&lt;ref-type name="Journal Article"&gt;17&lt;/ref-type&gt;&lt;contributors&gt;&lt;authors&gt;&lt;author&gt;Brigham, Janet&lt;/author&gt;&lt;author&gt;Lessov-Schlaggar, Christina N.&lt;/author&gt;&lt;author&gt;Javitz, Harold S.&lt;/author&gt;&lt;author&gt;Krasnow, Ruth E.&lt;/author&gt;&lt;author&gt;Tildesley, Elizabeth&lt;/author&gt;&lt;author&gt;Andrews, Judy&lt;/author&gt;&lt;author&gt;Hops, Hyman&lt;/author&gt;&lt;author&gt;Cornelius, Marie D.&lt;/author&gt;&lt;author&gt;Day, Nancy L.&lt;/author&gt;&lt;author&gt;McElroy, Mary&lt;/author&gt;&lt;author&gt;Swan, Gary E.&lt;/author&gt;&lt;/authors&gt;&lt;/contributors&gt;&lt;titles&gt;&lt;title&gt;Validity of recall of tobacco use in two prospective cohorts&lt;/title&gt;&lt;secondary-title&gt;American journal of epidemiology&lt;/secondary-title&gt;&lt;/titles&gt;&lt;periodical&gt;&lt;full-title&gt;American journal of epidemiology&lt;/full-title&gt;&lt;/periodical&gt;&lt;pages&gt;828-835&lt;/pages&gt;&lt;volume&gt;172&lt;/volume&gt;&lt;number&gt;7&lt;/number&gt;&lt;edition&gt;08/18&lt;/edition&gt;&lt;dates&gt;&lt;year&gt;2010&lt;/year&gt;&lt;/dates&gt;&lt;publisher&gt;Oxford University Press&lt;/publisher&gt;&lt;isbn&gt;1476-6256&amp;#xD;0002-9262&lt;/isbn&gt;&lt;accession-num&gt;20720099&lt;/accession-num&gt;&lt;urls&gt;&lt;related-urls&gt;&lt;url&gt;https://www.ncbi.nlm.nih.gov/pubmed/20720099&lt;/url&gt;&lt;url&gt;https://www.ncbi.nlm.nih.gov/pmc/PMC2945825/&lt;/url&gt;&lt;/related-urls&gt;&lt;/urls&gt;&lt;electronic-resource-num&gt;10.1093/aje/kwq179&lt;/electronic-resource-num&gt;&lt;remote-database-name&gt;PubMed&lt;/remote-database-name&gt;&lt;/record&gt;&lt;/Cite&gt;&lt;/EndNote&gt;</w:instrText>
            </w:r>
            <w:r>
              <w:rPr>
                <w:rFonts w:cstheme="minorHAnsi"/>
                <w:sz w:val="20"/>
                <w:szCs w:val="20"/>
                <w:u w:val="single"/>
              </w:rPr>
              <w:fldChar w:fldCharType="separate"/>
            </w:r>
            <w:r>
              <w:rPr>
                <w:rFonts w:cstheme="minorHAnsi"/>
                <w:noProof/>
                <w:sz w:val="20"/>
                <w:szCs w:val="20"/>
                <w:u w:val="single"/>
              </w:rPr>
              <w:t>(</w:t>
            </w:r>
            <w:hyperlink w:anchor="_ENREF_101" w:tooltip="Brigham, 2010 #310" w:history="1">
              <w:r>
                <w:rPr>
                  <w:rFonts w:cstheme="minorHAnsi"/>
                  <w:noProof/>
                  <w:sz w:val="20"/>
                  <w:szCs w:val="20"/>
                  <w:u w:val="single"/>
                </w:rPr>
                <w:t>101</w:t>
              </w:r>
            </w:hyperlink>
            <w:r>
              <w:rPr>
                <w:rFonts w:cstheme="minorHAnsi"/>
                <w:noProof/>
                <w:sz w:val="20"/>
                <w:szCs w:val="20"/>
                <w:u w:val="single"/>
              </w:rPr>
              <w:t>)</w:t>
            </w:r>
            <w:r>
              <w:rPr>
                <w:rFonts w:cstheme="minorHAnsi"/>
                <w:sz w:val="20"/>
                <w:szCs w:val="20"/>
                <w:u w:val="single"/>
              </w:rPr>
              <w:fldChar w:fldCharType="end"/>
            </w:r>
            <w:r w:rsidRPr="00494051">
              <w:rPr>
                <w:rFonts w:cstheme="minorHAnsi"/>
                <w:sz w:val="20"/>
                <w:szCs w:val="20"/>
                <w:u w:val="single"/>
              </w:rPr>
              <w:t>:</w:t>
            </w:r>
          </w:p>
          <w:p w14:paraId="064CEBE4"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 xml:space="preserve">In-person interview, phone interview, questionnaire, or website questionnaire </w:t>
            </w:r>
          </w:p>
          <w:p w14:paraId="50022BD8"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sidRPr="00494051">
              <w:rPr>
                <w:rFonts w:cstheme="minorHAnsi"/>
                <w:iCs/>
                <w:sz w:val="20"/>
                <w:szCs w:val="20"/>
              </w:rPr>
              <w:t xml:space="preserve">=0.14 </w:t>
            </w:r>
            <w:r w:rsidRPr="00494051">
              <w:rPr>
                <w:rFonts w:cstheme="minorHAnsi"/>
                <w:sz w:val="20"/>
                <w:szCs w:val="20"/>
              </w:rPr>
              <w:t>(Oregon cohort: self-reported: number of cigarettes per week, weekly smoking; N=164 individuals)</w:t>
            </w:r>
          </w:p>
          <w:p w14:paraId="7E58E923"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Pr>
                <w:rFonts w:cstheme="minorHAnsi"/>
                <w:sz w:val="20"/>
                <w:szCs w:val="20"/>
              </w:rPr>
              <w:t>=</w:t>
            </w:r>
            <w:r w:rsidRPr="00494051">
              <w:rPr>
                <w:rFonts w:cstheme="minorHAnsi"/>
                <w:sz w:val="20"/>
                <w:szCs w:val="20"/>
              </w:rPr>
              <w:t>0.31; p</w:t>
            </w:r>
            <w:r>
              <w:rPr>
                <w:rFonts w:cstheme="minorHAnsi"/>
                <w:sz w:val="20"/>
                <w:szCs w:val="20"/>
              </w:rPr>
              <w:t>&lt;</w:t>
            </w:r>
            <w:r w:rsidRPr="00494051">
              <w:rPr>
                <w:rFonts w:cstheme="minorHAnsi"/>
                <w:sz w:val="20"/>
                <w:szCs w:val="20"/>
              </w:rPr>
              <w:t xml:space="preserve">0.01 (Oregon cohort: self-reported number of </w:t>
            </w:r>
            <w:r>
              <w:rPr>
                <w:rFonts w:cstheme="minorHAnsi"/>
                <w:sz w:val="20"/>
                <w:szCs w:val="20"/>
              </w:rPr>
              <w:t>CPD</w:t>
            </w:r>
            <w:r w:rsidRPr="00494051">
              <w:rPr>
                <w:rFonts w:cstheme="minorHAnsi"/>
                <w:sz w:val="20"/>
                <w:szCs w:val="20"/>
              </w:rPr>
              <w:t>, daily smoking; N=89 individuals)</w:t>
            </w:r>
          </w:p>
          <w:p w14:paraId="33F4E498"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sidRPr="00494051">
              <w:rPr>
                <w:rFonts w:cstheme="minorHAnsi"/>
                <w:iCs/>
                <w:sz w:val="20"/>
                <w:szCs w:val="20"/>
              </w:rPr>
              <w:t xml:space="preserve">=0.40; p=0.00 </w:t>
            </w:r>
            <w:r w:rsidRPr="00494051">
              <w:rPr>
                <w:rFonts w:cstheme="minorHAnsi"/>
                <w:sz w:val="20"/>
                <w:szCs w:val="20"/>
              </w:rPr>
              <w:t>(Pittsburgh cohort: self-reported: number of cigarettes per week at first weekly smoking; N=127 individuals)</w:t>
            </w:r>
          </w:p>
          <w:p w14:paraId="54F25EE1"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i/>
                <w:iCs/>
                <w:sz w:val="20"/>
                <w:szCs w:val="20"/>
              </w:rPr>
              <w:t>rho</w:t>
            </w:r>
            <w:r w:rsidRPr="00494051">
              <w:rPr>
                <w:rFonts w:cstheme="minorHAnsi"/>
                <w:iCs/>
                <w:sz w:val="20"/>
                <w:szCs w:val="20"/>
              </w:rPr>
              <w:t xml:space="preserve">=0.32; p=0.00 </w:t>
            </w:r>
            <w:r w:rsidRPr="00494051">
              <w:rPr>
                <w:rFonts w:cstheme="minorHAnsi"/>
                <w:sz w:val="20"/>
                <w:szCs w:val="20"/>
              </w:rPr>
              <w:t xml:space="preserve">(Pittsburgh cohort: self-reported: number of </w:t>
            </w:r>
            <w:r>
              <w:rPr>
                <w:rFonts w:cstheme="minorHAnsi"/>
                <w:sz w:val="20"/>
                <w:szCs w:val="20"/>
              </w:rPr>
              <w:t>CPD</w:t>
            </w:r>
            <w:r w:rsidRPr="00494051">
              <w:rPr>
                <w:rFonts w:cstheme="minorHAnsi"/>
                <w:sz w:val="20"/>
                <w:szCs w:val="20"/>
              </w:rPr>
              <w:t xml:space="preserve"> at first daily smoking; N=111 individuals)</w:t>
            </w:r>
          </w:p>
          <w:p w14:paraId="712EB866"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Test-retest interval: average interval of 19.5 years for the Oregon cohort; average interval of 3.9 years for the Pittsburgh cohort</w:t>
            </w:r>
          </w:p>
          <w:p w14:paraId="28651904" w14:textId="77777777" w:rsidR="007F0AE0" w:rsidRDefault="007F0AE0" w:rsidP="00453DE3">
            <w:pPr>
              <w:widowControl w:val="0"/>
              <w:spacing w:after="120"/>
              <w:contextualSpacing/>
              <w:rPr>
                <w:rFonts w:cstheme="minorHAnsi"/>
                <w:i/>
                <w:sz w:val="20"/>
                <w:szCs w:val="20"/>
              </w:rPr>
            </w:pPr>
            <w:r w:rsidRPr="00494051">
              <w:rPr>
                <w:rFonts w:cstheme="minorHAnsi"/>
                <w:i/>
                <w:sz w:val="20"/>
                <w:szCs w:val="20"/>
              </w:rPr>
              <w:t xml:space="preserve">Oregon Cohort: Individuals (mainly white) from Oregon, U.S. (baseline: this study recruited 346 of 483 original subjects who </w:t>
            </w:r>
            <w:r w:rsidRPr="00494051">
              <w:rPr>
                <w:rFonts w:cstheme="minorHAnsi"/>
                <w:i/>
                <w:sz w:val="20"/>
                <w:szCs w:val="20"/>
              </w:rPr>
              <w:lastRenderedPageBreak/>
              <w:t>underwent initial testing for the Smoking in Families Study and retested them with the Lifetime Tobacco Use Questionnaire from 2005 through 2008); Pittsburgh Cohort: Individuals from Pittsburgh, U.S. (baseline: this study recruited 301 of 426 original subjects who underwent initial testing for the Maternal Health Practices and Child Development Study and retested them with the Lifetime Tobacco Use Questionnaire from 2005 through 2008).</w:t>
            </w:r>
          </w:p>
          <w:p w14:paraId="497D80F3" w14:textId="77777777" w:rsidR="007F0AE0" w:rsidRDefault="007F0AE0" w:rsidP="00453DE3">
            <w:pPr>
              <w:widowControl w:val="0"/>
              <w:spacing w:after="120"/>
              <w:contextualSpacing/>
              <w:rPr>
                <w:rFonts w:cstheme="minorHAnsi"/>
                <w:i/>
                <w:sz w:val="20"/>
                <w:szCs w:val="20"/>
              </w:rPr>
            </w:pPr>
          </w:p>
          <w:p w14:paraId="6EC8C397" w14:textId="77777777" w:rsidR="007F0AE0" w:rsidRPr="00791C49" w:rsidRDefault="007F0AE0" w:rsidP="00453DE3">
            <w:pPr>
              <w:tabs>
                <w:tab w:val="left" w:pos="2552"/>
              </w:tabs>
              <w:spacing w:before="60" w:after="120"/>
              <w:contextualSpacing/>
              <w:rPr>
                <w:rFonts w:cstheme="minorHAnsi"/>
                <w:sz w:val="20"/>
                <w:szCs w:val="20"/>
                <w:u w:val="single"/>
              </w:rPr>
            </w:pPr>
            <w:r w:rsidRPr="00791C49">
              <w:rPr>
                <w:rFonts w:cstheme="minorHAnsi"/>
                <w:sz w:val="20"/>
                <w:szCs w:val="20"/>
                <w:u w:val="single"/>
              </w:rPr>
              <w:fldChar w:fldCharType="begin"/>
            </w:r>
            <w:r>
              <w:rPr>
                <w:rFonts w:cstheme="minorHAnsi"/>
                <w:sz w:val="20"/>
                <w:szCs w:val="20"/>
                <w:u w:val="single"/>
              </w:rPr>
              <w:instrText xml:space="preserve"> ADDIN EN.CITE &lt;EndNote&gt;&lt;Cite&gt;&lt;Author&gt;Blank&lt;/Author&gt;&lt;Year&gt;2016&lt;/Year&gt;&lt;RecNum&gt;155&lt;/RecNum&gt;&lt;DisplayText&gt;(120)&lt;/DisplayText&gt;&lt;record&gt;&lt;rec-number&gt;155&lt;/rec-number&gt;&lt;foreign-keys&gt;&lt;key app="EN" db-id="a2vz2dfp8xrad6exes75zwpiw5rxwa0vwapv" timestamp="0"&gt;155&lt;/key&gt;&lt;/foreign-keys&gt;&lt;ref-type name="Journal Article"&gt;17&lt;/ref-type&gt;&lt;contributors&gt;&lt;authors&gt;&lt;author&gt;Blank, M. D.&lt;/author&gt;&lt;author&gt;Breland, A. B.&lt;/author&gt;&lt;author&gt;Enlow, P. T.&lt;/author&gt;&lt;author&gt;Duncan, C.&lt;/author&gt;&lt;author&gt;Metzger, A.&lt;/author&gt;&lt;author&gt;Cobb, C. O.&lt;/author&gt;&lt;/authors&gt;&lt;/contributors&gt;&lt;titles&gt;&lt;title&gt;Measurement of Smoking Behavior: Comparison of Self-Reports, Returned Cigarette Butts, and Toxicant Levels&lt;/title&gt;&lt;secondary-title&gt;Exp Clin Psychopharmacol&lt;/secondary-title&gt;&lt;alt-title&gt;Experimental and clinical psychopharmacology&lt;/alt-title&gt;&lt;/titles&gt;&lt;alt-periodical&gt;&lt;full-title&gt;Experimental and Clinical Psychopharmacology&lt;/full-title&gt;&lt;/alt-periodical&gt;&lt;edition&gt;2016/06/28&lt;/edition&gt;&lt;dates&gt;&lt;year&gt;2016&lt;/year&gt;&lt;pub-dates&gt;&lt;date&gt;Jun 27&lt;/date&gt;&lt;/pub-dates&gt;&lt;/dates&gt;&lt;isbn&gt;1064-1297&lt;/isbn&gt;&lt;accession-num&gt;27347741&lt;/accession-num&gt;&lt;urls&gt;&lt;/urls&gt;&lt;electronic-resource-num&gt;10.1037/pha0000083&lt;/electronic-resource-num&gt;&lt;remote-database-provider&gt;NLM&lt;/remote-database-provider&gt;&lt;language&gt;Eng&lt;/language&gt;&lt;/record&gt;&lt;/Cite&gt;&lt;/EndNote&gt;</w:instrText>
            </w:r>
            <w:r w:rsidRPr="00791C49">
              <w:rPr>
                <w:rFonts w:cstheme="minorHAnsi"/>
                <w:sz w:val="20"/>
                <w:szCs w:val="20"/>
                <w:u w:val="single"/>
              </w:rPr>
              <w:fldChar w:fldCharType="separate"/>
            </w:r>
            <w:r>
              <w:rPr>
                <w:rFonts w:cstheme="minorHAnsi"/>
                <w:noProof/>
                <w:sz w:val="20"/>
                <w:szCs w:val="20"/>
                <w:u w:val="single"/>
              </w:rPr>
              <w:t>(</w:t>
            </w:r>
            <w:hyperlink w:anchor="_ENREF_120" w:tooltip="Blank, 2016 #155" w:history="1">
              <w:r>
                <w:rPr>
                  <w:rFonts w:cstheme="minorHAnsi"/>
                  <w:noProof/>
                  <w:sz w:val="20"/>
                  <w:szCs w:val="20"/>
                  <w:u w:val="single"/>
                </w:rPr>
                <w:t>120</w:t>
              </w:r>
            </w:hyperlink>
            <w:r>
              <w:rPr>
                <w:rFonts w:cstheme="minorHAnsi"/>
                <w:noProof/>
                <w:sz w:val="20"/>
                <w:szCs w:val="20"/>
                <w:u w:val="single"/>
              </w:rPr>
              <w:t>)</w:t>
            </w:r>
            <w:r w:rsidRPr="00791C49">
              <w:rPr>
                <w:rFonts w:cstheme="minorHAnsi"/>
                <w:sz w:val="20"/>
                <w:szCs w:val="20"/>
                <w:u w:val="single"/>
              </w:rPr>
              <w:fldChar w:fldCharType="end"/>
            </w:r>
          </w:p>
          <w:p w14:paraId="2704657A" w14:textId="77777777" w:rsidR="007F0AE0" w:rsidRPr="00AD7D67" w:rsidRDefault="007F0AE0" w:rsidP="00453DE3">
            <w:pPr>
              <w:tabs>
                <w:tab w:val="left" w:pos="2552"/>
              </w:tabs>
              <w:spacing w:before="60" w:after="120"/>
              <w:contextualSpacing/>
              <w:rPr>
                <w:rFonts w:cstheme="minorHAnsi"/>
                <w:sz w:val="20"/>
                <w:szCs w:val="20"/>
              </w:rPr>
            </w:pPr>
            <w:r w:rsidRPr="00AD7D67">
              <w:rPr>
                <w:rFonts w:cstheme="minorHAnsi"/>
                <w:sz w:val="20"/>
                <w:szCs w:val="20"/>
              </w:rPr>
              <w:t>Test-retest reliability of smokers’ self-reported CPD on the phone and during in-person interview</w:t>
            </w:r>
          </w:p>
          <w:p w14:paraId="6EB5C944" w14:textId="77777777" w:rsidR="007F0AE0" w:rsidRPr="00791C49" w:rsidRDefault="007F0AE0" w:rsidP="00453DE3">
            <w:pPr>
              <w:tabs>
                <w:tab w:val="left" w:pos="1850"/>
              </w:tabs>
              <w:spacing w:before="60" w:after="120"/>
              <w:contextualSpacing/>
              <w:rPr>
                <w:rFonts w:cstheme="minorHAnsi"/>
                <w:sz w:val="20"/>
                <w:szCs w:val="20"/>
              </w:rPr>
            </w:pPr>
            <w:r w:rsidRPr="00791C49">
              <w:rPr>
                <w:rFonts w:cstheme="minorHAnsi"/>
                <w:i/>
                <w:iCs/>
                <w:sz w:val="20"/>
                <w:szCs w:val="20"/>
              </w:rPr>
              <w:t xml:space="preserve">r </w:t>
            </w:r>
            <w:r w:rsidRPr="00791C49">
              <w:rPr>
                <w:rFonts w:cstheme="minorHAnsi"/>
                <w:sz w:val="20"/>
                <w:szCs w:val="20"/>
              </w:rPr>
              <w:t>= 0.86 (p&lt;0.001)</w:t>
            </w:r>
            <w:r w:rsidRPr="00791C49">
              <w:rPr>
                <w:rFonts w:cstheme="minorHAnsi"/>
                <w:sz w:val="20"/>
                <w:szCs w:val="20"/>
              </w:rPr>
              <w:tab/>
            </w:r>
          </w:p>
          <w:p w14:paraId="4EF72EA3" w14:textId="77777777" w:rsidR="007F0AE0" w:rsidRPr="00791C49" w:rsidRDefault="007F0AE0" w:rsidP="00453DE3">
            <w:pPr>
              <w:tabs>
                <w:tab w:val="left" w:pos="2552"/>
              </w:tabs>
              <w:spacing w:before="60" w:after="120"/>
              <w:contextualSpacing/>
              <w:rPr>
                <w:rFonts w:cstheme="minorHAnsi"/>
                <w:sz w:val="20"/>
                <w:szCs w:val="20"/>
              </w:rPr>
            </w:pPr>
            <w:r w:rsidRPr="00791C49">
              <w:rPr>
                <w:rFonts w:cstheme="minorHAnsi"/>
                <w:sz w:val="20"/>
                <w:szCs w:val="20"/>
              </w:rPr>
              <w:t>Test-retest interval: 1 to 2-weeks</w:t>
            </w:r>
          </w:p>
          <w:p w14:paraId="7BC503A5" w14:textId="77777777" w:rsidR="007F0AE0" w:rsidRDefault="007F0AE0" w:rsidP="00453DE3">
            <w:pPr>
              <w:tabs>
                <w:tab w:val="left" w:pos="2552"/>
              </w:tabs>
              <w:spacing w:before="60" w:after="120"/>
              <w:contextualSpacing/>
              <w:rPr>
                <w:rFonts w:cstheme="minorHAnsi"/>
                <w:i/>
                <w:sz w:val="20"/>
                <w:szCs w:val="20"/>
              </w:rPr>
            </w:pPr>
            <w:r w:rsidRPr="00791C49">
              <w:rPr>
                <w:rFonts w:cstheme="minorHAnsi"/>
                <w:i/>
                <w:sz w:val="20"/>
                <w:szCs w:val="20"/>
              </w:rPr>
              <w:t>56 adults, largely White males.</w:t>
            </w:r>
          </w:p>
          <w:p w14:paraId="5029C860" w14:textId="77777777" w:rsidR="007F0AE0" w:rsidRPr="00791C49" w:rsidRDefault="007F0AE0" w:rsidP="00453DE3">
            <w:pPr>
              <w:tabs>
                <w:tab w:val="left" w:pos="2552"/>
              </w:tabs>
              <w:spacing w:after="60"/>
              <w:contextualSpacing/>
              <w:rPr>
                <w:rFonts w:cstheme="minorHAnsi"/>
                <w:i/>
                <w:sz w:val="20"/>
                <w:szCs w:val="20"/>
              </w:rPr>
            </w:pPr>
          </w:p>
          <w:p w14:paraId="6DF8F964" w14:textId="77777777" w:rsidR="007F0AE0" w:rsidRPr="00791C49" w:rsidRDefault="007F0AE0" w:rsidP="00453DE3">
            <w:pPr>
              <w:spacing w:after="120"/>
              <w:contextualSpacing/>
              <w:rPr>
                <w:rFonts w:eastAsia="Times New Roman" w:cstheme="minorHAnsi"/>
                <w:sz w:val="20"/>
                <w:szCs w:val="20"/>
                <w:u w:val="single"/>
                <w:lang w:eastAsia="en-CA"/>
              </w:rPr>
            </w:pPr>
            <w:r w:rsidRPr="00791C49">
              <w:rPr>
                <w:rFonts w:eastAsia="Times New Roman" w:cstheme="minorHAnsi"/>
                <w:sz w:val="20"/>
                <w:szCs w:val="20"/>
                <w:u w:val="single"/>
                <w:lang w:eastAsia="en-CA"/>
              </w:rPr>
              <w:fldChar w:fldCharType="begin">
                <w:fldData xml:space="preserve">PEVuZE5vdGU+PENpdGU+PEF1dGhvcj5XZWluYmVyZ2VyPC9BdXRob3I+PFllYXI+MjAwNzwvWWVh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</w:fldData>
              </w:fldChar>
            </w:r>
            <w:r>
              <w:rPr>
                <w:rFonts w:eastAsia="Times New Roman" w:cstheme="minorHAnsi"/>
                <w:sz w:val="20"/>
                <w:szCs w:val="20"/>
                <w:u w:val="single"/>
                <w:lang w:eastAsia="en-CA"/>
              </w:rPr>
              <w:instrText xml:space="preserve"> ADDIN EN.CITE </w:instrText>
            </w:r>
            <w:r>
              <w:rPr>
                <w:rFonts w:eastAsia="Times New Roman" w:cstheme="minorHAnsi"/>
                <w:sz w:val="20"/>
                <w:szCs w:val="20"/>
                <w:u w:val="single"/>
                <w:lang w:eastAsia="en-CA"/>
              </w:rPr>
              <w:fldChar w:fldCharType="begin">
                <w:fldData xml:space="preserve">PEVuZE5vdGU+PENpdGU+PEF1dGhvcj5XZWluYmVyZ2VyPC9BdXRob3I+PFllYXI+MjAwNzwvWWVh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</w:fldData>
              </w:fldChar>
            </w:r>
            <w:r>
              <w:rPr>
                <w:rFonts w:eastAsia="Times New Roman" w:cstheme="minorHAnsi"/>
                <w:sz w:val="20"/>
                <w:szCs w:val="20"/>
                <w:u w:val="single"/>
                <w:lang w:eastAsia="en-CA"/>
              </w:rPr>
              <w:instrText xml:space="preserve"> ADDIN EN.CITE.DATA </w:instrText>
            </w:r>
            <w:r>
              <w:rPr>
                <w:rFonts w:eastAsia="Times New Roman" w:cstheme="minorHAnsi"/>
                <w:sz w:val="20"/>
                <w:szCs w:val="20"/>
                <w:u w:val="single"/>
                <w:lang w:eastAsia="en-CA"/>
              </w:rPr>
            </w:r>
            <w:r>
              <w:rPr>
                <w:rFonts w:eastAsia="Times New Roman" w:cstheme="minorHAnsi"/>
                <w:sz w:val="20"/>
                <w:szCs w:val="20"/>
                <w:u w:val="single"/>
                <w:lang w:eastAsia="en-CA"/>
              </w:rPr>
              <w:fldChar w:fldCharType="end"/>
            </w:r>
            <w:r w:rsidRPr="00791C49">
              <w:rPr>
                <w:rFonts w:eastAsia="Times New Roman" w:cstheme="minorHAnsi"/>
                <w:sz w:val="20"/>
                <w:szCs w:val="20"/>
                <w:u w:val="single"/>
                <w:lang w:eastAsia="en-CA"/>
              </w:rPr>
              <w:fldChar w:fldCharType="separate"/>
            </w:r>
            <w:r>
              <w:rPr>
                <w:rFonts w:eastAsia="Times New Roman" w:cstheme="minorHAnsi"/>
                <w:noProof/>
                <w:sz w:val="20"/>
                <w:szCs w:val="20"/>
                <w:u w:val="single"/>
                <w:lang w:eastAsia="en-CA"/>
              </w:rPr>
              <w:t>(</w:t>
            </w:r>
            <w:hyperlink w:anchor="_ENREF_121" w:tooltip="Weinberger, 2007 #2866" w:history="1">
              <w:r>
                <w:rPr>
                  <w:rFonts w:eastAsia="Times New Roman" w:cstheme="minorHAnsi"/>
                  <w:noProof/>
                  <w:sz w:val="20"/>
                  <w:szCs w:val="20"/>
                  <w:u w:val="single"/>
                  <w:lang w:eastAsia="en-CA"/>
                </w:rPr>
                <w:t>121</w:t>
              </w:r>
            </w:hyperlink>
            <w:r>
              <w:rPr>
                <w:rFonts w:eastAsia="Times New Roman" w:cstheme="minorHAnsi"/>
                <w:noProof/>
                <w:sz w:val="20"/>
                <w:szCs w:val="20"/>
                <w:u w:val="single"/>
                <w:lang w:eastAsia="en-CA"/>
              </w:rPr>
              <w:t>)</w:t>
            </w:r>
            <w:r w:rsidRPr="00791C49">
              <w:rPr>
                <w:rFonts w:eastAsia="Times New Roman" w:cstheme="minorHAnsi"/>
                <w:sz w:val="20"/>
                <w:szCs w:val="20"/>
                <w:u w:val="single"/>
                <w:lang w:eastAsia="en-CA"/>
              </w:rPr>
              <w:fldChar w:fldCharType="end"/>
            </w:r>
          </w:p>
          <w:p w14:paraId="03846E76" w14:textId="77777777" w:rsidR="007F0AE0" w:rsidRPr="007F739D" w:rsidRDefault="007F0AE0" w:rsidP="00453DE3">
            <w:pPr>
              <w:spacing w:after="120"/>
              <w:contextualSpacing/>
              <w:rPr>
                <w:rFonts w:eastAsia="Times New Roman" w:cstheme="minorHAnsi"/>
                <w:sz w:val="20"/>
                <w:szCs w:val="20"/>
                <w:lang w:eastAsia="en-CA"/>
              </w:rPr>
            </w:pPr>
            <w:r w:rsidRPr="007F739D">
              <w:rPr>
                <w:rFonts w:eastAsia="Times New Roman" w:cstheme="minorHAnsi"/>
                <w:iCs/>
                <w:sz w:val="20"/>
                <w:szCs w:val="20"/>
                <w:lang w:eastAsia="en-CA"/>
              </w:rPr>
              <w:t>Test-retest reliability</w:t>
            </w:r>
          </w:p>
          <w:p w14:paraId="0A8E6589" w14:textId="77777777" w:rsidR="007F0AE0" w:rsidRPr="00791C49" w:rsidRDefault="007F0AE0" w:rsidP="00453DE3">
            <w:pPr>
              <w:spacing w:after="120"/>
              <w:contextualSpacing/>
              <w:rPr>
                <w:rFonts w:eastAsia="Times New Roman" w:cstheme="minorHAnsi"/>
                <w:sz w:val="20"/>
                <w:szCs w:val="20"/>
                <w:lang w:eastAsia="en-CA"/>
              </w:rPr>
            </w:pPr>
            <w:r w:rsidRPr="00791C49">
              <w:rPr>
                <w:rFonts w:eastAsia="Times New Roman" w:cstheme="minorHAnsi"/>
                <w:i/>
                <w:iCs/>
                <w:sz w:val="20"/>
                <w:szCs w:val="20"/>
                <w:lang w:eastAsia="en-CA"/>
              </w:rPr>
              <w:t xml:space="preserve">r </w:t>
            </w:r>
            <w:r w:rsidRPr="00791C49">
              <w:rPr>
                <w:rFonts w:eastAsia="Times New Roman" w:cstheme="minorHAnsi"/>
                <w:sz w:val="20"/>
                <w:szCs w:val="20"/>
                <w:lang w:eastAsia="en-CA"/>
              </w:rPr>
              <w:t>= 0.91 (N = 84 smokers)</w:t>
            </w:r>
          </w:p>
          <w:p w14:paraId="13D9E2E2" w14:textId="77777777" w:rsidR="007F0AE0" w:rsidRPr="00791C49" w:rsidRDefault="007F0AE0" w:rsidP="00453DE3">
            <w:pPr>
              <w:spacing w:after="120"/>
              <w:contextualSpacing/>
              <w:rPr>
                <w:rFonts w:eastAsia="Times New Roman" w:cstheme="minorHAnsi"/>
                <w:sz w:val="20"/>
                <w:szCs w:val="20"/>
                <w:lang w:eastAsia="en-CA"/>
              </w:rPr>
            </w:pPr>
            <w:r w:rsidRPr="00791C49">
              <w:rPr>
                <w:rFonts w:eastAsia="Times New Roman" w:cstheme="minorHAnsi"/>
                <w:sz w:val="20"/>
                <w:szCs w:val="20"/>
                <w:lang w:eastAsia="en-CA"/>
              </w:rPr>
              <w:t>Test-retest interval: mean of 29.75 days (95% CI: 25.9 to 33.7)</w:t>
            </w:r>
          </w:p>
          <w:p w14:paraId="28E1AEBA" w14:textId="77777777" w:rsidR="007F0AE0" w:rsidRPr="00494051" w:rsidRDefault="007F0AE0" w:rsidP="00453DE3">
            <w:pPr>
              <w:widowControl w:val="0"/>
              <w:spacing w:after="120"/>
              <w:contextualSpacing/>
              <w:rPr>
                <w:rFonts w:cstheme="minorHAnsi"/>
                <w:sz w:val="18"/>
                <w:szCs w:val="18"/>
              </w:rPr>
            </w:pPr>
            <w:r w:rsidRPr="00791C49">
              <w:rPr>
                <w:rFonts w:eastAsia="Times New Roman" w:cstheme="minorHAnsi"/>
                <w:i/>
                <w:iCs/>
                <w:sz w:val="20"/>
                <w:szCs w:val="20"/>
                <w:lang w:eastAsia="en-CA"/>
              </w:rPr>
              <w:t>Nonpsychiatric smokers (N = 181 smokers) recruited in three studies conducted by the Program for Research in Smokers with Mental Illness, Connecticut Mental Health Center.</w:t>
            </w:r>
          </w:p>
        </w:tc>
        <w:tc>
          <w:tcPr>
            <w:tcW w:w="4914" w:type="dxa"/>
          </w:tcPr>
          <w:p w14:paraId="74F8D901"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lastRenderedPageBreak/>
              <w:fldChar w:fldCharType="begin"/>
            </w:r>
            <w:r>
              <w:rPr>
                <w:rFonts w:cstheme="minorHAnsi"/>
                <w:iCs/>
                <w:sz w:val="20"/>
                <w:szCs w:val="20"/>
                <w:u w:val="single"/>
              </w:rPr>
              <w:instrText xml:space="preserve"> ADDIN EN.CITE &lt;EndNote&gt;&lt;Cite&gt;&lt;Author&gt;Abrams&lt;/Author&gt;&lt;Year&gt;1987&lt;/Year&gt;&lt;RecNum&gt;2843&lt;/RecNum&gt;&lt;DisplayText&gt;(106)&lt;/DisplayText&gt;&lt;record&gt;&lt;rec-number&gt;2843&lt;/rec-number&gt;&lt;foreign-keys&gt;&lt;key app="EN" db-id="a2vz2dfp8xrad6exes75zwpiw5rxwa0vwapv" timestamp="1556134968"&gt;2843&lt;/key&gt;&lt;/foreign-keys&gt;&lt;ref-type name="Journal Article"&gt;17&lt;/ref-type&gt;&lt;contributors&gt;&lt;authors&gt;&lt;author&gt;Abrams, D. B.&lt;/author&gt;&lt;author&gt;Follick, M. J.&lt;/author&gt;&lt;author&gt;Biener, L.&lt;/author&gt;&lt;author&gt;Carey, K. B.&lt;/author&gt;&lt;author&gt;Hitti, J.&lt;/author&gt;&lt;/authors&gt;&lt;/contributors&gt;&lt;titles&gt;&lt;title&gt;Saliva cotinine as a measure of smoking status in field settings&lt;/title&gt;&lt;secondary-title&gt;Am J Public Health&lt;/secondary-title&gt;&lt;/titles&gt;&lt;periodical&gt;&lt;full-title&gt;Am J Public Health&lt;/full-title&gt;&lt;/periodical&gt;&lt;pages&gt;846-8&lt;/pages&gt;&lt;volume&gt;77&lt;/volume&gt;&lt;number&gt;7&lt;/number&gt;&lt;keywords&gt;&lt;keyword&gt;Adult&lt;/keyword&gt;&lt;keyword&gt;Cotinine/*analysis&lt;/keyword&gt;&lt;keyword&gt;Female&lt;/keyword&gt;&lt;keyword&gt;Humans&lt;/keyword&gt;&lt;keyword&gt;Male&lt;/keyword&gt;&lt;keyword&gt;Pyrrolidinones/*analysis&lt;/keyword&gt;&lt;keyword&gt;Radioimmunoassay&lt;/keyword&gt;&lt;keyword&gt;Saliva/*analysis&lt;/keyword&gt;&lt;keyword&gt;*Smoking&lt;/keyword&gt;&lt;/keywords&gt;&lt;dates&gt;&lt;year&gt;1987&lt;/year&gt;&lt;pub-dates&gt;&lt;date&gt;Jul&lt;/date&gt;&lt;/pub-dates&gt;&lt;/dates&gt;&lt;isbn&gt;0090-0036 (Print)&amp;#xD;0090-0036 (Linking)&lt;/isbn&gt;&lt;accession-num&gt;3592039&lt;/accession-num&gt;&lt;work-type&gt;REPLACE&lt;/work-type&gt;&lt;urls&gt;&lt;related-urls&gt;&lt;url&gt;https://www.ncbi.nlm.nih.gov/pubmed/3592039&lt;/url&gt;&lt;/related-urls&gt;&lt;/urls&gt;&lt;custom2&gt;PMC1647227&lt;/custom2&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6" w:tooltip="Abrams, 1987 #2843" w:history="1">
              <w:r>
                <w:rPr>
                  <w:rFonts w:cstheme="minorHAnsi"/>
                  <w:iCs/>
                  <w:noProof/>
                  <w:sz w:val="20"/>
                  <w:szCs w:val="20"/>
                  <w:u w:val="single"/>
                </w:rPr>
                <w:t>106</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9A9E77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Questionnaire and in-person biochemical validation</w:t>
            </w:r>
          </w:p>
          <w:p w14:paraId="56225E15"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Correlation between cotinine concentration and cigarette smoking rate:</w:t>
            </w:r>
          </w:p>
          <w:p w14:paraId="7F8023E4" w14:textId="77777777" w:rsidR="007F0AE0" w:rsidRPr="00494051" w:rsidRDefault="007F0AE0" w:rsidP="007F0AE0">
            <w:pPr>
              <w:pStyle w:val="ListParagraph"/>
              <w:widowControl w:val="0"/>
              <w:numPr>
                <w:ilvl w:val="0"/>
                <w:numId w:val="25"/>
              </w:numPr>
              <w:spacing w:before="60" w:after="120"/>
              <w:ind w:left="245" w:hanging="187"/>
              <w:rPr>
                <w:rFonts w:cstheme="minorHAnsi"/>
                <w:iCs/>
                <w:sz w:val="20"/>
                <w:szCs w:val="20"/>
              </w:rPr>
            </w:pPr>
            <w:r w:rsidRPr="00494051">
              <w:rPr>
                <w:rFonts w:cstheme="minorHAnsi"/>
                <w:i/>
                <w:iCs/>
                <w:sz w:val="20"/>
                <w:szCs w:val="20"/>
              </w:rPr>
              <w:t>r</w:t>
            </w:r>
            <w:r w:rsidRPr="00494051">
              <w:rPr>
                <w:rFonts w:cstheme="minorHAnsi"/>
                <w:iCs/>
                <w:sz w:val="20"/>
                <w:szCs w:val="20"/>
              </w:rPr>
              <w:t>=0.43 (Study I)</w:t>
            </w:r>
          </w:p>
          <w:p w14:paraId="71EDE0FB"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Correlation between cotinine concentration and self-reported daily cigarette smoking rate:</w:t>
            </w:r>
          </w:p>
          <w:p w14:paraId="4DDCE077" w14:textId="77777777" w:rsidR="007F0AE0" w:rsidRPr="00494051" w:rsidRDefault="007F0AE0" w:rsidP="007F0AE0">
            <w:pPr>
              <w:pStyle w:val="ListParagraph"/>
              <w:widowControl w:val="0"/>
              <w:numPr>
                <w:ilvl w:val="0"/>
                <w:numId w:val="25"/>
              </w:numPr>
              <w:spacing w:before="60" w:after="120"/>
              <w:ind w:left="245" w:hanging="187"/>
              <w:rPr>
                <w:rFonts w:cstheme="minorHAnsi"/>
                <w:iCs/>
                <w:sz w:val="20"/>
                <w:szCs w:val="20"/>
              </w:rPr>
            </w:pPr>
            <w:r w:rsidRPr="00494051">
              <w:rPr>
                <w:rFonts w:cstheme="minorHAnsi"/>
                <w:i/>
                <w:iCs/>
                <w:sz w:val="20"/>
                <w:szCs w:val="20"/>
              </w:rPr>
              <w:t>r</w:t>
            </w:r>
            <w:r>
              <w:rPr>
                <w:rFonts w:cstheme="minorHAnsi"/>
                <w:i/>
                <w:iCs/>
                <w:sz w:val="20"/>
                <w:szCs w:val="20"/>
              </w:rPr>
              <w:t>=</w:t>
            </w:r>
            <w:r w:rsidRPr="00494051">
              <w:rPr>
                <w:rFonts w:cstheme="minorHAnsi"/>
                <w:iCs/>
                <w:sz w:val="20"/>
                <w:szCs w:val="20"/>
              </w:rPr>
              <w:t>0.27 (Study II)</w:t>
            </w:r>
          </w:p>
          <w:p w14:paraId="2D9C02A2"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Correlation between self-reported </w:t>
            </w:r>
            <w:r>
              <w:rPr>
                <w:rFonts w:cstheme="minorHAnsi"/>
                <w:iCs/>
                <w:sz w:val="20"/>
                <w:szCs w:val="20"/>
              </w:rPr>
              <w:t>CPD</w:t>
            </w:r>
            <w:r w:rsidRPr="00494051">
              <w:rPr>
                <w:rFonts w:cstheme="minorHAnsi"/>
                <w:iCs/>
                <w:sz w:val="20"/>
                <w:szCs w:val="20"/>
              </w:rPr>
              <w:t xml:space="preserve"> and cotinine concentration:</w:t>
            </w:r>
          </w:p>
          <w:p w14:paraId="551DCCAE" w14:textId="77777777" w:rsidR="007F0AE0" w:rsidRPr="00494051" w:rsidRDefault="007F0AE0" w:rsidP="007F0AE0">
            <w:pPr>
              <w:pStyle w:val="ListParagraph"/>
              <w:widowControl w:val="0"/>
              <w:numPr>
                <w:ilvl w:val="0"/>
                <w:numId w:val="25"/>
              </w:numPr>
              <w:spacing w:before="60" w:after="120"/>
              <w:ind w:left="245" w:hanging="187"/>
              <w:rPr>
                <w:rFonts w:cstheme="minorHAnsi"/>
                <w:iCs/>
                <w:sz w:val="20"/>
                <w:szCs w:val="20"/>
              </w:rPr>
            </w:pPr>
            <w:r w:rsidRPr="00494051">
              <w:rPr>
                <w:rFonts w:cstheme="minorHAnsi"/>
                <w:i/>
                <w:iCs/>
                <w:sz w:val="20"/>
                <w:szCs w:val="20"/>
              </w:rPr>
              <w:t>r</w:t>
            </w:r>
            <w:r>
              <w:rPr>
                <w:rFonts w:cstheme="minorHAnsi"/>
                <w:iCs/>
                <w:sz w:val="20"/>
                <w:szCs w:val="20"/>
              </w:rPr>
              <w:t>=0.47 (self-reported: &lt;</w:t>
            </w:r>
            <w:r w:rsidRPr="00494051">
              <w:rPr>
                <w:rFonts w:cstheme="minorHAnsi"/>
                <w:iCs/>
                <w:sz w:val="20"/>
                <w:szCs w:val="20"/>
              </w:rPr>
              <w:t xml:space="preserve">25 </w:t>
            </w:r>
            <w:r>
              <w:rPr>
                <w:rFonts w:cstheme="minorHAnsi"/>
                <w:iCs/>
                <w:sz w:val="20"/>
                <w:szCs w:val="20"/>
              </w:rPr>
              <w:t>CPD</w:t>
            </w:r>
            <w:r w:rsidRPr="00494051">
              <w:rPr>
                <w:rFonts w:cstheme="minorHAnsi"/>
                <w:iCs/>
                <w:sz w:val="20"/>
                <w:szCs w:val="20"/>
              </w:rPr>
              <w:t>)–Study II</w:t>
            </w:r>
          </w:p>
          <w:p w14:paraId="73420227" w14:textId="77777777" w:rsidR="007F0AE0" w:rsidRPr="00494051" w:rsidRDefault="007F0AE0" w:rsidP="007F0AE0">
            <w:pPr>
              <w:pStyle w:val="ListParagraph"/>
              <w:widowControl w:val="0"/>
              <w:numPr>
                <w:ilvl w:val="0"/>
                <w:numId w:val="25"/>
              </w:numPr>
              <w:spacing w:before="60" w:after="120"/>
              <w:ind w:left="245" w:hanging="187"/>
              <w:rPr>
                <w:rFonts w:cstheme="minorHAnsi"/>
                <w:iCs/>
                <w:sz w:val="20"/>
                <w:szCs w:val="20"/>
              </w:rPr>
            </w:pPr>
            <w:r w:rsidRPr="00494051">
              <w:rPr>
                <w:rFonts w:cstheme="minorHAnsi"/>
                <w:i/>
                <w:iCs/>
                <w:sz w:val="20"/>
                <w:szCs w:val="20"/>
              </w:rPr>
              <w:t>r</w:t>
            </w:r>
            <w:r>
              <w:rPr>
                <w:rFonts w:cstheme="minorHAnsi"/>
                <w:iCs/>
                <w:sz w:val="20"/>
                <w:szCs w:val="20"/>
              </w:rPr>
              <w:t>=-0.05 (self-reported: ≥</w:t>
            </w:r>
            <w:r w:rsidRPr="00494051">
              <w:rPr>
                <w:rFonts w:cstheme="minorHAnsi"/>
                <w:iCs/>
                <w:sz w:val="20"/>
                <w:szCs w:val="20"/>
              </w:rPr>
              <w:t xml:space="preserve">25 </w:t>
            </w:r>
            <w:r>
              <w:rPr>
                <w:rFonts w:cstheme="minorHAnsi"/>
                <w:iCs/>
                <w:sz w:val="20"/>
                <w:szCs w:val="20"/>
              </w:rPr>
              <w:t>CPD</w:t>
            </w:r>
            <w:r w:rsidRPr="00494051">
              <w:rPr>
                <w:rFonts w:cstheme="minorHAnsi"/>
                <w:iCs/>
                <w:sz w:val="20"/>
                <w:szCs w:val="20"/>
              </w:rPr>
              <w:t>)–Study II</w:t>
            </w:r>
          </w:p>
          <w:p w14:paraId="4659954B"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 xml:space="preserve">Study I: Baseline population: 63 current smokers (76% </w:t>
            </w:r>
            <w:r w:rsidRPr="00494051">
              <w:rPr>
                <w:rFonts w:cstheme="minorHAnsi"/>
                <w:i/>
                <w:iCs/>
                <w:sz w:val="20"/>
                <w:szCs w:val="20"/>
              </w:rPr>
              <w:lastRenderedPageBreak/>
              <w:t>female with a mean age of 41 years) enrolled in a worksite-based self-help smoking cessation program and 30 non-smokers (60% female).</w:t>
            </w:r>
          </w:p>
          <w:p w14:paraId="75C13349"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Study II: Baseline population: 96 smokers (74% female with a mean age of 39 years) who were hospital employees enrolled in a self-help smoking cessation program at the worksite (91 participants provided saliva samples).</w:t>
            </w:r>
          </w:p>
          <w:p w14:paraId="0FD97DF2" w14:textId="77777777" w:rsidR="007F0AE0" w:rsidRPr="00494051" w:rsidRDefault="007F0AE0" w:rsidP="00453DE3">
            <w:pPr>
              <w:widowControl w:val="0"/>
              <w:spacing w:before="60" w:after="120"/>
              <w:contextualSpacing/>
              <w:rPr>
                <w:rFonts w:cstheme="minorHAnsi"/>
                <w:iCs/>
                <w:sz w:val="20"/>
                <w:szCs w:val="20"/>
                <w:u w:val="single"/>
              </w:rPr>
            </w:pPr>
          </w:p>
          <w:p w14:paraId="25C15B4C"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PEVuZE5vdGU+PENpdGU+PEF1dGhvcj5Cb3JsYW5kPC9BdXRob3I+PFllYXI+MjAxMDwvWWVhcj48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00" w:tooltip="Borland, 2010 #156" w:history="1">
              <w:r>
                <w:rPr>
                  <w:rFonts w:cstheme="minorHAnsi"/>
                  <w:iCs/>
                  <w:noProof/>
                  <w:sz w:val="20"/>
                  <w:szCs w:val="20"/>
                  <w:u w:val="single"/>
                </w:rPr>
                <w:t>100</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5D836C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Telephone interview</w:t>
            </w:r>
          </w:p>
          <w:p w14:paraId="52BAEED3" w14:textId="77777777" w:rsidR="007F0AE0" w:rsidRPr="00494051" w:rsidRDefault="007F0AE0" w:rsidP="00453DE3">
            <w:pPr>
              <w:widowControl w:val="0"/>
              <w:spacing w:before="60" w:after="120"/>
              <w:contextualSpacing/>
              <w:rPr>
                <w:rFonts w:cstheme="minorHAnsi"/>
                <w:iCs/>
                <w:sz w:val="20"/>
                <w:szCs w:val="20"/>
              </w:rPr>
            </w:pPr>
          </w:p>
          <w:p w14:paraId="6868EFC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quit attempts at Wave 2 using measures of </w:t>
            </w:r>
            <w:r>
              <w:rPr>
                <w:rFonts w:cstheme="minorHAnsi"/>
                <w:iCs/>
                <w:sz w:val="20"/>
                <w:szCs w:val="20"/>
              </w:rPr>
              <w:t>CPD</w:t>
            </w:r>
            <w:r w:rsidRPr="00494051">
              <w:rPr>
                <w:rFonts w:cstheme="minorHAnsi"/>
                <w:iCs/>
                <w:sz w:val="20"/>
                <w:szCs w:val="20"/>
              </w:rPr>
              <w:t xml:space="preserve"> (square root) at Wave 1:</w:t>
            </w:r>
          </w:p>
          <w:p w14:paraId="1CC3074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(categorical): 0.86; p&lt;0.001</w:t>
            </w:r>
          </w:p>
          <w:p w14:paraId="00F9DBF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0.87; p&lt;0.001</w:t>
            </w:r>
          </w:p>
          <w:p w14:paraId="0C77A783"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quit attempts at Wave 3 using measures of </w:t>
            </w:r>
            <w:r>
              <w:rPr>
                <w:rFonts w:cstheme="minorHAnsi"/>
                <w:iCs/>
                <w:sz w:val="20"/>
                <w:szCs w:val="20"/>
              </w:rPr>
              <w:t>CPD</w:t>
            </w:r>
            <w:r w:rsidRPr="00494051">
              <w:rPr>
                <w:rFonts w:cstheme="minorHAnsi"/>
                <w:iCs/>
                <w:sz w:val="20"/>
                <w:szCs w:val="20"/>
              </w:rPr>
              <w:t xml:space="preserve"> (square root) at Wave 2:</w:t>
            </w:r>
          </w:p>
          <w:p w14:paraId="656202D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(categorical): 0.84; p&lt;0.001</w:t>
            </w:r>
          </w:p>
          <w:p w14:paraId="7C13C49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0.81; p&lt;0.001</w:t>
            </w:r>
          </w:p>
          <w:p w14:paraId="1D68B15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quit attempts at Wave 4 using measures of </w:t>
            </w:r>
            <w:r>
              <w:rPr>
                <w:rFonts w:cstheme="minorHAnsi"/>
                <w:iCs/>
                <w:sz w:val="20"/>
                <w:szCs w:val="20"/>
              </w:rPr>
              <w:t>CPD</w:t>
            </w:r>
            <w:r w:rsidRPr="00494051">
              <w:rPr>
                <w:rFonts w:cstheme="minorHAnsi"/>
                <w:iCs/>
                <w:sz w:val="20"/>
                <w:szCs w:val="20"/>
              </w:rPr>
              <w:t xml:space="preserve"> (square root) at Wave 3:</w:t>
            </w:r>
          </w:p>
          <w:p w14:paraId="546909B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(categorical): 0.84; p&lt;0.001</w:t>
            </w:r>
          </w:p>
          <w:p w14:paraId="5CA7600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0.84; p&lt;0.001</w:t>
            </w:r>
          </w:p>
          <w:p w14:paraId="1C1C4B4F" w14:textId="77777777" w:rsidR="007F0AE0" w:rsidRPr="00494051" w:rsidRDefault="007F0AE0" w:rsidP="00453DE3">
            <w:pPr>
              <w:widowControl w:val="0"/>
              <w:spacing w:before="60" w:after="120"/>
              <w:contextualSpacing/>
              <w:rPr>
                <w:rFonts w:cstheme="minorHAnsi"/>
                <w:iCs/>
                <w:sz w:val="20"/>
                <w:szCs w:val="20"/>
              </w:rPr>
            </w:pPr>
          </w:p>
          <w:p w14:paraId="0481C9D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sustained quitting (quit &gt;1 month) at Wave 2 using measures of </w:t>
            </w:r>
            <w:r>
              <w:rPr>
                <w:rFonts w:cstheme="minorHAnsi"/>
                <w:iCs/>
                <w:sz w:val="20"/>
                <w:szCs w:val="20"/>
              </w:rPr>
              <w:t>CPD</w:t>
            </w:r>
            <w:r w:rsidRPr="00494051">
              <w:rPr>
                <w:rFonts w:cstheme="minorHAnsi"/>
                <w:iCs/>
                <w:sz w:val="20"/>
                <w:szCs w:val="20"/>
              </w:rPr>
              <w:t xml:space="preserve"> (square root) at Wave 1:</w:t>
            </w:r>
          </w:p>
          <w:p w14:paraId="022973D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(categorical): 0.84; p&lt;0.01</w:t>
            </w:r>
          </w:p>
          <w:p w14:paraId="0B4E733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0.84; p&lt;0.001</w:t>
            </w:r>
          </w:p>
          <w:p w14:paraId="5BA7234E"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sustained quitting (quit &gt;1 month) at Wave 3 using measures of </w:t>
            </w:r>
            <w:r>
              <w:rPr>
                <w:rFonts w:cstheme="minorHAnsi"/>
                <w:iCs/>
                <w:sz w:val="20"/>
                <w:szCs w:val="20"/>
              </w:rPr>
              <w:t>CPD</w:t>
            </w:r>
            <w:r w:rsidRPr="00494051">
              <w:rPr>
                <w:rFonts w:cstheme="minorHAnsi"/>
                <w:iCs/>
                <w:sz w:val="20"/>
                <w:szCs w:val="20"/>
              </w:rPr>
              <w:t xml:space="preserve"> (square root) at Wave 2:</w:t>
            </w:r>
          </w:p>
          <w:p w14:paraId="360250C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(categorical): 0.71; p&lt;0.001</w:t>
            </w:r>
          </w:p>
          <w:p w14:paraId="11E0B61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0.81; p&lt;0.001</w:t>
            </w:r>
          </w:p>
          <w:p w14:paraId="74B71A46"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Predicting sustained quitting (quit &gt;1 month) at Wave 4 using measures of </w:t>
            </w:r>
            <w:r>
              <w:rPr>
                <w:rFonts w:cstheme="minorHAnsi"/>
                <w:iCs/>
                <w:sz w:val="20"/>
                <w:szCs w:val="20"/>
              </w:rPr>
              <w:t>CPD</w:t>
            </w:r>
            <w:r w:rsidRPr="00494051">
              <w:rPr>
                <w:rFonts w:cstheme="minorHAnsi"/>
                <w:iCs/>
                <w:sz w:val="20"/>
                <w:szCs w:val="20"/>
              </w:rPr>
              <w:t xml:space="preserve"> (square root) at Wave 3:</w:t>
            </w:r>
          </w:p>
          <w:p w14:paraId="2F77E1E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lastRenderedPageBreak/>
              <w:t>OR (categorical): 0.72; p&lt;0.001</w:t>
            </w:r>
          </w:p>
          <w:p w14:paraId="2522E33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OR (continuous): 0.76; p&lt;0.001</w:t>
            </w:r>
          </w:p>
          <w:p w14:paraId="46729B14" w14:textId="77777777" w:rsidR="007F0AE0" w:rsidRPr="00494051" w:rsidRDefault="007F0AE0" w:rsidP="00453DE3">
            <w:pPr>
              <w:widowControl w:val="0"/>
              <w:spacing w:before="60" w:after="120"/>
              <w:contextualSpacing/>
              <w:rPr>
                <w:rFonts w:cstheme="minorHAnsi"/>
                <w:iCs/>
                <w:sz w:val="20"/>
                <w:szCs w:val="20"/>
                <w:u w:val="single"/>
              </w:rPr>
            </w:pPr>
          </w:p>
          <w:p w14:paraId="35B424A9"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Daily smokers from Wave 1 to 4 of the International Tobacco Control cohort from the U.S., U.K., Canada, and Australia (wave 1 to 2: 5,459 participants; wave 2 to 3: 4,356 participants; wave 3 to 4: 4,376 participants; wave 1 to 3: 3,535 participants; wave 2 to 4: 3,080 participants; wave 1 to 4: 2,594 participants).</w:t>
            </w:r>
          </w:p>
          <w:p w14:paraId="5AEF2B6E" w14:textId="77777777" w:rsidR="007F0AE0" w:rsidRPr="00494051" w:rsidRDefault="007F0AE0" w:rsidP="00453DE3">
            <w:pPr>
              <w:widowControl w:val="0"/>
              <w:spacing w:before="60" w:after="120"/>
              <w:contextualSpacing/>
              <w:rPr>
                <w:rFonts w:cstheme="minorHAnsi"/>
                <w:i/>
                <w:iCs/>
                <w:sz w:val="20"/>
                <w:szCs w:val="20"/>
              </w:rPr>
            </w:pPr>
          </w:p>
          <w:p w14:paraId="2461F21B"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&lt;EndNote&gt;&lt;Cite&gt;&lt;Author&gt;Rahman&lt;/Author&gt;&lt;Year&gt;2016&lt;/Year&gt;&lt;RecNum&gt;2849&lt;/RecNum&gt;&lt;DisplayText&gt;(105)&lt;/DisplayText&gt;&lt;record&gt;&lt;rec-number&gt;2849&lt;/rec-number&gt;&lt;foreign-keys&gt;&lt;key app="EN" db-id="a2vz2dfp8xrad6exes75zwpiw5rxwa0vwapv" timestamp="1556134968"&gt;2849&lt;/key&gt;&lt;/foreign-keys&gt;&lt;ref-type name="Journal Article"&gt;17&lt;/ref-type&gt;&lt;contributors&gt;&lt;authors&gt;&lt;author&gt;Rahman, A.&lt;/author&gt;&lt;author&gt;Mohamad, M. H. N.&lt;/author&gt;&lt;author&gt;Jamshed, S. &lt;/author&gt;&lt;/authors&gt;&lt;/contributors&gt;&lt;titles&gt;&lt;title&gt;Evaluating effectiveness and safety toward electronic cigarette among Malaysian vapers: One-month observational study&lt;/title&gt;&lt;secondary-title&gt;Arch Pharma Pract&lt;/secondary-title&gt;&lt;/titles&gt;&lt;periodical&gt;&lt;full-title&gt;Arch Pharma Pract&lt;/full-title&gt;&lt;/periodical&gt;&lt;pages&gt;43&lt;/pages&gt;&lt;volume&gt;7&lt;/volume&gt;&lt;dates&gt;&lt;year&gt;2016&lt;/year&gt;&lt;/dates&gt;&lt;work-type&gt;REPLACE&lt;/work-type&gt;&lt;urls&gt;&lt;/urls&gt;&lt;/record&gt;&lt;/Cite&gt;&lt;/EndNote&gt;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05" w:tooltip="Rahman, 2016 #2849" w:history="1">
              <w:r>
                <w:rPr>
                  <w:rFonts w:cstheme="minorHAnsi"/>
                  <w:iCs/>
                  <w:noProof/>
                  <w:sz w:val="20"/>
                  <w:szCs w:val="20"/>
                  <w:u w:val="single"/>
                </w:rPr>
                <w:t>105</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5C91B2CC"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interview and biochemical validation</w:t>
            </w:r>
          </w:p>
          <w:p w14:paraId="5C8536C4" w14:textId="77777777" w:rsidR="007F0AE0" w:rsidRPr="00494051" w:rsidRDefault="007F0AE0" w:rsidP="00453DE3">
            <w:pPr>
              <w:widowControl w:val="0"/>
              <w:spacing w:before="60" w:after="120"/>
              <w:contextualSpacing/>
              <w:rPr>
                <w:rFonts w:cstheme="minorHAnsi"/>
                <w:iCs/>
                <w:sz w:val="20"/>
                <w:szCs w:val="20"/>
              </w:rPr>
            </w:pPr>
            <w:r>
              <w:rPr>
                <w:rFonts w:cstheme="minorHAnsi"/>
                <w:iCs/>
                <w:sz w:val="20"/>
                <w:szCs w:val="20"/>
              </w:rPr>
              <w:t>e</w:t>
            </w:r>
            <w:r w:rsidRPr="00494051">
              <w:rPr>
                <w:rFonts w:cstheme="minorHAnsi"/>
                <w:iCs/>
                <w:sz w:val="20"/>
                <w:szCs w:val="20"/>
              </w:rPr>
              <w:t xml:space="preserve">CO validation of </w:t>
            </w:r>
            <w:r>
              <w:rPr>
                <w:rFonts w:cstheme="minorHAnsi"/>
                <w:iCs/>
                <w:sz w:val="20"/>
                <w:szCs w:val="20"/>
              </w:rPr>
              <w:t>CPD</w:t>
            </w:r>
            <w:r w:rsidRPr="00494051">
              <w:rPr>
                <w:rFonts w:cstheme="minorHAnsi"/>
                <w:iCs/>
                <w:sz w:val="20"/>
                <w:szCs w:val="20"/>
              </w:rPr>
              <w:t>:</w:t>
            </w:r>
          </w:p>
          <w:p w14:paraId="7D92E44D" w14:textId="77777777" w:rsidR="007F0AE0" w:rsidRPr="00494051" w:rsidRDefault="007F0AE0" w:rsidP="007F0AE0">
            <w:pPr>
              <w:pStyle w:val="ListParagraph"/>
              <w:widowControl w:val="0"/>
              <w:numPr>
                <w:ilvl w:val="0"/>
                <w:numId w:val="26"/>
              </w:numPr>
              <w:spacing w:before="60" w:after="120"/>
              <w:ind w:left="245" w:hanging="187"/>
              <w:rPr>
                <w:rFonts w:cstheme="minorHAnsi"/>
                <w:iCs/>
                <w:sz w:val="20"/>
                <w:szCs w:val="20"/>
              </w:rPr>
            </w:pPr>
            <w:r w:rsidRPr="00494051">
              <w:rPr>
                <w:rFonts w:cstheme="minorHAnsi"/>
                <w:iCs/>
                <w:sz w:val="20"/>
                <w:szCs w:val="20"/>
              </w:rPr>
              <w:t xml:space="preserve">At baseline (N=148) for dual e-cigarette and cigarette users: self-reported </w:t>
            </w:r>
            <w:r>
              <w:rPr>
                <w:rFonts w:cstheme="minorHAnsi"/>
                <w:iCs/>
                <w:sz w:val="20"/>
                <w:szCs w:val="20"/>
              </w:rPr>
              <w:t>CPD</w:t>
            </w:r>
            <w:r w:rsidRPr="00494051">
              <w:rPr>
                <w:rFonts w:cstheme="minorHAnsi"/>
                <w:iCs/>
                <w:sz w:val="20"/>
                <w:szCs w:val="20"/>
              </w:rPr>
              <w:t xml:space="preserve"> was 5 (1–30) and 8 (1–59) when using </w:t>
            </w:r>
            <w:r>
              <w:rPr>
                <w:rFonts w:cstheme="minorHAnsi"/>
                <w:iCs/>
                <w:sz w:val="20"/>
                <w:szCs w:val="20"/>
              </w:rPr>
              <w:t>e</w:t>
            </w:r>
            <w:r w:rsidRPr="00494051">
              <w:rPr>
                <w:rFonts w:cstheme="minorHAnsi"/>
                <w:iCs/>
                <w:sz w:val="20"/>
                <w:szCs w:val="20"/>
              </w:rPr>
              <w:t>CO measurement.</w:t>
            </w:r>
          </w:p>
          <w:p w14:paraId="074D5BC8" w14:textId="77777777" w:rsidR="007F0AE0" w:rsidRPr="00494051" w:rsidRDefault="007F0AE0" w:rsidP="007F0AE0">
            <w:pPr>
              <w:pStyle w:val="ListParagraph"/>
              <w:widowControl w:val="0"/>
              <w:numPr>
                <w:ilvl w:val="0"/>
                <w:numId w:val="26"/>
              </w:numPr>
              <w:spacing w:before="60" w:after="120"/>
              <w:ind w:left="245" w:hanging="187"/>
              <w:rPr>
                <w:rFonts w:cstheme="minorHAnsi"/>
                <w:iCs/>
                <w:sz w:val="20"/>
                <w:szCs w:val="20"/>
              </w:rPr>
            </w:pPr>
            <w:r w:rsidRPr="00494051">
              <w:rPr>
                <w:rFonts w:cstheme="minorHAnsi"/>
                <w:iCs/>
                <w:sz w:val="20"/>
                <w:szCs w:val="20"/>
              </w:rPr>
              <w:t xml:space="preserve">At Week 4 (N=121) for dual e-cigarette and cigarette users: self-reported </w:t>
            </w:r>
            <w:r>
              <w:rPr>
                <w:rFonts w:cstheme="minorHAnsi"/>
                <w:iCs/>
                <w:sz w:val="20"/>
                <w:szCs w:val="20"/>
              </w:rPr>
              <w:t>CPD</w:t>
            </w:r>
            <w:r w:rsidRPr="00494051">
              <w:rPr>
                <w:rFonts w:cstheme="minorHAnsi"/>
                <w:iCs/>
                <w:sz w:val="20"/>
                <w:szCs w:val="20"/>
              </w:rPr>
              <w:t xml:space="preserve"> was 6 (2–20) and 5 (0–20) when using </w:t>
            </w:r>
            <w:r>
              <w:rPr>
                <w:rFonts w:cstheme="minorHAnsi"/>
                <w:iCs/>
                <w:sz w:val="20"/>
                <w:szCs w:val="20"/>
              </w:rPr>
              <w:t>e</w:t>
            </w:r>
            <w:r w:rsidRPr="00494051">
              <w:rPr>
                <w:rFonts w:cstheme="minorHAnsi"/>
                <w:iCs/>
                <w:sz w:val="20"/>
                <w:szCs w:val="20"/>
              </w:rPr>
              <w:t>CO measurement.</w:t>
            </w:r>
          </w:p>
          <w:p w14:paraId="3DC6BA3C"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Baseline population: 148 Malaysian dual e</w:t>
            </w:r>
            <w:r w:rsidRPr="00494051">
              <w:rPr>
                <w:rFonts w:ascii="Cambria Math" w:hAnsi="Cambria Math" w:cs="Cambria Math"/>
                <w:i/>
                <w:iCs/>
                <w:sz w:val="20"/>
                <w:szCs w:val="20"/>
              </w:rPr>
              <w:t>‑</w:t>
            </w:r>
            <w:r w:rsidRPr="00494051">
              <w:rPr>
                <w:rFonts w:cstheme="minorHAnsi"/>
                <w:i/>
                <w:iCs/>
                <w:sz w:val="20"/>
                <w:szCs w:val="20"/>
              </w:rPr>
              <w:t>cigarette and cigarette users (mean age: 23 years and mostly male: 98%).</w:t>
            </w:r>
          </w:p>
          <w:p w14:paraId="0BE35A94" w14:textId="77777777" w:rsidR="007F0AE0" w:rsidRPr="00494051" w:rsidRDefault="007F0AE0" w:rsidP="00453DE3">
            <w:pPr>
              <w:widowControl w:val="0"/>
              <w:spacing w:before="60" w:after="120"/>
              <w:contextualSpacing/>
              <w:rPr>
                <w:rFonts w:cstheme="minorHAnsi"/>
                <w:i/>
                <w:iCs/>
                <w:sz w:val="20"/>
                <w:szCs w:val="20"/>
              </w:rPr>
            </w:pPr>
          </w:p>
          <w:p w14:paraId="2C169DE2" w14:textId="77777777" w:rsidR="007F0AE0" w:rsidRPr="00494051" w:rsidRDefault="007F0AE0" w:rsidP="00453DE3">
            <w:pPr>
              <w:widowControl w:val="0"/>
              <w:spacing w:before="60" w:after="120"/>
              <w:contextualSpacing/>
              <w:rPr>
                <w:rFonts w:cstheme="minorHAnsi"/>
                <w:iCs/>
                <w:sz w:val="20"/>
                <w:szCs w:val="20"/>
              </w:rPr>
            </w:pPr>
            <w:r>
              <w:rPr>
                <w:rFonts w:cstheme="minorHAnsi"/>
                <w:iCs/>
                <w:sz w:val="20"/>
                <w:szCs w:val="20"/>
                <w:u w:val="single"/>
              </w:rPr>
              <w:fldChar w:fldCharType="begin">
                <w:fldData xml:space="preserve">PEVuZE5vdGU+PENpdGU+PEF1dGhvcj5SYW1vPC9BdXRob3I+PFllYXI+MjAxMTwvWWVhcj48UmVj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</w:fldData>
              </w:fldChar>
            </w:r>
            <w:r>
              <w:rPr>
                <w:rFonts w:cstheme="minorHAnsi"/>
                <w:iCs/>
                <w:sz w:val="20"/>
                <w:szCs w:val="20"/>
                <w:u w:val="single"/>
              </w:rPr>
              <w:instrText xml:space="preserve"> ADDIN EN.CITE </w:instrText>
            </w:r>
            <w:r>
              <w:rPr>
                <w:rFonts w:cstheme="minorHAnsi"/>
                <w:iCs/>
                <w:sz w:val="20"/>
                <w:szCs w:val="20"/>
                <w:u w:val="single"/>
              </w:rPr>
              <w:fldChar w:fldCharType="begin">
                <w:fldData xml:space="preserve">PEVuZE5vdGU+PENpdGU+PEF1dGhvcj5SYW1vPC9BdXRob3I+PFllYXI+MjAxMTwvWWVhcj48UmVj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</w:fldData>
              </w:fldChar>
            </w:r>
            <w:r>
              <w:rPr>
                <w:rFonts w:cstheme="minorHAnsi"/>
                <w:iCs/>
                <w:sz w:val="20"/>
                <w:szCs w:val="20"/>
                <w:u w:val="single"/>
              </w:rPr>
              <w:instrText xml:space="preserve"> ADDIN EN.CITE.DATA </w:instrText>
            </w:r>
            <w:r>
              <w:rPr>
                <w:rFonts w:cstheme="minorHAnsi"/>
                <w:iCs/>
                <w:sz w:val="20"/>
                <w:szCs w:val="20"/>
                <w:u w:val="single"/>
              </w:rPr>
            </w:r>
            <w:r>
              <w:rPr>
                <w:rFonts w:cstheme="minorHAnsi"/>
                <w:iCs/>
                <w:sz w:val="20"/>
                <w:szCs w:val="20"/>
                <w:u w:val="single"/>
              </w:rPr>
              <w:fldChar w:fldCharType="end"/>
            </w:r>
            <w:r>
              <w:rPr>
                <w:rFonts w:cstheme="minorHAnsi"/>
                <w:iCs/>
                <w:sz w:val="20"/>
                <w:szCs w:val="20"/>
                <w:u w:val="single"/>
              </w:rPr>
              <w:fldChar w:fldCharType="separate"/>
            </w:r>
            <w:r>
              <w:rPr>
                <w:rFonts w:cstheme="minorHAnsi"/>
                <w:iCs/>
                <w:noProof/>
                <w:sz w:val="20"/>
                <w:szCs w:val="20"/>
                <w:u w:val="single"/>
              </w:rPr>
              <w:t>(</w:t>
            </w:r>
            <w:hyperlink w:anchor="_ENREF_118" w:tooltip="Ramo, 2011 #182" w:history="1">
              <w:r>
                <w:rPr>
                  <w:rFonts w:cstheme="minorHAnsi"/>
                  <w:iCs/>
                  <w:noProof/>
                  <w:sz w:val="20"/>
                  <w:szCs w:val="20"/>
                  <w:u w:val="single"/>
                </w:rPr>
                <w:t>118</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r w:rsidRPr="00494051">
              <w:rPr>
                <w:rFonts w:cstheme="minorHAnsi"/>
                <w:iCs/>
                <w:sz w:val="20"/>
                <w:szCs w:val="20"/>
              </w:rPr>
              <w:t xml:space="preserve"> </w:t>
            </w:r>
          </w:p>
          <w:p w14:paraId="7AB3B0D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Cross-sectional anonymous online survey </w:t>
            </w:r>
          </w:p>
          <w:p w14:paraId="5A93AB07" w14:textId="77777777" w:rsidR="007F0AE0" w:rsidRPr="00494051" w:rsidRDefault="007F0AE0" w:rsidP="00453DE3">
            <w:pPr>
              <w:widowControl w:val="0"/>
              <w:spacing w:before="60" w:after="120"/>
              <w:contextualSpacing/>
              <w:rPr>
                <w:rFonts w:cstheme="minorHAnsi"/>
                <w:sz w:val="20"/>
                <w:szCs w:val="20"/>
              </w:rPr>
            </w:pPr>
            <w:r w:rsidRPr="00494051">
              <w:rPr>
                <w:rFonts w:cstheme="minorHAnsi"/>
                <w:sz w:val="20"/>
                <w:szCs w:val="20"/>
              </w:rPr>
              <w:t xml:space="preserve">Construct validity of </w:t>
            </w:r>
            <w:r>
              <w:rPr>
                <w:rFonts w:cstheme="minorHAnsi"/>
                <w:sz w:val="20"/>
                <w:szCs w:val="20"/>
              </w:rPr>
              <w:t>CPD</w:t>
            </w:r>
            <w:r w:rsidRPr="00494051">
              <w:rPr>
                <w:rFonts w:cstheme="minorHAnsi"/>
                <w:sz w:val="20"/>
                <w:szCs w:val="20"/>
              </w:rPr>
              <w:t xml:space="preserve"> with:</w:t>
            </w:r>
          </w:p>
          <w:p w14:paraId="6E1508AD" w14:textId="77777777" w:rsidR="007F0AE0" w:rsidRPr="00494051" w:rsidRDefault="007F0AE0" w:rsidP="007F0AE0">
            <w:pPr>
              <w:pStyle w:val="ListParagraph"/>
              <w:widowControl w:val="0"/>
              <w:numPr>
                <w:ilvl w:val="0"/>
                <w:numId w:val="24"/>
              </w:numPr>
              <w:spacing w:before="60" w:after="120"/>
              <w:ind w:left="245" w:hanging="187"/>
              <w:rPr>
                <w:rFonts w:cstheme="minorHAnsi"/>
                <w:sz w:val="20"/>
                <w:szCs w:val="20"/>
              </w:rPr>
            </w:pPr>
            <w:r w:rsidRPr="00494051">
              <w:rPr>
                <w:rFonts w:cstheme="minorHAnsi"/>
                <w:sz w:val="20"/>
                <w:szCs w:val="20"/>
              </w:rPr>
              <w:t xml:space="preserve">Lifetime quit attempts: </w:t>
            </w:r>
            <w:r w:rsidRPr="00494051">
              <w:rPr>
                <w:rFonts w:cstheme="minorHAnsi"/>
                <w:i/>
                <w:sz w:val="20"/>
                <w:szCs w:val="20"/>
              </w:rPr>
              <w:t>r</w:t>
            </w:r>
            <w:r w:rsidRPr="00494051">
              <w:rPr>
                <w:rFonts w:cstheme="minorHAnsi"/>
                <w:sz w:val="20"/>
                <w:szCs w:val="20"/>
              </w:rPr>
              <w:t xml:space="preserve">=0.23; p&lt;0.01 for daily smokers (N=166) and </w:t>
            </w:r>
            <w:r w:rsidRPr="00494051">
              <w:rPr>
                <w:rFonts w:cstheme="minorHAnsi"/>
                <w:i/>
                <w:sz w:val="20"/>
                <w:szCs w:val="20"/>
              </w:rPr>
              <w:t>r</w:t>
            </w:r>
            <w:r w:rsidRPr="00494051">
              <w:rPr>
                <w:rFonts w:cstheme="minorHAnsi"/>
                <w:sz w:val="20"/>
                <w:szCs w:val="20"/>
              </w:rPr>
              <w:t>=-0.09; p=NS for non-daily smokers (N=79)</w:t>
            </w:r>
          </w:p>
          <w:p w14:paraId="37FACC95" w14:textId="77777777" w:rsidR="007F0AE0" w:rsidRPr="00494051" w:rsidRDefault="007F0AE0" w:rsidP="007F0AE0">
            <w:pPr>
              <w:pStyle w:val="ListParagraph"/>
              <w:widowControl w:val="0"/>
              <w:numPr>
                <w:ilvl w:val="0"/>
                <w:numId w:val="24"/>
              </w:numPr>
              <w:spacing w:before="60" w:after="120"/>
              <w:ind w:left="245" w:hanging="187"/>
              <w:rPr>
                <w:rFonts w:cstheme="minorHAnsi"/>
                <w:sz w:val="20"/>
                <w:szCs w:val="20"/>
              </w:rPr>
            </w:pPr>
            <w:r w:rsidRPr="00494051">
              <w:rPr>
                <w:rFonts w:cstheme="minorHAnsi"/>
                <w:sz w:val="20"/>
                <w:szCs w:val="20"/>
              </w:rPr>
              <w:t xml:space="preserve">Past year quit attempt (yes/no): </w:t>
            </w:r>
            <w:r w:rsidRPr="00494051">
              <w:rPr>
                <w:rFonts w:cstheme="minorHAnsi"/>
                <w:i/>
                <w:sz w:val="20"/>
                <w:szCs w:val="20"/>
              </w:rPr>
              <w:t>r</w:t>
            </w:r>
            <w:r w:rsidRPr="00494051">
              <w:rPr>
                <w:rFonts w:cstheme="minorHAnsi"/>
                <w:sz w:val="20"/>
                <w:szCs w:val="20"/>
              </w:rPr>
              <w:t xml:space="preserve">=-0.06; p=NS for daily smokers (N=166) and </w:t>
            </w:r>
            <w:r w:rsidRPr="00494051">
              <w:rPr>
                <w:rFonts w:cstheme="minorHAnsi"/>
                <w:i/>
                <w:sz w:val="20"/>
                <w:szCs w:val="20"/>
              </w:rPr>
              <w:t>r</w:t>
            </w:r>
            <w:r w:rsidRPr="00494051">
              <w:rPr>
                <w:rFonts w:cstheme="minorHAnsi"/>
                <w:sz w:val="20"/>
                <w:szCs w:val="20"/>
              </w:rPr>
              <w:t>=-0.01; p=NS for non-daily smokers (N=79)</w:t>
            </w:r>
          </w:p>
          <w:p w14:paraId="2B875429" w14:textId="77777777" w:rsidR="007F0AE0" w:rsidRPr="00494051" w:rsidRDefault="007F0AE0" w:rsidP="007F0AE0">
            <w:pPr>
              <w:pStyle w:val="ListParagraph"/>
              <w:widowControl w:val="0"/>
              <w:numPr>
                <w:ilvl w:val="0"/>
                <w:numId w:val="24"/>
              </w:numPr>
              <w:spacing w:before="60" w:after="120"/>
              <w:ind w:left="245" w:hanging="187"/>
              <w:rPr>
                <w:rFonts w:cstheme="minorHAnsi"/>
                <w:sz w:val="20"/>
                <w:szCs w:val="20"/>
              </w:rPr>
            </w:pPr>
            <w:r w:rsidRPr="00494051">
              <w:rPr>
                <w:rFonts w:cstheme="minorHAnsi"/>
                <w:sz w:val="20"/>
                <w:szCs w:val="20"/>
              </w:rPr>
              <w:t xml:space="preserve">Longest length of abstinence (days): </w:t>
            </w:r>
            <w:r w:rsidRPr="00494051">
              <w:rPr>
                <w:rFonts w:cstheme="minorHAnsi"/>
                <w:i/>
                <w:sz w:val="20"/>
                <w:szCs w:val="20"/>
              </w:rPr>
              <w:t>r</w:t>
            </w:r>
            <w:r w:rsidRPr="00494051">
              <w:rPr>
                <w:rFonts w:cstheme="minorHAnsi"/>
                <w:sz w:val="20"/>
                <w:szCs w:val="20"/>
              </w:rPr>
              <w:t xml:space="preserve">=-0.01; p=NS for daily smokers (N=166) and </w:t>
            </w:r>
            <w:r w:rsidRPr="00494051">
              <w:rPr>
                <w:rFonts w:cstheme="minorHAnsi"/>
                <w:i/>
                <w:sz w:val="20"/>
                <w:szCs w:val="20"/>
              </w:rPr>
              <w:t>r</w:t>
            </w:r>
            <w:r w:rsidRPr="00494051">
              <w:rPr>
                <w:rFonts w:cstheme="minorHAnsi"/>
                <w:sz w:val="20"/>
                <w:szCs w:val="20"/>
              </w:rPr>
              <w:t xml:space="preserve">=-0.14; p=NS for non-daily </w:t>
            </w:r>
            <w:r w:rsidRPr="00494051">
              <w:rPr>
                <w:rFonts w:cstheme="minorHAnsi"/>
                <w:sz w:val="20"/>
                <w:szCs w:val="20"/>
              </w:rPr>
              <w:lastRenderedPageBreak/>
              <w:t>smokers (N=79)</w:t>
            </w:r>
          </w:p>
          <w:p w14:paraId="01B46F2E" w14:textId="77777777" w:rsidR="007F0AE0" w:rsidRPr="00494051" w:rsidRDefault="007F0AE0" w:rsidP="007F0AE0">
            <w:pPr>
              <w:pStyle w:val="ListParagraph"/>
              <w:widowControl w:val="0"/>
              <w:numPr>
                <w:ilvl w:val="0"/>
                <w:numId w:val="24"/>
              </w:numPr>
              <w:spacing w:before="60" w:after="120"/>
              <w:ind w:left="245" w:hanging="187"/>
              <w:rPr>
                <w:rFonts w:cstheme="minorHAnsi"/>
                <w:sz w:val="20"/>
                <w:szCs w:val="20"/>
              </w:rPr>
            </w:pPr>
            <w:r w:rsidRPr="00494051">
              <w:rPr>
                <w:rFonts w:cstheme="minorHAnsi"/>
                <w:sz w:val="20"/>
                <w:szCs w:val="20"/>
              </w:rPr>
              <w:t xml:space="preserve">Quitting efficacy (1–10): </w:t>
            </w:r>
            <w:r w:rsidRPr="00494051">
              <w:rPr>
                <w:rFonts w:cstheme="minorHAnsi"/>
                <w:i/>
                <w:sz w:val="20"/>
                <w:szCs w:val="20"/>
              </w:rPr>
              <w:t>r</w:t>
            </w:r>
            <w:r w:rsidRPr="00494051">
              <w:rPr>
                <w:rFonts w:cstheme="minorHAnsi"/>
                <w:sz w:val="20"/>
                <w:szCs w:val="20"/>
              </w:rPr>
              <w:t xml:space="preserve">=-0.22; p&lt;0.05 for daily smokers (N=166) and </w:t>
            </w:r>
            <w:r w:rsidRPr="00494051">
              <w:rPr>
                <w:rFonts w:cstheme="minorHAnsi"/>
                <w:i/>
                <w:sz w:val="20"/>
                <w:szCs w:val="20"/>
              </w:rPr>
              <w:t>r</w:t>
            </w:r>
            <w:r w:rsidRPr="00494051">
              <w:rPr>
                <w:rFonts w:cstheme="minorHAnsi"/>
                <w:sz w:val="20"/>
                <w:szCs w:val="20"/>
              </w:rPr>
              <w:t>=-0.10; p=NS for non-daily smokers (N=79)</w:t>
            </w:r>
          </w:p>
          <w:p w14:paraId="0219F9BA"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248 young adults aged 18 to 25 years who had smoked at least 1 cigarette in the past 30 days from the U.S. (N=167 daily smokers; N=81 non-daily smokers).</w:t>
            </w:r>
          </w:p>
          <w:p w14:paraId="398E0906" w14:textId="77777777" w:rsidR="007F0AE0" w:rsidRPr="00494051" w:rsidRDefault="007F0AE0" w:rsidP="00453DE3">
            <w:pPr>
              <w:widowControl w:val="0"/>
              <w:spacing w:before="60" w:after="120"/>
              <w:contextualSpacing/>
              <w:rPr>
                <w:rFonts w:cstheme="minorHAnsi"/>
                <w:iCs/>
                <w:sz w:val="20"/>
                <w:szCs w:val="20"/>
                <w:u w:val="single"/>
              </w:rPr>
            </w:pPr>
          </w:p>
          <w:p w14:paraId="18FCFB5A"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&lt;EndNote&gt;&lt;Cite&gt;&lt;Author&gt;Stanton&lt;/Author&gt;&lt;Year&gt;1996&lt;/Year&gt;&lt;RecNum&gt;313&lt;/RecNum&gt;&lt;DisplayText&gt;(119)&lt;/DisplayText&gt;&lt;record&gt;&lt;rec-number&gt;313&lt;/rec-number&gt;&lt;foreign-keys&gt;&lt;key app="EN" db-id="a2vz2dfp8xrad6exes75zwpiw5rxwa0vwapv" timestamp="1541528205"&gt;313&lt;/key&gt;&lt;/foreign-keys&gt;&lt;ref-type name="Journal Article"&gt;17&lt;/ref-type&gt;&lt;contributors&gt;&lt;authors&gt;&lt;author&gt;Stanton, W. R.&lt;/author&gt;&lt;author&gt;McClelland, M.&lt;/author&gt;&lt;author&gt;Elwood, C.&lt;/author&gt;&lt;author&gt;Ferry, D.&lt;/author&gt;&lt;author&gt;Silva, P. A.&lt;/author&gt;&lt;/authors&gt;&lt;/contributors&gt;&lt;auth-address&gt;Centre for Health Promotion and Cancer Prevention Research, University of Queensland Medical School, Herston, Australia.&lt;/auth-address&gt;&lt;titles&gt;&lt;title&gt;Prevalence, reliability and bias of adolescents&amp;apos; reports of smoking and quitting&lt;/title&gt;&lt;secondary-title&gt;Addiction&lt;/secondary-title&gt;&lt;alt-title&gt;Addiction (Abingdon, England)&lt;/alt-title&gt;&lt;/titles&gt;&lt;periodical&gt;&lt;full-title&gt;Addiction&lt;/full-title&gt;&lt;/periodical&gt;&lt;alt-periodical&gt;&lt;full-title&gt;Addiction (Abingdon, England)&lt;/full-title&gt;&lt;/alt-periodical&gt;&lt;pages&gt;1705-14&lt;/pages&gt;&lt;volume&gt;91&lt;/volume&gt;&lt;number&gt;11&lt;/number&gt;&lt;edition&gt;1996/11/01&lt;/edition&gt;&lt;keywords&gt;&lt;keyword&gt;Adolescent&lt;/keyword&gt;&lt;keyword&gt;Bias&lt;/keyword&gt;&lt;keyword&gt;Cohort Studies&lt;/keyword&gt;&lt;keyword&gt;Cross-Sectional Studies&lt;/keyword&gt;&lt;keyword&gt;Female&lt;/keyword&gt;&lt;keyword&gt;Health Knowledge, Attitudes, Practice&lt;/keyword&gt;&lt;keyword&gt;Humans&lt;/keyword&gt;&lt;keyword&gt;Incidence&lt;/keyword&gt;&lt;keyword&gt;Male&lt;/keyword&gt;&lt;keyword&gt;New Zealand/epidemiology&lt;/keyword&gt;&lt;keyword&gt;*Self Disclosure&lt;/keyword&gt;&lt;keyword&gt;Smoking/*epidemiology/psychology&lt;/keyword&gt;&lt;keyword&gt;Smoking Cessation/psychology/*statistics &amp;amp; numerical data&lt;/keyword&gt;&lt;keyword&gt;Smoking Prevention&lt;/keyword&gt;&lt;/keywords&gt;&lt;dates&gt;&lt;year&gt;1996&lt;/year&gt;&lt;pub-dates&gt;&lt;date&gt;Nov&lt;/date&gt;&lt;/pub-dates&gt;&lt;/dates&gt;&lt;isbn&gt;0965-2140 (Print)&amp;#xD;0965-2140&lt;/isbn&gt;&lt;accession-num&gt;8972928&lt;/accession-num&gt;&lt;urls&gt;&lt;/urls&gt;&lt;remote-database-provider&gt;NLM&lt;/remote-database-provider&gt;&lt;language&gt;eng&lt;/language&gt;&lt;/record&gt;&lt;/Cite&gt;&lt;/EndNote&gt;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119" w:tooltip="Stanton, 1996 #313" w:history="1">
              <w:r>
                <w:rPr>
                  <w:rFonts w:cstheme="minorHAnsi"/>
                  <w:iCs/>
                  <w:noProof/>
                  <w:sz w:val="20"/>
                  <w:szCs w:val="20"/>
                  <w:u w:val="single"/>
                </w:rPr>
                <w:t>119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3C43652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In-person interviews </w:t>
            </w:r>
          </w:p>
          <w:p w14:paraId="008CE25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 xml:space="preserve">Biochemical validation (cotinine concentration) of self-reported </w:t>
            </w:r>
            <w:r>
              <w:rPr>
                <w:rFonts w:cstheme="minorHAnsi"/>
                <w:iCs/>
                <w:sz w:val="20"/>
                <w:szCs w:val="20"/>
              </w:rPr>
              <w:t>CPD</w:t>
            </w:r>
            <w:r w:rsidRPr="00494051">
              <w:rPr>
                <w:rFonts w:cstheme="minorHAnsi"/>
                <w:iCs/>
                <w:sz w:val="20"/>
                <w:szCs w:val="20"/>
              </w:rPr>
              <w:t>:</w:t>
            </w:r>
          </w:p>
          <w:p w14:paraId="37D2D9AD"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
                <w:iCs/>
                <w:sz w:val="20"/>
                <w:szCs w:val="20"/>
              </w:rPr>
              <w:t>r</w:t>
            </w:r>
            <w:r>
              <w:rPr>
                <w:rFonts w:cstheme="minorHAnsi"/>
                <w:iCs/>
                <w:sz w:val="20"/>
                <w:szCs w:val="20"/>
              </w:rPr>
              <w:t>=</w:t>
            </w:r>
            <w:r w:rsidRPr="00494051">
              <w:rPr>
                <w:rFonts w:cstheme="minorHAnsi"/>
                <w:iCs/>
                <w:sz w:val="20"/>
                <w:szCs w:val="20"/>
              </w:rPr>
              <w:t xml:space="preserve">0.38; df=264; p&lt;0.001 (correlation of the number of </w:t>
            </w:r>
            <w:r>
              <w:rPr>
                <w:rFonts w:cstheme="minorHAnsi"/>
                <w:iCs/>
                <w:sz w:val="20"/>
                <w:szCs w:val="20"/>
              </w:rPr>
              <w:t>CPD</w:t>
            </w:r>
            <w:r w:rsidRPr="00494051">
              <w:rPr>
                <w:rFonts w:cstheme="minorHAnsi"/>
                <w:iCs/>
                <w:sz w:val="20"/>
                <w:szCs w:val="20"/>
              </w:rPr>
              <w:t xml:space="preserve"> by daily smokers with cotinine concentrations; self-reported number of </w:t>
            </w:r>
            <w:r>
              <w:rPr>
                <w:rFonts w:cstheme="minorHAnsi"/>
                <w:iCs/>
                <w:sz w:val="20"/>
                <w:szCs w:val="20"/>
              </w:rPr>
              <w:t>CPD</w:t>
            </w:r>
            <w:r w:rsidRPr="00494051">
              <w:rPr>
                <w:rFonts w:cstheme="minorHAnsi"/>
                <w:iCs/>
                <w:sz w:val="20"/>
                <w:szCs w:val="20"/>
              </w:rPr>
              <w:t xml:space="preserve"> by daily smokers: coded as “0, 1-5, 6-15, and 16 plus" assessed at 15 and 18 years of age)</w:t>
            </w:r>
          </w:p>
          <w:p w14:paraId="2EF587AF"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3 years</w:t>
            </w:r>
          </w:p>
          <w:p w14:paraId="1C630E9B" w14:textId="77777777" w:rsidR="007F0AE0" w:rsidRPr="00494051" w:rsidRDefault="007F0AE0" w:rsidP="00453DE3">
            <w:pPr>
              <w:widowControl w:val="0"/>
              <w:spacing w:before="60" w:after="120"/>
              <w:contextualSpacing/>
              <w:rPr>
                <w:rFonts w:cstheme="minorHAnsi"/>
                <w:i/>
                <w:iCs/>
                <w:sz w:val="20"/>
                <w:szCs w:val="20"/>
              </w:rPr>
            </w:pPr>
            <w:r w:rsidRPr="00494051">
              <w:rPr>
                <w:rFonts w:cstheme="minorHAnsi"/>
                <w:i/>
                <w:iCs/>
                <w:sz w:val="20"/>
                <w:szCs w:val="20"/>
              </w:rPr>
              <w:t xml:space="preserve">Daily smokers in New Zealand who were part of a longitudinal study (Sample of 18-year-olds: N=937 participants self-reporting their </w:t>
            </w:r>
            <w:r>
              <w:rPr>
                <w:rFonts w:cstheme="minorHAnsi"/>
                <w:i/>
                <w:iCs/>
                <w:sz w:val="20"/>
                <w:szCs w:val="20"/>
              </w:rPr>
              <w:t>CPD</w:t>
            </w:r>
            <w:r w:rsidRPr="00494051">
              <w:rPr>
                <w:rFonts w:cstheme="minorHAnsi"/>
                <w:i/>
                <w:iCs/>
                <w:sz w:val="20"/>
                <w:szCs w:val="20"/>
              </w:rPr>
              <w:t xml:space="preserve"> and N=861 participants providing saliva specimens); this study examines changes in smoking from 15–18 years).</w:t>
            </w:r>
          </w:p>
          <w:p w14:paraId="1F341578" w14:textId="77777777" w:rsidR="007F0AE0" w:rsidRPr="00A57C7E" w:rsidRDefault="007F0AE0" w:rsidP="00453DE3">
            <w:pPr>
              <w:widowControl w:val="0"/>
              <w:spacing w:before="60" w:after="120"/>
              <w:contextualSpacing/>
              <w:rPr>
                <w:rFonts w:cstheme="minorHAnsi"/>
                <w:i/>
                <w:iCs/>
                <w:sz w:val="20"/>
                <w:szCs w:val="20"/>
              </w:rPr>
            </w:pPr>
          </w:p>
          <w:p w14:paraId="2C28692C" w14:textId="77777777" w:rsidR="007F0AE0" w:rsidRPr="00791C49" w:rsidRDefault="007F0AE0" w:rsidP="00453DE3">
            <w:pPr>
              <w:widowControl w:val="0"/>
              <w:spacing w:after="120"/>
              <w:contextualSpacing/>
              <w:rPr>
                <w:rFonts w:cstheme="minorHAnsi"/>
                <w:sz w:val="20"/>
                <w:szCs w:val="20"/>
                <w:u w:val="single"/>
              </w:rPr>
            </w:pPr>
            <w:r w:rsidRPr="00791C49">
              <w:rPr>
                <w:rFonts w:cstheme="minorHAnsi"/>
                <w:sz w:val="20"/>
                <w:szCs w:val="20"/>
                <w:u w:val="single"/>
              </w:rPr>
              <w:t>(Rostron et al., 2019)</w:t>
            </w:r>
          </w:p>
          <w:p w14:paraId="255788E4" w14:textId="77777777" w:rsidR="007F0AE0" w:rsidRPr="00791C49" w:rsidRDefault="007F0AE0" w:rsidP="00453DE3">
            <w:pPr>
              <w:widowControl w:val="0"/>
              <w:spacing w:after="120"/>
              <w:contextualSpacing/>
              <w:rPr>
                <w:rFonts w:cstheme="minorHAnsi"/>
                <w:i/>
                <w:sz w:val="20"/>
                <w:szCs w:val="20"/>
              </w:rPr>
            </w:pPr>
            <w:r w:rsidRPr="00791C49">
              <w:rPr>
                <w:rFonts w:cstheme="minorHAnsi"/>
                <w:i/>
                <w:sz w:val="20"/>
                <w:szCs w:val="20"/>
              </w:rPr>
              <w:t>Trend between self-reported CPD levels and biomarker concentrations for exclusive cigarette smokers:</w:t>
            </w:r>
          </w:p>
          <w:p w14:paraId="2A2B4661" w14:textId="77777777" w:rsidR="007F0AE0" w:rsidRPr="00791C49" w:rsidRDefault="007F0AE0" w:rsidP="00453DE3">
            <w:pPr>
              <w:widowControl w:val="0"/>
              <w:spacing w:after="120"/>
              <w:contextualSpacing/>
              <w:rPr>
                <w:rFonts w:cstheme="minorHAnsi"/>
                <w:i/>
                <w:sz w:val="20"/>
                <w:szCs w:val="20"/>
              </w:rPr>
            </w:pPr>
            <w:r w:rsidRPr="00791C49">
              <w:rPr>
                <w:rFonts w:cstheme="minorHAnsi"/>
                <w:i/>
                <w:sz w:val="20"/>
                <w:szCs w:val="20"/>
              </w:rPr>
              <w:t>TNE-2 (µmol/g creatinine) GM</w:t>
            </w:r>
          </w:p>
          <w:p w14:paraId="5937CFE1"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Never tobacco users: GM = 0.01 (95% CI: 0.01 to 0.01) (N = 1,633)</w:t>
            </w:r>
          </w:p>
          <w:p w14:paraId="4D2EC002"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0-4 CPD: GM = 9.88 (95% CI: 5.82 to 16.78) (N = 110)</w:t>
            </w:r>
          </w:p>
          <w:p w14:paraId="1588DB54"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5-9 CPD: GM = 26.43 (95% CI: 23.23 to 30.07) (N = 305)</w:t>
            </w:r>
          </w:p>
          <w:p w14:paraId="3E52EDBF"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10-14 CPD: GM = 47.98 (95% CI: 44.14 to 52.16) (N = 474)</w:t>
            </w:r>
          </w:p>
          <w:p w14:paraId="0E779620"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15-19 CPD: GM = 53.56 (95% CI: 47.95 to 59.83) (N = 276)</w:t>
            </w:r>
          </w:p>
          <w:p w14:paraId="1CC70605"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20-24 CPD: GM = 62.54 (95% CI: 57.12 to 68.48) (N = 560)</w:t>
            </w:r>
          </w:p>
          <w:p w14:paraId="1A3EB0BB"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lastRenderedPageBreak/>
              <w:t>25-60 CPD: GM = 78.11 (95% CI: 69.12 to 88.26) (N = 226)</w:t>
            </w:r>
          </w:p>
          <w:p w14:paraId="720EB146"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All daily smokers: GM = 46.42 (95% CI: 43.22 to 49.85) (N = 1,951)</w:t>
            </w:r>
          </w:p>
          <w:p w14:paraId="38B3C53D"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p-value for trend&lt;0.0001</w:t>
            </w:r>
          </w:p>
          <w:p w14:paraId="63A283E8" w14:textId="77777777" w:rsidR="007F0AE0" w:rsidRPr="00791C49" w:rsidRDefault="007F0AE0" w:rsidP="00453DE3">
            <w:pPr>
              <w:widowControl w:val="0"/>
              <w:spacing w:after="120"/>
              <w:contextualSpacing/>
              <w:rPr>
                <w:rFonts w:cstheme="minorHAnsi"/>
                <w:i/>
                <w:sz w:val="20"/>
                <w:szCs w:val="20"/>
              </w:rPr>
            </w:pPr>
            <w:r w:rsidRPr="00791C49">
              <w:rPr>
                <w:rFonts w:cstheme="minorHAnsi"/>
                <w:i/>
                <w:sz w:val="20"/>
                <w:szCs w:val="20"/>
              </w:rPr>
              <w:t>NNAL (ng/g creatinine) GM</w:t>
            </w:r>
          </w:p>
          <w:p w14:paraId="6CAB57CF"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Never tobacco users: GM = 0.92 (95% CI: 0.82 to 1.04) (N = 1,653)</w:t>
            </w:r>
          </w:p>
          <w:p w14:paraId="04549C0F"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0-4 CPD: GM = 67.24 (95% CI: 45.76 to 98.80) (N = 111)</w:t>
            </w:r>
          </w:p>
          <w:p w14:paraId="3CF3A8AB"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5-9 CPD: GM = 155.26 (95% CI: 133.54 to 180.50) (N = 304)</w:t>
            </w:r>
          </w:p>
          <w:p w14:paraId="6A9A6AF4"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10-14 CPD: GM = 295.76 (95% CI: 267.15 to 327.43) (N = 474)</w:t>
            </w:r>
          </w:p>
          <w:p w14:paraId="410613BE"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15-19 CPD: GM = 343.03 (95% CI: 309.39 to 380.33) (N = 276)</w:t>
            </w:r>
          </w:p>
          <w:p w14:paraId="21303897"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20-24 CPD: GM = 405.17 (95% CI: 372.37 to 440.85) (N = 560)</w:t>
            </w:r>
          </w:p>
          <w:p w14:paraId="51F7C728"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25-60 CPD: GM = 582.55 (95% CI: 492.78 to 688.68) (N = 226)</w:t>
            </w:r>
          </w:p>
          <w:p w14:paraId="29A01C41"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All daily smokers: GM = 298.01 (95% CI: 275.37 to 322.50) (N = 1,951)</w:t>
            </w:r>
          </w:p>
          <w:p w14:paraId="7E68B177" w14:textId="77777777" w:rsidR="007F0AE0" w:rsidRPr="00791C49" w:rsidRDefault="007F0AE0" w:rsidP="00453DE3">
            <w:pPr>
              <w:widowControl w:val="0"/>
              <w:spacing w:after="120"/>
              <w:contextualSpacing/>
              <w:rPr>
                <w:rFonts w:cstheme="minorHAnsi"/>
                <w:sz w:val="20"/>
                <w:szCs w:val="20"/>
              </w:rPr>
            </w:pPr>
            <w:r w:rsidRPr="00791C49">
              <w:rPr>
                <w:rFonts w:cstheme="minorHAnsi"/>
                <w:sz w:val="20"/>
                <w:szCs w:val="20"/>
              </w:rPr>
              <w:t>p-value for trend&lt;0.0001</w:t>
            </w:r>
          </w:p>
          <w:p w14:paraId="116D29DB" w14:textId="77777777" w:rsidR="007F0AE0" w:rsidRPr="00494051" w:rsidRDefault="007F0AE0" w:rsidP="00453DE3">
            <w:pPr>
              <w:widowControl w:val="0"/>
              <w:spacing w:after="120"/>
              <w:contextualSpacing/>
              <w:rPr>
                <w:rFonts w:cstheme="minorHAnsi"/>
                <w:sz w:val="18"/>
                <w:szCs w:val="18"/>
              </w:rPr>
            </w:pPr>
            <w:r w:rsidRPr="00791C49">
              <w:rPr>
                <w:rFonts w:cstheme="minorHAnsi"/>
                <w:i/>
                <w:sz w:val="20"/>
                <w:szCs w:val="20"/>
              </w:rPr>
              <w:t>Participants of PATH survey (U.S.) from Wave 1 that provided urine and blood samples for biomarker analysis.</w:t>
            </w:r>
          </w:p>
        </w:tc>
      </w:tr>
      <w:tr w:rsidR="007F0AE0" w:rsidRPr="00494051" w14:paraId="2E9B68DA" w14:textId="77777777" w:rsidTr="00453DE3">
        <w:tc>
          <w:tcPr>
            <w:tcW w:w="2065" w:type="dxa"/>
            <w:shd w:val="clear" w:color="auto" w:fill="auto"/>
          </w:tcPr>
          <w:p w14:paraId="18023BF2" w14:textId="77777777" w:rsidR="007F0AE0" w:rsidRPr="00494051" w:rsidRDefault="007F0AE0" w:rsidP="00453DE3">
            <w:pPr>
              <w:widowControl w:val="0"/>
              <w:rPr>
                <w:rFonts w:cstheme="minorHAnsi"/>
                <w:sz w:val="18"/>
                <w:szCs w:val="18"/>
              </w:rPr>
            </w:pPr>
            <w:r>
              <w:rPr>
                <w:rFonts w:cstheme="minorHAnsi"/>
                <w:sz w:val="18"/>
                <w:szCs w:val="18"/>
              </w:rPr>
              <w:lastRenderedPageBreak/>
              <w:t>Return to smoking</w:t>
            </w:r>
            <w:r w:rsidRPr="00494051">
              <w:rPr>
                <w:rFonts w:cstheme="minorHAnsi"/>
                <w:sz w:val="18"/>
                <w:szCs w:val="18"/>
              </w:rPr>
              <w:t>/relapse</w:t>
            </w:r>
          </w:p>
        </w:tc>
        <w:tc>
          <w:tcPr>
            <w:tcW w:w="1350" w:type="dxa"/>
            <w:shd w:val="clear" w:color="auto" w:fill="auto"/>
          </w:tcPr>
          <w:p w14:paraId="28C277A0" w14:textId="77777777" w:rsidR="007F0AE0" w:rsidRPr="00494051" w:rsidRDefault="007F0AE0" w:rsidP="00453DE3">
            <w:pPr>
              <w:widowControl w:val="0"/>
              <w:rPr>
                <w:rFonts w:cstheme="minorHAnsi"/>
                <w:b/>
                <w:sz w:val="18"/>
                <w:szCs w:val="18"/>
              </w:rPr>
            </w:pPr>
            <w:r w:rsidRPr="00494051">
              <w:rPr>
                <w:rFonts w:cstheme="minorHAnsi"/>
                <w:b/>
                <w:sz w:val="18"/>
                <w:szCs w:val="18"/>
              </w:rPr>
              <w:t>INCONCLUSIVE</w:t>
            </w:r>
          </w:p>
          <w:p w14:paraId="4773FE41" w14:textId="77777777" w:rsidR="007F0AE0" w:rsidRPr="00494051" w:rsidRDefault="007F0AE0" w:rsidP="00453DE3">
            <w:pPr>
              <w:widowControl w:val="0"/>
              <w:rPr>
                <w:rFonts w:cstheme="minorHAnsi"/>
                <w:sz w:val="18"/>
                <w:szCs w:val="18"/>
              </w:rPr>
            </w:pPr>
          </w:p>
        </w:tc>
        <w:tc>
          <w:tcPr>
            <w:tcW w:w="5310" w:type="dxa"/>
            <w:shd w:val="clear" w:color="auto" w:fill="auto"/>
          </w:tcPr>
          <w:p w14:paraId="47EDE83E" w14:textId="77777777" w:rsidR="007F0AE0" w:rsidRPr="00494051" w:rsidRDefault="007F0AE0" w:rsidP="00453DE3">
            <w:pPr>
              <w:widowControl w:val="0"/>
              <w:spacing w:before="60" w:after="120"/>
              <w:contextualSpacing/>
              <w:rPr>
                <w:rFonts w:cstheme="minorHAnsi"/>
                <w:iCs/>
                <w:sz w:val="20"/>
                <w:szCs w:val="20"/>
                <w:u w:val="single"/>
              </w:rPr>
            </w:pPr>
            <w:r>
              <w:rPr>
                <w:rFonts w:cstheme="minorHAnsi"/>
                <w:iCs/>
                <w:sz w:val="20"/>
                <w:szCs w:val="20"/>
                <w:u w:val="single"/>
              </w:rPr>
              <w:fldChar w:fldCharType="begin"/>
            </w:r>
            <w:r>
              <w:rPr>
                <w:rFonts w:cstheme="minorHAnsi"/>
                <w:iCs/>
                <w:sz w:val="20"/>
                <w:szCs w:val="20"/>
                <w:u w:val="single"/>
              </w:rPr>
              <w:instrText xml:space="preserve"> ADDIN EN.CITE &lt;EndNote&gt;&lt;Cite&gt;&lt;Author&gt;Colby&lt;/Author&gt;&lt;Year&gt;2012&lt;/Year&gt;&lt;RecNum&gt;311&lt;/RecNum&gt;&lt;DisplayText&gt;(99)&lt;/DisplayText&gt;&lt;record&gt;&lt;rec-number&gt;311&lt;/rec-number&gt;&lt;foreign-keys&gt;&lt;key app="EN" db-id="a2vz2dfp8xrad6exes75zwpiw5rxwa0vwapv" timestamp="1541524535"&gt;311&lt;/key&gt;&lt;/foreign-keys&gt;&lt;ref-type name="Journal Article"&gt;17&lt;/ref-type&gt;&lt;contributors&gt;&lt;authors&gt;&lt;author&gt;Colby, S.M.&lt;/author&gt;&lt;author&gt;Clark, M.A.&lt;/author&gt;&lt;author&gt;Rogers, M.L.&lt;/author&gt;&lt;author&gt;Ramsey, S.&lt;/author&gt;&lt;author&gt;Graham, A.L.&lt;/author&gt;&lt;author&gt;Boergers, J.&lt;/author&gt;&lt;author&gt;Kahler, C.W.&lt;/author&gt;&lt;author&gt;Papandonatos, G.D.&lt;/author&gt;&lt;author&gt;Buka, S.L.&lt;/author&gt;&lt;author&gt;Niaura, R.S.&lt;/author&gt;&lt;author&gt;Abrams, D.B.&lt;/author&gt;&lt;/authors&gt;&lt;/contributors&gt;&lt;titles&gt;&lt;title&gt;Development and reliability of the lifetime interview on smoking trajectories&lt;/title&gt;&lt;secondary-title&gt;Nicotine &amp;amp; tobacco research : official journal of the Society for Research on Nicotine and Tobacco&lt;/secondary-title&gt;&lt;/titles&gt;&lt;periodical&gt;&lt;full-title&gt;Nicotine &amp;amp; tobacco research : official journal of the Society for Research on Nicotine and Tobacco&lt;/full-title&gt;&lt;/periodical&gt;&lt;pages&gt;290-298&lt;/pages&gt;&lt;volume&gt;14&lt;/volume&gt;&lt;number&gt;3&lt;/number&gt;&lt;edition&gt;10/12&lt;/edition&gt;&lt;dates&gt;&lt;year&gt;2012&lt;/year&gt;&lt;/dates&gt;&lt;publisher&gt;Oxford University Press&lt;/publisher&gt;&lt;isbn&gt;1469-994X&amp;#xD;1462-2203&lt;/isbn&gt;&lt;accession-num&gt;21994340&lt;/accession-num&gt;&lt;urls&gt;&lt;related-urls&gt;&lt;url&gt;https://www.ncbi.nlm.nih.gov/pubmed/21994340&lt;/url&gt;&lt;url&gt;https://www.ncbi.nlm.nih.gov/pmc/PMC3281239/&lt;/url&gt;&lt;/related-urls&gt;&lt;/urls&gt;&lt;electronic-resource-num&gt;10.1093/ntr/ntr212&lt;/electronic-resource-num&gt;&lt;remote-database-name&gt;PubMed&lt;/remote-database-name&gt;&lt;/record&gt;&lt;/Cite&gt;&lt;/EndNote&gt;</w:instrText>
            </w:r>
            <w:r>
              <w:rPr>
                <w:rFonts w:cstheme="minorHAnsi"/>
                <w:iCs/>
                <w:sz w:val="20"/>
                <w:szCs w:val="20"/>
                <w:u w:val="single"/>
              </w:rPr>
              <w:fldChar w:fldCharType="separate"/>
            </w:r>
            <w:r>
              <w:rPr>
                <w:rFonts w:cstheme="minorHAnsi"/>
                <w:iCs/>
                <w:noProof/>
                <w:sz w:val="20"/>
                <w:szCs w:val="20"/>
                <w:u w:val="single"/>
              </w:rPr>
              <w:t>(</w:t>
            </w:r>
            <w:hyperlink w:anchor="_ENREF_99" w:tooltip="Colby, 2012 #311" w:history="1">
              <w:r>
                <w:rPr>
                  <w:rFonts w:cstheme="minorHAnsi"/>
                  <w:iCs/>
                  <w:noProof/>
                  <w:sz w:val="20"/>
                  <w:szCs w:val="20"/>
                  <w:u w:val="single"/>
                </w:rPr>
                <w:t>99</w:t>
              </w:r>
            </w:hyperlink>
            <w:r>
              <w:rPr>
                <w:rFonts w:cstheme="minorHAnsi"/>
                <w:iCs/>
                <w:noProof/>
                <w:sz w:val="20"/>
                <w:szCs w:val="20"/>
                <w:u w:val="single"/>
              </w:rPr>
              <w:t>)</w:t>
            </w:r>
            <w:r>
              <w:rPr>
                <w:rFonts w:cstheme="minorHAnsi"/>
                <w:iCs/>
                <w:sz w:val="20"/>
                <w:szCs w:val="20"/>
                <w:u w:val="single"/>
              </w:rPr>
              <w:fldChar w:fldCharType="end"/>
            </w:r>
            <w:r w:rsidRPr="00494051">
              <w:rPr>
                <w:rFonts w:cstheme="minorHAnsi"/>
                <w:iCs/>
                <w:sz w:val="20"/>
                <w:szCs w:val="20"/>
                <w:u w:val="single"/>
              </w:rPr>
              <w:t>:</w:t>
            </w:r>
          </w:p>
          <w:p w14:paraId="0CF36A31"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In-person, telephone or videotaped interviews</w:t>
            </w:r>
          </w:p>
          <w:p w14:paraId="713DA134"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Lifetime smoking milestones (smoked cigarettes again [%]):</w:t>
            </w:r>
          </w:p>
          <w:p w14:paraId="645E4C10"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k= 0.78</w:t>
            </w:r>
          </w:p>
          <w:p w14:paraId="1098EB8A" w14:textId="77777777" w:rsidR="007F0AE0" w:rsidRPr="00494051" w:rsidRDefault="007F0AE0" w:rsidP="00453DE3">
            <w:pPr>
              <w:widowControl w:val="0"/>
              <w:spacing w:before="60" w:after="120"/>
              <w:contextualSpacing/>
              <w:rPr>
                <w:rFonts w:cstheme="minorHAnsi"/>
                <w:iCs/>
                <w:sz w:val="20"/>
                <w:szCs w:val="20"/>
              </w:rPr>
            </w:pPr>
            <w:r w:rsidRPr="00494051">
              <w:rPr>
                <w:rFonts w:cstheme="minorHAnsi"/>
                <w:iCs/>
                <w:sz w:val="20"/>
                <w:szCs w:val="20"/>
              </w:rPr>
              <w:t>Test-retest interval: 4 to 8 weeks</w:t>
            </w:r>
          </w:p>
          <w:p w14:paraId="5590CBEC" w14:textId="77777777" w:rsidR="007F0AE0" w:rsidRPr="00494051" w:rsidRDefault="007F0AE0" w:rsidP="00453DE3">
            <w:pPr>
              <w:widowControl w:val="0"/>
              <w:spacing w:after="120"/>
              <w:contextualSpacing/>
              <w:rPr>
                <w:rFonts w:cstheme="minorHAnsi"/>
                <w:sz w:val="18"/>
                <w:szCs w:val="18"/>
              </w:rPr>
            </w:pPr>
            <w:r w:rsidRPr="00494051">
              <w:rPr>
                <w:rFonts w:cstheme="minorHAnsi"/>
                <w:i/>
                <w:iCs/>
                <w:sz w:val="20"/>
                <w:szCs w:val="20"/>
              </w:rPr>
              <w:t>220 adults (baseline sample: 1,625 adults ages 34-44, mainly white, from the U.S.)</w:t>
            </w:r>
          </w:p>
        </w:tc>
        <w:tc>
          <w:tcPr>
            <w:tcW w:w="4914" w:type="dxa"/>
          </w:tcPr>
          <w:p w14:paraId="2EEBFED1" w14:textId="77777777" w:rsidR="007F0AE0" w:rsidRPr="00494051" w:rsidRDefault="007F0AE0" w:rsidP="00453DE3">
            <w:pPr>
              <w:widowControl w:val="0"/>
              <w:rPr>
                <w:rFonts w:cstheme="minorHAnsi"/>
                <w:sz w:val="18"/>
                <w:szCs w:val="18"/>
              </w:rPr>
            </w:pPr>
            <w:r w:rsidRPr="00494051">
              <w:rPr>
                <w:rFonts w:cstheme="minorHAnsi"/>
                <w:b/>
                <w:sz w:val="18"/>
                <w:szCs w:val="18"/>
              </w:rPr>
              <w:t>--</w:t>
            </w:r>
          </w:p>
        </w:tc>
      </w:tr>
    </w:tbl>
    <w:p w14:paraId="1B122D44" w14:textId="77777777" w:rsidR="007F0AE0" w:rsidRDefault="007F0AE0" w:rsidP="007F0AE0">
      <w:pPr>
        <w:spacing w:before="60"/>
        <w:rPr>
          <w:rFonts w:cstheme="minorHAnsi"/>
          <w:sz w:val="20"/>
          <w:szCs w:val="20"/>
        </w:rPr>
        <w:sectPr w:rsidR="007F0AE0" w:rsidSect="00602C70">
          <w:pgSz w:w="15840" w:h="12240" w:orient="landscape"/>
          <w:pgMar w:top="1296" w:right="1152" w:bottom="1296" w:left="1152" w:header="720" w:footer="720" w:gutter="0"/>
          <w:cols w:space="720"/>
          <w:docGrid w:linePitch="360"/>
        </w:sectPr>
      </w:pPr>
      <w:r>
        <w:rPr>
          <w:rFonts w:cstheme="minorHAnsi"/>
          <w:sz w:val="20"/>
          <w:szCs w:val="20"/>
        </w:rPr>
        <w:t>COPD=</w:t>
      </w:r>
      <w:r w:rsidRPr="00494051">
        <w:rPr>
          <w:rFonts w:cstheme="minorHAnsi"/>
          <w:sz w:val="20"/>
          <w:szCs w:val="20"/>
        </w:rPr>
        <w:t xml:space="preserve">chronic obstructive pulmonary disease; </w:t>
      </w:r>
      <w:r>
        <w:rPr>
          <w:rFonts w:cstheme="minorHAnsi"/>
          <w:sz w:val="20"/>
          <w:szCs w:val="20"/>
        </w:rPr>
        <w:t>CPD=</w:t>
      </w:r>
      <w:r w:rsidRPr="00494051">
        <w:rPr>
          <w:rFonts w:cstheme="minorHAnsi"/>
          <w:sz w:val="20"/>
          <w:szCs w:val="20"/>
        </w:rPr>
        <w:t>cigarettes per day;</w:t>
      </w:r>
      <w:r>
        <w:rPr>
          <w:rFonts w:cstheme="minorHAnsi"/>
          <w:sz w:val="20"/>
          <w:szCs w:val="20"/>
        </w:rPr>
        <w:t xml:space="preserve"> df=degrees of freedom;</w:t>
      </w:r>
      <w:r w:rsidRPr="00494051">
        <w:rPr>
          <w:rFonts w:cstheme="minorHAnsi"/>
          <w:sz w:val="20"/>
          <w:szCs w:val="20"/>
        </w:rPr>
        <w:t xml:space="preserve"> e-cigarette</w:t>
      </w:r>
      <w:r>
        <w:rPr>
          <w:rFonts w:cstheme="minorHAnsi"/>
          <w:sz w:val="20"/>
          <w:szCs w:val="20"/>
        </w:rPr>
        <w:t>=</w:t>
      </w:r>
      <w:r w:rsidRPr="00494051">
        <w:rPr>
          <w:rFonts w:cstheme="minorHAnsi"/>
          <w:sz w:val="20"/>
          <w:szCs w:val="20"/>
        </w:rPr>
        <w:t xml:space="preserve">electronic cigarette; </w:t>
      </w:r>
      <w:r>
        <w:rPr>
          <w:rFonts w:cstheme="minorHAnsi"/>
          <w:sz w:val="20"/>
          <w:szCs w:val="20"/>
        </w:rPr>
        <w:t xml:space="preserve">eCO=exhaled carbon monoxide; </w:t>
      </w:r>
      <w:r w:rsidRPr="00494051">
        <w:rPr>
          <w:rFonts w:cstheme="minorHAnsi"/>
          <w:sz w:val="20"/>
          <w:szCs w:val="20"/>
        </w:rPr>
        <w:t>ICC=interclass correlation coefficient; NRT</w:t>
      </w:r>
      <w:r>
        <w:rPr>
          <w:rFonts w:cstheme="minorHAnsi"/>
          <w:sz w:val="20"/>
          <w:szCs w:val="20"/>
        </w:rPr>
        <w:t>=</w:t>
      </w:r>
      <w:r w:rsidRPr="00494051">
        <w:rPr>
          <w:rFonts w:cstheme="minorHAnsi"/>
          <w:sz w:val="20"/>
          <w:szCs w:val="20"/>
        </w:rPr>
        <w:t>nicotine replacement therapy; NS</w:t>
      </w:r>
      <w:r>
        <w:rPr>
          <w:rFonts w:cstheme="minorHAnsi"/>
          <w:sz w:val="20"/>
          <w:szCs w:val="20"/>
        </w:rPr>
        <w:t>=</w:t>
      </w:r>
      <w:r w:rsidRPr="00494051">
        <w:rPr>
          <w:rFonts w:cstheme="minorHAnsi"/>
          <w:sz w:val="20"/>
          <w:szCs w:val="20"/>
        </w:rPr>
        <w:t>not significant;</w:t>
      </w:r>
      <w:r>
        <w:rPr>
          <w:rFonts w:cstheme="minorHAnsi"/>
          <w:sz w:val="20"/>
          <w:szCs w:val="20"/>
        </w:rPr>
        <w:t xml:space="preserve"> OR= odds ratio;</w:t>
      </w:r>
      <w:r w:rsidRPr="00494051">
        <w:rPr>
          <w:rFonts w:cstheme="minorHAnsi"/>
          <w:sz w:val="20"/>
          <w:szCs w:val="20"/>
        </w:rPr>
        <w:t xml:space="preserve"> PA</w:t>
      </w:r>
      <w:r>
        <w:rPr>
          <w:rFonts w:cstheme="minorHAnsi"/>
          <w:sz w:val="20"/>
          <w:szCs w:val="20"/>
        </w:rPr>
        <w:t>=</w:t>
      </w:r>
      <w:r w:rsidRPr="00494051">
        <w:rPr>
          <w:rFonts w:cstheme="minorHAnsi"/>
          <w:sz w:val="20"/>
          <w:szCs w:val="20"/>
        </w:rPr>
        <w:t>prolonged abstinence; PATH</w:t>
      </w:r>
      <w:r>
        <w:rPr>
          <w:rFonts w:cstheme="minorHAnsi"/>
          <w:sz w:val="20"/>
          <w:szCs w:val="20"/>
        </w:rPr>
        <w:t>=</w:t>
      </w:r>
      <w:r w:rsidRPr="00494051">
        <w:rPr>
          <w:rFonts w:cstheme="minorHAnsi"/>
          <w:sz w:val="20"/>
          <w:szCs w:val="20"/>
        </w:rPr>
        <w:t>Population Assessment of Tobacco and Health; PPA</w:t>
      </w:r>
      <w:r>
        <w:rPr>
          <w:rFonts w:cstheme="minorHAnsi"/>
          <w:sz w:val="20"/>
          <w:szCs w:val="20"/>
        </w:rPr>
        <w:t>=</w:t>
      </w:r>
      <w:r w:rsidRPr="00494051">
        <w:rPr>
          <w:rFonts w:cstheme="minorHAnsi"/>
          <w:sz w:val="20"/>
          <w:szCs w:val="20"/>
        </w:rPr>
        <w:t>point prevalence abstinence; RCT</w:t>
      </w:r>
      <w:r>
        <w:rPr>
          <w:rFonts w:cstheme="minorHAnsi"/>
          <w:sz w:val="20"/>
          <w:szCs w:val="20"/>
        </w:rPr>
        <w:t>=</w:t>
      </w:r>
      <w:r w:rsidRPr="00494051">
        <w:rPr>
          <w:rFonts w:cstheme="minorHAnsi"/>
          <w:sz w:val="20"/>
          <w:szCs w:val="20"/>
        </w:rPr>
        <w:t>randomized controlled trial; U</w:t>
      </w:r>
      <w:r>
        <w:rPr>
          <w:rFonts w:cstheme="minorHAnsi"/>
          <w:sz w:val="20"/>
          <w:szCs w:val="20"/>
        </w:rPr>
        <w:t>.</w:t>
      </w:r>
      <w:r w:rsidRPr="00494051">
        <w:rPr>
          <w:rFonts w:cstheme="minorHAnsi"/>
          <w:sz w:val="20"/>
          <w:szCs w:val="20"/>
        </w:rPr>
        <w:t>K</w:t>
      </w:r>
      <w:r>
        <w:rPr>
          <w:rFonts w:cstheme="minorHAnsi"/>
          <w:sz w:val="20"/>
          <w:szCs w:val="20"/>
        </w:rPr>
        <w:t>.=</w:t>
      </w:r>
      <w:r w:rsidRPr="00494051">
        <w:rPr>
          <w:rFonts w:cstheme="minorHAnsi"/>
          <w:sz w:val="20"/>
          <w:szCs w:val="20"/>
        </w:rPr>
        <w:t>United Kingdom; U</w:t>
      </w:r>
      <w:r>
        <w:rPr>
          <w:rFonts w:cstheme="minorHAnsi"/>
          <w:sz w:val="20"/>
          <w:szCs w:val="20"/>
        </w:rPr>
        <w:t>.</w:t>
      </w:r>
      <w:r w:rsidRPr="00494051">
        <w:rPr>
          <w:rFonts w:cstheme="minorHAnsi"/>
          <w:sz w:val="20"/>
          <w:szCs w:val="20"/>
        </w:rPr>
        <w:t>S</w:t>
      </w:r>
      <w:r>
        <w:rPr>
          <w:rFonts w:cstheme="minorHAnsi"/>
          <w:sz w:val="20"/>
          <w:szCs w:val="20"/>
        </w:rPr>
        <w:t>.</w:t>
      </w:r>
      <w:r w:rsidRPr="00494051">
        <w:rPr>
          <w:rFonts w:cstheme="minorHAnsi"/>
          <w:sz w:val="20"/>
          <w:szCs w:val="20"/>
        </w:rPr>
        <w:t>=United States; vs.</w:t>
      </w:r>
      <w:r>
        <w:rPr>
          <w:rFonts w:cstheme="minorHAnsi"/>
          <w:sz w:val="20"/>
          <w:szCs w:val="20"/>
        </w:rPr>
        <w:t>=</w:t>
      </w:r>
      <w:r w:rsidRPr="00494051">
        <w:rPr>
          <w:rFonts w:cstheme="minorHAnsi"/>
          <w:sz w:val="20"/>
          <w:szCs w:val="20"/>
        </w:rPr>
        <w:t>versus</w:t>
      </w:r>
    </w:p>
    <w:p w14:paraId="235F5AC7" w14:textId="77777777" w:rsidR="007F0AE0" w:rsidRPr="00E9666D" w:rsidRDefault="007F0AE0" w:rsidP="007F0AE0">
      <w:pPr>
        <w:spacing w:after="240" w:line="240" w:lineRule="auto"/>
        <w:jc w:val="center"/>
        <w:rPr>
          <w:rFonts w:cstheme="minorHAnsi"/>
          <w:sz w:val="20"/>
          <w:szCs w:val="20"/>
        </w:rPr>
      </w:pPr>
      <w:r>
        <w:rPr>
          <w:rFonts w:cstheme="minorHAnsi"/>
          <w:b/>
          <w:sz w:val="20"/>
          <w:szCs w:val="20"/>
        </w:rPr>
        <w:lastRenderedPageBreak/>
        <w:t>REFERENCES</w:t>
      </w:r>
    </w:p>
    <w:p w14:paraId="1C2A4C4D"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fldChar w:fldCharType="begin"/>
      </w:r>
      <w:r w:rsidRPr="00E9666D">
        <w:rPr>
          <w:rFonts w:ascii="Calibri" w:hAnsi="Calibri" w:cs="Calibri"/>
          <w:noProof/>
        </w:rPr>
        <w:instrText xml:space="preserve"> ADDIN EN.REFLIST </w:instrText>
      </w:r>
      <w:r w:rsidRPr="00E9666D">
        <w:rPr>
          <w:rFonts w:ascii="Calibri" w:hAnsi="Calibri" w:cs="Calibri"/>
          <w:noProof/>
        </w:rPr>
        <w:fldChar w:fldCharType="separate"/>
      </w:r>
      <w:r w:rsidRPr="00E9666D">
        <w:rPr>
          <w:rFonts w:ascii="Calibri" w:hAnsi="Calibri" w:cs="Calibri"/>
          <w:noProof/>
        </w:rPr>
        <w:t>Abrams, D.B., Follick, M.J., Biener, L., Carey, K.B., Hitti, J., 1987. Saliva cotinine as a measure of smoking status in field settings. Am J Public Health 77(7), 846-848.</w:t>
      </w:r>
    </w:p>
    <w:p w14:paraId="1DBDEECE"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Baker, T.B., Piper, M.E., McCarthy, D.E., Bolt, D.M., Smith, S.S., Kim, S.Y., Colby, S., Conti, D., Giovino, G.A., Hatsukami, D., Hyland, A., Krishnan-Sarin, S., Niaura, R., Perkins, K.A., Toll, B.A., 2007. Time to first cigarette in the morning as an index of ability to quit smoking: implications for nicotine dependence. Nicotine Tob Res 9 Suppl 4, S555-570.</w:t>
      </w:r>
    </w:p>
    <w:p w14:paraId="1A7F1D98"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Banerjee, M., Capozzoli, M., McSweeney, L., Sinha, D., 1999. Beyond kappa: A review of interrater agreement measures. Can J Statistics 27(1), 3-23.</w:t>
      </w:r>
    </w:p>
    <w:p w14:paraId="199F1202"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Bender, D., Haubruck, P., Boxriker, S., Korff, S., Schmidmaier, G., Moghaddam, A., 2015. Validity of subjective smoking status in orthopedic patients. Ther Clin Risk Manag 11, 1297-1303.</w:t>
      </w:r>
    </w:p>
    <w:p w14:paraId="06829CA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Bland, J.M., Altman, D.G., 1997. Cronbach's alpha. BMJ 314(7080), 572.</w:t>
      </w:r>
    </w:p>
    <w:p w14:paraId="5BBFDEBF"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Blank, M.D., Breland, A.B., Enlow, P.T., Duncan, C., Metzger, A., Cobb, C.O., 2016. Measurement of Smoking Behavior: Comparison of Self-Reports, Returned Cigarette Butts, and Toxicant Levels. Exp Clin Psychopharmacol.</w:t>
      </w:r>
    </w:p>
    <w:p w14:paraId="6AD134CE"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Borland, R., Yong, H.H., O'Connor, R.J., Hyland, A., Thompson, M.E., 2010. The reliability and predictive validity of the Heaviness of Smoking Index and its two components: findings from the International Tobacco Control Four Country study. Nicotine Tob Res 12 Suppl, S45-50.</w:t>
      </w:r>
    </w:p>
    <w:p w14:paraId="76E3A07E"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Brener, N.D., Kann, L., McManus, T., Kinchen, S.A., Sundberg, E.C., Ross, J.G., 2002. Reliability of the 1999 youth risk behavior survey questionnaire. J Adolesc Health 31(4), 336-342.</w:t>
      </w:r>
    </w:p>
    <w:p w14:paraId="1591041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Brigham, J., Lessov-Schlaggar, C.N., Javitz, H.S., Krasnow, R.E., McElroy, M., Swan, G.E., 2009. Test-retest reliability of web-based retrospective self-report of tobacco exposure and risk. J Med Internet Res 11(3), e35.</w:t>
      </w:r>
    </w:p>
    <w:p w14:paraId="775621F1"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Brigham, J., Lessov-Schlaggar, C.N., Javitz, H.S., Krasnow, R.E., Tildesley, E., Andrews, J., Hops, H., Cornelius, M.D., Day, N.L., McElroy, M., Swan, G.E., 2010. Validity of recall of tobacco use in two prospective cohorts. American journal of epidemiology 172(7), 828-835.</w:t>
      </w:r>
    </w:p>
    <w:p w14:paraId="3E6120F9"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Brozek, G., Jankowski, M., Zejda, J., Jarosinska, A., Idzik, A., Banka, P., 2017. E-smoking among students of medicine - frequency, pattern and motivations. Adv Respir Med 85(1), 8-14.</w:t>
      </w:r>
    </w:p>
    <w:p w14:paraId="2F3AC53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Colby, S.M., Clark, M.A., Rogers, M.L., Ramsey, S., Graham, A.L., Boergers, J., Kahler, C.W., Papandonatos, G.D., Buka, S.L., Niaura, R.S., Abrams, D.B., 2012. Development and reliability of the lifetime interview on smoking trajectories. Nicotine &amp; tobacco research : official journal of the Society for Research on Nicotine and Tobacco 14(3), 290-298.</w:t>
      </w:r>
    </w:p>
    <w:p w14:paraId="7CAC2012"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Crocker, L., Algina, L., 2006. Introduction to Classical and Modern Test Theory. Wadsworth Publishing Company, Mason, Ohio.</w:t>
      </w:r>
    </w:p>
    <w:p w14:paraId="72575DFA"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Cronbach, L., 1951. Coefficient alpha and the internal structure of tests. Psychometrika 16(3), 297-334.</w:t>
      </w:r>
    </w:p>
    <w:p w14:paraId="1CBD4160"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lastRenderedPageBreak/>
        <w:t>DeVellis, R., 2003. Scale development: theory and applications. 2nd Ed. Sage, Thousand Oaks, CA.</w:t>
      </w:r>
    </w:p>
    <w:p w14:paraId="2381B59A"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Eisinga, R., Grotenhuis, M., Pelzer, B., 2013. The reliability of a two-item scale: Pearson, Cronbach, or Spearman-Brown? Int J Public Health 58(4), 637-642.</w:t>
      </w:r>
    </w:p>
    <w:p w14:paraId="4220917D"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From Attebring, M., Herlitz, J., Berndt, A.K., Karlsson, T., Hjalmarson, A., 2001. Are patients truthful about their smoking habits? A validation of self-report about smoking cessation with biochemical markers of smoking activity amongst patients with ischaemic heart disease. J Intern Med 249(2), 145-151.</w:t>
      </w:r>
    </w:p>
    <w:p w14:paraId="767A3941"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Gerritsen, M., Berndt, N., Lechner, L., de Vries, H., Mudde, A., Bolman, C., 2015. Self-Reporting of Smoking Cessation in Cardiac Patients: How Reliable Is It and Is Reliability Associated With Patient Characteristics? J Addict Med 9(4), 308-316.</w:t>
      </w:r>
    </w:p>
    <w:p w14:paraId="49F37271"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Grant, B.F., Dawson, D.A., Stinson, F.S., Chou, P.S., Kay, W., Pickering, R., 2003. The Alcohol Use Disorder and Associated Disabilities Interview Schedule-IV (AUDADIS-IV): reliability of alcohol consumption, tobacco use, family history of depression and psychiatric diagnostic modules in a general population sample. Drug Alcohol Depend 71(1), 7-16.</w:t>
      </w:r>
    </w:p>
    <w:p w14:paraId="1B7A2E66"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Green, L.W., Glasgow, R.E., 2006. Evaluating the relevance, generalization, and applicability of research: issues in external validation and translation methodology. Eval Health Prof 29(1), 126-153.</w:t>
      </w:r>
    </w:p>
    <w:p w14:paraId="3952AE4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Hilberink, S.R., Jacobs, J.E., Breteler, M.H., de Vries, H., Grol, R.P., 2011. General practice counseling for patients with chronic obstructive pulmonary disease to quit smoking: impact after 1 year of two complex interventions. Patient Educ Couns 83(1), 120-124.</w:t>
      </w:r>
    </w:p>
    <w:p w14:paraId="33F4047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Hoeppner, B.B., Kelly, J.F., Urbanoski, K.A., Slaymaker, V., 2011. Comparative utility of a single-item versus multiple-item measure of self-efficacy in predicting relapse among young adults. J Subst Abuse Treat 41(3), 305-312.</w:t>
      </w:r>
    </w:p>
    <w:p w14:paraId="335B8DE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Hughes, J.R., Carpenter, M.J., Naud, S., 2010. Do point prevalence and prolonged abstinence measures produce similar results in smoking cessation studies? A systematic review. Nicotine Tob Res 12(7), 756-762.</w:t>
      </w:r>
    </w:p>
    <w:p w14:paraId="5A5F1CB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Hymowitz, N., Cummings, K.M., Hyland, A., Lynn, W.R., Pechacek, T.F., Hartwell, T.D., 1997. Predictors of smoking cessation in a cohort of adult smokers followed for five years. Tob Control 6 Suppl 2, S57-62.</w:t>
      </w:r>
    </w:p>
    <w:p w14:paraId="0DDCD3B3"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International Agency for Research on Cancer, 2008. Section 3.3 Measurement of nicotine dependence, Methods for Evaluating Tobacco Control Policies. IARC Handbook of Cancer Prevention Volume 12. . World Health Organization, Lyon, France.</w:t>
      </w:r>
    </w:p>
    <w:p w14:paraId="6BB2373E"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Kirk, J., Miller, M.L., 1986. Reliability and validity in qualitative research. Sage Publications, Beverly Hills, CA.</w:t>
      </w:r>
    </w:p>
    <w:p w14:paraId="2EFE2EB9"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Kozlowski, L.T., Porter, C.Q., Orleans, C.T., Pope, M.A., Heatherton, T., 1994. Predicting smoking cessation with self-reported measures of nicotine dependence: FTQ, FTND, and HSI. Drug Alcohol Depend 34(3), 211-216.</w:t>
      </w:r>
    </w:p>
    <w:p w14:paraId="685349F1"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NASEM, 2018. Public Health Consequences of E-Cigarettes: A Consensus Study Report of The National Academies of Sciences, Engineering, and Medicine, in: Stratton, K., L.Y., K., Eaton, D.L. (Eds.), Committee on the Review of the Health Effects of Electronic Nicotine Delivery Systems; Board on Population Health and Public Health Practice; Health and Medicine Division. National Academies Press, Washington, DC.</w:t>
      </w:r>
    </w:p>
    <w:p w14:paraId="5E48A17A"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lastRenderedPageBreak/>
        <w:t>Nunnally, J., Bernstein, L., 1994. Psychometric Theory. 3rd Ed. McGraw-Hill, New York.</w:t>
      </w:r>
    </w:p>
    <w:p w14:paraId="2367B9FC"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Piper, M.E., McCarthy, D.E., Bolt, D.M., Smith, S.S., Lerman, C., Benowitz, N., Fiore, M.C., Baker, T.B., 2008. Assessing dimensions of nicotine dependence: an evaluation of the Nicotine Dependence Syndrome Scale (NDSS) and the Wisconsin Inventory of Smoking Dependence Motives (WISDM). Nicotine Tob Res 10(6), 1009-1020.</w:t>
      </w:r>
    </w:p>
    <w:p w14:paraId="5D56CB4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Rahman, A., Mohamad, M.H.N., Jamshed, S., 2016. Evaluating effectiveness and safety toward electronic cigarette among Malaysian vapers: One-month observational study. Arch Pharma Pract 7, 43.</w:t>
      </w:r>
    </w:p>
    <w:p w14:paraId="65C0DDEC"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Ramo, D.E., Hall, S.M., Prochaska, J.J., 2011. Reliability and validity of self-reported smoking in an anonymous online survey with young adults. Health Psychol 30(6), 693-701.</w:t>
      </w:r>
    </w:p>
    <w:p w14:paraId="330E87FE"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Rohsenow, D.J., Martin, R.A., Tidey, J.W., Monti, P.M., Colby, S.M., 2013. Comparison of the cigarette dependence scale with four other measures of nicotine involvement: correlations with smoking history and smoking treatment outcome in smokers with substance use disorders. Addict Behav 38(8), 2409-2413.</w:t>
      </w:r>
    </w:p>
    <w:p w14:paraId="4F83EC45"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Rostron, B.L., Schroeder, M.J., Ambrose, B.K., 2016. Dependence symptoms and cessation intentions among US adult daily cigarette, cigar, and e-cigarette users, 2012-2013. BMC Public Health 16(1), 814.</w:t>
      </w:r>
    </w:p>
    <w:p w14:paraId="130BFA78"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Sim, J., Wright, C.C., 2005. The kappa statistic in reliability studies: use, interpretation, and sample size requirements. Phys Ther 85(3), 257-268.</w:t>
      </w:r>
    </w:p>
    <w:p w14:paraId="4D949A8B"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Soulakova, J.N., Hartman, A.M., Liu, B., Willis, G.B., Augustine, S., 2012. Reliability of adult self-reported smoking history: data from the tobacco use supplement to the current population survey 2002-2003 cohort. Nicotine Tob Res 14(8), 952-960.</w:t>
      </w:r>
    </w:p>
    <w:p w14:paraId="58F9B53D"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Stanton, W.R., McClelland, M., Elwood, C., Ferry, D., Silva, P.A., 1996. Prevalence, reliability and bias of adolescents' reports of smoking and quitting. Addiction 91(11), 1705-1714.</w:t>
      </w:r>
    </w:p>
    <w:p w14:paraId="7EAAD0D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Streiner, D.L., 2003. Starting at the beginning: an introduction to coefficient alpha and internal consistency. J Pers Assess 80(1), 99-103.</w:t>
      </w:r>
    </w:p>
    <w:p w14:paraId="7A1A55E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Strong, D.R., Messer, K., Hartman, S.J., Conway, K.P., Hoffman, A.C., Pharris-Ciurej, N., White, M., Green, V.R., Compton, W.M., Pierce, J., 2015. Measurement of multiple nicotine dependence domains among cigarette, non-cigarette and poly-tobacco users: Insights from item response theory. Drug Alcohol Depend 152, 185-193.</w:t>
      </w:r>
    </w:p>
    <w:p w14:paraId="5F5DF5DA"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Studts, J.L., Ghate, S.R., Gill, J.L., Studts, C.R., Barnes, C.N., LaJoie, A.S., Andrykowski, M.A., LaRocca, R.V., 2006. Validity of self-reported smoking status among participants in a lung cancer screening trial. Cancer Epidemiol Biomarkers Prev 15(10), 1825-1828.</w:t>
      </w:r>
    </w:p>
    <w:p w14:paraId="32AD86EF"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Thompson, B., 2003. Score reliability: Contemporary thinking on reliability issues. Sage, Newbury Park, CA.</w:t>
      </w:r>
    </w:p>
    <w:p w14:paraId="461E5764"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Tourangeau, R., Yan, T., Sun, H., Hyland, A., Stanton, C.A., 2018. Population Assessment of Tobacco and Health (PATH) reliability and validity study: selected reliability and validity estimates. Tob Control.</w:t>
      </w:r>
    </w:p>
    <w:p w14:paraId="150B65A2"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van der Aalst, C.M., de Koning, H.J., 2016. Biochemical verification of the self-reported smoking status of screened male smokers of the Dutch-Belgian randomized controlled lung cancer screening trial. Lung Cancer 94, 96-101.</w:t>
      </w:r>
    </w:p>
    <w:p w14:paraId="7146A435"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lastRenderedPageBreak/>
        <w:t>Velicer, W.F., Prochaska, J.O., 2004. A comparison of four self-report smoking cessation outcome measures. Addict Behav 29(1), 51-60.</w:t>
      </w:r>
    </w:p>
    <w:p w14:paraId="3E167379" w14:textId="77777777" w:rsidR="007F0AE0" w:rsidRPr="00E9666D" w:rsidRDefault="007F0AE0" w:rsidP="007F0AE0">
      <w:pPr>
        <w:spacing w:after="240" w:line="240" w:lineRule="auto"/>
        <w:rPr>
          <w:rFonts w:ascii="Calibri" w:hAnsi="Calibri" w:cs="Calibri"/>
          <w:noProof/>
        </w:rPr>
      </w:pPr>
      <w:r w:rsidRPr="00E9666D">
        <w:rPr>
          <w:rFonts w:ascii="Calibri" w:hAnsi="Calibri" w:cs="Calibri"/>
          <w:noProof/>
        </w:rPr>
        <w:t>Weinberger, A.H., Reutenauer, E.L., Allen, T.M., Termine, A., Vessicchio, J.C., Sacco, K.A., Easton, C.J., McKee, S.A., George, T.P., 2007. Reliability of the Fagerstrom Test for Nicotine Dependence, Minnesota Nicotine Withdrawal Scale, and Tiffany Questionnaire for Smoking Urges in smokers with and without schizophrenia. Drug Alcohol Depend 86(2-3), 278-282.</w:t>
      </w:r>
    </w:p>
    <w:p w14:paraId="7E58CA49" w14:textId="77777777" w:rsidR="007F0AE0" w:rsidRPr="00E9666D" w:rsidRDefault="007F0AE0" w:rsidP="007F0AE0">
      <w:pPr>
        <w:spacing w:after="240" w:line="240" w:lineRule="auto"/>
        <w:sectPr w:rsidR="007F0AE0" w:rsidRPr="00E9666D" w:rsidSect="00E9666D">
          <w:pgSz w:w="12240" w:h="15840"/>
          <w:pgMar w:top="1152" w:right="1296" w:bottom="1152" w:left="1296" w:header="720" w:footer="720" w:gutter="0"/>
          <w:cols w:space="720"/>
          <w:docGrid w:linePitch="360"/>
        </w:sectPr>
      </w:pPr>
      <w:r w:rsidRPr="00E9666D">
        <w:fldChar w:fldCharType="end"/>
      </w:r>
    </w:p>
    <w:p w14:paraId="2F5550DA" w14:textId="77777777" w:rsidR="007F0AE0" w:rsidRDefault="007F0AE0" w:rsidP="007F0AE0">
      <w:pPr>
        <w:rPr>
          <w:rFonts w:cstheme="minorHAnsi"/>
          <w:b/>
        </w:rPr>
      </w:pPr>
      <w:bookmarkStart w:id="19" w:name="Supp6"/>
    </w:p>
    <w:p w14:paraId="770B7842" w14:textId="77777777" w:rsidR="007F0AE0" w:rsidRPr="00494051" w:rsidRDefault="007F0AE0" w:rsidP="007F0AE0">
      <w:pPr>
        <w:spacing w:after="120" w:line="240" w:lineRule="auto"/>
        <w:outlineLvl w:val="0"/>
        <w:rPr>
          <w:rFonts w:cstheme="minorHAnsi"/>
          <w:b/>
        </w:rPr>
      </w:pPr>
      <w:r w:rsidRPr="00494051">
        <w:rPr>
          <w:rFonts w:cstheme="minorHAnsi"/>
          <w:b/>
        </w:rPr>
        <w:t xml:space="preserve">SUPPLEMENTAL SECTION </w:t>
      </w:r>
      <w:r>
        <w:rPr>
          <w:rFonts w:cstheme="minorHAnsi"/>
          <w:b/>
        </w:rPr>
        <w:t>9</w:t>
      </w:r>
      <w:r w:rsidRPr="00494051">
        <w:rPr>
          <w:rFonts w:cstheme="minorHAnsi"/>
          <w:b/>
        </w:rPr>
        <w:t xml:space="preserve">: Study, Data Set, and Sample Characteristics </w:t>
      </w:r>
      <w:bookmarkEnd w:id="19"/>
    </w:p>
    <w:tbl>
      <w:tblPr>
        <w:tblStyle w:val="TableGrid"/>
        <w:tblW w:w="13041" w:type="dxa"/>
        <w:tblInd w:w="-5" w:type="dxa"/>
        <w:tblLayout w:type="fixed"/>
        <w:tblCellMar>
          <w:top w:w="62" w:type="dxa"/>
          <w:left w:w="62" w:type="dxa"/>
          <w:bottom w:w="62" w:type="dxa"/>
          <w:right w:w="62" w:type="dxa"/>
        </w:tblCellMar>
        <w:tblLook w:val="04A0" w:firstRow="1" w:lastRow="0" w:firstColumn="1" w:lastColumn="0" w:noHBand="0" w:noVBand="1"/>
      </w:tblPr>
      <w:tblGrid>
        <w:gridCol w:w="1843"/>
        <w:gridCol w:w="2126"/>
        <w:gridCol w:w="2977"/>
        <w:gridCol w:w="4820"/>
        <w:gridCol w:w="1275"/>
      </w:tblGrid>
      <w:tr w:rsidR="007F0AE0" w:rsidRPr="00494051" w14:paraId="7EE73FC3" w14:textId="77777777" w:rsidTr="00453DE3">
        <w:trPr>
          <w:cantSplit/>
          <w:tblHeader/>
        </w:trPr>
        <w:tc>
          <w:tcPr>
            <w:tcW w:w="1843" w:type="dxa"/>
            <w:shd w:val="clear" w:color="auto" w:fill="44546A" w:themeFill="text2"/>
            <w:tcMar>
              <w:top w:w="62" w:type="dxa"/>
              <w:left w:w="62" w:type="dxa"/>
              <w:bottom w:w="62" w:type="dxa"/>
              <w:right w:w="62" w:type="dxa"/>
            </w:tcMar>
          </w:tcPr>
          <w:p w14:paraId="0E117D9B"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First Author, Year</w:t>
            </w:r>
          </w:p>
          <w:p w14:paraId="500C6013"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National survey name</w:t>
            </w:r>
          </w:p>
          <w:p w14:paraId="05CE9EA9"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Quality rating</w:t>
            </w:r>
          </w:p>
        </w:tc>
        <w:tc>
          <w:tcPr>
            <w:tcW w:w="2126" w:type="dxa"/>
            <w:shd w:val="clear" w:color="auto" w:fill="44546A" w:themeFill="text2"/>
            <w:tcMar>
              <w:top w:w="62" w:type="dxa"/>
              <w:left w:w="62" w:type="dxa"/>
              <w:bottom w:w="62" w:type="dxa"/>
              <w:right w:w="62" w:type="dxa"/>
            </w:tcMar>
          </w:tcPr>
          <w:p w14:paraId="62A96021"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Location;</w:t>
            </w:r>
          </w:p>
          <w:p w14:paraId="16D9CEAC"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Funding;</w:t>
            </w:r>
          </w:p>
          <w:p w14:paraId="3CDA598D"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Type of study</w:t>
            </w:r>
          </w:p>
        </w:tc>
        <w:tc>
          <w:tcPr>
            <w:tcW w:w="2977" w:type="dxa"/>
            <w:shd w:val="clear" w:color="auto" w:fill="44546A" w:themeFill="text2"/>
            <w:tcMar>
              <w:top w:w="62" w:type="dxa"/>
              <w:left w:w="62" w:type="dxa"/>
              <w:bottom w:w="62" w:type="dxa"/>
              <w:right w:w="62" w:type="dxa"/>
            </w:tcMar>
          </w:tcPr>
          <w:p w14:paraId="1FAA517D"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Sampling / recruitment strategy</w:t>
            </w:r>
            <w:r>
              <w:rPr>
                <w:rFonts w:cstheme="minorHAnsi"/>
                <w:b/>
                <w:color w:val="FFFFFF" w:themeColor="background1"/>
                <w:sz w:val="18"/>
                <w:szCs w:val="18"/>
              </w:rPr>
              <w:t xml:space="preserve"> </w:t>
            </w:r>
            <w:r w:rsidRPr="00494051">
              <w:rPr>
                <w:rFonts w:cstheme="minorHAnsi"/>
                <w:b/>
                <w:color w:val="FFFFFF" w:themeColor="background1"/>
                <w:sz w:val="18"/>
                <w:szCs w:val="18"/>
                <w:vertAlign w:val="superscript"/>
              </w:rPr>
              <w:t>a</w:t>
            </w:r>
            <w:r w:rsidRPr="00494051">
              <w:rPr>
                <w:rFonts w:cstheme="minorHAnsi"/>
                <w:b/>
                <w:color w:val="FFFFFF" w:themeColor="background1"/>
                <w:sz w:val="18"/>
                <w:szCs w:val="18"/>
              </w:rPr>
              <w:t>; Data collection period</w:t>
            </w:r>
          </w:p>
        </w:tc>
        <w:tc>
          <w:tcPr>
            <w:tcW w:w="4820" w:type="dxa"/>
            <w:shd w:val="clear" w:color="auto" w:fill="44546A" w:themeFill="text2"/>
            <w:tcMar>
              <w:top w:w="62" w:type="dxa"/>
              <w:left w:w="62" w:type="dxa"/>
              <w:bottom w:w="62" w:type="dxa"/>
              <w:right w:w="62" w:type="dxa"/>
            </w:tcMar>
          </w:tcPr>
          <w:p w14:paraId="6404E506"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Brief summary of inclusion criteria (including definition of “smoker”)</w:t>
            </w:r>
          </w:p>
        </w:tc>
        <w:tc>
          <w:tcPr>
            <w:tcW w:w="1275" w:type="dxa"/>
            <w:shd w:val="clear" w:color="auto" w:fill="44546A" w:themeFill="text2"/>
            <w:tcMar>
              <w:top w:w="62" w:type="dxa"/>
              <w:left w:w="62" w:type="dxa"/>
              <w:bottom w:w="62" w:type="dxa"/>
              <w:right w:w="62" w:type="dxa"/>
            </w:tcMar>
          </w:tcPr>
          <w:p w14:paraId="2AD3155C" w14:textId="77777777" w:rsidR="007F0AE0" w:rsidRPr="00494051" w:rsidRDefault="007F0AE0" w:rsidP="00453DE3">
            <w:pPr>
              <w:spacing w:before="60" w:after="60"/>
              <w:jc w:val="center"/>
              <w:rPr>
                <w:rFonts w:cstheme="minorHAnsi"/>
                <w:b/>
                <w:color w:val="FFFFFF" w:themeColor="background1"/>
                <w:sz w:val="18"/>
                <w:szCs w:val="18"/>
              </w:rPr>
            </w:pPr>
            <w:r w:rsidRPr="00494051">
              <w:rPr>
                <w:rFonts w:cstheme="minorHAnsi"/>
                <w:b/>
                <w:color w:val="FFFFFF" w:themeColor="background1"/>
                <w:sz w:val="18"/>
                <w:szCs w:val="18"/>
              </w:rPr>
              <w:t>Special population</w:t>
            </w:r>
          </w:p>
        </w:tc>
      </w:tr>
      <w:tr w:rsidR="007F0AE0" w:rsidRPr="00494051" w14:paraId="5CC5B27D" w14:textId="77777777" w:rsidTr="00453DE3">
        <w:trPr>
          <w:cantSplit/>
          <w:trHeight w:val="1000"/>
        </w:trPr>
        <w:tc>
          <w:tcPr>
            <w:tcW w:w="1843" w:type="dxa"/>
            <w:tcMar>
              <w:top w:w="62" w:type="dxa"/>
              <w:left w:w="62" w:type="dxa"/>
              <w:bottom w:w="62" w:type="dxa"/>
              <w:right w:w="62" w:type="dxa"/>
            </w:tcMar>
          </w:tcPr>
          <w:p w14:paraId="088617C6"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14" w:tooltip="Alexander, 2010 #59" w:history="1">
              <w:r>
                <w:rPr>
                  <w:rFonts w:cstheme="minorHAnsi"/>
                  <w:noProof/>
                  <w:sz w:val="18"/>
                  <w:szCs w:val="18"/>
                </w:rPr>
                <w:t>14</w:t>
              </w:r>
            </w:hyperlink>
            <w:r>
              <w:rPr>
                <w:rFonts w:cstheme="minorHAnsi"/>
                <w:noProof/>
                <w:sz w:val="18"/>
                <w:szCs w:val="18"/>
              </w:rPr>
              <w:t>)</w:t>
            </w:r>
            <w:r w:rsidRPr="00494051">
              <w:rPr>
                <w:rFonts w:cstheme="minorHAnsi"/>
                <w:sz w:val="18"/>
                <w:szCs w:val="18"/>
              </w:rPr>
              <w:fldChar w:fldCharType="end"/>
            </w:r>
          </w:p>
          <w:p w14:paraId="1B4ACB31"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1F61DC7D"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854580B"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26C24D0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0712C843"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Cross-sectional </w:t>
            </w:r>
          </w:p>
        </w:tc>
        <w:tc>
          <w:tcPr>
            <w:tcW w:w="2977" w:type="dxa"/>
            <w:tcMar>
              <w:top w:w="62" w:type="dxa"/>
              <w:left w:w="62" w:type="dxa"/>
              <w:bottom w:w="62" w:type="dxa"/>
              <w:right w:w="62" w:type="dxa"/>
            </w:tcMar>
          </w:tcPr>
          <w:p w14:paraId="76997253"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2006-2007</w:t>
            </w:r>
          </w:p>
        </w:tc>
        <w:tc>
          <w:tcPr>
            <w:tcW w:w="4820" w:type="dxa"/>
            <w:tcMar>
              <w:top w:w="62" w:type="dxa"/>
              <w:left w:w="62" w:type="dxa"/>
              <w:bottom w:w="62" w:type="dxa"/>
              <w:right w:w="62" w:type="dxa"/>
            </w:tcMar>
          </w:tcPr>
          <w:p w14:paraId="77C3DEFF"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 age ≥18 (smoke every day or some days).</w:t>
            </w:r>
          </w:p>
        </w:tc>
        <w:tc>
          <w:tcPr>
            <w:tcW w:w="1275" w:type="dxa"/>
            <w:tcMar>
              <w:top w:w="62" w:type="dxa"/>
              <w:left w:w="62" w:type="dxa"/>
              <w:bottom w:w="62" w:type="dxa"/>
              <w:right w:w="62" w:type="dxa"/>
            </w:tcMar>
          </w:tcPr>
          <w:p w14:paraId="304EDEC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7856CABA" w14:textId="77777777" w:rsidTr="00453DE3">
        <w:trPr>
          <w:cantSplit/>
        </w:trPr>
        <w:tc>
          <w:tcPr>
            <w:tcW w:w="1843" w:type="dxa"/>
            <w:tcMar>
              <w:top w:w="62" w:type="dxa"/>
              <w:left w:w="62" w:type="dxa"/>
              <w:bottom w:w="62" w:type="dxa"/>
              <w:right w:w="62" w:type="dxa"/>
            </w:tcMar>
          </w:tcPr>
          <w:p w14:paraId="275D4DB6"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PEVuZE5vdGU+PENpdGU+PEF1dGhvcj5Pa3V5ZW1pPC9BdXRob3I+PFllYXI+MjAwNzwvWWVhcj48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PEVuZE5vdGU+PENpdGU+PEF1dGhvcj5Pa3V5ZW1pPC9BdXRob3I+PFllYXI+MjAwNzwvWWVhcj48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24" w:tooltip="Okuyemi, 2007 #74" w:history="1">
              <w:r>
                <w:rPr>
                  <w:rFonts w:cstheme="minorHAnsi"/>
                  <w:noProof/>
                  <w:sz w:val="18"/>
                  <w:szCs w:val="18"/>
                </w:rPr>
                <w:t>24</w:t>
              </w:r>
            </w:hyperlink>
            <w:r>
              <w:rPr>
                <w:rFonts w:cstheme="minorHAnsi"/>
                <w:noProof/>
                <w:sz w:val="18"/>
                <w:szCs w:val="18"/>
              </w:rPr>
              <w:t xml:space="preserve">, </w:t>
            </w:r>
            <w:hyperlink w:anchor="_ENREF_67" w:tooltip="Berg, 2010 #102" w:history="1">
              <w:r>
                <w:rPr>
                  <w:rFonts w:cstheme="minorHAnsi"/>
                  <w:noProof/>
                  <w:sz w:val="18"/>
                  <w:szCs w:val="18"/>
                </w:rPr>
                <w:t>67</w:t>
              </w:r>
            </w:hyperlink>
            <w:r>
              <w:rPr>
                <w:rFonts w:cstheme="minorHAnsi"/>
                <w:noProof/>
                <w:sz w:val="18"/>
                <w:szCs w:val="18"/>
              </w:rPr>
              <w:t>)</w:t>
            </w:r>
            <w:r w:rsidRPr="00494051">
              <w:rPr>
                <w:rFonts w:cstheme="minorHAnsi"/>
                <w:sz w:val="18"/>
                <w:szCs w:val="18"/>
              </w:rPr>
              <w:fldChar w:fldCharType="end"/>
            </w:r>
          </w:p>
          <w:p w14:paraId="417B12F6"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r w:rsidRPr="00494051">
              <w:rPr>
                <w:rFonts w:cstheme="minorHAnsi"/>
                <w:sz w:val="18"/>
                <w:szCs w:val="18"/>
              </w:rPr>
              <w:br/>
              <w:t>Good</w:t>
            </w:r>
          </w:p>
        </w:tc>
        <w:tc>
          <w:tcPr>
            <w:tcW w:w="2126" w:type="dxa"/>
            <w:tcMar>
              <w:top w:w="62" w:type="dxa"/>
              <w:left w:w="62" w:type="dxa"/>
              <w:bottom w:w="62" w:type="dxa"/>
              <w:right w:w="62" w:type="dxa"/>
            </w:tcMar>
          </w:tcPr>
          <w:p w14:paraId="29934B0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Kansas; </w:t>
            </w:r>
          </w:p>
          <w:p w14:paraId="12B1EEFD"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4F2A102A"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1BBAF433" w14:textId="77777777" w:rsidR="007F0AE0" w:rsidRPr="00494051" w:rsidRDefault="007F0AE0" w:rsidP="00453DE3">
            <w:pPr>
              <w:spacing w:before="60" w:after="60"/>
              <w:rPr>
                <w:rFonts w:cstheme="minorHAnsi"/>
                <w:sz w:val="18"/>
                <w:szCs w:val="18"/>
              </w:rPr>
            </w:pPr>
            <w:r w:rsidRPr="00494051">
              <w:rPr>
                <w:rFonts w:cstheme="minorHAnsi"/>
                <w:sz w:val="18"/>
                <w:szCs w:val="18"/>
              </w:rPr>
              <w:t>Kick it at Swope trial (KIS), inner-city health center mostly serving a low-income Black population. Patients were invited to participate in a study on smoking among inner-city residents, not associated with a cessation program; March 2003-June 2004</w:t>
            </w:r>
          </w:p>
        </w:tc>
        <w:tc>
          <w:tcPr>
            <w:tcW w:w="4820" w:type="dxa"/>
            <w:tcMar>
              <w:top w:w="62" w:type="dxa"/>
              <w:left w:w="62" w:type="dxa"/>
              <w:bottom w:w="62" w:type="dxa"/>
              <w:right w:w="62" w:type="dxa"/>
            </w:tcMar>
          </w:tcPr>
          <w:p w14:paraId="6E37134E" w14:textId="77777777" w:rsidR="007F0AE0" w:rsidRPr="00494051" w:rsidRDefault="007F0AE0" w:rsidP="00453DE3">
            <w:pPr>
              <w:spacing w:before="60" w:after="60"/>
              <w:rPr>
                <w:rFonts w:cstheme="minorHAnsi"/>
                <w:sz w:val="18"/>
                <w:szCs w:val="18"/>
              </w:rPr>
            </w:pPr>
            <w:r w:rsidRPr="00494051">
              <w:rPr>
                <w:rFonts w:cstheme="minorHAnsi"/>
                <w:sz w:val="18"/>
                <w:szCs w:val="18"/>
              </w:rPr>
              <w:t>Black adult (≥18 years) light smokers (≤10 CPD for ≥6 months and smoking on ≥25 of last 30 days) who were interested in setting a quit date within 14 days.</w:t>
            </w:r>
          </w:p>
        </w:tc>
        <w:tc>
          <w:tcPr>
            <w:tcW w:w="1275" w:type="dxa"/>
            <w:tcMar>
              <w:top w:w="62" w:type="dxa"/>
              <w:left w:w="62" w:type="dxa"/>
              <w:bottom w:w="62" w:type="dxa"/>
              <w:right w:w="62" w:type="dxa"/>
            </w:tcMar>
          </w:tcPr>
          <w:p w14:paraId="51EC7BD0" w14:textId="77777777" w:rsidR="007F0AE0" w:rsidRPr="00494051" w:rsidRDefault="007F0AE0" w:rsidP="00453DE3">
            <w:pPr>
              <w:spacing w:before="60" w:after="60"/>
              <w:rPr>
                <w:rFonts w:cstheme="minorHAnsi"/>
                <w:sz w:val="18"/>
                <w:szCs w:val="18"/>
              </w:rPr>
            </w:pPr>
            <w:r w:rsidRPr="00494051">
              <w:rPr>
                <w:rFonts w:cstheme="minorHAnsi"/>
                <w:sz w:val="18"/>
                <w:szCs w:val="18"/>
              </w:rPr>
              <w:t>Black light smokers (&lt;10 CPD)</w:t>
            </w:r>
          </w:p>
        </w:tc>
      </w:tr>
      <w:tr w:rsidR="007F0AE0" w:rsidRPr="00494051" w14:paraId="56F16401" w14:textId="77777777" w:rsidTr="00453DE3">
        <w:trPr>
          <w:cantSplit/>
        </w:trPr>
        <w:tc>
          <w:tcPr>
            <w:tcW w:w="1843" w:type="dxa"/>
            <w:tcMar>
              <w:top w:w="62" w:type="dxa"/>
              <w:left w:w="62" w:type="dxa"/>
              <w:bottom w:w="62" w:type="dxa"/>
              <w:right w:w="62" w:type="dxa"/>
            </w:tcMar>
          </w:tcPr>
          <w:p w14:paraId="34AC3E8D"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56" w:tooltip="Blot, 2011 #48" w:history="1">
              <w:r>
                <w:rPr>
                  <w:rFonts w:cstheme="minorHAnsi"/>
                  <w:noProof/>
                  <w:sz w:val="18"/>
                  <w:szCs w:val="18"/>
                </w:rPr>
                <w:t>56</w:t>
              </w:r>
            </w:hyperlink>
            <w:r>
              <w:rPr>
                <w:rFonts w:cstheme="minorHAnsi"/>
                <w:noProof/>
                <w:sz w:val="18"/>
                <w:szCs w:val="18"/>
              </w:rPr>
              <w:t>)</w:t>
            </w:r>
            <w:r w:rsidRPr="00494051">
              <w:rPr>
                <w:rFonts w:cstheme="minorHAnsi"/>
                <w:sz w:val="18"/>
                <w:szCs w:val="18"/>
              </w:rPr>
              <w:fldChar w:fldCharType="end"/>
            </w:r>
          </w:p>
          <w:p w14:paraId="4EE8802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8899609"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614DBBB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Southern states (Alabama, Arkansas, Florida, Georgia, Kentucky, Louisiana, Mississippi, North Carolina, South Carolina, Tennessee, Virginia, West Virginia); </w:t>
            </w:r>
          </w:p>
          <w:p w14:paraId="7E287E7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72890454"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0D780E0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Southern Community Cohort Study (SCCS), </w:t>
            </w:r>
            <w:r w:rsidRPr="00494051">
              <w:rPr>
                <w:rFonts w:cstheme="minorHAnsi"/>
                <w:color w:val="000000"/>
                <w:sz w:val="18"/>
                <w:szCs w:val="18"/>
              </w:rPr>
              <w:t>residents from southern U.S. states recruited from mailings to age, gender, and race-stratified random samples of the general population, predominately (~85%) at community health centers</w:t>
            </w:r>
            <w:r w:rsidRPr="00494051">
              <w:rPr>
                <w:rFonts w:cstheme="minorHAnsi"/>
                <w:sz w:val="18"/>
                <w:szCs w:val="18"/>
              </w:rPr>
              <w:t>; March 2002 – September 2009</w:t>
            </w:r>
          </w:p>
        </w:tc>
        <w:tc>
          <w:tcPr>
            <w:tcW w:w="4820" w:type="dxa"/>
            <w:tcMar>
              <w:top w:w="62" w:type="dxa"/>
              <w:left w:w="62" w:type="dxa"/>
              <w:bottom w:w="62" w:type="dxa"/>
              <w:right w:w="62" w:type="dxa"/>
            </w:tcMar>
          </w:tcPr>
          <w:p w14:paraId="51BE80E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Adults age 40-79 living in U.S. southern states. Ever-smokers (≥100 lifetime cigs), continuing smokers (current smokers at baseline who reported smoking in the follow-up questionnaire), and former smokers at baseline. Respondents to the follow-up survey tended to be women, older, and of higher income and education level than non-respondents. </w:t>
            </w:r>
          </w:p>
        </w:tc>
        <w:tc>
          <w:tcPr>
            <w:tcW w:w="1275" w:type="dxa"/>
            <w:tcMar>
              <w:top w:w="62" w:type="dxa"/>
              <w:left w:w="62" w:type="dxa"/>
              <w:bottom w:w="62" w:type="dxa"/>
              <w:right w:w="62" w:type="dxa"/>
            </w:tcMar>
          </w:tcPr>
          <w:p w14:paraId="1463E268" w14:textId="77777777" w:rsidR="007F0AE0" w:rsidRPr="00494051" w:rsidRDefault="007F0AE0" w:rsidP="00453DE3">
            <w:pPr>
              <w:spacing w:before="60" w:after="60"/>
              <w:rPr>
                <w:rFonts w:cstheme="minorHAnsi"/>
                <w:sz w:val="18"/>
                <w:szCs w:val="18"/>
              </w:rPr>
            </w:pPr>
            <w:r w:rsidRPr="00494051">
              <w:rPr>
                <w:rFonts w:cstheme="minorHAnsi"/>
                <w:sz w:val="18"/>
                <w:szCs w:val="18"/>
              </w:rPr>
              <w:t>Age 40-79 living in U.S. southern states</w:t>
            </w:r>
          </w:p>
        </w:tc>
      </w:tr>
      <w:tr w:rsidR="007F0AE0" w:rsidRPr="00494051" w14:paraId="4237A147" w14:textId="77777777" w:rsidTr="00453DE3">
        <w:trPr>
          <w:cantSplit/>
        </w:trPr>
        <w:tc>
          <w:tcPr>
            <w:tcW w:w="1843" w:type="dxa"/>
            <w:tcMar>
              <w:top w:w="62" w:type="dxa"/>
              <w:left w:w="62" w:type="dxa"/>
              <w:bottom w:w="62" w:type="dxa"/>
              <w:right w:w="62" w:type="dxa"/>
            </w:tcMar>
          </w:tcPr>
          <w:p w14:paraId="05966B5C"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&lt;EndNote&gt;&lt;Cite&gt;&lt;Author&gt;Brooks&lt;/Author&gt;&lt;Year&gt;2003&lt;/Year&gt;&lt;RecNum&gt;290&lt;/RecNum&gt;&lt;DisplayText&gt;(21)&lt;/DisplayText&gt;&lt;record&gt;&lt;rec-number&gt;290&lt;/rec-number&gt;&lt;foreign-keys&gt;&lt;key app="EN" db-id="a2vz2dfp8xrad6exes75zwpiw5rxwa0vwapv" timestamp="1484765626"&gt;290&lt;/key&gt;&lt;/foreign-keys&gt;&lt;ref-type name="Journal Article"&gt;17&lt;/ref-type&gt;&lt;contributors&gt;&lt;authors&gt;&lt;author&gt;Brooks, D. R.&lt;/author&gt;&lt;author&gt;Palmer, J. R.&lt;/author&gt;&lt;author&gt;Strom, B. L.&lt;/author&gt;&lt;author&gt;Rosenberg, L.&lt;/author&gt;&lt;/authors&gt;&lt;/contributors&gt;&lt;auth-address&gt;Department of Epidemiology, Boston University School of Public Health, Boston, MA 02118, USA. danbrook@bu.edu&lt;/auth-address&gt;&lt;titles&gt;&lt;title&gt;Menthol cigarettes and risk of lung cancer&lt;/title&gt;&lt;secondary-title&gt;Am J Epidemiol&lt;/secondary-title&gt;&lt;/titles&gt;&lt;periodical&gt;&lt;full-title&gt;Am J Epidemiol&lt;/full-title&gt;&lt;/periodical&gt;&lt;pages&gt;609-16; discussion 617-20&lt;/pages&gt;&lt;volume&gt;158&lt;/volume&gt;&lt;number&gt;7&lt;/number&gt;&lt;keywords&gt;&lt;keyword&gt;Adult&lt;/keyword&gt;&lt;keyword&gt;African Continental Ancestry Group&lt;/keyword&gt;&lt;keyword&gt;Age Distribution&lt;/keyword&gt;&lt;keyword&gt;Aged&lt;/keyword&gt;&lt;keyword&gt;Case-Control Studies&lt;/keyword&gt;&lt;keyword&gt;European Continental Ancestry Group&lt;/keyword&gt;&lt;keyword&gt;Female&lt;/keyword&gt;&lt;keyword&gt;Humans&lt;/keyword&gt;&lt;keyword&gt;Lung Neoplasms/*epidemiology&lt;/keyword&gt;&lt;keyword&gt;Male&lt;/keyword&gt;&lt;keyword&gt;Menthol/*administration &amp;amp; dosage&lt;/keyword&gt;&lt;keyword&gt;Middle Aged&lt;/keyword&gt;&lt;keyword&gt;Multivariate Analysis&lt;/keyword&gt;&lt;keyword&gt;Odds Ratio&lt;/keyword&gt;&lt;keyword&gt;Population Surveillance&lt;/keyword&gt;&lt;keyword&gt;Risk Assessment&lt;/keyword&gt;&lt;keyword&gt;Risk Factors&lt;/keyword&gt;&lt;keyword&gt;Sex Distribution&lt;/keyword&gt;&lt;keyword&gt;Smoking/*epidemiology&lt;/keyword&gt;&lt;keyword&gt;Socioeconomic Factors&lt;/keyword&gt;&lt;keyword&gt;United States/epidemiology&lt;/keyword&gt;&lt;/keywords&gt;&lt;dates&gt;&lt;year&gt;2003&lt;/year&gt;&lt;pub-dates&gt;&lt;date&gt;Oct 01&lt;/date&gt;&lt;/pub-dates&gt;&lt;/dates&gt;&lt;isbn&gt;0002-9262 (Print)&amp;#xD;0002-9262 (Linking)&lt;/isbn&gt;&lt;accession-num&gt;14507595&lt;/accession-num&gt;&lt;urls&gt;&lt;related-urls&gt;&lt;url&gt;https://www.ncbi.nlm.nih.gov/pubmed/14507595&lt;/url&gt;&lt;/related-urls&gt;&lt;/urls&gt;&lt;/record&gt;&lt;/Cite&gt;&lt;/EndNote&gt;</w:instrText>
            </w:r>
            <w:r w:rsidRPr="00494051">
              <w:rPr>
                <w:rFonts w:cstheme="minorHAnsi"/>
                <w:sz w:val="18"/>
                <w:szCs w:val="18"/>
              </w:rPr>
              <w:fldChar w:fldCharType="separate"/>
            </w:r>
            <w:r>
              <w:rPr>
                <w:rFonts w:cstheme="minorHAnsi"/>
                <w:noProof/>
                <w:sz w:val="18"/>
                <w:szCs w:val="18"/>
              </w:rPr>
              <w:t>(</w:t>
            </w:r>
            <w:hyperlink w:anchor="_ENREF_21" w:tooltip="Brooks, 2003 #290" w:history="1">
              <w:r>
                <w:rPr>
                  <w:rFonts w:cstheme="minorHAnsi"/>
                  <w:noProof/>
                  <w:sz w:val="18"/>
                  <w:szCs w:val="18"/>
                </w:rPr>
                <w:t>21</w:t>
              </w:r>
            </w:hyperlink>
            <w:r>
              <w:rPr>
                <w:rFonts w:cstheme="minorHAnsi"/>
                <w:noProof/>
                <w:sz w:val="18"/>
                <w:szCs w:val="18"/>
              </w:rPr>
              <w:t>)</w:t>
            </w:r>
            <w:r w:rsidRPr="00494051">
              <w:rPr>
                <w:rFonts w:cstheme="minorHAnsi"/>
                <w:sz w:val="18"/>
                <w:szCs w:val="18"/>
              </w:rPr>
              <w:fldChar w:fldCharType="end"/>
            </w:r>
          </w:p>
          <w:p w14:paraId="76A1589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26D0DDEB"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35DE4F6C" w14:textId="77777777" w:rsidR="007F0AE0" w:rsidRPr="00494051" w:rsidRDefault="007F0AE0" w:rsidP="00453DE3">
            <w:pPr>
              <w:spacing w:before="60" w:after="60"/>
              <w:rPr>
                <w:rFonts w:cstheme="minorHAnsi"/>
                <w:sz w:val="18"/>
                <w:szCs w:val="18"/>
              </w:rPr>
            </w:pPr>
            <w:r w:rsidRPr="00494051">
              <w:rPr>
                <w:rFonts w:cstheme="minorHAnsi"/>
                <w:sz w:val="18"/>
                <w:szCs w:val="18"/>
              </w:rPr>
              <w:t>Eastern U.S.;</w:t>
            </w:r>
          </w:p>
          <w:p w14:paraId="2C99ADE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1EB1AF05"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21941175" w14:textId="77777777" w:rsidR="007F0AE0" w:rsidRPr="00494051" w:rsidRDefault="007F0AE0" w:rsidP="00453DE3">
            <w:pPr>
              <w:spacing w:before="60" w:after="60"/>
              <w:rPr>
                <w:rFonts w:cstheme="minorHAnsi"/>
                <w:sz w:val="18"/>
                <w:szCs w:val="18"/>
              </w:rPr>
            </w:pPr>
            <w:r w:rsidRPr="00494051">
              <w:rPr>
                <w:rFonts w:cstheme="minorHAnsi"/>
                <w:sz w:val="18"/>
                <w:szCs w:val="18"/>
              </w:rPr>
              <w:t>Large case-control study (Slone Epidemiology Center Case-Control Surveillance Study) where a nurse-administered questionnaire is administered to subjects with conditions of interest; 1984-2000</w:t>
            </w:r>
          </w:p>
        </w:tc>
        <w:tc>
          <w:tcPr>
            <w:tcW w:w="4820" w:type="dxa"/>
            <w:tcMar>
              <w:top w:w="62" w:type="dxa"/>
              <w:left w:w="62" w:type="dxa"/>
              <w:bottom w:w="62" w:type="dxa"/>
              <w:right w:w="62" w:type="dxa"/>
            </w:tcMar>
          </w:tcPr>
          <w:p w14:paraId="486E89A6" w14:textId="77777777" w:rsidR="007F0AE0" w:rsidRPr="00494051" w:rsidRDefault="007F0AE0" w:rsidP="00453DE3">
            <w:pPr>
              <w:spacing w:before="60" w:after="60"/>
              <w:rPr>
                <w:rFonts w:cstheme="minorHAnsi"/>
                <w:sz w:val="18"/>
                <w:szCs w:val="18"/>
              </w:rPr>
            </w:pPr>
            <w:r w:rsidRPr="00494051">
              <w:rPr>
                <w:rFonts w:cstheme="minorHAnsi"/>
                <w:sz w:val="18"/>
                <w:szCs w:val="18"/>
              </w:rPr>
              <w:t>Black or White subjects age 40-74 who had smoked for ≥20 years (could be a current or former smoker) and had no history of cancer. Relevant analyses were in control subjects only who were admitted to the hospital for conditions determined to be unrelated to smoking.</w:t>
            </w:r>
          </w:p>
        </w:tc>
        <w:tc>
          <w:tcPr>
            <w:tcW w:w="1275" w:type="dxa"/>
            <w:tcMar>
              <w:top w:w="62" w:type="dxa"/>
              <w:left w:w="62" w:type="dxa"/>
              <w:bottom w:w="62" w:type="dxa"/>
              <w:right w:w="62" w:type="dxa"/>
            </w:tcMar>
          </w:tcPr>
          <w:p w14:paraId="53A37E78" w14:textId="77777777" w:rsidR="007F0AE0" w:rsidRPr="00494051" w:rsidRDefault="007F0AE0" w:rsidP="00453DE3">
            <w:pPr>
              <w:spacing w:before="60" w:after="60"/>
              <w:rPr>
                <w:rFonts w:cstheme="minorHAnsi"/>
                <w:sz w:val="18"/>
                <w:szCs w:val="18"/>
              </w:rPr>
            </w:pPr>
            <w:r w:rsidRPr="00494051">
              <w:rPr>
                <w:rFonts w:cstheme="minorHAnsi"/>
                <w:sz w:val="18"/>
                <w:szCs w:val="18"/>
              </w:rPr>
              <w:t>Age 40-74</w:t>
            </w:r>
          </w:p>
        </w:tc>
      </w:tr>
      <w:tr w:rsidR="007F0AE0" w:rsidRPr="00494051" w14:paraId="2D9933C4" w14:textId="77777777" w:rsidTr="00453DE3">
        <w:trPr>
          <w:cantSplit/>
        </w:trPr>
        <w:tc>
          <w:tcPr>
            <w:tcW w:w="1843" w:type="dxa"/>
            <w:tcMar>
              <w:top w:w="62" w:type="dxa"/>
              <w:left w:w="62" w:type="dxa"/>
              <w:bottom w:w="62" w:type="dxa"/>
              <w:right w:w="62" w:type="dxa"/>
            </w:tcMar>
          </w:tcPr>
          <w:p w14:paraId="6B32F8E8"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65" w:tooltip="Cropsey, 2009 #66" w:history="1">
              <w:r>
                <w:rPr>
                  <w:rFonts w:cstheme="minorHAnsi"/>
                  <w:noProof/>
                  <w:sz w:val="18"/>
                  <w:szCs w:val="18"/>
                </w:rPr>
                <w:t>65</w:t>
              </w:r>
            </w:hyperlink>
            <w:r>
              <w:rPr>
                <w:rFonts w:cstheme="minorHAnsi"/>
                <w:noProof/>
                <w:sz w:val="18"/>
                <w:szCs w:val="18"/>
              </w:rPr>
              <w:t>)</w:t>
            </w:r>
            <w:r w:rsidRPr="00494051">
              <w:rPr>
                <w:rFonts w:cstheme="minorHAnsi"/>
                <w:sz w:val="18"/>
                <w:szCs w:val="18"/>
              </w:rPr>
              <w:fldChar w:fldCharType="end"/>
            </w:r>
          </w:p>
          <w:p w14:paraId="1D83CD8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646F6CA8"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21A85BF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Virginia; </w:t>
            </w:r>
          </w:p>
          <w:p w14:paraId="52DD2B5C"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09D54257"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555EB5E2" w14:textId="77777777" w:rsidR="007F0AE0" w:rsidRPr="00494051" w:rsidRDefault="007F0AE0" w:rsidP="00453DE3">
            <w:pPr>
              <w:spacing w:before="60" w:after="60"/>
              <w:rPr>
                <w:rFonts w:cstheme="minorHAnsi"/>
                <w:sz w:val="18"/>
                <w:szCs w:val="18"/>
              </w:rPr>
            </w:pPr>
            <w:r w:rsidRPr="00494051">
              <w:rPr>
                <w:rFonts w:cstheme="minorHAnsi"/>
                <w:sz w:val="18"/>
                <w:szCs w:val="18"/>
              </w:rPr>
              <w:t>Recruited through announcements and study flyers in prison housing units at a medium-maximum security female prison; June 2004-June 2006</w:t>
            </w:r>
          </w:p>
        </w:tc>
        <w:tc>
          <w:tcPr>
            <w:tcW w:w="4820" w:type="dxa"/>
            <w:tcMar>
              <w:top w:w="62" w:type="dxa"/>
              <w:left w:w="62" w:type="dxa"/>
              <w:bottom w:w="62" w:type="dxa"/>
              <w:right w:w="62" w:type="dxa"/>
            </w:tcMar>
          </w:tcPr>
          <w:p w14:paraId="2D74745F" w14:textId="77777777" w:rsidR="007F0AE0" w:rsidRPr="00494051" w:rsidRDefault="007F0AE0" w:rsidP="00453DE3">
            <w:pPr>
              <w:spacing w:before="60" w:after="60"/>
              <w:rPr>
                <w:rFonts w:cstheme="minorHAnsi"/>
                <w:sz w:val="18"/>
                <w:szCs w:val="18"/>
              </w:rPr>
            </w:pPr>
            <w:r w:rsidRPr="00494051">
              <w:rPr>
                <w:rFonts w:cstheme="minorHAnsi"/>
                <w:sz w:val="18"/>
                <w:szCs w:val="18"/>
              </w:rPr>
              <w:t>Adult women age ≥18 who smoke ≥5 CPD, are not held in segregation from other prisoners and desired smoking cessation treatment.</w:t>
            </w:r>
          </w:p>
        </w:tc>
        <w:tc>
          <w:tcPr>
            <w:tcW w:w="1275" w:type="dxa"/>
            <w:tcMar>
              <w:top w:w="62" w:type="dxa"/>
              <w:left w:w="62" w:type="dxa"/>
              <w:bottom w:w="62" w:type="dxa"/>
              <w:right w:w="62" w:type="dxa"/>
            </w:tcMar>
          </w:tcPr>
          <w:p w14:paraId="67A12F1C" w14:textId="77777777" w:rsidR="007F0AE0" w:rsidRPr="00494051" w:rsidRDefault="007F0AE0" w:rsidP="00453DE3">
            <w:pPr>
              <w:spacing w:before="60" w:after="60"/>
              <w:rPr>
                <w:rFonts w:cstheme="minorHAnsi"/>
                <w:sz w:val="18"/>
                <w:szCs w:val="18"/>
              </w:rPr>
            </w:pPr>
            <w:r w:rsidRPr="00494051">
              <w:rPr>
                <w:rFonts w:cstheme="minorHAnsi"/>
                <w:sz w:val="18"/>
                <w:szCs w:val="18"/>
              </w:rPr>
              <w:t>Female prisoners</w:t>
            </w:r>
          </w:p>
        </w:tc>
      </w:tr>
      <w:tr w:rsidR="007F0AE0" w:rsidRPr="00494051" w14:paraId="0C87C15B" w14:textId="77777777" w:rsidTr="00453DE3">
        <w:trPr>
          <w:cantSplit/>
        </w:trPr>
        <w:tc>
          <w:tcPr>
            <w:tcW w:w="1843" w:type="dxa"/>
            <w:tcMar>
              <w:top w:w="62" w:type="dxa"/>
              <w:left w:w="62" w:type="dxa"/>
              <w:bottom w:w="62" w:type="dxa"/>
              <w:right w:w="62" w:type="dxa"/>
            </w:tcMar>
          </w:tcPr>
          <w:p w14:paraId="6963C3F0"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20" w:tooltip="Cubbin, 2010 #53" w:history="1">
              <w:r>
                <w:rPr>
                  <w:rFonts w:cstheme="minorHAnsi"/>
                  <w:noProof/>
                  <w:sz w:val="18"/>
                  <w:szCs w:val="18"/>
                </w:rPr>
                <w:t>20</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br/>
              <w:t>NHIS-CCS</w:t>
            </w:r>
          </w:p>
          <w:p w14:paraId="3360B0F2"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1F70F6D4"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r w:rsidRPr="00494051">
              <w:rPr>
                <w:rFonts w:cstheme="minorHAnsi"/>
                <w:sz w:val="18"/>
                <w:szCs w:val="18"/>
              </w:rPr>
              <w:br/>
              <w:t xml:space="preserve">NR; </w:t>
            </w:r>
            <w:r w:rsidRPr="00494051">
              <w:rPr>
                <w:rFonts w:cstheme="minorHAnsi"/>
                <w:sz w:val="18"/>
                <w:szCs w:val="18"/>
              </w:rPr>
              <w:br/>
              <w:t>Cross-sectional</w:t>
            </w:r>
          </w:p>
        </w:tc>
        <w:tc>
          <w:tcPr>
            <w:tcW w:w="2977" w:type="dxa"/>
            <w:tcMar>
              <w:top w:w="62" w:type="dxa"/>
              <w:left w:w="62" w:type="dxa"/>
              <w:bottom w:w="62" w:type="dxa"/>
              <w:right w:w="62" w:type="dxa"/>
            </w:tcMar>
          </w:tcPr>
          <w:p w14:paraId="4BB9DE5C"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NHIS-CCS; 2005 </w:t>
            </w:r>
          </w:p>
        </w:tc>
        <w:tc>
          <w:tcPr>
            <w:tcW w:w="4820" w:type="dxa"/>
            <w:tcMar>
              <w:top w:w="62" w:type="dxa"/>
              <w:left w:w="62" w:type="dxa"/>
              <w:bottom w:w="62" w:type="dxa"/>
              <w:right w:w="62" w:type="dxa"/>
            </w:tcMar>
          </w:tcPr>
          <w:p w14:paraId="349443DE" w14:textId="77777777" w:rsidR="007F0AE0" w:rsidRPr="00494051" w:rsidRDefault="007F0AE0" w:rsidP="00453DE3">
            <w:pPr>
              <w:spacing w:before="60" w:after="60"/>
              <w:rPr>
                <w:rFonts w:cstheme="minorHAnsi"/>
                <w:sz w:val="18"/>
                <w:szCs w:val="18"/>
              </w:rPr>
            </w:pPr>
            <w:r w:rsidRPr="00494051">
              <w:rPr>
                <w:rFonts w:cstheme="minorHAnsi"/>
                <w:sz w:val="18"/>
                <w:szCs w:val="18"/>
              </w:rPr>
              <w:t>Adults age 25-64 who self-identified as Black, non-Hispanic/Latino, Hispanic/Latino, or White non-Hispanic, smoked ≥100 lifetime cigs and currently smoke every day (current smoker) or do not currently smoke (former smoker).</w:t>
            </w:r>
          </w:p>
        </w:tc>
        <w:tc>
          <w:tcPr>
            <w:tcW w:w="1275" w:type="dxa"/>
            <w:tcMar>
              <w:top w:w="62" w:type="dxa"/>
              <w:left w:w="62" w:type="dxa"/>
              <w:bottom w:w="62" w:type="dxa"/>
              <w:right w:w="62" w:type="dxa"/>
            </w:tcMar>
          </w:tcPr>
          <w:p w14:paraId="36FC6A53"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F763174" w14:textId="77777777" w:rsidTr="00453DE3">
        <w:trPr>
          <w:cantSplit/>
        </w:trPr>
        <w:tc>
          <w:tcPr>
            <w:tcW w:w="1843" w:type="dxa"/>
            <w:tcMar>
              <w:top w:w="62" w:type="dxa"/>
              <w:left w:w="62" w:type="dxa"/>
              <w:bottom w:w="62" w:type="dxa"/>
              <w:right w:w="62" w:type="dxa"/>
            </w:tcMar>
          </w:tcPr>
          <w:p w14:paraId="4F11734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42" w:tooltip="D'Silva, 2012 #33" w:history="1">
              <w:r>
                <w:rPr>
                  <w:rFonts w:cstheme="minorHAnsi"/>
                  <w:noProof/>
                  <w:sz w:val="18"/>
                  <w:szCs w:val="18"/>
                </w:rPr>
                <w:t>42</w:t>
              </w:r>
            </w:hyperlink>
            <w:r>
              <w:rPr>
                <w:rFonts w:cstheme="minorHAnsi"/>
                <w:noProof/>
                <w:sz w:val="18"/>
                <w:szCs w:val="18"/>
              </w:rPr>
              <w:t>)</w:t>
            </w:r>
            <w:r w:rsidRPr="00494051">
              <w:rPr>
                <w:rFonts w:cstheme="minorHAnsi"/>
                <w:sz w:val="18"/>
                <w:szCs w:val="18"/>
              </w:rPr>
              <w:fldChar w:fldCharType="end"/>
            </w:r>
          </w:p>
          <w:p w14:paraId="6B8180D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62382AC4"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1FCD94D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Minnesota; </w:t>
            </w:r>
          </w:p>
          <w:p w14:paraId="2CD2FA2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34D491E6"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59EE009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People who called the ClearWay Minnesota line; September 2009 – July 2011, 7-month post-registration follow-up survey March 2010-February 2011 </w:t>
            </w:r>
          </w:p>
        </w:tc>
        <w:tc>
          <w:tcPr>
            <w:tcW w:w="4820" w:type="dxa"/>
            <w:tcMar>
              <w:top w:w="62" w:type="dxa"/>
              <w:left w:w="62" w:type="dxa"/>
              <w:bottom w:w="62" w:type="dxa"/>
              <w:right w:w="62" w:type="dxa"/>
            </w:tcMar>
          </w:tcPr>
          <w:p w14:paraId="1A98969E"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who registered for cessation counseling services.</w:t>
            </w:r>
          </w:p>
        </w:tc>
        <w:tc>
          <w:tcPr>
            <w:tcW w:w="1275" w:type="dxa"/>
            <w:tcMar>
              <w:top w:w="62" w:type="dxa"/>
              <w:left w:w="62" w:type="dxa"/>
              <w:bottom w:w="62" w:type="dxa"/>
              <w:right w:w="62" w:type="dxa"/>
            </w:tcMar>
          </w:tcPr>
          <w:p w14:paraId="6AD6DA0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2AC5FA79" w14:textId="77777777" w:rsidTr="00453DE3">
        <w:trPr>
          <w:cantSplit/>
        </w:trPr>
        <w:tc>
          <w:tcPr>
            <w:tcW w:w="1843" w:type="dxa"/>
            <w:tcMar>
              <w:top w:w="62" w:type="dxa"/>
              <w:left w:w="62" w:type="dxa"/>
              <w:bottom w:w="62" w:type="dxa"/>
              <w:right w:w="62" w:type="dxa"/>
            </w:tcMar>
          </w:tcPr>
          <w:p w14:paraId="045407E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PEVuZE5vdGU+PENpdGU+PEF1dGhvcj5EZWxuZXZvPC9BdXRob3I+PFllYXI+MjAxMDwvWWVhcj48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==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PEVuZE5vdGU+PENpdGU+PEF1dGhvcj5EZWxuZXZvPC9BdXRob3I+PFllYXI+MjAxMDwvWWVhcj48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==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57" w:tooltip="Delnevo, 2011 #42" w:history="1">
              <w:r>
                <w:rPr>
                  <w:rFonts w:cstheme="minorHAnsi"/>
                  <w:noProof/>
                  <w:sz w:val="18"/>
                  <w:szCs w:val="18"/>
                </w:rPr>
                <w:t>57</w:t>
              </w:r>
            </w:hyperlink>
            <w:r>
              <w:rPr>
                <w:rFonts w:cstheme="minorHAnsi"/>
                <w:noProof/>
                <w:sz w:val="18"/>
                <w:szCs w:val="18"/>
              </w:rPr>
              <w:t xml:space="preserve">, </w:t>
            </w:r>
            <w:hyperlink w:anchor="_ENREF_58" w:tooltip="Delnevo, 2010 #99" w:history="1">
              <w:r>
                <w:rPr>
                  <w:rFonts w:cstheme="minorHAnsi"/>
                  <w:noProof/>
                  <w:sz w:val="18"/>
                  <w:szCs w:val="18"/>
                </w:rPr>
                <w:t>58</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t>, 2010</w:t>
            </w:r>
          </w:p>
          <w:p w14:paraId="26C118AB"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58DC1E7A"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F8A1DAB"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40A0D973"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75C2F0AF"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52985698"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 2006-2007</w:t>
            </w:r>
          </w:p>
        </w:tc>
        <w:tc>
          <w:tcPr>
            <w:tcW w:w="4820" w:type="dxa"/>
            <w:tcMar>
              <w:top w:w="62" w:type="dxa"/>
              <w:left w:w="62" w:type="dxa"/>
              <w:bottom w:w="62" w:type="dxa"/>
              <w:right w:w="62" w:type="dxa"/>
            </w:tcMar>
          </w:tcPr>
          <w:p w14:paraId="393EEA26" w14:textId="77777777" w:rsidR="007F0AE0" w:rsidRPr="00494051" w:rsidRDefault="007F0AE0" w:rsidP="00453DE3">
            <w:pPr>
              <w:spacing w:before="60" w:after="60"/>
              <w:rPr>
                <w:rFonts w:cstheme="minorHAnsi"/>
                <w:sz w:val="18"/>
                <w:szCs w:val="18"/>
              </w:rPr>
            </w:pPr>
            <w:r w:rsidRPr="00494051">
              <w:rPr>
                <w:rFonts w:cstheme="minorHAnsi"/>
                <w:sz w:val="18"/>
                <w:szCs w:val="18"/>
              </w:rPr>
              <w:t>White, Black and Hispanic ever-smokers (≥100 lifetime cigs) age ≥18 who were current smokers (smoking “everyday” or “some days”) or former smokers (quit in the past 5 years) at the time of survey.</w:t>
            </w:r>
          </w:p>
        </w:tc>
        <w:tc>
          <w:tcPr>
            <w:tcW w:w="1275" w:type="dxa"/>
            <w:tcMar>
              <w:top w:w="62" w:type="dxa"/>
              <w:left w:w="62" w:type="dxa"/>
              <w:bottom w:w="62" w:type="dxa"/>
              <w:right w:w="62" w:type="dxa"/>
            </w:tcMar>
          </w:tcPr>
          <w:p w14:paraId="3DA980FB"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2EA7205D" w14:textId="77777777" w:rsidTr="00453DE3">
        <w:trPr>
          <w:cantSplit/>
        </w:trPr>
        <w:tc>
          <w:tcPr>
            <w:tcW w:w="1843" w:type="dxa"/>
            <w:tcMar>
              <w:top w:w="62" w:type="dxa"/>
              <w:left w:w="62" w:type="dxa"/>
              <w:bottom w:w="62" w:type="dxa"/>
              <w:right w:w="62" w:type="dxa"/>
            </w:tcMar>
          </w:tcPr>
          <w:p w14:paraId="0826ACE8"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18" w:tooltip="Delnevo, 2015 #1" w:history="1">
              <w:r>
                <w:rPr>
                  <w:rFonts w:cstheme="minorHAnsi"/>
                  <w:noProof/>
                  <w:sz w:val="18"/>
                  <w:szCs w:val="18"/>
                </w:rPr>
                <w:t>18</w:t>
              </w:r>
            </w:hyperlink>
            <w:r>
              <w:rPr>
                <w:rFonts w:cstheme="minorHAnsi"/>
                <w:noProof/>
                <w:sz w:val="18"/>
                <w:szCs w:val="18"/>
              </w:rPr>
              <w:t>)</w:t>
            </w:r>
            <w:r w:rsidRPr="00494051">
              <w:rPr>
                <w:rFonts w:cstheme="minorHAnsi"/>
                <w:sz w:val="18"/>
                <w:szCs w:val="18"/>
              </w:rPr>
              <w:fldChar w:fldCharType="end"/>
            </w:r>
          </w:p>
          <w:p w14:paraId="4EC3F58E" w14:textId="77777777" w:rsidR="007F0AE0" w:rsidRPr="00494051" w:rsidRDefault="007F0AE0" w:rsidP="00453DE3">
            <w:pPr>
              <w:spacing w:before="60" w:after="60"/>
              <w:rPr>
                <w:rFonts w:cstheme="minorHAnsi"/>
                <w:sz w:val="18"/>
                <w:szCs w:val="18"/>
              </w:rPr>
            </w:pPr>
            <w:r w:rsidRPr="00494051">
              <w:rPr>
                <w:rFonts w:cstheme="minorHAnsi"/>
                <w:sz w:val="18"/>
                <w:szCs w:val="18"/>
              </w:rPr>
              <w:t>NYAHS</w:t>
            </w:r>
          </w:p>
          <w:p w14:paraId="4EB0280B"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6FD1792" w14:textId="77777777" w:rsidR="007F0AE0" w:rsidRPr="00494051" w:rsidRDefault="007F0AE0" w:rsidP="00453DE3">
            <w:pPr>
              <w:spacing w:before="60" w:after="60"/>
              <w:rPr>
                <w:rFonts w:cstheme="minorHAnsi"/>
                <w:sz w:val="18"/>
                <w:szCs w:val="18"/>
              </w:rPr>
            </w:pPr>
            <w:r w:rsidRPr="00494051">
              <w:rPr>
                <w:rFonts w:cstheme="minorHAnsi"/>
                <w:sz w:val="18"/>
                <w:szCs w:val="18"/>
              </w:rPr>
              <w:t>National;</w:t>
            </w:r>
          </w:p>
          <w:p w14:paraId="467E1341"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6DB58EEF"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 / retrospective</w:t>
            </w:r>
          </w:p>
        </w:tc>
        <w:tc>
          <w:tcPr>
            <w:tcW w:w="2977" w:type="dxa"/>
            <w:tcMar>
              <w:top w:w="62" w:type="dxa"/>
              <w:left w:w="62" w:type="dxa"/>
              <w:bottom w:w="62" w:type="dxa"/>
              <w:right w:w="62" w:type="dxa"/>
            </w:tcMar>
          </w:tcPr>
          <w:p w14:paraId="69395D5C" w14:textId="77777777" w:rsidR="007F0AE0" w:rsidRPr="00494051" w:rsidRDefault="007F0AE0" w:rsidP="00453DE3">
            <w:pPr>
              <w:spacing w:before="60" w:after="60"/>
              <w:rPr>
                <w:rFonts w:cstheme="minorHAnsi"/>
                <w:sz w:val="18"/>
                <w:szCs w:val="18"/>
              </w:rPr>
            </w:pPr>
            <w:r w:rsidRPr="00494051">
              <w:rPr>
                <w:rFonts w:cstheme="minorHAnsi"/>
                <w:sz w:val="18"/>
                <w:szCs w:val="18"/>
              </w:rPr>
              <w:t>NYAHS; 2011</w:t>
            </w:r>
          </w:p>
        </w:tc>
        <w:tc>
          <w:tcPr>
            <w:tcW w:w="4820" w:type="dxa"/>
            <w:tcMar>
              <w:top w:w="62" w:type="dxa"/>
              <w:left w:w="62" w:type="dxa"/>
              <w:bottom w:w="62" w:type="dxa"/>
              <w:right w:w="62" w:type="dxa"/>
            </w:tcMar>
          </w:tcPr>
          <w:p w14:paraId="58BF7A0C" w14:textId="77777777" w:rsidR="007F0AE0" w:rsidRPr="00494051" w:rsidRDefault="007F0AE0" w:rsidP="00453DE3">
            <w:pPr>
              <w:spacing w:before="60" w:after="60"/>
              <w:rPr>
                <w:rFonts w:cstheme="minorHAnsi"/>
                <w:sz w:val="18"/>
                <w:szCs w:val="18"/>
              </w:rPr>
            </w:pPr>
            <w:r w:rsidRPr="00494051">
              <w:rPr>
                <w:rFonts w:cstheme="minorHAnsi"/>
                <w:sz w:val="18"/>
                <w:szCs w:val="18"/>
              </w:rPr>
              <w:t>Subsample of young adults age 18-34 from the survey who smoked ≥100 lifetime cigs at the time of the survey.</w:t>
            </w:r>
          </w:p>
        </w:tc>
        <w:tc>
          <w:tcPr>
            <w:tcW w:w="1275" w:type="dxa"/>
            <w:tcMar>
              <w:top w:w="62" w:type="dxa"/>
              <w:left w:w="62" w:type="dxa"/>
              <w:bottom w:w="62" w:type="dxa"/>
              <w:right w:w="62" w:type="dxa"/>
            </w:tcMar>
          </w:tcPr>
          <w:p w14:paraId="44BA0037"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adults age 18-34</w:t>
            </w:r>
          </w:p>
        </w:tc>
      </w:tr>
      <w:tr w:rsidR="007F0AE0" w:rsidRPr="00494051" w14:paraId="525608AB" w14:textId="77777777" w:rsidTr="00453DE3">
        <w:trPr>
          <w:cantSplit/>
        </w:trPr>
        <w:tc>
          <w:tcPr>
            <w:tcW w:w="1843" w:type="dxa"/>
            <w:tcMar>
              <w:top w:w="62" w:type="dxa"/>
              <w:left w:w="62" w:type="dxa"/>
              <w:bottom w:w="62" w:type="dxa"/>
              <w:right w:w="62" w:type="dxa"/>
            </w:tcMar>
          </w:tcPr>
          <w:p w14:paraId="5C915637"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36" w:tooltip="Fagan, 2007 #94" w:history="1">
              <w:r>
                <w:rPr>
                  <w:rFonts w:cstheme="minorHAnsi"/>
                  <w:noProof/>
                  <w:sz w:val="18"/>
                  <w:szCs w:val="18"/>
                </w:rPr>
                <w:t>36</w:t>
              </w:r>
            </w:hyperlink>
            <w:r>
              <w:rPr>
                <w:rFonts w:cstheme="minorHAnsi"/>
                <w:noProof/>
                <w:sz w:val="18"/>
                <w:szCs w:val="18"/>
              </w:rPr>
              <w:t>)</w:t>
            </w:r>
            <w:r w:rsidRPr="00494051">
              <w:rPr>
                <w:rFonts w:cstheme="minorHAnsi"/>
                <w:sz w:val="18"/>
                <w:szCs w:val="18"/>
              </w:rPr>
              <w:fldChar w:fldCharType="end"/>
            </w:r>
          </w:p>
          <w:p w14:paraId="4EA5724B"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3C1E79D1"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7834273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03D105C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04D68D5E"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35F9F0DE"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w:t>
            </w:r>
          </w:p>
        </w:tc>
        <w:tc>
          <w:tcPr>
            <w:tcW w:w="4820" w:type="dxa"/>
            <w:tcMar>
              <w:top w:w="62" w:type="dxa"/>
              <w:left w:w="62" w:type="dxa"/>
              <w:bottom w:w="62" w:type="dxa"/>
              <w:right w:w="62" w:type="dxa"/>
            </w:tcMar>
          </w:tcPr>
          <w:p w14:paraId="509A4472"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 (18-30 years) current smokers who smoke every day (daily smokers) or some days (non-daily smokers).</w:t>
            </w:r>
          </w:p>
        </w:tc>
        <w:tc>
          <w:tcPr>
            <w:tcW w:w="1275" w:type="dxa"/>
            <w:tcMar>
              <w:top w:w="62" w:type="dxa"/>
              <w:left w:w="62" w:type="dxa"/>
              <w:bottom w:w="62" w:type="dxa"/>
              <w:right w:w="62" w:type="dxa"/>
            </w:tcMar>
          </w:tcPr>
          <w:p w14:paraId="4940B469"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adults age 18-30</w:t>
            </w:r>
          </w:p>
        </w:tc>
      </w:tr>
      <w:tr w:rsidR="007F0AE0" w:rsidRPr="00494051" w14:paraId="636941E5" w14:textId="77777777" w:rsidTr="00453DE3">
        <w:trPr>
          <w:cantSplit/>
        </w:trPr>
        <w:tc>
          <w:tcPr>
            <w:tcW w:w="1843" w:type="dxa"/>
            <w:tcMar>
              <w:top w:w="62" w:type="dxa"/>
              <w:left w:w="62" w:type="dxa"/>
              <w:bottom w:w="62" w:type="dxa"/>
              <w:right w:w="62" w:type="dxa"/>
            </w:tcMar>
          </w:tcPr>
          <w:p w14:paraId="499770D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12" w:tooltip="Fagan, 2010 #56" w:history="1">
              <w:r>
                <w:rPr>
                  <w:rFonts w:cstheme="minorHAnsi"/>
                  <w:noProof/>
                  <w:sz w:val="18"/>
                  <w:szCs w:val="18"/>
                </w:rPr>
                <w:t>12</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br/>
              <w:t>TUS-CPS</w:t>
            </w:r>
            <w:r w:rsidRPr="00494051">
              <w:rPr>
                <w:rFonts w:cstheme="minorHAnsi"/>
                <w:sz w:val="18"/>
                <w:szCs w:val="18"/>
              </w:rPr>
              <w:br/>
              <w:t>Fair</w:t>
            </w:r>
          </w:p>
        </w:tc>
        <w:tc>
          <w:tcPr>
            <w:tcW w:w="2126" w:type="dxa"/>
            <w:tcMar>
              <w:top w:w="62" w:type="dxa"/>
              <w:left w:w="62" w:type="dxa"/>
              <w:bottom w:w="62" w:type="dxa"/>
              <w:right w:w="62" w:type="dxa"/>
            </w:tcMar>
          </w:tcPr>
          <w:p w14:paraId="51D1F24D" w14:textId="77777777" w:rsidR="007F0AE0" w:rsidRPr="00494051" w:rsidRDefault="007F0AE0" w:rsidP="00453DE3">
            <w:pPr>
              <w:spacing w:before="60" w:after="60"/>
              <w:rPr>
                <w:rFonts w:cstheme="minorHAnsi"/>
                <w:sz w:val="18"/>
                <w:szCs w:val="18"/>
              </w:rPr>
            </w:pPr>
            <w:r w:rsidRPr="00494051">
              <w:rPr>
                <w:rFonts w:cstheme="minorHAnsi"/>
                <w:sz w:val="18"/>
                <w:szCs w:val="18"/>
              </w:rPr>
              <w:t>National;</w:t>
            </w:r>
          </w:p>
          <w:p w14:paraId="7E496543"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r w:rsidRPr="00494051">
              <w:rPr>
                <w:rFonts w:cstheme="minorHAnsi"/>
                <w:sz w:val="18"/>
                <w:szCs w:val="18"/>
              </w:rPr>
              <w:br/>
              <w:t xml:space="preserve">Cross-sectional </w:t>
            </w:r>
          </w:p>
        </w:tc>
        <w:tc>
          <w:tcPr>
            <w:tcW w:w="2977" w:type="dxa"/>
            <w:tcMar>
              <w:top w:w="62" w:type="dxa"/>
              <w:left w:w="62" w:type="dxa"/>
              <w:bottom w:w="62" w:type="dxa"/>
              <w:right w:w="62" w:type="dxa"/>
            </w:tcMar>
          </w:tcPr>
          <w:p w14:paraId="60BEADC1"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 2006-2007</w:t>
            </w:r>
          </w:p>
        </w:tc>
        <w:tc>
          <w:tcPr>
            <w:tcW w:w="4820" w:type="dxa"/>
            <w:tcMar>
              <w:top w:w="62" w:type="dxa"/>
              <w:left w:w="62" w:type="dxa"/>
              <w:bottom w:w="62" w:type="dxa"/>
              <w:right w:w="62" w:type="dxa"/>
            </w:tcMar>
          </w:tcPr>
          <w:p w14:paraId="0E1CAD0B" w14:textId="77777777" w:rsidR="007F0AE0" w:rsidRPr="00494051" w:rsidRDefault="007F0AE0" w:rsidP="00453DE3">
            <w:pPr>
              <w:spacing w:before="60" w:after="60"/>
              <w:rPr>
                <w:rFonts w:cstheme="minorHAnsi"/>
                <w:sz w:val="18"/>
                <w:szCs w:val="18"/>
              </w:rPr>
            </w:pPr>
            <w:r w:rsidRPr="00494051">
              <w:rPr>
                <w:rFonts w:cstheme="minorHAnsi"/>
                <w:sz w:val="18"/>
                <w:szCs w:val="18"/>
              </w:rPr>
              <w:t>Adult daily smokers (≥100 lifetime cigs) age ≥18.</w:t>
            </w:r>
          </w:p>
        </w:tc>
        <w:tc>
          <w:tcPr>
            <w:tcW w:w="1275" w:type="dxa"/>
            <w:tcMar>
              <w:top w:w="62" w:type="dxa"/>
              <w:left w:w="62" w:type="dxa"/>
              <w:bottom w:w="62" w:type="dxa"/>
              <w:right w:w="62" w:type="dxa"/>
            </w:tcMar>
          </w:tcPr>
          <w:p w14:paraId="7D272FFF"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51CF8201" w14:textId="77777777" w:rsidTr="00453DE3">
        <w:trPr>
          <w:cantSplit/>
        </w:trPr>
        <w:tc>
          <w:tcPr>
            <w:tcW w:w="1843" w:type="dxa"/>
            <w:tcMar>
              <w:top w:w="62" w:type="dxa"/>
              <w:left w:w="62" w:type="dxa"/>
              <w:bottom w:w="62" w:type="dxa"/>
              <w:right w:w="62" w:type="dxa"/>
            </w:tcMar>
          </w:tcPr>
          <w:p w14:paraId="5811DC8F"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25" w:tooltip="Fagan, 2015 #5" w:history="1">
              <w:r>
                <w:rPr>
                  <w:rFonts w:cstheme="minorHAnsi"/>
                  <w:noProof/>
                  <w:sz w:val="18"/>
                  <w:szCs w:val="18"/>
                </w:rPr>
                <w:t>25</w:t>
              </w:r>
            </w:hyperlink>
            <w:r>
              <w:rPr>
                <w:rFonts w:cstheme="minorHAnsi"/>
                <w:noProof/>
                <w:sz w:val="18"/>
                <w:szCs w:val="18"/>
              </w:rPr>
              <w:t>)</w:t>
            </w:r>
            <w:r w:rsidRPr="00494051">
              <w:rPr>
                <w:rFonts w:cstheme="minorHAnsi"/>
                <w:sz w:val="18"/>
                <w:szCs w:val="18"/>
              </w:rPr>
              <w:fldChar w:fldCharType="end"/>
            </w:r>
          </w:p>
          <w:p w14:paraId="4047492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09CDD933"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39123B51" w14:textId="77777777" w:rsidR="007F0AE0" w:rsidRPr="00494051" w:rsidRDefault="007F0AE0" w:rsidP="00453DE3">
            <w:pPr>
              <w:spacing w:before="60" w:after="60"/>
              <w:rPr>
                <w:rFonts w:cstheme="minorHAnsi"/>
                <w:sz w:val="18"/>
                <w:szCs w:val="18"/>
              </w:rPr>
            </w:pPr>
            <w:r w:rsidRPr="00494051">
              <w:rPr>
                <w:rFonts w:cstheme="minorHAnsi"/>
                <w:sz w:val="18"/>
                <w:szCs w:val="18"/>
              </w:rPr>
              <w:t>Hawaii;</w:t>
            </w:r>
          </w:p>
          <w:p w14:paraId="0B7A5856" w14:textId="77777777" w:rsidR="007F0AE0" w:rsidRPr="00494051" w:rsidRDefault="007F0AE0" w:rsidP="00453DE3">
            <w:pPr>
              <w:spacing w:before="60" w:after="60"/>
              <w:rPr>
                <w:rFonts w:cstheme="minorHAnsi"/>
                <w:sz w:val="18"/>
                <w:szCs w:val="18"/>
              </w:rPr>
            </w:pPr>
            <w:r w:rsidRPr="00494051">
              <w:rPr>
                <w:rFonts w:cstheme="minorHAnsi"/>
                <w:sz w:val="18"/>
                <w:szCs w:val="18"/>
              </w:rPr>
              <w:t>Academia &amp; foundation;</w:t>
            </w:r>
          </w:p>
          <w:p w14:paraId="6F9BA0C6"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4073BB59" w14:textId="77777777" w:rsidR="007F0AE0" w:rsidRPr="00494051" w:rsidRDefault="007F0AE0" w:rsidP="00453DE3">
            <w:pPr>
              <w:spacing w:before="60" w:after="60"/>
              <w:rPr>
                <w:rFonts w:cstheme="minorHAnsi"/>
                <w:sz w:val="18"/>
                <w:szCs w:val="18"/>
              </w:rPr>
            </w:pPr>
            <w:r w:rsidRPr="00494051">
              <w:rPr>
                <w:rFonts w:cstheme="minorHAnsi"/>
                <w:sz w:val="18"/>
                <w:szCs w:val="18"/>
              </w:rPr>
              <w:t>Community recruitment via advertising and peer referrals; 2013</w:t>
            </w:r>
          </w:p>
          <w:p w14:paraId="32E72312" w14:textId="77777777" w:rsidR="007F0AE0" w:rsidRPr="00494051" w:rsidRDefault="007F0AE0" w:rsidP="00453DE3">
            <w:pPr>
              <w:spacing w:before="60" w:after="60"/>
              <w:rPr>
                <w:rFonts w:cstheme="minorHAnsi"/>
                <w:sz w:val="18"/>
                <w:szCs w:val="18"/>
              </w:rPr>
            </w:pPr>
          </w:p>
        </w:tc>
        <w:tc>
          <w:tcPr>
            <w:tcW w:w="4820" w:type="dxa"/>
            <w:tcMar>
              <w:top w:w="62" w:type="dxa"/>
              <w:left w:w="62" w:type="dxa"/>
              <w:bottom w:w="62" w:type="dxa"/>
              <w:right w:w="62" w:type="dxa"/>
            </w:tcMar>
          </w:tcPr>
          <w:p w14:paraId="683925E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Adults age 18-35 who self-identiﬁed as Native Hawaiian, Filipino, or White and smoked ≥5 CPD. </w:t>
            </w:r>
          </w:p>
        </w:tc>
        <w:tc>
          <w:tcPr>
            <w:tcW w:w="1275" w:type="dxa"/>
            <w:tcMar>
              <w:top w:w="62" w:type="dxa"/>
              <w:left w:w="62" w:type="dxa"/>
              <w:bottom w:w="62" w:type="dxa"/>
              <w:right w:w="62" w:type="dxa"/>
            </w:tcMar>
          </w:tcPr>
          <w:p w14:paraId="737104BB"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adults age 18-35</w:t>
            </w:r>
          </w:p>
        </w:tc>
      </w:tr>
      <w:tr w:rsidR="007F0AE0" w:rsidRPr="00494051" w14:paraId="79831DD5" w14:textId="77777777" w:rsidTr="00453DE3">
        <w:trPr>
          <w:cantSplit/>
        </w:trPr>
        <w:tc>
          <w:tcPr>
            <w:tcW w:w="1843" w:type="dxa"/>
            <w:tcMar>
              <w:top w:w="62" w:type="dxa"/>
              <w:left w:w="62" w:type="dxa"/>
              <w:bottom w:w="62" w:type="dxa"/>
              <w:right w:w="62" w:type="dxa"/>
            </w:tcMar>
          </w:tcPr>
          <w:p w14:paraId="20BB34C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26" w:tooltip="Faseru, 2011 #40" w:history="1">
              <w:r>
                <w:rPr>
                  <w:rFonts w:cstheme="minorHAnsi"/>
                  <w:noProof/>
                  <w:sz w:val="18"/>
                  <w:szCs w:val="18"/>
                </w:rPr>
                <w:t>26</w:t>
              </w:r>
            </w:hyperlink>
            <w:r>
              <w:rPr>
                <w:rFonts w:cstheme="minorHAnsi"/>
                <w:noProof/>
                <w:sz w:val="18"/>
                <w:szCs w:val="18"/>
              </w:rPr>
              <w:t xml:space="preserve">, </w:t>
            </w:r>
            <w:hyperlink w:anchor="_ENREF_27" w:tooltip="Faseru, 2013 #29" w:history="1">
              <w:r>
                <w:rPr>
                  <w:rFonts w:cstheme="minorHAnsi"/>
                  <w:noProof/>
                  <w:sz w:val="18"/>
                  <w:szCs w:val="18"/>
                </w:rPr>
                <w:t>27</w:t>
              </w:r>
            </w:hyperlink>
            <w:r>
              <w:rPr>
                <w:rFonts w:cstheme="minorHAnsi"/>
                <w:noProof/>
                <w:sz w:val="18"/>
                <w:szCs w:val="18"/>
              </w:rPr>
              <w:t>)</w:t>
            </w:r>
            <w:r w:rsidRPr="00494051">
              <w:rPr>
                <w:rFonts w:cstheme="minorHAnsi"/>
                <w:sz w:val="18"/>
                <w:szCs w:val="18"/>
              </w:rPr>
              <w:fldChar w:fldCharType="end"/>
            </w:r>
          </w:p>
          <w:p w14:paraId="48E5B7E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2FCBDB93"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3AB37004" w14:textId="77777777" w:rsidR="007F0AE0" w:rsidRPr="00494051" w:rsidRDefault="007F0AE0" w:rsidP="00453DE3">
            <w:pPr>
              <w:spacing w:before="60" w:after="60"/>
              <w:rPr>
                <w:rFonts w:cstheme="minorHAnsi"/>
                <w:sz w:val="18"/>
                <w:szCs w:val="18"/>
              </w:rPr>
            </w:pPr>
            <w:r w:rsidRPr="00494051">
              <w:rPr>
                <w:rFonts w:cstheme="minorHAnsi"/>
                <w:sz w:val="18"/>
                <w:szCs w:val="18"/>
              </w:rPr>
              <w:t>Kansas;</w:t>
            </w:r>
          </w:p>
          <w:p w14:paraId="10DD2C96"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100435E3"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Prospective cohort </w:t>
            </w:r>
          </w:p>
        </w:tc>
        <w:tc>
          <w:tcPr>
            <w:tcW w:w="2977" w:type="dxa"/>
            <w:tcMar>
              <w:top w:w="62" w:type="dxa"/>
              <w:left w:w="62" w:type="dxa"/>
              <w:bottom w:w="62" w:type="dxa"/>
              <w:right w:w="62" w:type="dxa"/>
            </w:tcMar>
          </w:tcPr>
          <w:p w14:paraId="0C93EC35" w14:textId="77777777" w:rsidR="007F0AE0" w:rsidRPr="00494051" w:rsidRDefault="007F0AE0" w:rsidP="00453DE3">
            <w:pPr>
              <w:spacing w:before="60" w:after="60"/>
              <w:rPr>
                <w:rFonts w:cstheme="minorHAnsi"/>
                <w:sz w:val="18"/>
                <w:szCs w:val="18"/>
              </w:rPr>
            </w:pPr>
            <w:r w:rsidRPr="00494051">
              <w:rPr>
                <w:rFonts w:cstheme="minorHAnsi"/>
                <w:sz w:val="18"/>
                <w:szCs w:val="18"/>
              </w:rPr>
              <w:t>Kick it at Swope-III (KIS-III trial), recruited at a community-based clinic serving a predominantly Black population; NR</w:t>
            </w:r>
          </w:p>
        </w:tc>
        <w:tc>
          <w:tcPr>
            <w:tcW w:w="4820" w:type="dxa"/>
            <w:tcMar>
              <w:top w:w="62" w:type="dxa"/>
              <w:left w:w="62" w:type="dxa"/>
              <w:bottom w:w="62" w:type="dxa"/>
              <w:right w:w="62" w:type="dxa"/>
            </w:tcMar>
          </w:tcPr>
          <w:p w14:paraId="21D95D36" w14:textId="77777777" w:rsidR="007F0AE0" w:rsidRPr="00494051" w:rsidRDefault="007F0AE0" w:rsidP="00453DE3">
            <w:pPr>
              <w:spacing w:before="60" w:after="60"/>
              <w:rPr>
                <w:rFonts w:cstheme="minorHAnsi"/>
                <w:sz w:val="18"/>
                <w:szCs w:val="18"/>
              </w:rPr>
            </w:pPr>
            <w:r w:rsidRPr="00494051">
              <w:rPr>
                <w:rFonts w:cstheme="minorHAnsi"/>
                <w:sz w:val="18"/>
                <w:szCs w:val="18"/>
              </w:rPr>
              <w:t>Black adult (≥18 years) "light smokers" (≤10 CPD) for ≥2 years who smoked on ≥25 days in the month prior to enrollment and were interested in quitting.</w:t>
            </w:r>
          </w:p>
        </w:tc>
        <w:tc>
          <w:tcPr>
            <w:tcW w:w="1275" w:type="dxa"/>
            <w:tcMar>
              <w:top w:w="62" w:type="dxa"/>
              <w:left w:w="62" w:type="dxa"/>
              <w:bottom w:w="62" w:type="dxa"/>
              <w:right w:w="62" w:type="dxa"/>
            </w:tcMar>
          </w:tcPr>
          <w:p w14:paraId="2AD99DA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Black light smokers (≤10 CPD) </w:t>
            </w:r>
          </w:p>
        </w:tc>
      </w:tr>
      <w:tr w:rsidR="007F0AE0" w:rsidRPr="00494051" w14:paraId="4D7F1161" w14:textId="77777777" w:rsidTr="00453DE3">
        <w:trPr>
          <w:cantSplit/>
        </w:trPr>
        <w:tc>
          <w:tcPr>
            <w:tcW w:w="1843" w:type="dxa"/>
            <w:tcMar>
              <w:top w:w="62" w:type="dxa"/>
              <w:left w:w="62" w:type="dxa"/>
              <w:bottom w:w="62" w:type="dxa"/>
              <w:right w:w="62" w:type="dxa"/>
            </w:tcMar>
          </w:tcPr>
          <w:p w14:paraId="361C7DB9"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66" w:tooltip="Foulds, 2006 #95" w:history="1">
              <w:r>
                <w:rPr>
                  <w:rFonts w:cstheme="minorHAnsi"/>
                  <w:noProof/>
                  <w:sz w:val="18"/>
                  <w:szCs w:val="18"/>
                </w:rPr>
                <w:t>66</w:t>
              </w:r>
            </w:hyperlink>
            <w:r>
              <w:rPr>
                <w:rFonts w:cstheme="minorHAnsi"/>
                <w:noProof/>
                <w:sz w:val="18"/>
                <w:szCs w:val="18"/>
              </w:rPr>
              <w:t>)</w:t>
            </w:r>
            <w:r w:rsidRPr="00494051">
              <w:rPr>
                <w:rFonts w:cstheme="minorHAnsi"/>
                <w:sz w:val="18"/>
                <w:szCs w:val="18"/>
              </w:rPr>
              <w:fldChar w:fldCharType="end"/>
            </w:r>
          </w:p>
          <w:p w14:paraId="7E0FFA18"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5FA6D65"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33438D24"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New Jersey; </w:t>
            </w:r>
          </w:p>
          <w:p w14:paraId="418A629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&amp; foundation; </w:t>
            </w:r>
          </w:p>
          <w:p w14:paraId="74F408E6"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5106508C" w14:textId="77777777" w:rsidR="007F0AE0" w:rsidRPr="00494051" w:rsidRDefault="007F0AE0" w:rsidP="00453DE3">
            <w:pPr>
              <w:spacing w:before="60" w:after="60"/>
              <w:rPr>
                <w:rFonts w:cstheme="minorHAnsi"/>
                <w:sz w:val="18"/>
                <w:szCs w:val="18"/>
              </w:rPr>
            </w:pPr>
            <w:r w:rsidRPr="00494051">
              <w:rPr>
                <w:rFonts w:cstheme="minorHAnsi"/>
                <w:sz w:val="18"/>
                <w:szCs w:val="18"/>
              </w:rPr>
              <w:t>Convenience sample of patients attempting to quit at a specialist tobacco dependence treatment outpatient clinic; 2001-2006</w:t>
            </w:r>
          </w:p>
        </w:tc>
        <w:tc>
          <w:tcPr>
            <w:tcW w:w="4820" w:type="dxa"/>
            <w:tcMar>
              <w:top w:w="62" w:type="dxa"/>
              <w:left w:w="62" w:type="dxa"/>
              <w:bottom w:w="62" w:type="dxa"/>
              <w:right w:w="62" w:type="dxa"/>
            </w:tcMar>
          </w:tcPr>
          <w:p w14:paraId="7A4CE166" w14:textId="77777777" w:rsidR="007F0AE0" w:rsidRPr="00494051" w:rsidRDefault="007F0AE0" w:rsidP="00453DE3">
            <w:pPr>
              <w:spacing w:before="60" w:after="60"/>
              <w:rPr>
                <w:rFonts w:cstheme="minorHAnsi"/>
                <w:sz w:val="18"/>
                <w:szCs w:val="18"/>
              </w:rPr>
            </w:pPr>
            <w:r w:rsidRPr="00494051">
              <w:rPr>
                <w:rFonts w:cstheme="minorHAnsi"/>
                <w:sz w:val="18"/>
                <w:szCs w:val="18"/>
              </w:rPr>
              <w:t>Smokers age 14-81 who, at their assessment, reported current smoking, specified a target quit date, and responded to the baseline night-smoking question.</w:t>
            </w:r>
          </w:p>
        </w:tc>
        <w:tc>
          <w:tcPr>
            <w:tcW w:w="1275" w:type="dxa"/>
            <w:tcMar>
              <w:top w:w="62" w:type="dxa"/>
              <w:left w:w="62" w:type="dxa"/>
              <w:bottom w:w="62" w:type="dxa"/>
              <w:right w:w="62" w:type="dxa"/>
            </w:tcMar>
          </w:tcPr>
          <w:p w14:paraId="726FFE63" w14:textId="77777777" w:rsidR="007F0AE0" w:rsidRPr="00494051" w:rsidRDefault="007F0AE0" w:rsidP="00453DE3">
            <w:pPr>
              <w:spacing w:before="60" w:after="60"/>
              <w:rPr>
                <w:rFonts w:cstheme="minorHAnsi"/>
                <w:sz w:val="18"/>
                <w:szCs w:val="18"/>
              </w:rPr>
            </w:pPr>
            <w:r w:rsidRPr="00494051">
              <w:rPr>
                <w:rFonts w:cstheme="minorHAnsi"/>
                <w:sz w:val="18"/>
                <w:szCs w:val="18"/>
              </w:rPr>
              <w:t>None, but included age ≥14</w:t>
            </w:r>
          </w:p>
        </w:tc>
      </w:tr>
      <w:tr w:rsidR="007F0AE0" w:rsidRPr="00494051" w14:paraId="3E32105D" w14:textId="77777777" w:rsidTr="00453DE3">
        <w:trPr>
          <w:cantSplit/>
        </w:trPr>
        <w:tc>
          <w:tcPr>
            <w:tcW w:w="1843" w:type="dxa"/>
            <w:tcMar>
              <w:top w:w="62" w:type="dxa"/>
              <w:left w:w="62" w:type="dxa"/>
              <w:bottom w:w="62" w:type="dxa"/>
              <w:right w:w="62" w:type="dxa"/>
            </w:tcMar>
          </w:tcPr>
          <w:p w14:paraId="1ECA81FE"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23" w:tooltip="Fu, 2008 #72" w:history="1">
              <w:r>
                <w:rPr>
                  <w:rFonts w:cstheme="minorHAnsi"/>
                  <w:noProof/>
                  <w:sz w:val="18"/>
                  <w:szCs w:val="18"/>
                </w:rPr>
                <w:t>23</w:t>
              </w:r>
            </w:hyperlink>
            <w:r>
              <w:rPr>
                <w:rFonts w:cstheme="minorHAnsi"/>
                <w:noProof/>
                <w:sz w:val="18"/>
                <w:szCs w:val="18"/>
              </w:rPr>
              <w:t>)</w:t>
            </w:r>
            <w:r w:rsidRPr="00494051">
              <w:rPr>
                <w:rFonts w:cstheme="minorHAnsi"/>
                <w:sz w:val="18"/>
                <w:szCs w:val="18"/>
              </w:rPr>
              <w:fldChar w:fldCharType="end"/>
            </w:r>
          </w:p>
          <w:p w14:paraId="59E9B94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7674AD21"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7522C5D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5 VA centers in U.S.; </w:t>
            </w:r>
          </w:p>
          <w:p w14:paraId="520DD1A7" w14:textId="77777777" w:rsidR="007F0AE0" w:rsidRDefault="007F0AE0" w:rsidP="00453DE3">
            <w:pPr>
              <w:spacing w:before="60" w:after="60"/>
              <w:rPr>
                <w:rFonts w:cstheme="minorHAnsi"/>
                <w:sz w:val="18"/>
                <w:szCs w:val="18"/>
              </w:rPr>
            </w:pPr>
            <w:r w:rsidRPr="00494051">
              <w:rPr>
                <w:rFonts w:cstheme="minorHAnsi"/>
                <w:sz w:val="18"/>
                <w:szCs w:val="18"/>
              </w:rPr>
              <w:t>Govt</w:t>
            </w:r>
            <w:r>
              <w:rPr>
                <w:rFonts w:cstheme="minorHAnsi"/>
                <w:sz w:val="18"/>
                <w:szCs w:val="18"/>
              </w:rPr>
              <w:t>;</w:t>
            </w:r>
          </w:p>
          <w:p w14:paraId="7730E52E" w14:textId="77777777" w:rsidR="007F0AE0" w:rsidRPr="00494051" w:rsidRDefault="007F0AE0" w:rsidP="00453DE3">
            <w:pPr>
              <w:spacing w:before="60" w:after="60"/>
              <w:rPr>
                <w:rFonts w:cstheme="minorHAnsi"/>
                <w:sz w:val="18"/>
                <w:szCs w:val="18"/>
              </w:rPr>
            </w:pPr>
            <w:r>
              <w:rPr>
                <w:rFonts w:cstheme="minorHAnsi"/>
                <w:sz w:val="18"/>
                <w:szCs w:val="18"/>
              </w:rPr>
              <w:t>Prospective cohort</w:t>
            </w:r>
          </w:p>
        </w:tc>
        <w:tc>
          <w:tcPr>
            <w:tcW w:w="2977" w:type="dxa"/>
            <w:tcMar>
              <w:top w:w="62" w:type="dxa"/>
              <w:left w:w="62" w:type="dxa"/>
              <w:bottom w:w="62" w:type="dxa"/>
              <w:right w:w="62" w:type="dxa"/>
            </w:tcMar>
          </w:tcPr>
          <w:p w14:paraId="29D51D08" w14:textId="77777777" w:rsidR="007F0AE0" w:rsidRPr="00494051" w:rsidRDefault="007F0AE0" w:rsidP="00453DE3">
            <w:pPr>
              <w:spacing w:before="60" w:after="60"/>
              <w:rPr>
                <w:rFonts w:cstheme="minorHAnsi"/>
                <w:sz w:val="18"/>
                <w:szCs w:val="18"/>
              </w:rPr>
            </w:pPr>
            <w:r w:rsidRPr="00494051">
              <w:rPr>
                <w:rFonts w:cstheme="minorHAnsi"/>
                <w:sz w:val="18"/>
                <w:szCs w:val="18"/>
              </w:rPr>
              <w:t>Participants recruited from 5 VA medical centers, identified by VA pharmacy databases; February-October 2002</w:t>
            </w:r>
          </w:p>
        </w:tc>
        <w:tc>
          <w:tcPr>
            <w:tcW w:w="4820" w:type="dxa"/>
            <w:tcMar>
              <w:top w:w="62" w:type="dxa"/>
              <w:left w:w="62" w:type="dxa"/>
              <w:bottom w:w="62" w:type="dxa"/>
              <w:right w:w="62" w:type="dxa"/>
            </w:tcMar>
          </w:tcPr>
          <w:p w14:paraId="6FC7978A"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age ≥19 with a recent quit attempt that incorporated pharmacologic treatment.</w:t>
            </w:r>
          </w:p>
        </w:tc>
        <w:tc>
          <w:tcPr>
            <w:tcW w:w="1275" w:type="dxa"/>
            <w:tcMar>
              <w:top w:w="62" w:type="dxa"/>
              <w:left w:w="62" w:type="dxa"/>
              <w:bottom w:w="62" w:type="dxa"/>
              <w:right w:w="62" w:type="dxa"/>
            </w:tcMar>
          </w:tcPr>
          <w:p w14:paraId="570D8EF4" w14:textId="77777777" w:rsidR="007F0AE0" w:rsidRPr="00494051" w:rsidRDefault="007F0AE0" w:rsidP="00453DE3">
            <w:pPr>
              <w:spacing w:before="60" w:after="60"/>
              <w:rPr>
                <w:rFonts w:cstheme="minorHAnsi"/>
                <w:sz w:val="18"/>
                <w:szCs w:val="18"/>
              </w:rPr>
            </w:pPr>
            <w:r w:rsidRPr="00494051">
              <w:rPr>
                <w:rFonts w:cstheme="minorHAnsi"/>
                <w:sz w:val="18"/>
                <w:szCs w:val="18"/>
              </w:rPr>
              <w:t>VA patients</w:t>
            </w:r>
          </w:p>
        </w:tc>
      </w:tr>
      <w:tr w:rsidR="007F0AE0" w:rsidRPr="00494051" w14:paraId="27E41BEC" w14:textId="77777777" w:rsidTr="00453DE3">
        <w:trPr>
          <w:cantSplit/>
          <w:trHeight w:val="312"/>
        </w:trPr>
        <w:tc>
          <w:tcPr>
            <w:tcW w:w="1843" w:type="dxa"/>
            <w:tcMar>
              <w:top w:w="62" w:type="dxa"/>
              <w:left w:w="62" w:type="dxa"/>
              <w:bottom w:w="62" w:type="dxa"/>
              <w:right w:w="62" w:type="dxa"/>
            </w:tcMar>
          </w:tcPr>
          <w:p w14:paraId="21AAA4F1"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7" w:tooltip="Gandhi, 2009 #67" w:history="1">
              <w:r>
                <w:rPr>
                  <w:rFonts w:cstheme="minorHAnsi"/>
                  <w:noProof/>
                  <w:sz w:val="18"/>
                  <w:szCs w:val="18"/>
                </w:rPr>
                <w:t>47</w:t>
              </w:r>
            </w:hyperlink>
            <w:r>
              <w:rPr>
                <w:rFonts w:cstheme="minorHAnsi"/>
                <w:noProof/>
                <w:sz w:val="18"/>
                <w:szCs w:val="18"/>
              </w:rPr>
              <w:t>)</w:t>
            </w:r>
            <w:r w:rsidRPr="00494051">
              <w:rPr>
                <w:rFonts w:cstheme="minorHAnsi"/>
                <w:sz w:val="18"/>
                <w:szCs w:val="18"/>
              </w:rPr>
              <w:fldChar w:fldCharType="end"/>
            </w:r>
          </w:p>
          <w:p w14:paraId="2A866D4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r w:rsidRPr="00494051">
              <w:rPr>
                <w:rFonts w:cstheme="minorHAnsi"/>
                <w:sz w:val="18"/>
                <w:szCs w:val="18"/>
              </w:rPr>
              <w:br/>
              <w:t>Fair</w:t>
            </w:r>
          </w:p>
        </w:tc>
        <w:tc>
          <w:tcPr>
            <w:tcW w:w="2126" w:type="dxa"/>
            <w:tcMar>
              <w:top w:w="62" w:type="dxa"/>
              <w:left w:w="62" w:type="dxa"/>
              <w:bottom w:w="62" w:type="dxa"/>
              <w:right w:w="62" w:type="dxa"/>
            </w:tcMar>
          </w:tcPr>
          <w:p w14:paraId="021AC0F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New Jersey; </w:t>
            </w:r>
          </w:p>
          <w:p w14:paraId="576A8A5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&amp; foundation; </w:t>
            </w:r>
          </w:p>
          <w:p w14:paraId="2D4A230C" w14:textId="77777777" w:rsidR="007F0AE0" w:rsidRPr="00494051" w:rsidRDefault="007F0AE0" w:rsidP="00453DE3">
            <w:pPr>
              <w:spacing w:before="60" w:after="60"/>
              <w:rPr>
                <w:rFonts w:cstheme="minorHAnsi"/>
                <w:sz w:val="18"/>
                <w:szCs w:val="18"/>
              </w:rPr>
            </w:pPr>
            <w:r w:rsidRPr="00494051">
              <w:rPr>
                <w:rFonts w:cstheme="minorHAnsi"/>
                <w:sz w:val="18"/>
                <w:szCs w:val="18"/>
              </w:rPr>
              <w:t>Retrospective cohort</w:t>
            </w:r>
          </w:p>
        </w:tc>
        <w:tc>
          <w:tcPr>
            <w:tcW w:w="2977" w:type="dxa"/>
            <w:tcMar>
              <w:top w:w="62" w:type="dxa"/>
              <w:left w:w="62" w:type="dxa"/>
              <w:bottom w:w="62" w:type="dxa"/>
              <w:right w:w="62" w:type="dxa"/>
            </w:tcMar>
          </w:tcPr>
          <w:p w14:paraId="102F3C02" w14:textId="77777777" w:rsidR="007F0AE0" w:rsidRPr="00494051" w:rsidRDefault="007F0AE0" w:rsidP="00453DE3">
            <w:pPr>
              <w:spacing w:before="60" w:after="60"/>
              <w:rPr>
                <w:rFonts w:cstheme="minorHAnsi"/>
                <w:sz w:val="18"/>
                <w:szCs w:val="18"/>
              </w:rPr>
            </w:pPr>
            <w:r w:rsidRPr="00494051">
              <w:rPr>
                <w:rFonts w:cstheme="minorHAnsi"/>
                <w:sz w:val="18"/>
                <w:szCs w:val="18"/>
              </w:rPr>
              <w:t>Consecutive patients at a specialist tobacco treatment outpatient clinic; January 2001-June 2005</w:t>
            </w:r>
          </w:p>
        </w:tc>
        <w:tc>
          <w:tcPr>
            <w:tcW w:w="4820" w:type="dxa"/>
            <w:tcMar>
              <w:top w:w="62" w:type="dxa"/>
              <w:left w:w="62" w:type="dxa"/>
              <w:bottom w:w="62" w:type="dxa"/>
              <w:right w:w="62" w:type="dxa"/>
            </w:tcMar>
          </w:tcPr>
          <w:p w14:paraId="7F1DD87D" w14:textId="77777777" w:rsidR="007F0AE0" w:rsidRPr="00494051" w:rsidRDefault="007F0AE0" w:rsidP="00453DE3">
            <w:pPr>
              <w:spacing w:before="60" w:after="60"/>
              <w:rPr>
                <w:rFonts w:cstheme="minorHAnsi"/>
                <w:sz w:val="18"/>
                <w:szCs w:val="18"/>
              </w:rPr>
            </w:pPr>
            <w:r w:rsidRPr="00494051">
              <w:rPr>
                <w:rFonts w:cstheme="minorHAnsi"/>
                <w:sz w:val="18"/>
                <w:szCs w:val="18"/>
              </w:rPr>
              <w:t>Current smokers age 15-80 who set a quit date and attempted to quit smoking.</w:t>
            </w:r>
          </w:p>
        </w:tc>
        <w:tc>
          <w:tcPr>
            <w:tcW w:w="1275" w:type="dxa"/>
            <w:tcMar>
              <w:top w:w="62" w:type="dxa"/>
              <w:left w:w="62" w:type="dxa"/>
              <w:bottom w:w="62" w:type="dxa"/>
              <w:right w:w="62" w:type="dxa"/>
            </w:tcMar>
          </w:tcPr>
          <w:p w14:paraId="3707235B" w14:textId="77777777" w:rsidR="007F0AE0" w:rsidRPr="00494051" w:rsidRDefault="007F0AE0" w:rsidP="00453DE3">
            <w:pPr>
              <w:spacing w:before="60" w:after="60"/>
              <w:rPr>
                <w:rFonts w:cstheme="minorHAnsi"/>
                <w:sz w:val="18"/>
                <w:szCs w:val="18"/>
              </w:rPr>
            </w:pPr>
            <w:r w:rsidRPr="00494051">
              <w:rPr>
                <w:rFonts w:cstheme="minorHAnsi"/>
                <w:sz w:val="18"/>
                <w:szCs w:val="18"/>
              </w:rPr>
              <w:t>None, but included age ≥15</w:t>
            </w:r>
          </w:p>
        </w:tc>
      </w:tr>
      <w:tr w:rsidR="007F0AE0" w:rsidRPr="00494051" w14:paraId="24605DC3" w14:textId="77777777" w:rsidTr="00453DE3">
        <w:trPr>
          <w:cantSplit/>
        </w:trPr>
        <w:tc>
          <w:tcPr>
            <w:tcW w:w="1843" w:type="dxa"/>
            <w:tcMar>
              <w:top w:w="62" w:type="dxa"/>
              <w:left w:w="62" w:type="dxa"/>
              <w:bottom w:w="62" w:type="dxa"/>
              <w:right w:w="62" w:type="dxa"/>
            </w:tcMar>
          </w:tcPr>
          <w:p w14:paraId="750FF99C" w14:textId="77777777" w:rsidR="007F0AE0" w:rsidRDefault="007F0AE0" w:rsidP="00453DE3">
            <w:pPr>
              <w:spacing w:before="60" w:after="60"/>
              <w:rPr>
                <w:rFonts w:cstheme="minorHAnsi"/>
                <w:sz w:val="18"/>
                <w:szCs w:val="18"/>
              </w:rPr>
            </w:pPr>
            <w:r>
              <w:rPr>
                <w:rFonts w:cstheme="minorHAnsi"/>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28" w:tooltip="Gubner, 2018 #601" w:history="1">
              <w:r>
                <w:rPr>
                  <w:rFonts w:cstheme="minorHAnsi"/>
                  <w:noProof/>
                  <w:sz w:val="18"/>
                  <w:szCs w:val="18"/>
                </w:rPr>
                <w:t>28</w:t>
              </w:r>
            </w:hyperlink>
            <w:r>
              <w:rPr>
                <w:rFonts w:cstheme="minorHAnsi"/>
                <w:noProof/>
                <w:sz w:val="18"/>
                <w:szCs w:val="18"/>
              </w:rPr>
              <w:t>)</w:t>
            </w:r>
            <w:r>
              <w:rPr>
                <w:rFonts w:cstheme="minorHAnsi"/>
                <w:sz w:val="18"/>
                <w:szCs w:val="18"/>
              </w:rPr>
              <w:fldChar w:fldCharType="end"/>
            </w:r>
          </w:p>
          <w:p w14:paraId="00E7BD7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55BAE48"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3939E144" w14:textId="77777777" w:rsidR="007F0AE0" w:rsidRPr="00494051" w:rsidRDefault="007F0AE0" w:rsidP="00453DE3">
            <w:pPr>
              <w:spacing w:before="60" w:after="60"/>
              <w:rPr>
                <w:rFonts w:cstheme="minorHAnsi"/>
                <w:sz w:val="18"/>
                <w:szCs w:val="18"/>
              </w:rPr>
            </w:pPr>
            <w:r w:rsidRPr="00494051">
              <w:rPr>
                <w:rFonts w:cstheme="minorHAnsi"/>
                <w:sz w:val="18"/>
                <w:szCs w:val="18"/>
              </w:rPr>
              <w:t>National (USA);</w:t>
            </w:r>
          </w:p>
          <w:p w14:paraId="7C83BC39" w14:textId="77777777" w:rsidR="007F0AE0" w:rsidRPr="00494051" w:rsidRDefault="007F0AE0" w:rsidP="00453DE3">
            <w:pPr>
              <w:spacing w:before="60" w:after="60"/>
              <w:rPr>
                <w:rFonts w:cstheme="minorHAnsi"/>
                <w:sz w:val="18"/>
                <w:szCs w:val="18"/>
              </w:rPr>
            </w:pPr>
            <w:r w:rsidRPr="00494051">
              <w:rPr>
                <w:rFonts w:cstheme="minorHAnsi"/>
                <w:sz w:val="18"/>
                <w:szCs w:val="18"/>
              </w:rPr>
              <w:t>National Institute on Drug Abuse (National Institutes of Health), Food and Drug Administration Center for Tobacco Products;</w:t>
            </w:r>
          </w:p>
          <w:p w14:paraId="64D8E4B2" w14:textId="77777777" w:rsidR="007F0AE0" w:rsidRPr="00494051" w:rsidRDefault="007F0AE0" w:rsidP="00453DE3">
            <w:pPr>
              <w:spacing w:before="60" w:after="60"/>
              <w:rPr>
                <w:rFonts w:cstheme="minorHAnsi"/>
                <w:sz w:val="18"/>
                <w:szCs w:val="18"/>
                <w:highlight w:val="cyan"/>
              </w:rPr>
            </w:pPr>
            <w:r w:rsidRPr="00494051">
              <w:rPr>
                <w:rFonts w:cstheme="minorHAnsi"/>
                <w:sz w:val="18"/>
                <w:szCs w:val="18"/>
              </w:rPr>
              <w:t>Cross-sectional</w:t>
            </w:r>
          </w:p>
        </w:tc>
        <w:tc>
          <w:tcPr>
            <w:tcW w:w="2977" w:type="dxa"/>
            <w:tcMar>
              <w:top w:w="62" w:type="dxa"/>
              <w:left w:w="62" w:type="dxa"/>
              <w:bottom w:w="62" w:type="dxa"/>
              <w:right w:w="62" w:type="dxa"/>
            </w:tcMar>
          </w:tcPr>
          <w:p w14:paraId="6FCA6298" w14:textId="77777777" w:rsidR="007F0AE0" w:rsidRPr="00F52E88" w:rsidRDefault="007F0AE0" w:rsidP="00453DE3">
            <w:pPr>
              <w:spacing w:before="60" w:after="60"/>
              <w:rPr>
                <w:rFonts w:cstheme="minorHAnsi"/>
                <w:sz w:val="18"/>
                <w:szCs w:val="18"/>
              </w:rPr>
            </w:pPr>
            <w:r w:rsidRPr="00494051">
              <w:rPr>
                <w:rFonts w:cstheme="minorHAnsi"/>
                <w:sz w:val="18"/>
                <w:szCs w:val="18"/>
              </w:rPr>
              <w:t>Convenience sampling from each of 24 substance use disorder treatment centers (in the National Institute on Drug Abuse Clinical Trials Network), with self-administered surveys conducted during on-site visits;</w:t>
            </w:r>
            <w:r>
              <w:rPr>
                <w:rFonts w:cstheme="minorHAnsi"/>
                <w:sz w:val="18"/>
                <w:szCs w:val="18"/>
              </w:rPr>
              <w:t xml:space="preserve"> </w:t>
            </w:r>
            <w:r w:rsidRPr="00494051">
              <w:rPr>
                <w:rFonts w:cstheme="minorHAnsi"/>
                <w:sz w:val="18"/>
                <w:szCs w:val="18"/>
              </w:rPr>
              <w:t>April to December 2015</w:t>
            </w:r>
          </w:p>
        </w:tc>
        <w:tc>
          <w:tcPr>
            <w:tcW w:w="4820" w:type="dxa"/>
            <w:tcMar>
              <w:top w:w="62" w:type="dxa"/>
              <w:left w:w="62" w:type="dxa"/>
              <w:bottom w:w="62" w:type="dxa"/>
              <w:right w:w="62" w:type="dxa"/>
            </w:tcMar>
          </w:tcPr>
          <w:p w14:paraId="42354A91" w14:textId="77777777" w:rsidR="007F0AE0" w:rsidRPr="00494051" w:rsidRDefault="007F0AE0" w:rsidP="00453DE3">
            <w:pPr>
              <w:spacing w:before="60" w:after="60"/>
              <w:rPr>
                <w:rFonts w:cstheme="minorHAnsi"/>
                <w:sz w:val="18"/>
                <w:szCs w:val="18"/>
                <w:highlight w:val="cyan"/>
              </w:rPr>
            </w:pPr>
            <w:r w:rsidRPr="00494051">
              <w:rPr>
                <w:rFonts w:cstheme="minorHAnsi"/>
                <w:sz w:val="18"/>
                <w:szCs w:val="18"/>
              </w:rPr>
              <w:t>Individuals with substance use disorders who self-reported as current smokers.</w:t>
            </w:r>
          </w:p>
        </w:tc>
        <w:tc>
          <w:tcPr>
            <w:tcW w:w="1275" w:type="dxa"/>
            <w:tcMar>
              <w:top w:w="62" w:type="dxa"/>
              <w:left w:w="62" w:type="dxa"/>
              <w:bottom w:w="62" w:type="dxa"/>
              <w:right w:w="62" w:type="dxa"/>
            </w:tcMar>
          </w:tcPr>
          <w:p w14:paraId="117A8581" w14:textId="77777777" w:rsidR="007F0AE0" w:rsidRPr="00494051" w:rsidRDefault="007F0AE0" w:rsidP="00453DE3">
            <w:pPr>
              <w:spacing w:before="60" w:after="60"/>
              <w:rPr>
                <w:rFonts w:cstheme="minorHAnsi"/>
                <w:sz w:val="18"/>
                <w:szCs w:val="18"/>
                <w:highlight w:val="cyan"/>
              </w:rPr>
            </w:pPr>
            <w:r w:rsidRPr="00494051">
              <w:rPr>
                <w:rFonts w:cstheme="minorHAnsi"/>
                <w:sz w:val="18"/>
                <w:szCs w:val="18"/>
              </w:rPr>
              <w:t>Individuals with substance use disorders</w:t>
            </w:r>
          </w:p>
        </w:tc>
      </w:tr>
      <w:tr w:rsidR="007F0AE0" w:rsidRPr="00494051" w14:paraId="0278C7A1" w14:textId="77777777" w:rsidTr="00453DE3">
        <w:trPr>
          <w:cantSplit/>
        </w:trPr>
        <w:tc>
          <w:tcPr>
            <w:tcW w:w="1843" w:type="dxa"/>
            <w:tcMar>
              <w:top w:w="62" w:type="dxa"/>
              <w:left w:w="62" w:type="dxa"/>
              <w:bottom w:w="62" w:type="dxa"/>
              <w:right w:w="62" w:type="dxa"/>
            </w:tcMar>
          </w:tcPr>
          <w:p w14:paraId="1FF9C8A6"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r>
            <w:r>
              <w:rPr>
                <w:rFonts w:cstheme="minorHAnsi"/>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59" w:tooltip="Gundersen, 2009 #65" w:history="1">
              <w:r>
                <w:rPr>
                  <w:rFonts w:cstheme="minorHAnsi"/>
                  <w:noProof/>
                  <w:sz w:val="18"/>
                  <w:szCs w:val="18"/>
                </w:rPr>
                <w:t>59</w:t>
              </w:r>
            </w:hyperlink>
            <w:r>
              <w:rPr>
                <w:rFonts w:cstheme="minorHAnsi"/>
                <w:noProof/>
                <w:sz w:val="18"/>
                <w:szCs w:val="18"/>
              </w:rPr>
              <w:t>)</w:t>
            </w:r>
            <w:r w:rsidRPr="00494051">
              <w:rPr>
                <w:rFonts w:cstheme="minorHAnsi"/>
                <w:sz w:val="18"/>
                <w:szCs w:val="18"/>
              </w:rPr>
              <w:fldChar w:fldCharType="end"/>
            </w:r>
          </w:p>
          <w:p w14:paraId="4C9354BB" w14:textId="77777777" w:rsidR="007F0AE0" w:rsidRPr="00494051" w:rsidRDefault="007F0AE0" w:rsidP="00453DE3">
            <w:pPr>
              <w:spacing w:before="60" w:after="60"/>
              <w:rPr>
                <w:rFonts w:cstheme="minorHAnsi"/>
                <w:sz w:val="18"/>
                <w:szCs w:val="18"/>
              </w:rPr>
            </w:pPr>
            <w:r w:rsidRPr="00494051">
              <w:rPr>
                <w:rFonts w:cstheme="minorHAnsi"/>
                <w:sz w:val="18"/>
                <w:szCs w:val="18"/>
              </w:rPr>
              <w:t>NHIS-CCS</w:t>
            </w:r>
          </w:p>
          <w:p w14:paraId="4B266E43"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1C60E28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4BDDFA0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1DCDBADB"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78863501" w14:textId="77777777" w:rsidR="007F0AE0" w:rsidRPr="00494051" w:rsidRDefault="007F0AE0" w:rsidP="00453DE3">
            <w:pPr>
              <w:spacing w:before="60" w:after="60"/>
              <w:rPr>
                <w:rFonts w:cstheme="minorHAnsi"/>
                <w:sz w:val="18"/>
                <w:szCs w:val="18"/>
              </w:rPr>
            </w:pPr>
            <w:r w:rsidRPr="00494051">
              <w:rPr>
                <w:rFonts w:cstheme="minorHAnsi"/>
                <w:sz w:val="18"/>
                <w:szCs w:val="18"/>
              </w:rPr>
              <w:t>NHIS-CCS; 2005</w:t>
            </w:r>
          </w:p>
        </w:tc>
        <w:tc>
          <w:tcPr>
            <w:tcW w:w="4820" w:type="dxa"/>
            <w:tcMar>
              <w:top w:w="62" w:type="dxa"/>
              <w:left w:w="62" w:type="dxa"/>
              <w:bottom w:w="62" w:type="dxa"/>
              <w:right w:w="62" w:type="dxa"/>
            </w:tcMar>
          </w:tcPr>
          <w:p w14:paraId="4FAC5236" w14:textId="77777777" w:rsidR="007F0AE0" w:rsidRPr="00494051" w:rsidRDefault="007F0AE0" w:rsidP="00453DE3">
            <w:pPr>
              <w:spacing w:before="60" w:after="60"/>
              <w:rPr>
                <w:rFonts w:cstheme="minorHAnsi"/>
                <w:sz w:val="18"/>
                <w:szCs w:val="18"/>
              </w:rPr>
            </w:pPr>
            <w:r w:rsidRPr="00494051">
              <w:rPr>
                <w:rFonts w:cstheme="minorHAnsi"/>
                <w:sz w:val="18"/>
                <w:szCs w:val="18"/>
              </w:rPr>
              <w:t>Adult White, Black and Hispanic cig smokers (≥100 lifetime</w:t>
            </w:r>
            <w:r>
              <w:rPr>
                <w:rFonts w:cstheme="minorHAnsi"/>
                <w:sz w:val="18"/>
                <w:szCs w:val="18"/>
              </w:rPr>
              <w:t xml:space="preserve"> </w:t>
            </w:r>
            <w:r w:rsidRPr="00494051">
              <w:rPr>
                <w:rFonts w:cstheme="minorHAnsi"/>
                <w:sz w:val="18"/>
                <w:szCs w:val="18"/>
              </w:rPr>
              <w:t>cigs) age ≥18 who ever attempted to quit smoking, do not currently use other tobacco products, and were current smokers (currently smoking “everyday” or “some days”) or former smokers (currently smoke “not at all”).</w:t>
            </w:r>
          </w:p>
        </w:tc>
        <w:tc>
          <w:tcPr>
            <w:tcW w:w="1275" w:type="dxa"/>
            <w:tcMar>
              <w:top w:w="62" w:type="dxa"/>
              <w:left w:w="62" w:type="dxa"/>
              <w:bottom w:w="62" w:type="dxa"/>
              <w:right w:w="62" w:type="dxa"/>
            </w:tcMar>
          </w:tcPr>
          <w:p w14:paraId="20DABC5C"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503F5C2" w14:textId="77777777" w:rsidTr="00453DE3">
        <w:trPr>
          <w:cantSplit/>
        </w:trPr>
        <w:tc>
          <w:tcPr>
            <w:tcW w:w="1843" w:type="dxa"/>
            <w:tcMar>
              <w:top w:w="62" w:type="dxa"/>
              <w:left w:w="62" w:type="dxa"/>
              <w:bottom w:w="62" w:type="dxa"/>
              <w:right w:w="62" w:type="dxa"/>
            </w:tcMar>
          </w:tcPr>
          <w:p w14:paraId="6E8F136C" w14:textId="77777777" w:rsidR="007F0AE0" w:rsidRPr="00494051" w:rsidRDefault="007F0AE0" w:rsidP="00453DE3">
            <w:pPr>
              <w:spacing w:before="60" w:after="60"/>
              <w:rPr>
                <w:rFonts w:cstheme="minorHAnsi"/>
                <w:noProof/>
                <w:sz w:val="18"/>
                <w:szCs w:val="18"/>
              </w:rPr>
            </w:pPr>
            <w:r w:rsidRPr="00494051">
              <w:rPr>
                <w:rFonts w:cstheme="minorHAnsi"/>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48" w:tooltip="Harris, 2004 #82" w:history="1">
              <w:r>
                <w:rPr>
                  <w:rFonts w:cstheme="minorHAnsi"/>
                  <w:noProof/>
                  <w:sz w:val="18"/>
                  <w:szCs w:val="18"/>
                </w:rPr>
                <w:t>48</w:t>
              </w:r>
            </w:hyperlink>
            <w:r>
              <w:rPr>
                <w:rFonts w:cstheme="minorHAnsi"/>
                <w:noProof/>
                <w:sz w:val="18"/>
                <w:szCs w:val="18"/>
              </w:rPr>
              <w:t xml:space="preserve">, </w:t>
            </w:r>
            <w:hyperlink w:anchor="_ENREF_49" w:tooltip="Okuyemi, 2003 #85" w:history="1">
              <w:r>
                <w:rPr>
                  <w:rFonts w:cstheme="minorHAnsi"/>
                  <w:noProof/>
                  <w:sz w:val="18"/>
                  <w:szCs w:val="18"/>
                </w:rPr>
                <w:t>49</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t xml:space="preserve"> </w:t>
            </w:r>
          </w:p>
          <w:p w14:paraId="01E90F53"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None </w:t>
            </w:r>
          </w:p>
          <w:p w14:paraId="64FD9BB9"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704BE75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Kansas; </w:t>
            </w:r>
          </w:p>
          <w:p w14:paraId="2AF7E5DB"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r w:rsidRPr="00494051">
              <w:rPr>
                <w:rFonts w:cstheme="minorHAnsi"/>
                <w:sz w:val="18"/>
                <w:szCs w:val="18"/>
              </w:rPr>
              <w:br/>
              <w:t>Prospective cohort</w:t>
            </w:r>
          </w:p>
        </w:tc>
        <w:tc>
          <w:tcPr>
            <w:tcW w:w="2977" w:type="dxa"/>
            <w:tcMar>
              <w:top w:w="62" w:type="dxa"/>
              <w:left w:w="62" w:type="dxa"/>
              <w:bottom w:w="62" w:type="dxa"/>
              <w:right w:w="62" w:type="dxa"/>
            </w:tcMar>
          </w:tcPr>
          <w:p w14:paraId="0339BAD5" w14:textId="77777777" w:rsidR="007F0AE0" w:rsidRPr="00494051" w:rsidRDefault="007F0AE0" w:rsidP="00453DE3">
            <w:pPr>
              <w:spacing w:before="60" w:after="60"/>
              <w:rPr>
                <w:rFonts w:cstheme="minorHAnsi"/>
                <w:sz w:val="18"/>
                <w:szCs w:val="18"/>
              </w:rPr>
            </w:pPr>
            <w:r w:rsidRPr="00494051">
              <w:rPr>
                <w:rFonts w:cstheme="minorHAnsi"/>
                <w:sz w:val="18"/>
                <w:szCs w:val="18"/>
              </w:rPr>
              <w:t>Kick it at Swope trial (KIS), inner-city health center mostly serving a low-income Black population. Patients were invited to participate in a study on smoking among inner-city residents, not associated with a cessation program; August 2000-November 2000.</w:t>
            </w:r>
          </w:p>
        </w:tc>
        <w:tc>
          <w:tcPr>
            <w:tcW w:w="4820" w:type="dxa"/>
            <w:tcMar>
              <w:top w:w="62" w:type="dxa"/>
              <w:left w:w="62" w:type="dxa"/>
              <w:bottom w:w="62" w:type="dxa"/>
              <w:right w:w="62" w:type="dxa"/>
            </w:tcMar>
          </w:tcPr>
          <w:p w14:paraId="58C140AA"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 (≥10 CPD) age ≥18 who were Black, spoke English, had a home address with a working telephone, and were interested in quitting in the next 30 days.</w:t>
            </w:r>
          </w:p>
        </w:tc>
        <w:tc>
          <w:tcPr>
            <w:tcW w:w="1275" w:type="dxa"/>
            <w:tcMar>
              <w:top w:w="62" w:type="dxa"/>
              <w:left w:w="62" w:type="dxa"/>
              <w:bottom w:w="62" w:type="dxa"/>
              <w:right w:w="62" w:type="dxa"/>
            </w:tcMar>
          </w:tcPr>
          <w:p w14:paraId="08DA97F3" w14:textId="77777777" w:rsidR="007F0AE0" w:rsidRPr="00494051" w:rsidRDefault="007F0AE0" w:rsidP="00453DE3">
            <w:pPr>
              <w:spacing w:before="60" w:after="60"/>
              <w:rPr>
                <w:rFonts w:cstheme="minorHAnsi"/>
                <w:sz w:val="18"/>
                <w:szCs w:val="18"/>
              </w:rPr>
            </w:pPr>
            <w:r w:rsidRPr="00494051">
              <w:rPr>
                <w:rFonts w:cstheme="minorHAnsi"/>
                <w:sz w:val="18"/>
                <w:szCs w:val="18"/>
              </w:rPr>
              <w:t>Blacks</w:t>
            </w:r>
          </w:p>
        </w:tc>
      </w:tr>
      <w:tr w:rsidR="007F0AE0" w:rsidRPr="00494051" w14:paraId="4ABDB9A9" w14:textId="77777777" w:rsidTr="00453DE3">
        <w:trPr>
          <w:cantSplit/>
        </w:trPr>
        <w:tc>
          <w:tcPr>
            <w:tcW w:w="1843" w:type="dxa"/>
            <w:tcMar>
              <w:top w:w="62" w:type="dxa"/>
              <w:left w:w="62" w:type="dxa"/>
              <w:bottom w:w="62" w:type="dxa"/>
              <w:right w:w="62" w:type="dxa"/>
            </w:tcMar>
          </w:tcPr>
          <w:p w14:paraId="43F7DAF5"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&lt;EndNote&gt;&lt;Cite&gt;&lt;Author&gt;Hersey&lt;/Author&gt;&lt;Year&gt;2006&lt;/Year&gt;&lt;RecNum&gt;80&lt;/RecNum&gt;&lt;DisplayText&gt;(44)&lt;/DisplayText&gt;&lt;record&gt;&lt;rec-number&gt;80&lt;/rec-number&gt;&lt;foreign-keys&gt;&lt;key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4" w:tooltip="Hersey, 2006 #80" w:history="1">
              <w:r>
                <w:rPr>
                  <w:rFonts w:cstheme="minorHAnsi"/>
                  <w:noProof/>
                  <w:sz w:val="18"/>
                  <w:szCs w:val="18"/>
                </w:rPr>
                <w:t>44</w:t>
              </w:r>
            </w:hyperlink>
            <w:r>
              <w:rPr>
                <w:rFonts w:cstheme="minorHAnsi"/>
                <w:noProof/>
                <w:sz w:val="18"/>
                <w:szCs w:val="18"/>
              </w:rPr>
              <w:t>)</w:t>
            </w:r>
            <w:r w:rsidRPr="00494051">
              <w:rPr>
                <w:rFonts w:cstheme="minorHAnsi"/>
                <w:sz w:val="18"/>
                <w:szCs w:val="18"/>
              </w:rPr>
              <w:fldChar w:fldCharType="end"/>
            </w:r>
          </w:p>
          <w:p w14:paraId="1697CDC9" w14:textId="77777777" w:rsidR="007F0AE0" w:rsidRPr="00494051" w:rsidRDefault="007F0AE0" w:rsidP="00453DE3">
            <w:pPr>
              <w:spacing w:before="60" w:after="60"/>
              <w:rPr>
                <w:rFonts w:cstheme="minorHAnsi"/>
                <w:sz w:val="18"/>
                <w:szCs w:val="18"/>
              </w:rPr>
            </w:pPr>
            <w:r w:rsidRPr="00494051">
              <w:rPr>
                <w:rFonts w:cstheme="minorHAnsi"/>
                <w:sz w:val="18"/>
                <w:szCs w:val="18"/>
              </w:rPr>
              <w:t>NYTS</w:t>
            </w:r>
            <w:r w:rsidRPr="00494051">
              <w:rPr>
                <w:rFonts w:cstheme="minorHAnsi"/>
                <w:sz w:val="18"/>
                <w:szCs w:val="18"/>
              </w:rPr>
              <w:br/>
              <w:t>Good</w:t>
            </w:r>
          </w:p>
        </w:tc>
        <w:tc>
          <w:tcPr>
            <w:tcW w:w="2126" w:type="dxa"/>
            <w:tcMar>
              <w:top w:w="62" w:type="dxa"/>
              <w:left w:w="62" w:type="dxa"/>
              <w:bottom w:w="62" w:type="dxa"/>
              <w:right w:w="62" w:type="dxa"/>
            </w:tcMar>
          </w:tcPr>
          <w:p w14:paraId="58BE574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1926648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Foundation; </w:t>
            </w:r>
          </w:p>
          <w:p w14:paraId="70EA876C"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705A1CEA" w14:textId="77777777" w:rsidR="007F0AE0" w:rsidRPr="00494051" w:rsidRDefault="007F0AE0" w:rsidP="00453DE3">
            <w:pPr>
              <w:spacing w:before="60" w:after="60"/>
              <w:rPr>
                <w:rFonts w:cstheme="minorHAnsi"/>
                <w:sz w:val="18"/>
                <w:szCs w:val="18"/>
              </w:rPr>
            </w:pPr>
            <w:r w:rsidRPr="00494051">
              <w:rPr>
                <w:rFonts w:cstheme="minorHAnsi"/>
                <w:sz w:val="18"/>
                <w:szCs w:val="18"/>
              </w:rPr>
              <w:t>NYTS; Spring 2000, Spring 2002</w:t>
            </w:r>
          </w:p>
        </w:tc>
        <w:tc>
          <w:tcPr>
            <w:tcW w:w="4820" w:type="dxa"/>
            <w:tcMar>
              <w:top w:w="62" w:type="dxa"/>
              <w:left w:w="62" w:type="dxa"/>
              <w:bottom w:w="62" w:type="dxa"/>
              <w:right w:w="62" w:type="dxa"/>
            </w:tcMar>
          </w:tcPr>
          <w:p w14:paraId="4C141F63" w14:textId="77777777" w:rsidR="007F0AE0" w:rsidRPr="00494051" w:rsidRDefault="007F0AE0" w:rsidP="00453DE3">
            <w:pPr>
              <w:spacing w:before="60" w:after="60"/>
              <w:rPr>
                <w:rFonts w:cstheme="minorHAnsi"/>
                <w:sz w:val="18"/>
                <w:szCs w:val="18"/>
              </w:rPr>
            </w:pPr>
            <w:r w:rsidRPr="00494051">
              <w:rPr>
                <w:rFonts w:cstheme="minorHAnsi"/>
                <w:sz w:val="18"/>
                <w:szCs w:val="18"/>
              </w:rPr>
              <w:t>6th-12th grade students who were current smokers (≥1cig in the past 30 days).</w:t>
            </w:r>
          </w:p>
        </w:tc>
        <w:tc>
          <w:tcPr>
            <w:tcW w:w="1275" w:type="dxa"/>
            <w:tcMar>
              <w:top w:w="62" w:type="dxa"/>
              <w:left w:w="62" w:type="dxa"/>
              <w:bottom w:w="62" w:type="dxa"/>
              <w:right w:w="62" w:type="dxa"/>
            </w:tcMar>
          </w:tcPr>
          <w:p w14:paraId="3B0505D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Youth </w:t>
            </w:r>
          </w:p>
        </w:tc>
      </w:tr>
      <w:tr w:rsidR="007F0AE0" w:rsidRPr="00494051" w14:paraId="18D1E9F0" w14:textId="77777777" w:rsidTr="00453DE3">
        <w:trPr>
          <w:cantSplit/>
        </w:trPr>
        <w:tc>
          <w:tcPr>
            <w:tcW w:w="1843" w:type="dxa"/>
            <w:tcMar>
              <w:top w:w="62" w:type="dxa"/>
              <w:left w:w="62" w:type="dxa"/>
              <w:bottom w:w="62" w:type="dxa"/>
              <w:right w:w="62" w:type="dxa"/>
            </w:tcMar>
          </w:tcPr>
          <w:p w14:paraId="6B8856D8"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6" w:tooltip="Hyland, 2010 #100" w:history="1">
              <w:r>
                <w:rPr>
                  <w:rFonts w:cstheme="minorHAnsi"/>
                  <w:noProof/>
                  <w:sz w:val="18"/>
                  <w:szCs w:val="18"/>
                </w:rPr>
                <w:t>46</w:t>
              </w:r>
            </w:hyperlink>
            <w:r>
              <w:rPr>
                <w:rFonts w:cstheme="minorHAnsi"/>
                <w:noProof/>
                <w:sz w:val="18"/>
                <w:szCs w:val="18"/>
              </w:rPr>
              <w:t xml:space="preserve">, </w:t>
            </w:r>
            <w:hyperlink w:anchor="_ENREF_50" w:tooltip="Hyland, 2002 #87" w:history="1">
              <w:r>
                <w:rPr>
                  <w:rFonts w:cstheme="minorHAnsi"/>
                  <w:noProof/>
                  <w:sz w:val="18"/>
                  <w:szCs w:val="18"/>
                </w:rPr>
                <w:t>50</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t xml:space="preserve"> </w:t>
            </w:r>
          </w:p>
          <w:p w14:paraId="68787D2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r w:rsidRPr="00494051">
              <w:rPr>
                <w:rFonts w:cstheme="minorHAnsi"/>
                <w:sz w:val="18"/>
                <w:szCs w:val="18"/>
              </w:rPr>
              <w:br/>
              <w:t>Good</w:t>
            </w:r>
          </w:p>
        </w:tc>
        <w:tc>
          <w:tcPr>
            <w:tcW w:w="2126" w:type="dxa"/>
            <w:tcMar>
              <w:top w:w="62" w:type="dxa"/>
              <w:left w:w="62" w:type="dxa"/>
              <w:bottom w:w="62" w:type="dxa"/>
              <w:right w:w="62" w:type="dxa"/>
            </w:tcMar>
          </w:tcPr>
          <w:p w14:paraId="71651AC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2 sites in each of: New Jersey, California, New Mexico, New York, North Carolina, Canada; </w:t>
            </w:r>
          </w:p>
          <w:p w14:paraId="4EC027B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3CBF9987"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1D719CEC"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COMMIT cessation trial; modified random-digit-dial method and geographic boundary screening used for the baseline prevalence survey to obtain representative samples of approximately 5,400 HHs. Focused on communities with the highest prevalence of non-Whites; 1988-1993 </w:t>
            </w:r>
          </w:p>
        </w:tc>
        <w:tc>
          <w:tcPr>
            <w:tcW w:w="4820" w:type="dxa"/>
            <w:tcMar>
              <w:top w:w="62" w:type="dxa"/>
              <w:left w:w="62" w:type="dxa"/>
              <w:bottom w:w="62" w:type="dxa"/>
              <w:right w:w="62" w:type="dxa"/>
            </w:tcMar>
          </w:tcPr>
          <w:p w14:paraId="2A9DCB2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 current smokers age 25-64 who reported whether their current brand was mentholated or not in 1988, and had a known smoking status in 1993. </w:t>
            </w:r>
          </w:p>
        </w:tc>
        <w:tc>
          <w:tcPr>
            <w:tcW w:w="1275" w:type="dxa"/>
            <w:tcMar>
              <w:top w:w="62" w:type="dxa"/>
              <w:left w:w="62" w:type="dxa"/>
              <w:bottom w:w="62" w:type="dxa"/>
              <w:right w:w="62" w:type="dxa"/>
            </w:tcMar>
          </w:tcPr>
          <w:p w14:paraId="02873A3D"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641FA704" w14:textId="77777777" w:rsidTr="00453DE3">
        <w:trPr>
          <w:cantSplit/>
        </w:trPr>
        <w:tc>
          <w:tcPr>
            <w:tcW w:w="1843" w:type="dxa"/>
            <w:tcMar>
              <w:top w:w="62" w:type="dxa"/>
              <w:left w:w="62" w:type="dxa"/>
              <w:bottom w:w="62" w:type="dxa"/>
              <w:right w:w="62" w:type="dxa"/>
            </w:tcMar>
          </w:tcPr>
          <w:p w14:paraId="4808635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&lt;EndNote&gt;&lt;Cite&gt;&lt;Author&gt;Jarvik&lt;/Author&gt;&lt;Year&gt;1994&lt;/Year&gt;&lt;RecNum&gt;90&lt;/RecNum&gt;&lt;DisplayText&gt;(51)&lt;/DisplayText&gt;&lt;record&gt;&lt;rec-number&gt;90&lt;/rec-number&gt;&lt;foreign-keys&gt;&lt;key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51" w:tooltip="Jarvik, 1994 #90" w:history="1">
              <w:r>
                <w:rPr>
                  <w:rFonts w:cstheme="minorHAnsi"/>
                  <w:noProof/>
                  <w:sz w:val="18"/>
                  <w:szCs w:val="18"/>
                </w:rPr>
                <w:t>51</w:t>
              </w:r>
            </w:hyperlink>
            <w:r>
              <w:rPr>
                <w:rFonts w:cstheme="minorHAnsi"/>
                <w:noProof/>
                <w:sz w:val="18"/>
                <w:szCs w:val="18"/>
              </w:rPr>
              <w:t>)</w:t>
            </w:r>
            <w:r w:rsidRPr="00494051">
              <w:rPr>
                <w:rFonts w:cstheme="minorHAnsi"/>
                <w:sz w:val="18"/>
                <w:szCs w:val="18"/>
              </w:rPr>
              <w:fldChar w:fldCharType="end"/>
            </w:r>
          </w:p>
          <w:p w14:paraId="04D9136D"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16CADCE5" w14:textId="77777777" w:rsidR="007F0AE0" w:rsidRPr="00494051" w:rsidRDefault="007F0AE0" w:rsidP="00453DE3">
            <w:pPr>
              <w:spacing w:before="60" w:after="60"/>
              <w:rPr>
                <w:rFonts w:cstheme="minorHAnsi"/>
                <w:sz w:val="18"/>
                <w:szCs w:val="18"/>
              </w:rPr>
            </w:pPr>
            <w:r w:rsidRPr="00494051">
              <w:rPr>
                <w:rFonts w:cstheme="minorHAnsi"/>
                <w:sz w:val="18"/>
                <w:szCs w:val="18"/>
              </w:rPr>
              <w:t>Poor</w:t>
            </w:r>
          </w:p>
        </w:tc>
        <w:tc>
          <w:tcPr>
            <w:tcW w:w="2126" w:type="dxa"/>
            <w:tcMar>
              <w:top w:w="62" w:type="dxa"/>
              <w:left w:w="62" w:type="dxa"/>
              <w:bottom w:w="62" w:type="dxa"/>
              <w:right w:w="62" w:type="dxa"/>
            </w:tcMar>
          </w:tcPr>
          <w:p w14:paraId="7F88FBA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California; </w:t>
            </w:r>
          </w:p>
          <w:p w14:paraId="452C2EC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&amp; academia; </w:t>
            </w:r>
          </w:p>
          <w:p w14:paraId="4B0B9023"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15A5749F" w14:textId="77777777" w:rsidR="007F0AE0" w:rsidRPr="00494051" w:rsidRDefault="007F0AE0" w:rsidP="00453DE3">
            <w:pPr>
              <w:spacing w:before="60" w:after="60"/>
              <w:rPr>
                <w:rFonts w:cstheme="minorHAnsi"/>
                <w:sz w:val="18"/>
                <w:szCs w:val="18"/>
              </w:rPr>
            </w:pPr>
            <w:r w:rsidRPr="00494051">
              <w:rPr>
                <w:rFonts w:cstheme="minorHAnsi"/>
                <w:sz w:val="18"/>
                <w:szCs w:val="18"/>
              </w:rPr>
              <w:t>Recruited from the community and the West Los Angeles VA Medical Center by advertisements in a local paper and local bulletin board notices; NR</w:t>
            </w:r>
          </w:p>
        </w:tc>
        <w:tc>
          <w:tcPr>
            <w:tcW w:w="4820" w:type="dxa"/>
            <w:tcMar>
              <w:top w:w="62" w:type="dxa"/>
              <w:left w:w="62" w:type="dxa"/>
              <w:bottom w:w="62" w:type="dxa"/>
              <w:right w:w="62" w:type="dxa"/>
            </w:tcMar>
          </w:tcPr>
          <w:p w14:paraId="0777AC71" w14:textId="77777777" w:rsidR="007F0AE0" w:rsidRPr="00494051" w:rsidRDefault="007F0AE0" w:rsidP="00453DE3">
            <w:pPr>
              <w:spacing w:before="60" w:after="60"/>
              <w:rPr>
                <w:rFonts w:cstheme="minorHAnsi"/>
                <w:sz w:val="18"/>
                <w:szCs w:val="18"/>
              </w:rPr>
            </w:pPr>
            <w:r w:rsidRPr="00494051">
              <w:rPr>
                <w:rFonts w:cstheme="minorHAnsi"/>
                <w:sz w:val="18"/>
                <w:szCs w:val="18"/>
              </w:rPr>
              <w:t>Black and White male smokers (≥15 CPD on a regular basis).</w:t>
            </w:r>
          </w:p>
        </w:tc>
        <w:tc>
          <w:tcPr>
            <w:tcW w:w="1275" w:type="dxa"/>
            <w:tcMar>
              <w:top w:w="62" w:type="dxa"/>
              <w:left w:w="62" w:type="dxa"/>
              <w:bottom w:w="62" w:type="dxa"/>
              <w:right w:w="62" w:type="dxa"/>
            </w:tcMar>
          </w:tcPr>
          <w:p w14:paraId="151F12C4" w14:textId="77777777" w:rsidR="007F0AE0" w:rsidRPr="00494051" w:rsidRDefault="007F0AE0" w:rsidP="00453DE3">
            <w:pPr>
              <w:spacing w:before="60" w:after="60"/>
              <w:rPr>
                <w:rFonts w:cstheme="minorHAnsi"/>
                <w:sz w:val="18"/>
                <w:szCs w:val="18"/>
              </w:rPr>
            </w:pPr>
            <w:r w:rsidRPr="00494051">
              <w:rPr>
                <w:rFonts w:cstheme="minorHAnsi"/>
                <w:sz w:val="18"/>
                <w:szCs w:val="18"/>
              </w:rPr>
              <w:t>Men</w:t>
            </w:r>
          </w:p>
        </w:tc>
      </w:tr>
      <w:tr w:rsidR="007F0AE0" w:rsidRPr="00494051" w14:paraId="7DA3C2FE" w14:textId="77777777" w:rsidTr="00453DE3">
        <w:trPr>
          <w:cantSplit/>
        </w:trPr>
        <w:tc>
          <w:tcPr>
            <w:tcW w:w="1843" w:type="dxa"/>
            <w:tcMar>
              <w:top w:w="62" w:type="dxa"/>
              <w:left w:w="62" w:type="dxa"/>
              <w:bottom w:w="62" w:type="dxa"/>
              <w:right w:w="62" w:type="dxa"/>
            </w:tcMar>
          </w:tcPr>
          <w:p w14:paraId="2D573F0A"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34" w:tooltip="Kahende, 2011 #43" w:history="1">
              <w:r>
                <w:rPr>
                  <w:rFonts w:cstheme="minorHAnsi"/>
                  <w:noProof/>
                  <w:sz w:val="18"/>
                  <w:szCs w:val="18"/>
                </w:rPr>
                <w:t>34</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t xml:space="preserve"> </w:t>
            </w:r>
          </w:p>
          <w:p w14:paraId="071A1C68"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0FC076FC"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65A153AC"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7913DB2D"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09CC4A8E"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7D54F124"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 2006-2007</w:t>
            </w:r>
          </w:p>
        </w:tc>
        <w:tc>
          <w:tcPr>
            <w:tcW w:w="4820" w:type="dxa"/>
            <w:tcMar>
              <w:top w:w="62" w:type="dxa"/>
              <w:left w:w="62" w:type="dxa"/>
              <w:bottom w:w="62" w:type="dxa"/>
              <w:right w:w="62" w:type="dxa"/>
            </w:tcMar>
          </w:tcPr>
          <w:p w14:paraId="3EB3DDD3" w14:textId="77777777" w:rsidR="007F0AE0" w:rsidRPr="00494051" w:rsidRDefault="007F0AE0" w:rsidP="00453DE3">
            <w:pPr>
              <w:spacing w:before="60" w:after="60"/>
              <w:rPr>
                <w:rFonts w:cstheme="minorHAnsi"/>
                <w:sz w:val="18"/>
                <w:szCs w:val="18"/>
              </w:rPr>
            </w:pPr>
            <w:r w:rsidRPr="00494051">
              <w:rPr>
                <w:rFonts w:cstheme="minorHAnsi"/>
                <w:sz w:val="18"/>
                <w:szCs w:val="18"/>
              </w:rPr>
              <w:t>Adults age ≥18 who smoked cigs during the past year.</w:t>
            </w:r>
          </w:p>
        </w:tc>
        <w:tc>
          <w:tcPr>
            <w:tcW w:w="1275" w:type="dxa"/>
            <w:tcMar>
              <w:top w:w="62" w:type="dxa"/>
              <w:left w:w="62" w:type="dxa"/>
              <w:bottom w:w="62" w:type="dxa"/>
              <w:right w:w="62" w:type="dxa"/>
            </w:tcMar>
          </w:tcPr>
          <w:p w14:paraId="1551C94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3678896" w14:textId="77777777" w:rsidTr="00453DE3">
        <w:trPr>
          <w:cantSplit/>
        </w:trPr>
        <w:tc>
          <w:tcPr>
            <w:tcW w:w="1843" w:type="dxa"/>
            <w:tcMar>
              <w:top w:w="62" w:type="dxa"/>
              <w:left w:w="62" w:type="dxa"/>
              <w:bottom w:w="62" w:type="dxa"/>
              <w:right w:w="62" w:type="dxa"/>
            </w:tcMar>
          </w:tcPr>
          <w:p w14:paraId="0E7C8370"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72" w:tooltip="Kanyuch, 2011 #49" w:history="1">
              <w:r>
                <w:rPr>
                  <w:rFonts w:cstheme="minorHAnsi"/>
                  <w:noProof/>
                  <w:sz w:val="18"/>
                  <w:szCs w:val="18"/>
                </w:rPr>
                <w:t>72</w:t>
              </w:r>
            </w:hyperlink>
            <w:r>
              <w:rPr>
                <w:rFonts w:cstheme="minorHAnsi"/>
                <w:noProof/>
                <w:sz w:val="18"/>
                <w:szCs w:val="18"/>
              </w:rPr>
              <w:t>)</w:t>
            </w:r>
            <w:r w:rsidRPr="00494051">
              <w:rPr>
                <w:rFonts w:cstheme="minorHAnsi"/>
                <w:sz w:val="18"/>
                <w:szCs w:val="18"/>
              </w:rPr>
              <w:fldChar w:fldCharType="end"/>
            </w:r>
          </w:p>
          <w:p w14:paraId="59CB083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D0756CF" w14:textId="77777777" w:rsidR="007F0AE0" w:rsidRPr="00494051" w:rsidRDefault="007F0AE0" w:rsidP="00453DE3">
            <w:pPr>
              <w:spacing w:before="60" w:after="60"/>
              <w:rPr>
                <w:rFonts w:cstheme="minorHAnsi"/>
                <w:sz w:val="18"/>
                <w:szCs w:val="18"/>
              </w:rPr>
            </w:pPr>
            <w:r w:rsidRPr="00494051">
              <w:rPr>
                <w:rFonts w:cstheme="minorHAnsi"/>
                <w:sz w:val="18"/>
                <w:szCs w:val="18"/>
              </w:rPr>
              <w:t>Poor</w:t>
            </w:r>
          </w:p>
        </w:tc>
        <w:tc>
          <w:tcPr>
            <w:tcW w:w="2126" w:type="dxa"/>
            <w:tcMar>
              <w:top w:w="62" w:type="dxa"/>
              <w:left w:w="62" w:type="dxa"/>
              <w:bottom w:w="62" w:type="dxa"/>
              <w:right w:w="62" w:type="dxa"/>
            </w:tcMar>
          </w:tcPr>
          <w:p w14:paraId="7D9A36C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21 centers in the U.S.; </w:t>
            </w:r>
          </w:p>
          <w:p w14:paraId="2035ADD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465A0643"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06AF224B" w14:textId="77777777" w:rsidR="007F0AE0" w:rsidRPr="00494051" w:rsidRDefault="007F0AE0" w:rsidP="00453DE3">
            <w:pPr>
              <w:spacing w:before="60" w:after="60"/>
              <w:rPr>
                <w:rFonts w:cstheme="minorHAnsi"/>
                <w:sz w:val="18"/>
                <w:szCs w:val="18"/>
              </w:rPr>
            </w:pPr>
            <w:r w:rsidRPr="00494051">
              <w:rPr>
                <w:rFonts w:cstheme="minorHAnsi"/>
                <w:sz w:val="18"/>
                <w:szCs w:val="18"/>
              </w:rPr>
              <w:t>COPDGene study, recruited from 21 clinical study centers; NR</w:t>
            </w:r>
          </w:p>
        </w:tc>
        <w:tc>
          <w:tcPr>
            <w:tcW w:w="4820" w:type="dxa"/>
            <w:tcMar>
              <w:top w:w="62" w:type="dxa"/>
              <w:left w:w="62" w:type="dxa"/>
              <w:bottom w:w="62" w:type="dxa"/>
              <w:right w:w="62" w:type="dxa"/>
            </w:tcMar>
          </w:tcPr>
          <w:p w14:paraId="07C34495" w14:textId="77777777" w:rsidR="007F0AE0" w:rsidRPr="00494051" w:rsidRDefault="007F0AE0" w:rsidP="00453DE3">
            <w:pPr>
              <w:spacing w:before="60" w:after="60"/>
              <w:rPr>
                <w:rFonts w:cstheme="minorHAnsi"/>
                <w:sz w:val="18"/>
                <w:szCs w:val="18"/>
              </w:rPr>
            </w:pPr>
            <w:r w:rsidRPr="00494051">
              <w:rPr>
                <w:rFonts w:cstheme="minorHAnsi"/>
                <w:sz w:val="18"/>
                <w:szCs w:val="18"/>
              </w:rPr>
              <w:t>NR</w:t>
            </w:r>
          </w:p>
        </w:tc>
        <w:tc>
          <w:tcPr>
            <w:tcW w:w="1275" w:type="dxa"/>
            <w:tcMar>
              <w:top w:w="62" w:type="dxa"/>
              <w:left w:w="62" w:type="dxa"/>
              <w:bottom w:w="62" w:type="dxa"/>
              <w:right w:w="62" w:type="dxa"/>
            </w:tcMar>
          </w:tcPr>
          <w:p w14:paraId="692AB77B"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26CDE218" w14:textId="77777777" w:rsidR="007F0AE0" w:rsidRPr="00494051" w:rsidRDefault="007F0AE0" w:rsidP="00453DE3">
            <w:pPr>
              <w:spacing w:before="60" w:after="60"/>
              <w:rPr>
                <w:rFonts w:cstheme="minorHAnsi"/>
                <w:sz w:val="18"/>
                <w:szCs w:val="18"/>
              </w:rPr>
            </w:pPr>
          </w:p>
        </w:tc>
      </w:tr>
      <w:tr w:rsidR="007F0AE0" w:rsidRPr="00494051" w14:paraId="6D9AC6F9" w14:textId="77777777" w:rsidTr="00453DE3">
        <w:trPr>
          <w:cantSplit/>
        </w:trPr>
        <w:tc>
          <w:tcPr>
            <w:tcW w:w="1843" w:type="dxa"/>
            <w:tcMar>
              <w:top w:w="62" w:type="dxa"/>
              <w:left w:w="62" w:type="dxa"/>
              <w:bottom w:w="62" w:type="dxa"/>
              <w:right w:w="62" w:type="dxa"/>
            </w:tcMar>
          </w:tcPr>
          <w:p w14:paraId="75EFC279"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40" w:tooltip="Kasza, 2014 #16" w:history="1">
              <w:r>
                <w:rPr>
                  <w:rFonts w:cstheme="minorHAnsi"/>
                  <w:noProof/>
                  <w:sz w:val="18"/>
                  <w:szCs w:val="18"/>
                </w:rPr>
                <w:t>40</w:t>
              </w:r>
            </w:hyperlink>
            <w:r>
              <w:rPr>
                <w:rFonts w:cstheme="minorHAnsi"/>
                <w:noProof/>
                <w:sz w:val="18"/>
                <w:szCs w:val="18"/>
              </w:rPr>
              <w:t>)</w:t>
            </w:r>
            <w:r w:rsidRPr="00494051">
              <w:rPr>
                <w:rFonts w:cstheme="minorHAnsi"/>
                <w:sz w:val="18"/>
                <w:szCs w:val="18"/>
              </w:rPr>
              <w:fldChar w:fldCharType="end"/>
            </w:r>
          </w:p>
          <w:p w14:paraId="0A048FF3" w14:textId="77777777" w:rsidR="007F0AE0" w:rsidRPr="00494051" w:rsidRDefault="007F0AE0" w:rsidP="00453DE3">
            <w:pPr>
              <w:spacing w:before="60" w:after="60"/>
              <w:rPr>
                <w:rFonts w:cstheme="minorHAnsi"/>
                <w:sz w:val="18"/>
                <w:szCs w:val="18"/>
              </w:rPr>
            </w:pPr>
            <w:r w:rsidRPr="00494051">
              <w:rPr>
                <w:rFonts w:cstheme="minorHAnsi"/>
                <w:sz w:val="18"/>
                <w:szCs w:val="18"/>
              </w:rPr>
              <w:t>ITC-4 (U.S. data only)</w:t>
            </w:r>
          </w:p>
          <w:p w14:paraId="6C1317A5"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337F01E3" w14:textId="77777777" w:rsidR="007F0AE0" w:rsidRPr="00494051" w:rsidRDefault="007F0AE0" w:rsidP="00453DE3">
            <w:pPr>
              <w:spacing w:before="60" w:after="60"/>
              <w:rPr>
                <w:rFonts w:cstheme="minorHAnsi"/>
                <w:sz w:val="18"/>
                <w:szCs w:val="18"/>
              </w:rPr>
            </w:pPr>
            <w:r w:rsidRPr="00494051">
              <w:rPr>
                <w:rFonts w:cstheme="minorHAnsi"/>
                <w:sz w:val="18"/>
                <w:szCs w:val="18"/>
              </w:rPr>
              <w:t>National;</w:t>
            </w:r>
          </w:p>
          <w:p w14:paraId="2A783F80" w14:textId="77777777" w:rsidR="007F0AE0" w:rsidRPr="00494051" w:rsidRDefault="007F0AE0" w:rsidP="00453DE3">
            <w:pPr>
              <w:spacing w:before="60" w:after="60"/>
              <w:rPr>
                <w:rFonts w:cstheme="minorHAnsi"/>
                <w:sz w:val="18"/>
                <w:szCs w:val="18"/>
              </w:rPr>
            </w:pPr>
            <w:r w:rsidRPr="00494051">
              <w:rPr>
                <w:rFonts w:cstheme="minorHAnsi"/>
                <w:sz w:val="18"/>
                <w:szCs w:val="18"/>
              </w:rPr>
              <w:t>Foundation &amp; Govt;</w:t>
            </w:r>
          </w:p>
          <w:p w14:paraId="6228E9C4"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569CDCFE" w14:textId="77777777" w:rsidR="007F0AE0" w:rsidRPr="00494051" w:rsidRDefault="007F0AE0" w:rsidP="00453DE3">
            <w:pPr>
              <w:spacing w:before="60" w:after="60"/>
              <w:rPr>
                <w:rFonts w:cstheme="minorHAnsi"/>
                <w:sz w:val="18"/>
                <w:szCs w:val="18"/>
              </w:rPr>
            </w:pPr>
            <w:r w:rsidRPr="00494051">
              <w:rPr>
                <w:rFonts w:cstheme="minorHAnsi"/>
                <w:sz w:val="18"/>
                <w:szCs w:val="18"/>
              </w:rPr>
              <w:t>ITC-4 (U.S. data only); 2002-2011</w:t>
            </w:r>
          </w:p>
        </w:tc>
        <w:tc>
          <w:tcPr>
            <w:tcW w:w="4820" w:type="dxa"/>
            <w:tcMar>
              <w:top w:w="62" w:type="dxa"/>
              <w:left w:w="62" w:type="dxa"/>
              <w:bottom w:w="62" w:type="dxa"/>
              <w:right w:w="62" w:type="dxa"/>
            </w:tcMar>
          </w:tcPr>
          <w:p w14:paraId="5AD6DF7A"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(≥100 lifetime cigs and smoked ≥once in past 30 days).</w:t>
            </w:r>
          </w:p>
        </w:tc>
        <w:tc>
          <w:tcPr>
            <w:tcW w:w="1275" w:type="dxa"/>
            <w:tcMar>
              <w:top w:w="62" w:type="dxa"/>
              <w:left w:w="62" w:type="dxa"/>
              <w:bottom w:w="62" w:type="dxa"/>
              <w:right w:w="62" w:type="dxa"/>
            </w:tcMar>
          </w:tcPr>
          <w:p w14:paraId="0048380C"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2CE87AB5" w14:textId="77777777" w:rsidTr="00453DE3">
        <w:trPr>
          <w:cantSplit/>
        </w:trPr>
        <w:tc>
          <w:tcPr>
            <w:tcW w:w="1843" w:type="dxa"/>
            <w:tcMar>
              <w:top w:w="62" w:type="dxa"/>
              <w:left w:w="62" w:type="dxa"/>
              <w:bottom w:w="62" w:type="dxa"/>
              <w:right w:w="62" w:type="dxa"/>
            </w:tcMar>
          </w:tcPr>
          <w:p w14:paraId="65D03B83" w14:textId="77777777" w:rsidR="007F0AE0" w:rsidRPr="00494051" w:rsidRDefault="007F0AE0" w:rsidP="00453DE3">
            <w:pPr>
              <w:spacing w:before="60" w:after="60"/>
              <w:rPr>
                <w:rFonts w:cstheme="minorHAnsi"/>
                <w:sz w:val="18"/>
                <w:szCs w:val="18"/>
              </w:rPr>
            </w:pP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29" w:tooltip="Keeler, 2017 #660" w:history="1">
              <w:r>
                <w:rPr>
                  <w:rFonts w:cstheme="minorHAnsi"/>
                  <w:noProof/>
                  <w:sz w:val="18"/>
                  <w:szCs w:val="18"/>
                </w:rPr>
                <w:t>29</w:t>
              </w:r>
            </w:hyperlink>
            <w:r>
              <w:rPr>
                <w:rFonts w:cstheme="minorHAnsi"/>
                <w:noProof/>
                <w:sz w:val="18"/>
                <w:szCs w:val="18"/>
              </w:rPr>
              <w:t>)</w:t>
            </w:r>
            <w:r>
              <w:rPr>
                <w:rFonts w:cstheme="minorHAnsi"/>
                <w:sz w:val="18"/>
                <w:szCs w:val="18"/>
              </w:rPr>
              <w:fldChar w:fldCharType="end"/>
            </w:r>
          </w:p>
          <w:p w14:paraId="0087FEF7"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7C4CEC32"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2E0E2949" w14:textId="77777777" w:rsidR="007F0AE0" w:rsidRPr="00494051" w:rsidRDefault="007F0AE0" w:rsidP="00453DE3">
            <w:pPr>
              <w:spacing w:before="60" w:after="60"/>
              <w:rPr>
                <w:rFonts w:cstheme="minorHAnsi"/>
                <w:sz w:val="18"/>
                <w:szCs w:val="18"/>
              </w:rPr>
            </w:pPr>
            <w:r w:rsidRPr="00494051">
              <w:rPr>
                <w:rFonts w:cstheme="minorHAnsi"/>
                <w:sz w:val="18"/>
                <w:szCs w:val="18"/>
              </w:rPr>
              <w:t>National (USA);</w:t>
            </w:r>
          </w:p>
          <w:p w14:paraId="7052A2EB" w14:textId="77777777" w:rsidR="007F0AE0" w:rsidRPr="00494051" w:rsidRDefault="007F0AE0" w:rsidP="00453DE3">
            <w:pPr>
              <w:spacing w:before="60" w:after="60"/>
              <w:rPr>
                <w:rFonts w:cstheme="minorHAnsi"/>
                <w:sz w:val="18"/>
                <w:szCs w:val="18"/>
              </w:rPr>
            </w:pPr>
            <w:r w:rsidRPr="00494051">
              <w:rPr>
                <w:rFonts w:cstheme="minorHAnsi"/>
                <w:sz w:val="18"/>
                <w:szCs w:val="18"/>
              </w:rPr>
              <w:t>Tobacco Related Disease Research Program;</w:t>
            </w:r>
          </w:p>
          <w:p w14:paraId="2D410390"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32327E42" w14:textId="77777777" w:rsidR="007F0AE0" w:rsidRPr="00494051" w:rsidRDefault="007F0AE0" w:rsidP="00453DE3">
            <w:pPr>
              <w:spacing w:before="60" w:after="60"/>
              <w:rPr>
                <w:rFonts w:cstheme="minorHAnsi"/>
                <w:sz w:val="18"/>
                <w:szCs w:val="18"/>
              </w:rPr>
            </w:pPr>
            <w:r w:rsidRPr="00494051">
              <w:rPr>
                <w:rFonts w:cstheme="minorHAnsi"/>
                <w:sz w:val="18"/>
                <w:szCs w:val="18"/>
              </w:rPr>
              <w:t>Probability sampling of stratified clusters of households across all 50 states (and the District of Columbia, using both personal and telephone interviews;</w:t>
            </w:r>
            <w:r>
              <w:rPr>
                <w:rFonts w:cstheme="minorHAnsi"/>
                <w:sz w:val="18"/>
                <w:szCs w:val="18"/>
              </w:rPr>
              <w:t xml:space="preserve"> </w:t>
            </w:r>
            <w:r w:rsidRPr="00494051">
              <w:rPr>
                <w:rFonts w:cstheme="minorHAnsi"/>
                <w:sz w:val="18"/>
                <w:szCs w:val="18"/>
              </w:rPr>
              <w:t>2006 to 2007 and 2010 to 2011</w:t>
            </w:r>
          </w:p>
        </w:tc>
        <w:tc>
          <w:tcPr>
            <w:tcW w:w="4820" w:type="dxa"/>
            <w:tcMar>
              <w:top w:w="62" w:type="dxa"/>
              <w:left w:w="62" w:type="dxa"/>
              <w:bottom w:w="62" w:type="dxa"/>
              <w:right w:w="62" w:type="dxa"/>
            </w:tcMar>
          </w:tcPr>
          <w:p w14:paraId="562286BD" w14:textId="77777777" w:rsidR="007F0AE0" w:rsidRPr="00494051" w:rsidRDefault="007F0AE0" w:rsidP="00453DE3">
            <w:pPr>
              <w:spacing w:before="60" w:after="60"/>
              <w:rPr>
                <w:rFonts w:cstheme="minorHAnsi"/>
                <w:sz w:val="18"/>
                <w:szCs w:val="18"/>
              </w:rPr>
            </w:pPr>
            <w:r w:rsidRPr="00494051">
              <w:rPr>
                <w:rFonts w:cstheme="minorHAnsi"/>
                <w:sz w:val="18"/>
                <w:szCs w:val="18"/>
              </w:rPr>
              <w:t>Adult recent active smokers age ≥18, defined as current smokers or former smokers who quit less than 12 months ago; current smokers defined as smoking 100 cigarettes in their lifetime and currently smoking every day (daily smokers) or some days (someday smokers); former smokers defined as individuals who smoked 100 cigarettes in their lifetime but currently do not smoke</w:t>
            </w:r>
          </w:p>
        </w:tc>
        <w:tc>
          <w:tcPr>
            <w:tcW w:w="1275" w:type="dxa"/>
            <w:tcMar>
              <w:top w:w="62" w:type="dxa"/>
              <w:left w:w="62" w:type="dxa"/>
              <w:bottom w:w="62" w:type="dxa"/>
              <w:right w:w="62" w:type="dxa"/>
            </w:tcMar>
          </w:tcPr>
          <w:p w14:paraId="0597D58F"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27FCCAC2" w14:textId="77777777" w:rsidTr="00453DE3">
        <w:trPr>
          <w:cantSplit/>
        </w:trPr>
        <w:tc>
          <w:tcPr>
            <w:tcW w:w="1843" w:type="dxa"/>
            <w:tcMar>
              <w:top w:w="62" w:type="dxa"/>
              <w:left w:w="62" w:type="dxa"/>
              <w:bottom w:w="62" w:type="dxa"/>
              <w:right w:w="62" w:type="dxa"/>
            </w:tcMar>
          </w:tcPr>
          <w:p w14:paraId="6DB84E96" w14:textId="77777777" w:rsidR="007F0AE0" w:rsidRPr="00494051" w:rsidRDefault="007F0AE0" w:rsidP="00453DE3">
            <w:pPr>
              <w:spacing w:before="60" w:after="60"/>
              <w:rPr>
                <w:rFonts w:cstheme="minorHAnsi"/>
                <w:sz w:val="18"/>
                <w:szCs w:val="18"/>
              </w:rPr>
            </w:pP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30" w:tooltip="Keeler, 2018 #537" w:history="1">
              <w:r>
                <w:rPr>
                  <w:rFonts w:cstheme="minorHAnsi"/>
                  <w:noProof/>
                  <w:sz w:val="18"/>
                  <w:szCs w:val="18"/>
                </w:rPr>
                <w:t>30</w:t>
              </w:r>
            </w:hyperlink>
            <w:r>
              <w:rPr>
                <w:rFonts w:cstheme="minorHAnsi"/>
                <w:noProof/>
                <w:sz w:val="18"/>
                <w:szCs w:val="18"/>
              </w:rPr>
              <w:t>)</w:t>
            </w:r>
            <w:r>
              <w:rPr>
                <w:rFonts w:cstheme="minorHAnsi"/>
                <w:sz w:val="18"/>
                <w:szCs w:val="18"/>
              </w:rPr>
              <w:fldChar w:fldCharType="end"/>
            </w:r>
          </w:p>
          <w:p w14:paraId="52ABD2B7"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24BFAAFF" w14:textId="77777777" w:rsidR="007F0AE0" w:rsidRPr="00494051" w:rsidRDefault="007F0AE0" w:rsidP="00453DE3">
            <w:pPr>
              <w:spacing w:before="60" w:after="60"/>
              <w:rPr>
                <w:rFonts w:cstheme="minorHAnsi"/>
                <w:sz w:val="18"/>
                <w:szCs w:val="18"/>
                <w:highlight w:val="yellow"/>
              </w:rPr>
            </w:pPr>
            <w:r w:rsidRPr="00494051">
              <w:rPr>
                <w:rFonts w:cstheme="minorHAnsi"/>
                <w:sz w:val="18"/>
                <w:szCs w:val="18"/>
              </w:rPr>
              <w:t>Fair</w:t>
            </w:r>
          </w:p>
        </w:tc>
        <w:tc>
          <w:tcPr>
            <w:tcW w:w="2126" w:type="dxa"/>
            <w:tcMar>
              <w:top w:w="62" w:type="dxa"/>
              <w:left w:w="62" w:type="dxa"/>
              <w:bottom w:w="62" w:type="dxa"/>
              <w:right w:w="62" w:type="dxa"/>
            </w:tcMar>
          </w:tcPr>
          <w:p w14:paraId="680FBD6B" w14:textId="77777777" w:rsidR="007F0AE0" w:rsidRPr="00494051" w:rsidRDefault="007F0AE0" w:rsidP="00453DE3">
            <w:pPr>
              <w:spacing w:before="60" w:after="60"/>
              <w:rPr>
                <w:rFonts w:cstheme="minorHAnsi"/>
                <w:sz w:val="18"/>
                <w:szCs w:val="18"/>
              </w:rPr>
            </w:pPr>
            <w:r w:rsidRPr="00494051">
              <w:rPr>
                <w:rFonts w:cstheme="minorHAnsi"/>
                <w:sz w:val="18"/>
                <w:szCs w:val="18"/>
              </w:rPr>
              <w:t>National (USA);</w:t>
            </w:r>
          </w:p>
          <w:p w14:paraId="3EE2A855" w14:textId="77777777" w:rsidR="007F0AE0" w:rsidRPr="00494051" w:rsidRDefault="007F0AE0" w:rsidP="00453DE3">
            <w:pPr>
              <w:spacing w:before="60" w:after="60"/>
              <w:rPr>
                <w:rFonts w:cstheme="minorHAnsi"/>
                <w:sz w:val="18"/>
                <w:szCs w:val="18"/>
              </w:rPr>
            </w:pPr>
            <w:r w:rsidRPr="00494051">
              <w:rPr>
                <w:rFonts w:cstheme="minorHAnsi"/>
                <w:sz w:val="18"/>
                <w:szCs w:val="18"/>
              </w:rPr>
              <w:t>Tobacco Related Disease Research Program;</w:t>
            </w:r>
          </w:p>
          <w:p w14:paraId="1860A564"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4EB59F01" w14:textId="77777777" w:rsidR="007F0AE0" w:rsidRPr="00494051" w:rsidRDefault="007F0AE0" w:rsidP="00453DE3">
            <w:pPr>
              <w:spacing w:before="60" w:after="60"/>
              <w:rPr>
                <w:rFonts w:cstheme="minorHAnsi"/>
                <w:sz w:val="18"/>
                <w:szCs w:val="18"/>
              </w:rPr>
            </w:pPr>
            <w:r w:rsidRPr="00494051">
              <w:rPr>
                <w:rFonts w:cstheme="minorHAnsi"/>
                <w:sz w:val="18"/>
                <w:szCs w:val="18"/>
              </w:rPr>
              <w:t>Probability sampling of stratified clusters of households across all 50 states (and the District of Columbia, using both personal and telephone interviews;</w:t>
            </w:r>
            <w:r>
              <w:rPr>
                <w:rFonts w:cstheme="minorHAnsi"/>
                <w:sz w:val="18"/>
                <w:szCs w:val="18"/>
              </w:rPr>
              <w:t xml:space="preserve"> </w:t>
            </w:r>
            <w:r w:rsidRPr="00494051">
              <w:rPr>
                <w:rFonts w:cstheme="minorHAnsi"/>
                <w:sz w:val="18"/>
                <w:szCs w:val="18"/>
              </w:rPr>
              <w:t>May/August 2006 to January 2007, and May/August 2010 to January 2011</w:t>
            </w:r>
          </w:p>
        </w:tc>
        <w:tc>
          <w:tcPr>
            <w:tcW w:w="4820" w:type="dxa"/>
            <w:tcMar>
              <w:top w:w="62" w:type="dxa"/>
              <w:left w:w="62" w:type="dxa"/>
              <w:bottom w:w="62" w:type="dxa"/>
              <w:right w:w="62" w:type="dxa"/>
            </w:tcMar>
          </w:tcPr>
          <w:p w14:paraId="28A1D39D" w14:textId="77777777" w:rsidR="007F0AE0" w:rsidRPr="00494051" w:rsidRDefault="007F0AE0" w:rsidP="00453DE3">
            <w:pPr>
              <w:spacing w:before="60" w:after="60"/>
              <w:rPr>
                <w:rFonts w:cstheme="minorHAnsi"/>
                <w:sz w:val="18"/>
                <w:szCs w:val="18"/>
              </w:rPr>
            </w:pPr>
            <w:r w:rsidRPr="00494051">
              <w:rPr>
                <w:rFonts w:cstheme="minorHAnsi"/>
                <w:sz w:val="18"/>
                <w:szCs w:val="18"/>
              </w:rPr>
              <w:t>Adult recent active smokers age ≥18, to include current and former smokers who quit less than 12 months ago; current smokers, defined as having smoked 100 cigarettes in their lifetime and were currently smoking cigarettes every day or some days; former smokers defined as having smoked 100 cigarettes in their lifetime who currently did not smoke.</w:t>
            </w:r>
          </w:p>
        </w:tc>
        <w:tc>
          <w:tcPr>
            <w:tcW w:w="1275" w:type="dxa"/>
            <w:tcMar>
              <w:top w:w="62" w:type="dxa"/>
              <w:left w:w="62" w:type="dxa"/>
              <w:bottom w:w="62" w:type="dxa"/>
              <w:right w:w="62" w:type="dxa"/>
            </w:tcMar>
          </w:tcPr>
          <w:p w14:paraId="633FF73D"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Subsamples of African-American and </w:t>
            </w:r>
            <w:r>
              <w:rPr>
                <w:rFonts w:cstheme="minorHAnsi"/>
                <w:sz w:val="18"/>
                <w:szCs w:val="18"/>
              </w:rPr>
              <w:t>W</w:t>
            </w:r>
            <w:r w:rsidRPr="00494051">
              <w:rPr>
                <w:rFonts w:cstheme="minorHAnsi"/>
                <w:sz w:val="18"/>
                <w:szCs w:val="18"/>
              </w:rPr>
              <w:t>hite respondents, respectively.</w:t>
            </w:r>
          </w:p>
        </w:tc>
      </w:tr>
      <w:tr w:rsidR="007F0AE0" w:rsidRPr="00494051" w14:paraId="44845272" w14:textId="77777777" w:rsidTr="00453DE3">
        <w:trPr>
          <w:cantSplit/>
        </w:trPr>
        <w:tc>
          <w:tcPr>
            <w:tcW w:w="1843" w:type="dxa"/>
            <w:tcMar>
              <w:top w:w="62" w:type="dxa"/>
              <w:left w:w="62" w:type="dxa"/>
              <w:bottom w:w="62" w:type="dxa"/>
              <w:right w:w="62" w:type="dxa"/>
            </w:tcMar>
          </w:tcPr>
          <w:p w14:paraId="27FB4806"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&lt;EndNote&gt;&lt;Cite&gt;&lt;Author&gt;King&lt;/Author&gt;&lt;Year&gt;2011&lt;/Year&gt;&lt;RecNum&gt;104&lt;/RecNum&gt;&lt;DisplayText&gt;(13)&lt;/DisplayText&gt;&lt;record&gt;&lt;rec-number&gt;104&lt;/rec-number&gt;&lt;foreign-keys&gt;&lt;key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13" w:tooltip="King, 2011 #104" w:history="1">
              <w:r>
                <w:rPr>
                  <w:rFonts w:cstheme="minorHAnsi"/>
                  <w:noProof/>
                  <w:sz w:val="18"/>
                  <w:szCs w:val="18"/>
                </w:rPr>
                <w:t>13</w:t>
              </w:r>
            </w:hyperlink>
            <w:r>
              <w:rPr>
                <w:rFonts w:cstheme="minorHAnsi"/>
                <w:noProof/>
                <w:sz w:val="18"/>
                <w:szCs w:val="18"/>
              </w:rPr>
              <w:t>)</w:t>
            </w:r>
            <w:r w:rsidRPr="00494051">
              <w:rPr>
                <w:rFonts w:cstheme="minorHAnsi"/>
                <w:sz w:val="18"/>
                <w:szCs w:val="18"/>
              </w:rPr>
              <w:fldChar w:fldCharType="end"/>
            </w:r>
          </w:p>
          <w:p w14:paraId="6E06D5F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174B18A9"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36FDBA3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Illinois; </w:t>
            </w:r>
          </w:p>
          <w:p w14:paraId="3EDE0AB4"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674D67BE"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1F91C163" w14:textId="77777777" w:rsidR="007F0AE0" w:rsidRPr="00494051" w:rsidRDefault="007F0AE0" w:rsidP="00453DE3">
            <w:pPr>
              <w:spacing w:before="60" w:after="60"/>
              <w:rPr>
                <w:rFonts w:cstheme="minorHAnsi"/>
                <w:sz w:val="18"/>
                <w:szCs w:val="18"/>
              </w:rPr>
            </w:pPr>
            <w:r w:rsidRPr="00494051">
              <w:rPr>
                <w:rFonts w:cstheme="minorHAnsi"/>
                <w:sz w:val="18"/>
                <w:szCs w:val="18"/>
              </w:rPr>
              <w:t>Part of a double-blind randomized placebo-controlled trial of the efficacy of naltrexone in combination with the nicotine patch and individual behavioral counseling; 2006-2009</w:t>
            </w:r>
          </w:p>
        </w:tc>
        <w:tc>
          <w:tcPr>
            <w:tcW w:w="4820" w:type="dxa"/>
            <w:tcMar>
              <w:top w:w="62" w:type="dxa"/>
              <w:left w:w="62" w:type="dxa"/>
              <w:bottom w:w="62" w:type="dxa"/>
              <w:right w:w="62" w:type="dxa"/>
            </w:tcMar>
          </w:tcPr>
          <w:p w14:paraId="35B4B2E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 current smokers age 18-65 who smoked 10-40 CPD for the past 2 years, scored 7 or higher on a 10-point scale of self-reported desire to quit, and had a body mass index 19-38. </w:t>
            </w:r>
          </w:p>
        </w:tc>
        <w:tc>
          <w:tcPr>
            <w:tcW w:w="1275" w:type="dxa"/>
            <w:tcMar>
              <w:top w:w="62" w:type="dxa"/>
              <w:left w:w="62" w:type="dxa"/>
              <w:bottom w:w="62" w:type="dxa"/>
              <w:right w:w="62" w:type="dxa"/>
            </w:tcMar>
          </w:tcPr>
          <w:p w14:paraId="703F394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0405F62" w14:textId="77777777" w:rsidTr="00453DE3">
        <w:trPr>
          <w:cantSplit/>
        </w:trPr>
        <w:tc>
          <w:tcPr>
            <w:tcW w:w="1843" w:type="dxa"/>
            <w:tcMar>
              <w:top w:w="62" w:type="dxa"/>
              <w:left w:w="62" w:type="dxa"/>
              <w:bottom w:w="62" w:type="dxa"/>
              <w:right w:w="62" w:type="dxa"/>
            </w:tcMar>
          </w:tcPr>
          <w:p w14:paraId="235BC58B"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r>
            <w:r>
              <w:rPr>
                <w:rFonts w:cstheme="minorHAnsi"/>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19" w:tooltip="Levy, 2011 #45" w:history="1">
              <w:r>
                <w:rPr>
                  <w:rFonts w:cstheme="minorHAnsi"/>
                  <w:noProof/>
                  <w:sz w:val="18"/>
                  <w:szCs w:val="18"/>
                </w:rPr>
                <w:t>19</w:t>
              </w:r>
            </w:hyperlink>
            <w:r>
              <w:rPr>
                <w:rFonts w:cstheme="minorHAnsi"/>
                <w:noProof/>
                <w:sz w:val="18"/>
                <w:szCs w:val="18"/>
              </w:rPr>
              <w:t>)</w:t>
            </w:r>
            <w:r w:rsidRPr="00494051">
              <w:rPr>
                <w:rFonts w:cstheme="minorHAnsi"/>
                <w:sz w:val="18"/>
                <w:szCs w:val="18"/>
              </w:rPr>
              <w:fldChar w:fldCharType="end"/>
            </w:r>
          </w:p>
          <w:p w14:paraId="12B62F14"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7238D3FA"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929032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0569AC4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Foundation; </w:t>
            </w:r>
          </w:p>
          <w:p w14:paraId="42030ED6"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0A5D08EE"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 2006-2007</w:t>
            </w:r>
          </w:p>
        </w:tc>
        <w:tc>
          <w:tcPr>
            <w:tcW w:w="4820" w:type="dxa"/>
            <w:tcMar>
              <w:top w:w="62" w:type="dxa"/>
              <w:left w:w="62" w:type="dxa"/>
              <w:bottom w:w="62" w:type="dxa"/>
              <w:right w:w="62" w:type="dxa"/>
            </w:tcMar>
          </w:tcPr>
          <w:p w14:paraId="2E2C3621" w14:textId="77777777" w:rsidR="007F0AE0" w:rsidRPr="00494051" w:rsidRDefault="007F0AE0" w:rsidP="00453DE3">
            <w:pPr>
              <w:spacing w:before="60" w:after="60"/>
              <w:rPr>
                <w:rFonts w:cstheme="minorHAnsi"/>
                <w:sz w:val="18"/>
                <w:szCs w:val="18"/>
              </w:rPr>
            </w:pPr>
            <w:r w:rsidRPr="00494051">
              <w:rPr>
                <w:rFonts w:cstheme="minorHAnsi"/>
                <w:sz w:val="18"/>
                <w:szCs w:val="18"/>
              </w:rPr>
              <w:t>Adults age ≥18 who smoked ≥100 lifetime cigs and were currently smoking or quit between 3 months and 5 years prior to the interview.</w:t>
            </w:r>
          </w:p>
        </w:tc>
        <w:tc>
          <w:tcPr>
            <w:tcW w:w="1275" w:type="dxa"/>
            <w:tcMar>
              <w:top w:w="62" w:type="dxa"/>
              <w:left w:w="62" w:type="dxa"/>
              <w:bottom w:w="62" w:type="dxa"/>
              <w:right w:w="62" w:type="dxa"/>
            </w:tcMar>
          </w:tcPr>
          <w:p w14:paraId="7125552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85E084A" w14:textId="77777777" w:rsidTr="00453DE3">
        <w:trPr>
          <w:cantSplit/>
        </w:trPr>
        <w:tc>
          <w:tcPr>
            <w:tcW w:w="1843" w:type="dxa"/>
            <w:tcMar>
              <w:top w:w="62" w:type="dxa"/>
              <w:left w:w="62" w:type="dxa"/>
              <w:bottom w:w="62" w:type="dxa"/>
              <w:right w:w="62" w:type="dxa"/>
            </w:tcMar>
          </w:tcPr>
          <w:p w14:paraId="0097FEA8"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53" w:tooltip="Lewis, 2014 #17" w:history="1">
              <w:r>
                <w:rPr>
                  <w:rFonts w:cstheme="minorHAnsi"/>
                  <w:noProof/>
                  <w:sz w:val="18"/>
                  <w:szCs w:val="18"/>
                </w:rPr>
                <w:t>53</w:t>
              </w:r>
            </w:hyperlink>
            <w:r>
              <w:rPr>
                <w:rFonts w:cstheme="minorHAnsi"/>
                <w:noProof/>
                <w:sz w:val="18"/>
                <w:szCs w:val="18"/>
              </w:rPr>
              <w:t>)</w:t>
            </w:r>
            <w:r w:rsidRPr="00494051">
              <w:rPr>
                <w:rFonts w:cstheme="minorHAnsi"/>
                <w:sz w:val="18"/>
                <w:szCs w:val="18"/>
              </w:rPr>
              <w:fldChar w:fldCharType="end"/>
            </w:r>
          </w:p>
          <w:p w14:paraId="6211348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918A2B7"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512727F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6634EE4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17A5A81B"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492EE1E2"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Nielsen Homescan Panel which provides a record of consumer-packaged goods purchased by a large panel of nationally representative U.S. HHs; </w:t>
            </w:r>
          </w:p>
          <w:p w14:paraId="269C7F48" w14:textId="77777777" w:rsidR="007F0AE0" w:rsidRPr="00494051" w:rsidRDefault="007F0AE0" w:rsidP="00453DE3">
            <w:pPr>
              <w:spacing w:before="60" w:after="60"/>
              <w:rPr>
                <w:rFonts w:cstheme="minorHAnsi"/>
                <w:sz w:val="18"/>
                <w:szCs w:val="18"/>
              </w:rPr>
            </w:pPr>
            <w:r w:rsidRPr="00494051">
              <w:rPr>
                <w:rFonts w:cstheme="minorHAnsi"/>
                <w:sz w:val="18"/>
                <w:szCs w:val="18"/>
              </w:rPr>
              <w:t>January 2004-December 2009</w:t>
            </w:r>
          </w:p>
        </w:tc>
        <w:tc>
          <w:tcPr>
            <w:tcW w:w="4820" w:type="dxa"/>
            <w:tcMar>
              <w:top w:w="62" w:type="dxa"/>
              <w:left w:w="62" w:type="dxa"/>
              <w:bottom w:w="62" w:type="dxa"/>
              <w:right w:w="62" w:type="dxa"/>
            </w:tcMar>
          </w:tcPr>
          <w:p w14:paraId="5CCBC160" w14:textId="77777777" w:rsidR="007F0AE0" w:rsidRPr="00494051" w:rsidRDefault="007F0AE0" w:rsidP="00453DE3">
            <w:pPr>
              <w:spacing w:before="60" w:after="60"/>
              <w:rPr>
                <w:rFonts w:cstheme="minorHAnsi"/>
                <w:sz w:val="18"/>
                <w:szCs w:val="18"/>
              </w:rPr>
            </w:pPr>
            <w:r w:rsidRPr="00494051">
              <w:rPr>
                <w:rFonts w:cstheme="minorHAnsi"/>
                <w:sz w:val="18"/>
                <w:szCs w:val="18"/>
              </w:rPr>
              <w:t>Cig purchasers (made ≥1 cig purchase in 2004 and in 2005 or later and purchased ≥20 packs between 2004-2009) who resided in 1 of the top 75 Designated Market Areas in order to track anti-smoking advertising. Homeowners were age ≥18.</w:t>
            </w:r>
          </w:p>
        </w:tc>
        <w:tc>
          <w:tcPr>
            <w:tcW w:w="1275" w:type="dxa"/>
            <w:tcMar>
              <w:top w:w="62" w:type="dxa"/>
              <w:left w:w="62" w:type="dxa"/>
              <w:bottom w:w="62" w:type="dxa"/>
              <w:right w:w="62" w:type="dxa"/>
            </w:tcMar>
          </w:tcPr>
          <w:p w14:paraId="0FC66003"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5E249E73" w14:textId="77777777" w:rsidTr="00453DE3">
        <w:trPr>
          <w:cantSplit/>
        </w:trPr>
        <w:tc>
          <w:tcPr>
            <w:tcW w:w="1843" w:type="dxa"/>
            <w:tcMar>
              <w:top w:w="62" w:type="dxa"/>
              <w:left w:w="62" w:type="dxa"/>
              <w:bottom w:w="62" w:type="dxa"/>
              <w:right w:w="62" w:type="dxa"/>
            </w:tcMar>
          </w:tcPr>
          <w:p w14:paraId="5A70D75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&lt;EndNote&gt;&lt;Cite&gt;&lt;Author&gt;Mendiondo&lt;/Author&gt;&lt;Year&gt;2010&lt;/Year&gt;&lt;RecNum&gt;60&lt;/RecNum&gt;&lt;DisplayText&gt;(22)&lt;/DisplayText&gt;&lt;record&gt;&lt;rec-number&gt;60&lt;/rec-number&gt;&lt;foreign-keys&gt;&lt;key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22" w:tooltip="Mendiondo, 2010 #60" w:history="1">
              <w:r>
                <w:rPr>
                  <w:rFonts w:cstheme="minorHAnsi"/>
                  <w:noProof/>
                  <w:sz w:val="18"/>
                  <w:szCs w:val="18"/>
                </w:rPr>
                <w:t>22</w:t>
              </w:r>
            </w:hyperlink>
            <w:r>
              <w:rPr>
                <w:rFonts w:cstheme="minorHAnsi"/>
                <w:noProof/>
                <w:sz w:val="18"/>
                <w:szCs w:val="18"/>
              </w:rPr>
              <w:t>)</w:t>
            </w:r>
            <w:r w:rsidRPr="00494051">
              <w:rPr>
                <w:rFonts w:cstheme="minorHAnsi"/>
                <w:sz w:val="18"/>
                <w:szCs w:val="18"/>
              </w:rPr>
              <w:fldChar w:fldCharType="end"/>
            </w:r>
          </w:p>
          <w:p w14:paraId="36034535" w14:textId="77777777" w:rsidR="007F0AE0" w:rsidRPr="00494051" w:rsidRDefault="007F0AE0" w:rsidP="00453DE3">
            <w:pPr>
              <w:spacing w:before="60" w:after="60"/>
              <w:rPr>
                <w:rFonts w:cstheme="minorHAnsi"/>
                <w:sz w:val="18"/>
                <w:szCs w:val="18"/>
              </w:rPr>
            </w:pPr>
            <w:r w:rsidRPr="00494051">
              <w:rPr>
                <w:rFonts w:cstheme="minorHAnsi"/>
                <w:sz w:val="18"/>
                <w:szCs w:val="18"/>
              </w:rPr>
              <w:t>NHIS</w:t>
            </w:r>
          </w:p>
          <w:p w14:paraId="3682D919"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4CF5B9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31F8881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2689BFF6"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0D95FF89" w14:textId="77777777" w:rsidR="007F0AE0" w:rsidRPr="00494051" w:rsidRDefault="007F0AE0" w:rsidP="00453DE3">
            <w:pPr>
              <w:spacing w:before="60" w:after="60"/>
              <w:rPr>
                <w:rFonts w:cstheme="minorHAnsi"/>
                <w:sz w:val="18"/>
                <w:szCs w:val="18"/>
              </w:rPr>
            </w:pPr>
            <w:r w:rsidRPr="00494051">
              <w:rPr>
                <w:rFonts w:cstheme="minorHAnsi"/>
                <w:sz w:val="18"/>
                <w:szCs w:val="18"/>
              </w:rPr>
              <w:t>NHIS; 2005</w:t>
            </w:r>
          </w:p>
        </w:tc>
        <w:tc>
          <w:tcPr>
            <w:tcW w:w="4820" w:type="dxa"/>
            <w:tcMar>
              <w:top w:w="62" w:type="dxa"/>
              <w:left w:w="62" w:type="dxa"/>
              <w:bottom w:w="62" w:type="dxa"/>
              <w:right w:w="62" w:type="dxa"/>
            </w:tcMar>
          </w:tcPr>
          <w:p w14:paraId="4E78E2F7" w14:textId="77777777" w:rsidR="007F0AE0" w:rsidRPr="00494051" w:rsidRDefault="007F0AE0" w:rsidP="00453DE3">
            <w:pPr>
              <w:spacing w:before="60" w:after="60"/>
              <w:rPr>
                <w:rFonts w:cstheme="minorHAnsi"/>
                <w:sz w:val="18"/>
                <w:szCs w:val="18"/>
              </w:rPr>
            </w:pPr>
            <w:r w:rsidRPr="00494051">
              <w:rPr>
                <w:rFonts w:cstheme="minorHAnsi"/>
                <w:sz w:val="18"/>
                <w:szCs w:val="18"/>
              </w:rPr>
              <w:t>Adults age ≥18 who were current smokers (≥100 lifetime cigs and smoke some days or every day) or former smokers (≥100 lifetime cigs but not smoking at the time of the survey).</w:t>
            </w:r>
          </w:p>
        </w:tc>
        <w:tc>
          <w:tcPr>
            <w:tcW w:w="1275" w:type="dxa"/>
            <w:tcMar>
              <w:top w:w="62" w:type="dxa"/>
              <w:left w:w="62" w:type="dxa"/>
              <w:bottom w:w="62" w:type="dxa"/>
              <w:right w:w="62" w:type="dxa"/>
            </w:tcMar>
          </w:tcPr>
          <w:p w14:paraId="0EA8006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39EE2442" w14:textId="77777777" w:rsidTr="00453DE3">
        <w:trPr>
          <w:cantSplit/>
        </w:trPr>
        <w:tc>
          <w:tcPr>
            <w:tcW w:w="1843" w:type="dxa"/>
            <w:tcMar>
              <w:top w:w="62" w:type="dxa"/>
              <w:left w:w="62" w:type="dxa"/>
              <w:bottom w:w="62" w:type="dxa"/>
              <w:right w:w="62" w:type="dxa"/>
            </w:tcMar>
          </w:tcPr>
          <w:p w14:paraId="3DDF879B"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&lt;EndNote&gt;&lt;Cite&gt;&lt;Author&gt;Miller&lt;/Author&gt;&lt;Year&gt;1994&lt;/Year&gt;&lt;RecNum&gt;91&lt;/RecNum&gt;&lt;DisplayText&gt;(16)&lt;/DisplayText&gt;&lt;record&gt;&lt;rec-number&gt;91&lt;/rec-number&gt;&lt;foreign-keys&gt;&lt;key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16" w:tooltip="Miller, 1994 #91" w:history="1">
              <w:r>
                <w:rPr>
                  <w:rFonts w:cstheme="minorHAnsi"/>
                  <w:noProof/>
                  <w:sz w:val="18"/>
                  <w:szCs w:val="18"/>
                </w:rPr>
                <w:t>16</w:t>
              </w:r>
            </w:hyperlink>
            <w:r>
              <w:rPr>
                <w:rFonts w:cstheme="minorHAnsi"/>
                <w:noProof/>
                <w:sz w:val="18"/>
                <w:szCs w:val="18"/>
              </w:rPr>
              <w:t>)</w:t>
            </w:r>
            <w:r w:rsidRPr="00494051">
              <w:rPr>
                <w:rFonts w:cstheme="minorHAnsi"/>
                <w:sz w:val="18"/>
                <w:szCs w:val="18"/>
              </w:rPr>
              <w:fldChar w:fldCharType="end"/>
            </w:r>
          </w:p>
          <w:p w14:paraId="43621961"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25747070"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7F0A362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California; </w:t>
            </w:r>
          </w:p>
          <w:p w14:paraId="45CB67BB"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27573F63"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59277342" w14:textId="77777777" w:rsidR="007F0AE0" w:rsidRPr="00494051" w:rsidRDefault="007F0AE0" w:rsidP="00453DE3">
            <w:pPr>
              <w:spacing w:before="60" w:after="60"/>
              <w:rPr>
                <w:rFonts w:cstheme="minorHAnsi"/>
                <w:sz w:val="18"/>
                <w:szCs w:val="18"/>
              </w:rPr>
            </w:pPr>
            <w:r w:rsidRPr="00494051">
              <w:rPr>
                <w:rFonts w:cstheme="minorHAnsi"/>
                <w:sz w:val="18"/>
                <w:szCs w:val="18"/>
              </w:rPr>
              <w:t>Recruited from the inpatient substance abuse ward at the VA medical center in West Los Angeles; NR</w:t>
            </w:r>
          </w:p>
        </w:tc>
        <w:tc>
          <w:tcPr>
            <w:tcW w:w="4820" w:type="dxa"/>
            <w:tcMar>
              <w:top w:w="62" w:type="dxa"/>
              <w:left w:w="62" w:type="dxa"/>
              <w:bottom w:w="62" w:type="dxa"/>
              <w:right w:w="62" w:type="dxa"/>
            </w:tcMar>
          </w:tcPr>
          <w:p w14:paraId="597D90F4" w14:textId="77777777" w:rsidR="007F0AE0" w:rsidRPr="00494051" w:rsidRDefault="007F0AE0" w:rsidP="00453DE3">
            <w:pPr>
              <w:spacing w:before="60" w:after="60"/>
              <w:rPr>
                <w:rFonts w:cstheme="minorHAnsi"/>
                <w:sz w:val="18"/>
                <w:szCs w:val="18"/>
              </w:rPr>
            </w:pPr>
            <w:r w:rsidRPr="00494051">
              <w:rPr>
                <w:rFonts w:cstheme="minorHAnsi"/>
                <w:sz w:val="18"/>
                <w:szCs w:val="18"/>
              </w:rPr>
              <w:t>Black male veterans participating in a 21-day substance abuse treatment program who were free of psychotropic medication and pulmonary/respiratory disease and smoked ≥15 CPD.</w:t>
            </w:r>
          </w:p>
        </w:tc>
        <w:tc>
          <w:tcPr>
            <w:tcW w:w="1275" w:type="dxa"/>
            <w:tcMar>
              <w:top w:w="62" w:type="dxa"/>
              <w:left w:w="62" w:type="dxa"/>
              <w:bottom w:w="62" w:type="dxa"/>
              <w:right w:w="62" w:type="dxa"/>
            </w:tcMar>
          </w:tcPr>
          <w:p w14:paraId="412EC2A6" w14:textId="77777777" w:rsidR="007F0AE0" w:rsidRPr="00494051" w:rsidRDefault="007F0AE0" w:rsidP="00453DE3">
            <w:pPr>
              <w:spacing w:before="60" w:after="60"/>
              <w:rPr>
                <w:rFonts w:cstheme="minorHAnsi"/>
                <w:sz w:val="18"/>
                <w:szCs w:val="18"/>
              </w:rPr>
            </w:pPr>
            <w:r w:rsidRPr="00494051">
              <w:rPr>
                <w:rFonts w:cstheme="minorHAnsi"/>
                <w:sz w:val="18"/>
                <w:szCs w:val="18"/>
              </w:rPr>
              <w:t>Black men in substance abuse treatment at the VA</w:t>
            </w:r>
          </w:p>
        </w:tc>
      </w:tr>
      <w:tr w:rsidR="007F0AE0" w:rsidRPr="00494051" w14:paraId="7AA77E69" w14:textId="77777777" w:rsidTr="00453DE3">
        <w:trPr>
          <w:cantSplit/>
        </w:trPr>
        <w:tc>
          <w:tcPr>
            <w:tcW w:w="1843" w:type="dxa"/>
            <w:tcMar>
              <w:top w:w="62" w:type="dxa"/>
              <w:left w:w="62" w:type="dxa"/>
              <w:bottom w:w="62" w:type="dxa"/>
              <w:right w:w="62" w:type="dxa"/>
            </w:tcMar>
          </w:tcPr>
          <w:p w14:paraId="7FF1DC87" w14:textId="77777777" w:rsidR="007F0AE0" w:rsidRPr="00494051" w:rsidRDefault="007F0AE0" w:rsidP="00453DE3">
            <w:pPr>
              <w:spacing w:before="60" w:after="60"/>
              <w:rPr>
                <w:rFonts w:cstheme="minorHAnsi"/>
                <w:sz w:val="18"/>
                <w:szCs w:val="18"/>
              </w:rPr>
            </w:pPr>
            <w:r>
              <w:rPr>
                <w:rFonts w:cstheme="minorHAnsi"/>
                <w:sz w:val="18"/>
                <w:szCs w:val="18"/>
              </w:rPr>
              <w:lastRenderedPageBreak/>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74" w:tooltip="Muench, 2017 #700" w:history="1">
              <w:r>
                <w:rPr>
                  <w:rFonts w:cstheme="minorHAnsi"/>
                  <w:noProof/>
                  <w:sz w:val="18"/>
                  <w:szCs w:val="18"/>
                </w:rPr>
                <w:t>74</w:t>
              </w:r>
            </w:hyperlink>
            <w:r>
              <w:rPr>
                <w:rFonts w:cstheme="minorHAnsi"/>
                <w:noProof/>
                <w:sz w:val="18"/>
                <w:szCs w:val="18"/>
              </w:rPr>
              <w:t>)</w:t>
            </w:r>
            <w:r>
              <w:rPr>
                <w:rFonts w:cstheme="minorHAnsi"/>
                <w:sz w:val="18"/>
                <w:szCs w:val="18"/>
              </w:rPr>
              <w:fldChar w:fldCharType="end"/>
            </w:r>
          </w:p>
          <w:p w14:paraId="7CA61E1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0BDDBD6A"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4B8499F" w14:textId="77777777" w:rsidR="007F0AE0" w:rsidRPr="00494051" w:rsidRDefault="007F0AE0" w:rsidP="00453DE3">
            <w:pPr>
              <w:spacing w:before="60" w:after="60"/>
              <w:rPr>
                <w:rFonts w:cstheme="minorHAnsi"/>
                <w:sz w:val="18"/>
                <w:szCs w:val="18"/>
              </w:rPr>
            </w:pPr>
            <w:r w:rsidRPr="00494051">
              <w:rPr>
                <w:rFonts w:cstheme="minorHAnsi"/>
                <w:sz w:val="18"/>
                <w:szCs w:val="18"/>
              </w:rPr>
              <w:t>Washington, DC metropolitan</w:t>
            </w:r>
          </w:p>
          <w:p w14:paraId="3CED48DB" w14:textId="77777777" w:rsidR="007F0AE0" w:rsidRPr="00494051" w:rsidRDefault="007F0AE0" w:rsidP="00453DE3">
            <w:pPr>
              <w:spacing w:before="60" w:after="60"/>
              <w:rPr>
                <w:rFonts w:cstheme="minorHAnsi"/>
                <w:sz w:val="18"/>
                <w:szCs w:val="18"/>
              </w:rPr>
            </w:pPr>
            <w:r w:rsidRPr="00494051">
              <w:rPr>
                <w:rFonts w:cstheme="minorHAnsi"/>
                <w:sz w:val="18"/>
                <w:szCs w:val="18"/>
              </w:rPr>
              <w:t>area;</w:t>
            </w:r>
          </w:p>
          <w:p w14:paraId="7610C934" w14:textId="77777777" w:rsidR="007F0AE0" w:rsidRPr="00494051" w:rsidRDefault="007F0AE0" w:rsidP="00453DE3">
            <w:pPr>
              <w:spacing w:before="60" w:after="60"/>
              <w:rPr>
                <w:rFonts w:cstheme="minorHAnsi"/>
                <w:sz w:val="18"/>
                <w:szCs w:val="18"/>
              </w:rPr>
            </w:pPr>
            <w:r w:rsidRPr="00494051">
              <w:rPr>
                <w:rFonts w:cstheme="minorHAnsi"/>
                <w:sz w:val="18"/>
                <w:szCs w:val="18"/>
              </w:rPr>
              <w:t>United States Department of Health and Human Services, National Institutes of Health, National Institute on</w:t>
            </w:r>
          </w:p>
          <w:p w14:paraId="7D03D350" w14:textId="77777777" w:rsidR="007F0AE0" w:rsidRPr="00494051" w:rsidRDefault="007F0AE0" w:rsidP="00453DE3">
            <w:pPr>
              <w:spacing w:before="60" w:after="60"/>
              <w:rPr>
                <w:rFonts w:cstheme="minorHAnsi"/>
                <w:sz w:val="18"/>
                <w:szCs w:val="18"/>
              </w:rPr>
            </w:pPr>
            <w:r w:rsidRPr="00494051">
              <w:rPr>
                <w:rFonts w:cstheme="minorHAnsi"/>
                <w:sz w:val="18"/>
                <w:szCs w:val="18"/>
              </w:rPr>
              <w:t>Drug Abuse, and the College of</w:t>
            </w:r>
          </w:p>
          <w:p w14:paraId="16CE94FB" w14:textId="77777777" w:rsidR="007F0AE0" w:rsidRPr="00494051" w:rsidRDefault="007F0AE0" w:rsidP="00453DE3">
            <w:pPr>
              <w:spacing w:before="60" w:after="60"/>
              <w:rPr>
                <w:rFonts w:cstheme="minorHAnsi"/>
                <w:sz w:val="18"/>
                <w:szCs w:val="18"/>
              </w:rPr>
            </w:pPr>
            <w:r w:rsidRPr="00494051">
              <w:rPr>
                <w:rFonts w:cstheme="minorHAnsi"/>
                <w:sz w:val="18"/>
                <w:szCs w:val="18"/>
              </w:rPr>
              <w:t>Arts and Sciences at American University;</w:t>
            </w:r>
          </w:p>
          <w:p w14:paraId="0E3630D6" w14:textId="77777777" w:rsidR="007F0AE0" w:rsidRPr="00494051" w:rsidRDefault="007F0AE0" w:rsidP="00453DE3">
            <w:pPr>
              <w:spacing w:before="60" w:after="60"/>
              <w:rPr>
                <w:rFonts w:cstheme="minorHAnsi"/>
                <w:sz w:val="18"/>
                <w:szCs w:val="18"/>
              </w:rPr>
            </w:pPr>
            <w:r w:rsidRPr="00494051">
              <w:rPr>
                <w:rFonts w:cstheme="minorHAnsi"/>
                <w:sz w:val="18"/>
                <w:szCs w:val="18"/>
              </w:rPr>
              <w:t>Laboratory-based smoking-choice study</w:t>
            </w:r>
          </w:p>
        </w:tc>
        <w:tc>
          <w:tcPr>
            <w:tcW w:w="2977" w:type="dxa"/>
            <w:tcMar>
              <w:top w:w="62" w:type="dxa"/>
              <w:left w:w="62" w:type="dxa"/>
              <w:bottom w:w="62" w:type="dxa"/>
              <w:right w:w="62" w:type="dxa"/>
            </w:tcMar>
          </w:tcPr>
          <w:p w14:paraId="4FFC3870" w14:textId="77777777" w:rsidR="007F0AE0" w:rsidRPr="00494051" w:rsidRDefault="007F0AE0" w:rsidP="00453DE3">
            <w:pPr>
              <w:spacing w:before="60" w:after="60"/>
              <w:rPr>
                <w:rFonts w:cstheme="minorHAnsi"/>
                <w:sz w:val="18"/>
                <w:szCs w:val="18"/>
              </w:rPr>
            </w:pPr>
            <w:r w:rsidRPr="00494051">
              <w:rPr>
                <w:rFonts w:cstheme="minorHAnsi"/>
                <w:sz w:val="18"/>
                <w:szCs w:val="18"/>
              </w:rPr>
              <w:t>Sample was recruited through flyers, word of mouth, and online advertisements, and participants were screened for eligibility by phone;</w:t>
            </w:r>
            <w:r>
              <w:rPr>
                <w:rFonts w:cstheme="minorHAnsi"/>
                <w:sz w:val="18"/>
                <w:szCs w:val="18"/>
              </w:rPr>
              <w:t xml:space="preserve"> </w:t>
            </w:r>
            <w:r w:rsidRPr="00494051">
              <w:rPr>
                <w:rFonts w:cstheme="minorHAnsi"/>
                <w:sz w:val="18"/>
                <w:szCs w:val="18"/>
              </w:rPr>
              <w:t>NR</w:t>
            </w:r>
          </w:p>
        </w:tc>
        <w:tc>
          <w:tcPr>
            <w:tcW w:w="4820" w:type="dxa"/>
            <w:tcMar>
              <w:top w:w="62" w:type="dxa"/>
              <w:left w:w="62" w:type="dxa"/>
              <w:bottom w:w="62" w:type="dxa"/>
              <w:right w:w="62" w:type="dxa"/>
            </w:tcMar>
          </w:tcPr>
          <w:p w14:paraId="1A0E117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Adults age ≥18 who smoked a ≥10 </w:t>
            </w:r>
            <w:r>
              <w:rPr>
                <w:rFonts w:cstheme="minorHAnsi"/>
                <w:sz w:val="18"/>
                <w:szCs w:val="18"/>
              </w:rPr>
              <w:t>CPD</w:t>
            </w:r>
            <w:r w:rsidRPr="00494051">
              <w:rPr>
                <w:rFonts w:cstheme="minorHAnsi"/>
                <w:sz w:val="18"/>
                <w:szCs w:val="18"/>
              </w:rPr>
              <w:t xml:space="preserve"> for at least the past year, and with no intention or current attempt of quitting.</w:t>
            </w:r>
          </w:p>
        </w:tc>
        <w:tc>
          <w:tcPr>
            <w:tcW w:w="1275" w:type="dxa"/>
            <w:tcMar>
              <w:top w:w="62" w:type="dxa"/>
              <w:left w:w="62" w:type="dxa"/>
              <w:bottom w:w="62" w:type="dxa"/>
              <w:right w:w="62" w:type="dxa"/>
            </w:tcMar>
          </w:tcPr>
          <w:p w14:paraId="28C0772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68A55563" w14:textId="77777777" w:rsidTr="00453DE3">
        <w:trPr>
          <w:cantSplit/>
        </w:trPr>
        <w:tc>
          <w:tcPr>
            <w:tcW w:w="1843" w:type="dxa"/>
            <w:tcMar>
              <w:top w:w="62" w:type="dxa"/>
              <w:left w:w="62" w:type="dxa"/>
              <w:bottom w:w="62" w:type="dxa"/>
              <w:right w:w="62" w:type="dxa"/>
            </w:tcMar>
          </w:tcPr>
          <w:p w14:paraId="06A9764A"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&lt;EndNote&gt;&lt;Cite&gt;&lt;Author&gt;Murray&lt;/Author&gt;&lt;Year&gt;2007&lt;/Year&gt;&lt;RecNum&gt;77&lt;/RecNum&gt;&lt;DisplayText&gt;(60)&lt;/DisplayText&gt;&lt;record&gt;&lt;rec-number&gt;77&lt;/rec-number&gt;&lt;foreign-keys&gt;&lt;key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60" w:tooltip="Murray, 2007 #77" w:history="1">
              <w:r>
                <w:rPr>
                  <w:rFonts w:cstheme="minorHAnsi"/>
                  <w:noProof/>
                  <w:sz w:val="18"/>
                  <w:szCs w:val="18"/>
                </w:rPr>
                <w:t>60</w:t>
              </w:r>
            </w:hyperlink>
            <w:r>
              <w:rPr>
                <w:rFonts w:cstheme="minorHAnsi"/>
                <w:noProof/>
                <w:sz w:val="18"/>
                <w:szCs w:val="18"/>
              </w:rPr>
              <w:t>)</w:t>
            </w:r>
            <w:r w:rsidRPr="00494051">
              <w:rPr>
                <w:rFonts w:cstheme="minorHAnsi"/>
                <w:sz w:val="18"/>
                <w:szCs w:val="18"/>
              </w:rPr>
              <w:fldChar w:fldCharType="end"/>
            </w:r>
          </w:p>
          <w:p w14:paraId="2E2B96F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94BC119"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4A3BB27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6F3AB65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3A729833"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5945BFF5" w14:textId="77777777" w:rsidR="007F0AE0" w:rsidRPr="00494051" w:rsidRDefault="007F0AE0" w:rsidP="00453DE3">
            <w:pPr>
              <w:spacing w:before="60" w:after="60"/>
              <w:rPr>
                <w:rFonts w:cstheme="minorHAnsi"/>
                <w:sz w:val="18"/>
                <w:szCs w:val="18"/>
              </w:rPr>
            </w:pPr>
            <w:r w:rsidRPr="00494051">
              <w:rPr>
                <w:rFonts w:cstheme="minorHAnsi"/>
                <w:sz w:val="18"/>
                <w:szCs w:val="18"/>
              </w:rPr>
              <w:t>NR; November 1986-April 1989</w:t>
            </w:r>
          </w:p>
        </w:tc>
        <w:tc>
          <w:tcPr>
            <w:tcW w:w="4820" w:type="dxa"/>
            <w:tcMar>
              <w:top w:w="62" w:type="dxa"/>
              <w:left w:w="62" w:type="dxa"/>
              <w:bottom w:w="62" w:type="dxa"/>
              <w:right w:w="62" w:type="dxa"/>
            </w:tcMar>
          </w:tcPr>
          <w:p w14:paraId="63E1F544"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age 35-60 with early evidence of obstructive lung impairment.</w:t>
            </w:r>
          </w:p>
        </w:tc>
        <w:tc>
          <w:tcPr>
            <w:tcW w:w="1275" w:type="dxa"/>
            <w:tcMar>
              <w:top w:w="62" w:type="dxa"/>
              <w:left w:w="62" w:type="dxa"/>
              <w:bottom w:w="62" w:type="dxa"/>
              <w:right w:w="62" w:type="dxa"/>
            </w:tcMar>
          </w:tcPr>
          <w:p w14:paraId="6E8B14A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Adults with obstructive lung impairment </w:t>
            </w:r>
          </w:p>
        </w:tc>
      </w:tr>
      <w:tr w:rsidR="007F0AE0" w:rsidRPr="00494051" w14:paraId="4B943784" w14:textId="77777777" w:rsidTr="00453DE3">
        <w:trPr>
          <w:cantSplit/>
        </w:trPr>
        <w:tc>
          <w:tcPr>
            <w:tcW w:w="1843" w:type="dxa"/>
            <w:tcMar>
              <w:top w:w="62" w:type="dxa"/>
              <w:left w:w="62" w:type="dxa"/>
              <w:bottom w:w="62" w:type="dxa"/>
              <w:right w:w="62" w:type="dxa"/>
            </w:tcMar>
          </w:tcPr>
          <w:p w14:paraId="29C9B2AC"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&lt;EndNote&gt;&lt;Cite&gt;&lt;Author&gt;Muscat&lt;/Author&gt;&lt;Year&gt;2002&lt;/Year&gt;&lt;RecNum&gt;86&lt;/RecNum&gt;&lt;DisplayText&gt;(55)&lt;/DisplayText&gt;&lt;record&gt;&lt;rec-number&gt;86&lt;/rec-number&gt;&lt;foreign-keys&gt;&lt;key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55" w:tooltip="Muscat, 2002 #86" w:history="1">
              <w:r>
                <w:rPr>
                  <w:rFonts w:cstheme="minorHAnsi"/>
                  <w:noProof/>
                  <w:sz w:val="18"/>
                  <w:szCs w:val="18"/>
                </w:rPr>
                <w:t>55</w:t>
              </w:r>
            </w:hyperlink>
            <w:r>
              <w:rPr>
                <w:rFonts w:cstheme="minorHAnsi"/>
                <w:noProof/>
                <w:sz w:val="18"/>
                <w:szCs w:val="18"/>
              </w:rPr>
              <w:t>)</w:t>
            </w:r>
            <w:r w:rsidRPr="00494051">
              <w:rPr>
                <w:rFonts w:cstheme="minorHAnsi"/>
                <w:sz w:val="18"/>
                <w:szCs w:val="18"/>
              </w:rPr>
              <w:fldChar w:fldCharType="end"/>
            </w:r>
          </w:p>
          <w:p w14:paraId="39D8460E"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39044B32"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74C59B4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New York, District of Columbia, Pennsylvania; </w:t>
            </w:r>
          </w:p>
          <w:p w14:paraId="5BE2ABA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21E06D81" w14:textId="77777777" w:rsidR="007F0AE0" w:rsidRPr="00494051" w:rsidRDefault="007F0AE0" w:rsidP="00453DE3">
            <w:pPr>
              <w:spacing w:before="60" w:after="60"/>
              <w:rPr>
                <w:rFonts w:cstheme="minorHAnsi"/>
                <w:sz w:val="18"/>
                <w:szCs w:val="18"/>
              </w:rPr>
            </w:pPr>
            <w:r w:rsidRPr="00494051">
              <w:rPr>
                <w:rFonts w:cstheme="minorHAnsi"/>
                <w:sz w:val="18"/>
                <w:szCs w:val="18"/>
              </w:rPr>
              <w:t>Case-control</w:t>
            </w:r>
          </w:p>
        </w:tc>
        <w:tc>
          <w:tcPr>
            <w:tcW w:w="2977" w:type="dxa"/>
            <w:tcMar>
              <w:top w:w="62" w:type="dxa"/>
              <w:left w:w="62" w:type="dxa"/>
              <w:bottom w:w="62" w:type="dxa"/>
              <w:right w:w="62" w:type="dxa"/>
            </w:tcMar>
          </w:tcPr>
          <w:p w14:paraId="39D5B20C" w14:textId="77777777" w:rsidR="007F0AE0" w:rsidRPr="00494051" w:rsidRDefault="007F0AE0" w:rsidP="00453DE3">
            <w:pPr>
              <w:spacing w:before="60" w:after="60"/>
              <w:rPr>
                <w:rFonts w:cstheme="minorHAnsi"/>
                <w:sz w:val="18"/>
                <w:szCs w:val="18"/>
              </w:rPr>
            </w:pPr>
            <w:r w:rsidRPr="00494051">
              <w:rPr>
                <w:rFonts w:cstheme="minorHAnsi"/>
                <w:sz w:val="18"/>
                <w:szCs w:val="18"/>
              </w:rPr>
              <w:t>Newly diagnosed cancer patients were identified from thoracic and other surgery schedules. Non-surgical patients recruited from oncology wards. Controls were selected randomly from general hospital admitting rosters; 1981-1999</w:t>
            </w:r>
          </w:p>
        </w:tc>
        <w:tc>
          <w:tcPr>
            <w:tcW w:w="4820" w:type="dxa"/>
            <w:tcMar>
              <w:top w:w="62" w:type="dxa"/>
              <w:left w:w="62" w:type="dxa"/>
              <w:bottom w:w="62" w:type="dxa"/>
              <w:right w:w="62" w:type="dxa"/>
            </w:tcMar>
          </w:tcPr>
          <w:p w14:paraId="561C5B70" w14:textId="77777777" w:rsidR="007F0AE0" w:rsidRPr="00494051" w:rsidRDefault="007F0AE0" w:rsidP="00453DE3">
            <w:pPr>
              <w:spacing w:before="60" w:after="60"/>
              <w:rPr>
                <w:rFonts w:cstheme="minorHAnsi"/>
                <w:sz w:val="18"/>
                <w:szCs w:val="18"/>
              </w:rPr>
            </w:pPr>
            <w:r w:rsidRPr="00494051">
              <w:rPr>
                <w:rFonts w:cstheme="minorHAnsi"/>
                <w:sz w:val="18"/>
                <w:szCs w:val="18"/>
              </w:rPr>
              <w:t>Black or White current smokers (≥1 CPD for the past year) and former smokers (current smokers at one time but did not smoke ≥1 CPD for the preceding year).</w:t>
            </w:r>
          </w:p>
        </w:tc>
        <w:tc>
          <w:tcPr>
            <w:tcW w:w="1275" w:type="dxa"/>
            <w:tcMar>
              <w:top w:w="62" w:type="dxa"/>
              <w:left w:w="62" w:type="dxa"/>
              <w:bottom w:w="62" w:type="dxa"/>
              <w:right w:w="62" w:type="dxa"/>
            </w:tcMar>
          </w:tcPr>
          <w:p w14:paraId="18ECB2CE" w14:textId="77777777" w:rsidR="007F0AE0" w:rsidRPr="00494051" w:rsidRDefault="007F0AE0" w:rsidP="00453DE3">
            <w:pPr>
              <w:spacing w:before="60" w:after="60"/>
              <w:rPr>
                <w:rFonts w:cstheme="minorHAnsi"/>
                <w:sz w:val="18"/>
                <w:szCs w:val="18"/>
              </w:rPr>
            </w:pPr>
            <w:r w:rsidRPr="00494051">
              <w:rPr>
                <w:rFonts w:cstheme="minorHAnsi"/>
                <w:sz w:val="18"/>
                <w:szCs w:val="18"/>
              </w:rPr>
              <w:t>Cancer patients (and non-cancer control)</w:t>
            </w:r>
          </w:p>
        </w:tc>
      </w:tr>
      <w:tr w:rsidR="007F0AE0" w:rsidRPr="00494051" w14:paraId="38E3A53F" w14:textId="77777777" w:rsidTr="00453DE3">
        <w:trPr>
          <w:cantSplit/>
        </w:trPr>
        <w:tc>
          <w:tcPr>
            <w:tcW w:w="1843" w:type="dxa"/>
            <w:tcMar>
              <w:top w:w="62" w:type="dxa"/>
              <w:left w:w="62" w:type="dxa"/>
              <w:bottom w:w="62" w:type="dxa"/>
              <w:right w:w="62" w:type="dxa"/>
            </w:tcMar>
          </w:tcPr>
          <w:p w14:paraId="1022A304"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r>
            <w:r>
              <w:rPr>
                <w:rFonts w:cstheme="minorHAnsi"/>
                <w:sz w:val="18"/>
                <w:szCs w:val="18"/>
              </w:rPr>
              <w:instrText xml:space="preserve"> ADDIN EN.CITE &lt;EndNote&gt;&lt;Cite&gt;&lt;Author&gt;Nonnemaker&lt;/Author&gt;&lt;Year&gt;2012&lt;/Year&gt;&lt;RecNum&gt;31&lt;/RecNum&gt;&lt;DisplayText&gt;(61)&lt;/DisplayText&gt;&lt;record&gt;&lt;rec-number&gt;31&lt;/rec-number&gt;&lt;foreign-keys&gt;&lt;key app="EN" db-id="a2vz2dfp8xrad6exes75zwpiw5rxwa0vwapv" timestamp="0"&gt;31&lt;/key&gt;&lt;/foreign-keys&gt;&lt;ref-type name="Journal Article"&gt;17&lt;/ref-type&gt;&lt;contributors&gt;&lt;authors&gt;&lt;author&gt;Nonnemaker, J.&lt;/author&gt;&lt;author&gt;Hersey, J.&lt;/author&gt;&lt;author&gt;Homsi, G.&lt;/author&gt;&lt;author&gt;Busey, A.&lt;/author&gt;&lt;author&gt;Allen, J.&lt;/author&gt;&lt;author&gt;Vallone, D.&lt;/author&gt;&lt;/authors&gt;&lt;/contributors&gt;&lt;auth-address&gt;RTI International, Research Triangle Park, NC 27709-2194, USA. jnonnemaker@rti.org&lt;/auth-address&gt;&lt;titles&gt;&lt;title&gt;Initiation with menthol cigarettes and youth smoking uptake&lt;/title&gt;&lt;secondary-title&gt;Addiction&lt;/secondary-title&gt;&lt;/titles&gt;&lt;periodical&gt;&lt;full-title&gt;Addiction&lt;/full-title&gt;&lt;/periodical&gt;&lt;pages&gt;171-8&lt;/pages&gt;&lt;volume&gt;108&lt;/volume&gt;&lt;number&gt;1&lt;/number&gt;&lt;keywords&gt;&lt;keyword&gt;Adolescent&lt;/keyword&gt;&lt;keyword&gt;Age Distribution&lt;/keyword&gt;&lt;keyword&gt;Child&lt;/keyword&gt;&lt;keyword&gt;Female&lt;/keyword&gt;&lt;keyword&gt;Flavoring Agents/*adverse effects&lt;/keyword&gt;&lt;keyword&gt;Humans&lt;/keyword&gt;&lt;keyword&gt;Longitudinal Studies&lt;/keyword&gt;&lt;keyword&gt;Male&lt;/keyword&gt;&lt;keyword&gt;Menthol/*adverse effects&lt;/keyword&gt;&lt;keyword&gt;Risk Factors&lt;/keyword&gt;&lt;keyword&gt;Sex Distribution&lt;/keyword&gt;&lt;keyword&gt;Smoking/*adverse effects&lt;/keyword&gt;&lt;keyword&gt;Smoking Cessation/psychology/statistics &amp;amp; numerical data&lt;/keyword&gt;&lt;keyword&gt;Tobacco Products/*adverse effects&lt;/keyword&gt;&lt;keyword&gt;Tobacco Use Disorder/*etiology&lt;/keyword&gt;&lt;keyword&gt;United States&lt;/keyword&gt;&lt;/keywords&gt;&lt;dates&gt;&lt;year&gt;2012&lt;/year&gt;&lt;pub-dates&gt;&lt;date&gt;Jan&lt;/date&gt;&lt;/pub-dates&gt;&lt;/dates&gt;&lt;isbn&gt;1360-0443 (Electronic)&amp;#xD;0965-2140 (Linking)&lt;/isbn&gt;&lt;accession-num&gt;22862154&lt;/accession-num&gt;&lt;urls&gt;&lt;related-urls&gt;&lt;url&gt;http://www.ncbi.nlm.nih.gov/pubmed/22862154&lt;/url&gt;&lt;/related-urls&gt;&lt;/urls&gt;&lt;electronic-resource-num&gt;10.1111/j.1360-0443.2012.04045.x&lt;/electronic-resource-num&gt;&lt;research-notes&gt;#160&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61" w:tooltip="Nonnemaker, 2012 #31" w:history="1">
              <w:r>
                <w:rPr>
                  <w:rFonts w:cstheme="minorHAnsi"/>
                  <w:noProof/>
                  <w:sz w:val="18"/>
                  <w:szCs w:val="18"/>
                </w:rPr>
                <w:t>61</w:t>
              </w:r>
            </w:hyperlink>
            <w:r>
              <w:rPr>
                <w:rFonts w:cstheme="minorHAnsi"/>
                <w:noProof/>
                <w:sz w:val="18"/>
                <w:szCs w:val="18"/>
              </w:rPr>
              <w:t>)</w:t>
            </w:r>
            <w:r w:rsidRPr="00494051">
              <w:rPr>
                <w:rFonts w:cstheme="minorHAnsi"/>
                <w:sz w:val="18"/>
                <w:szCs w:val="18"/>
              </w:rPr>
              <w:fldChar w:fldCharType="end"/>
            </w:r>
          </w:p>
          <w:p w14:paraId="1BD47EB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None </w:t>
            </w:r>
          </w:p>
          <w:p w14:paraId="420CDC30"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267E466" w14:textId="77777777" w:rsidR="007F0AE0" w:rsidRPr="00494051" w:rsidRDefault="007F0AE0" w:rsidP="00453DE3">
            <w:pPr>
              <w:spacing w:before="60" w:after="60"/>
              <w:rPr>
                <w:rFonts w:cstheme="minorHAnsi"/>
                <w:sz w:val="18"/>
                <w:szCs w:val="18"/>
              </w:rPr>
            </w:pPr>
            <w:r w:rsidRPr="00494051">
              <w:rPr>
                <w:rFonts w:cstheme="minorHAnsi"/>
                <w:sz w:val="18"/>
                <w:szCs w:val="18"/>
              </w:rPr>
              <w:t>7 communities in 5 states;</w:t>
            </w:r>
          </w:p>
          <w:p w14:paraId="66B1D10E"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4EADE22D"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7FCAABE4" w14:textId="77777777" w:rsidR="007F0AE0" w:rsidRPr="00494051" w:rsidRDefault="007F0AE0" w:rsidP="00453DE3">
            <w:pPr>
              <w:spacing w:before="60" w:after="60"/>
              <w:rPr>
                <w:rFonts w:cstheme="minorHAnsi"/>
                <w:sz w:val="18"/>
                <w:szCs w:val="18"/>
              </w:rPr>
            </w:pPr>
            <w:r w:rsidRPr="00494051">
              <w:rPr>
                <w:rFonts w:cstheme="minorHAnsi"/>
                <w:sz w:val="18"/>
                <w:szCs w:val="18"/>
              </w:rPr>
              <w:t>American Legacy Longitudinal Tobacco Use Reduction Study (ALLTURS): School-based survey of middle and high school youth conducted in three waves in 83 schools in 7 communities in 5 states, initially selected for a quasi-experiment that included matched communities; 2000-2002</w:t>
            </w:r>
          </w:p>
        </w:tc>
        <w:tc>
          <w:tcPr>
            <w:tcW w:w="4820" w:type="dxa"/>
            <w:tcMar>
              <w:top w:w="62" w:type="dxa"/>
              <w:left w:w="62" w:type="dxa"/>
              <w:bottom w:w="62" w:type="dxa"/>
              <w:right w:w="62" w:type="dxa"/>
            </w:tcMar>
          </w:tcPr>
          <w:p w14:paraId="1D3137FA" w14:textId="77777777" w:rsidR="007F0AE0" w:rsidRPr="00494051" w:rsidRDefault="007F0AE0" w:rsidP="00453DE3">
            <w:pPr>
              <w:spacing w:before="60" w:after="60"/>
              <w:rPr>
                <w:rFonts w:cstheme="minorHAnsi"/>
                <w:sz w:val="18"/>
                <w:szCs w:val="18"/>
              </w:rPr>
            </w:pPr>
            <w:r w:rsidRPr="00494051">
              <w:rPr>
                <w:rFonts w:cstheme="minorHAnsi"/>
                <w:sz w:val="18"/>
                <w:szCs w:val="18"/>
              </w:rPr>
              <w:t>Youth age &lt;18 years who initiated smoking after baseline and before wave 3 and completed all 3 annual waves of the study.</w:t>
            </w:r>
          </w:p>
        </w:tc>
        <w:tc>
          <w:tcPr>
            <w:tcW w:w="1275" w:type="dxa"/>
            <w:tcMar>
              <w:top w:w="62" w:type="dxa"/>
              <w:left w:w="62" w:type="dxa"/>
              <w:bottom w:w="62" w:type="dxa"/>
              <w:right w:w="62" w:type="dxa"/>
            </w:tcMar>
          </w:tcPr>
          <w:p w14:paraId="043D25E6" w14:textId="77777777" w:rsidR="007F0AE0" w:rsidRPr="00494051" w:rsidRDefault="007F0AE0" w:rsidP="00453DE3">
            <w:pPr>
              <w:spacing w:before="60" w:after="60"/>
              <w:rPr>
                <w:rFonts w:cstheme="minorHAnsi"/>
                <w:sz w:val="18"/>
                <w:szCs w:val="18"/>
              </w:rPr>
            </w:pPr>
            <w:r w:rsidRPr="00494051">
              <w:rPr>
                <w:rFonts w:cstheme="minorHAnsi"/>
                <w:sz w:val="18"/>
                <w:szCs w:val="18"/>
              </w:rPr>
              <w:t>Youth</w:t>
            </w:r>
          </w:p>
        </w:tc>
      </w:tr>
      <w:tr w:rsidR="007F0AE0" w:rsidRPr="00494051" w14:paraId="7185A5DF" w14:textId="77777777" w:rsidTr="00453DE3">
        <w:trPr>
          <w:cantSplit/>
          <w:trHeight w:val="1968"/>
        </w:trPr>
        <w:tc>
          <w:tcPr>
            <w:tcW w:w="1843" w:type="dxa"/>
            <w:tcMar>
              <w:top w:w="62" w:type="dxa"/>
              <w:left w:w="62" w:type="dxa"/>
              <w:bottom w:w="62" w:type="dxa"/>
              <w:right w:w="62" w:type="dxa"/>
            </w:tcMar>
          </w:tcPr>
          <w:p w14:paraId="104740AD"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&lt;EndNote&gt;&lt;Cite&gt;&lt;Author&gt;O&amp;apos;Connor&lt;/Author&gt;&lt;Year&gt;2012&lt;/Year&gt;&lt;RecNum&gt;36&lt;/RecNum&gt;&lt;DisplayText&gt;(33)&lt;/DisplayText&gt;&lt;record&gt;&lt;rec-number&gt;36&lt;/rec-number&gt;&lt;foreign-keys&gt;&lt;key app="EN" db-id="a2vz2dfp8xrad6exes75zwpiw5rxwa0vwapv" timestamp="0"&gt;36&lt;/key&gt;&lt;/foreign-keys&gt;&lt;ref-type name="Journal Article"&gt;17&lt;/ref-type&gt;&lt;contributors&gt;&lt;authors&gt;&lt;author&gt;O&amp;apos;Connor, R. J.&lt;/author&gt;&lt;author&gt;Bansal-Travers, M.&lt;/author&gt;&lt;author&gt;Carter, L. P.&lt;/author&gt;&lt;author&gt;Cummings, K. M.&lt;/author&gt;&lt;/authors&gt;&lt;/contributors&gt;&lt;auth-address&gt;Department of Health Behavior, Division of Cancer Prevention and Population Sciences, Roswell Park Cancer Institute, Elm and Carlton Streets, Buffalo, NY 14263, USA. richard.oconnor@roswellpark.org&lt;/auth-address&gt;&lt;titles&gt;&lt;title&gt;What would menthol smokers do if menthol in cigarettes were banned? Behavioral intentions and simulated demand&lt;/title&gt;&lt;secondary-title&gt;Addiction&lt;/secondary-title&gt;&lt;/titles&gt;&lt;periodical&gt;&lt;full-title&gt;Addiction&lt;/full-title&gt;&lt;/periodical&gt;&lt;pages&gt;1330-8&lt;/pages&gt;&lt;volume&gt;107&lt;/volume&gt;&lt;number&gt;7&lt;/number&gt;&lt;keywords&gt;&lt;keyword&gt;Adolescent&lt;/keyword&gt;&lt;keyword&gt;Adult&lt;/keyword&gt;&lt;keyword&gt;Aged&lt;/keyword&gt;&lt;keyword&gt;Commerce&lt;/keyword&gt;&lt;keyword&gt;Economics, Behavioral&lt;/keyword&gt;&lt;keyword&gt;Female&lt;/keyword&gt;&lt;keyword&gt;Humans&lt;/keyword&gt;&lt;keyword&gt;*Intention&lt;/keyword&gt;&lt;keyword&gt;Male&lt;/keyword&gt;&lt;keyword&gt;*Menthol&lt;/keyword&gt;&lt;keyword&gt;Middle Aged&lt;/keyword&gt;&lt;keyword&gt;Multivariate Analysis&lt;/keyword&gt;&lt;keyword&gt;Smoking/economics/*legislation &amp;amp; jurisprudence/psychology&lt;/keyword&gt;&lt;keyword&gt;Smoking Cessation/psychology&lt;/keyword&gt;&lt;keyword&gt;United States&lt;/keyword&gt;&lt;keyword&gt;Young Adult&lt;/keyword&gt;&lt;/keywords&gt;&lt;dates&gt;&lt;year&gt;2012&lt;/year&gt;&lt;pub-dates&gt;&lt;date&gt;Jul&lt;/date&gt;&lt;/pub-dates&gt;&lt;/dates&gt;&lt;isbn&gt;1360-0443 (Electronic)&amp;#xD;0965-2140 (Linking)&lt;/isbn&gt;&lt;accession-num&gt;22471735&lt;/accession-num&gt;&lt;urls&gt;&lt;related-urls&gt;&lt;url&gt;http://www.ncbi.nlm.nih.gov/pubmed/22471735&lt;/url&gt;&lt;/related-urls&gt;&lt;/urls&gt;&lt;custom2&gt;PMC3370153&lt;/custom2&gt;&lt;electronic-resource-num&gt;10.1111/j.1360-0443.2012.03822.x&lt;/electronic-resource-num&gt;&lt;research-notes&gt;#189&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33" w:tooltip="O'Connor, 2012 #36" w:history="1">
              <w:r>
                <w:rPr>
                  <w:rFonts w:cstheme="minorHAnsi"/>
                  <w:noProof/>
                  <w:sz w:val="18"/>
                  <w:szCs w:val="18"/>
                </w:rPr>
                <w:t>33</w:t>
              </w:r>
            </w:hyperlink>
            <w:r>
              <w:rPr>
                <w:rFonts w:cstheme="minorHAnsi"/>
                <w:noProof/>
                <w:sz w:val="18"/>
                <w:szCs w:val="18"/>
              </w:rPr>
              <w:t>)</w:t>
            </w:r>
            <w:r w:rsidRPr="00494051">
              <w:rPr>
                <w:rFonts w:cstheme="minorHAnsi"/>
                <w:sz w:val="18"/>
                <w:szCs w:val="18"/>
              </w:rPr>
              <w:fldChar w:fldCharType="end"/>
            </w:r>
          </w:p>
          <w:p w14:paraId="1888D7B6"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4C810B2"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1A35639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NR; </w:t>
            </w:r>
          </w:p>
          <w:p w14:paraId="0D3B6DE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3BF4180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Cross-sectional </w:t>
            </w:r>
          </w:p>
        </w:tc>
        <w:tc>
          <w:tcPr>
            <w:tcW w:w="2977" w:type="dxa"/>
            <w:tcMar>
              <w:top w:w="62" w:type="dxa"/>
              <w:left w:w="62" w:type="dxa"/>
              <w:bottom w:w="62" w:type="dxa"/>
              <w:right w:w="62" w:type="dxa"/>
            </w:tcMar>
          </w:tcPr>
          <w:p w14:paraId="1E4A879B" w14:textId="77777777" w:rsidR="007F0AE0" w:rsidRPr="00494051" w:rsidRDefault="007F0AE0" w:rsidP="00453DE3">
            <w:pPr>
              <w:spacing w:before="60" w:after="60"/>
              <w:rPr>
                <w:rFonts w:cstheme="minorHAnsi"/>
                <w:sz w:val="18"/>
                <w:szCs w:val="18"/>
              </w:rPr>
            </w:pPr>
            <w:r w:rsidRPr="00494051">
              <w:rPr>
                <w:rFonts w:cstheme="minorHAnsi"/>
                <w:sz w:val="18"/>
                <w:szCs w:val="18"/>
              </w:rPr>
              <w:t>Participants took a larger web-based survey (invited by e-mail) that examined perceptions of novel smokeless tobacco products and packaging. Recruited from a consumer panel of more than 2.8 million through Global Market Insite Inc., prescreened and provided a physical address and working e-mail to reduce fraud; July 2010</w:t>
            </w:r>
          </w:p>
        </w:tc>
        <w:tc>
          <w:tcPr>
            <w:tcW w:w="4820" w:type="dxa"/>
            <w:tcMar>
              <w:top w:w="62" w:type="dxa"/>
              <w:left w:w="62" w:type="dxa"/>
              <w:bottom w:w="62" w:type="dxa"/>
              <w:right w:w="62" w:type="dxa"/>
            </w:tcMar>
          </w:tcPr>
          <w:p w14:paraId="2C410E9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Current smokers age ≥14 with a menthol or non-menthol cig preference. </w:t>
            </w:r>
          </w:p>
        </w:tc>
        <w:tc>
          <w:tcPr>
            <w:tcW w:w="1275" w:type="dxa"/>
            <w:tcMar>
              <w:top w:w="62" w:type="dxa"/>
              <w:left w:w="62" w:type="dxa"/>
              <w:bottom w:w="62" w:type="dxa"/>
              <w:right w:w="62" w:type="dxa"/>
            </w:tcMar>
          </w:tcPr>
          <w:p w14:paraId="56D9830E" w14:textId="77777777" w:rsidR="007F0AE0" w:rsidRPr="00494051" w:rsidRDefault="007F0AE0" w:rsidP="00453DE3">
            <w:pPr>
              <w:spacing w:before="60" w:after="60"/>
              <w:rPr>
                <w:rFonts w:cstheme="minorHAnsi"/>
                <w:sz w:val="18"/>
                <w:szCs w:val="18"/>
              </w:rPr>
            </w:pPr>
            <w:r w:rsidRPr="00494051">
              <w:rPr>
                <w:rFonts w:cstheme="minorHAnsi"/>
                <w:sz w:val="18"/>
                <w:szCs w:val="18"/>
              </w:rPr>
              <w:t>None, but included age ≥14</w:t>
            </w:r>
          </w:p>
        </w:tc>
      </w:tr>
      <w:tr w:rsidR="007F0AE0" w:rsidRPr="00494051" w14:paraId="1B17D705" w14:textId="77777777" w:rsidTr="00453DE3">
        <w:trPr>
          <w:cantSplit/>
        </w:trPr>
        <w:tc>
          <w:tcPr>
            <w:tcW w:w="1843" w:type="dxa"/>
            <w:tcMar>
              <w:top w:w="62" w:type="dxa"/>
              <w:left w:w="62" w:type="dxa"/>
              <w:bottom w:w="62" w:type="dxa"/>
              <w:right w:w="62" w:type="dxa"/>
            </w:tcMar>
          </w:tcPr>
          <w:p w14:paraId="2F394A88"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&lt;EndNote&gt;&lt;Cite&gt;&lt;Author&gt;Okuyemi&lt;/Author&gt;&lt;Year&gt;2004&lt;/Year&gt;&lt;RecNum&gt;81&lt;/RecNum&gt;&lt;DisplayText&gt;(15)&lt;/DisplayText&gt;&lt;record&gt;&lt;rec-number&gt;81&lt;/rec-number&gt;&lt;foreign-keys&gt;&lt;key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15" w:tooltip="Okuyemi, 2004 #81" w:history="1">
              <w:r>
                <w:rPr>
                  <w:rFonts w:cstheme="minorHAnsi"/>
                  <w:noProof/>
                  <w:sz w:val="18"/>
                  <w:szCs w:val="18"/>
                </w:rPr>
                <w:t>15</w:t>
              </w:r>
            </w:hyperlink>
            <w:r>
              <w:rPr>
                <w:rFonts w:cstheme="minorHAnsi"/>
                <w:noProof/>
                <w:sz w:val="18"/>
                <w:szCs w:val="18"/>
              </w:rPr>
              <w:t>)</w:t>
            </w:r>
            <w:r w:rsidRPr="00494051">
              <w:rPr>
                <w:rFonts w:cstheme="minorHAnsi"/>
                <w:sz w:val="18"/>
                <w:szCs w:val="18"/>
              </w:rPr>
              <w:fldChar w:fldCharType="end"/>
            </w:r>
          </w:p>
          <w:p w14:paraId="43ED1A4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7A14D0BA"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B987AB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Kansas; </w:t>
            </w:r>
          </w:p>
          <w:p w14:paraId="73A87DCB"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r w:rsidRPr="00494051">
              <w:rPr>
                <w:rFonts w:cstheme="minorHAnsi"/>
                <w:sz w:val="18"/>
                <w:szCs w:val="18"/>
              </w:rPr>
              <w:br/>
              <w:t>Cross-sectional</w:t>
            </w:r>
          </w:p>
        </w:tc>
        <w:tc>
          <w:tcPr>
            <w:tcW w:w="2977" w:type="dxa"/>
            <w:tcMar>
              <w:top w:w="62" w:type="dxa"/>
              <w:left w:w="62" w:type="dxa"/>
              <w:bottom w:w="62" w:type="dxa"/>
              <w:right w:w="62" w:type="dxa"/>
            </w:tcMar>
          </w:tcPr>
          <w:p w14:paraId="21EEC13F" w14:textId="77777777" w:rsidR="007F0AE0" w:rsidRPr="00494051" w:rsidRDefault="007F0AE0" w:rsidP="00453DE3">
            <w:pPr>
              <w:spacing w:before="60" w:after="60"/>
              <w:rPr>
                <w:rFonts w:cstheme="minorHAnsi"/>
                <w:sz w:val="18"/>
                <w:szCs w:val="18"/>
              </w:rPr>
            </w:pPr>
            <w:r w:rsidRPr="00494051">
              <w:rPr>
                <w:rFonts w:cstheme="minorHAnsi"/>
                <w:sz w:val="18"/>
                <w:szCs w:val="18"/>
              </w:rPr>
              <w:t>Kick it at Swope trial (KIS), inner-city health center mostly serving a low-income Black population. Patients were invited to participate in a study on smoking among inner-city residents, not associated with a cessation program; August 2000-November 2000.</w:t>
            </w:r>
          </w:p>
        </w:tc>
        <w:tc>
          <w:tcPr>
            <w:tcW w:w="4820" w:type="dxa"/>
            <w:tcMar>
              <w:top w:w="62" w:type="dxa"/>
              <w:left w:w="62" w:type="dxa"/>
              <w:bottom w:w="62" w:type="dxa"/>
              <w:right w:w="62" w:type="dxa"/>
            </w:tcMar>
          </w:tcPr>
          <w:p w14:paraId="5F7841F6"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 (≥10 CPD) age ≥18 who were Black, spoke English, had a home address with a working telephone, and were interested in quitting in the next 30 days.</w:t>
            </w:r>
          </w:p>
        </w:tc>
        <w:tc>
          <w:tcPr>
            <w:tcW w:w="1275" w:type="dxa"/>
            <w:tcMar>
              <w:top w:w="62" w:type="dxa"/>
              <w:left w:w="62" w:type="dxa"/>
              <w:bottom w:w="62" w:type="dxa"/>
              <w:right w:w="62" w:type="dxa"/>
            </w:tcMar>
          </w:tcPr>
          <w:p w14:paraId="23875D6D" w14:textId="77777777" w:rsidR="007F0AE0" w:rsidRPr="00494051" w:rsidRDefault="007F0AE0" w:rsidP="00453DE3">
            <w:pPr>
              <w:spacing w:before="60" w:after="60"/>
              <w:rPr>
                <w:rFonts w:cstheme="minorHAnsi"/>
                <w:sz w:val="18"/>
                <w:szCs w:val="18"/>
              </w:rPr>
            </w:pPr>
            <w:r w:rsidRPr="00494051">
              <w:rPr>
                <w:rFonts w:cstheme="minorHAnsi"/>
                <w:sz w:val="18"/>
                <w:szCs w:val="18"/>
              </w:rPr>
              <w:t>Blacks</w:t>
            </w:r>
          </w:p>
        </w:tc>
      </w:tr>
      <w:tr w:rsidR="007F0AE0" w:rsidRPr="00494051" w14:paraId="4C651D08" w14:textId="77777777" w:rsidTr="00453DE3">
        <w:trPr>
          <w:cantSplit/>
        </w:trPr>
        <w:tc>
          <w:tcPr>
            <w:tcW w:w="1843" w:type="dxa"/>
            <w:tcMar>
              <w:top w:w="62" w:type="dxa"/>
              <w:left w:w="62" w:type="dxa"/>
              <w:bottom w:w="62" w:type="dxa"/>
              <w:right w:w="62" w:type="dxa"/>
            </w:tcMar>
          </w:tcPr>
          <w:p w14:paraId="7CA0AC09" w14:textId="77777777" w:rsidR="007F0AE0" w:rsidRPr="00494051" w:rsidRDefault="007F0AE0" w:rsidP="00453DE3">
            <w:pPr>
              <w:spacing w:before="60" w:after="60"/>
              <w:rPr>
                <w:rFonts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Pr>
                <w:rFonts w:cstheme="minorHAnsi"/>
                <w:sz w:val="18"/>
                <w:szCs w:val="18"/>
              </w:rPr>
              <w:fldChar w:fldCharType="separate"/>
            </w:r>
            <w:r>
              <w:rPr>
                <w:rFonts w:cstheme="minorHAnsi"/>
                <w:noProof/>
                <w:sz w:val="18"/>
                <w:szCs w:val="18"/>
              </w:rPr>
              <w:t>(</w:t>
            </w:r>
            <w:hyperlink w:anchor="_ENREF_31" w:tooltip="Park, 2017 #1103" w:history="1">
              <w:r>
                <w:rPr>
                  <w:rFonts w:cstheme="minorHAnsi"/>
                  <w:noProof/>
                  <w:sz w:val="18"/>
                  <w:szCs w:val="18"/>
                </w:rPr>
                <w:t>31</w:t>
              </w:r>
            </w:hyperlink>
            <w:r>
              <w:rPr>
                <w:rFonts w:cstheme="minorHAnsi"/>
                <w:noProof/>
                <w:sz w:val="18"/>
                <w:szCs w:val="18"/>
              </w:rPr>
              <w:t>)</w:t>
            </w:r>
            <w:r>
              <w:rPr>
                <w:rFonts w:cstheme="minorHAnsi"/>
                <w:sz w:val="18"/>
                <w:szCs w:val="18"/>
              </w:rPr>
              <w:fldChar w:fldCharType="end"/>
            </w:r>
          </w:p>
          <w:p w14:paraId="3AF4D194" w14:textId="77777777" w:rsidR="007F0AE0" w:rsidRPr="00494051" w:rsidRDefault="007F0AE0" w:rsidP="00453DE3">
            <w:pPr>
              <w:spacing w:before="60" w:after="60"/>
              <w:rPr>
                <w:rFonts w:cstheme="minorHAnsi"/>
                <w:sz w:val="18"/>
                <w:szCs w:val="18"/>
              </w:rPr>
            </w:pPr>
            <w:r w:rsidRPr="00494051">
              <w:rPr>
                <w:rFonts w:cstheme="minorHAnsi"/>
                <w:sz w:val="18"/>
                <w:szCs w:val="18"/>
              </w:rPr>
              <w:t>NATS</w:t>
            </w:r>
          </w:p>
          <w:p w14:paraId="5D18DB6D"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1DA6DB70" w14:textId="77777777" w:rsidR="007F0AE0" w:rsidRPr="00494051" w:rsidRDefault="007F0AE0" w:rsidP="00453DE3">
            <w:pPr>
              <w:spacing w:before="60" w:after="60"/>
              <w:rPr>
                <w:rFonts w:cstheme="minorHAnsi"/>
                <w:sz w:val="18"/>
                <w:szCs w:val="18"/>
              </w:rPr>
            </w:pPr>
            <w:r w:rsidRPr="00494051">
              <w:rPr>
                <w:rFonts w:cstheme="minorHAnsi"/>
                <w:sz w:val="18"/>
                <w:szCs w:val="18"/>
              </w:rPr>
              <w:t>National (USA);</w:t>
            </w:r>
          </w:p>
          <w:p w14:paraId="253D0E50" w14:textId="77777777" w:rsidR="007F0AE0" w:rsidRPr="00494051" w:rsidRDefault="007F0AE0" w:rsidP="00453DE3">
            <w:pPr>
              <w:spacing w:before="60" w:after="60"/>
              <w:rPr>
                <w:rFonts w:cstheme="minorHAnsi"/>
                <w:sz w:val="18"/>
                <w:szCs w:val="18"/>
              </w:rPr>
            </w:pPr>
            <w:r w:rsidRPr="00494051">
              <w:rPr>
                <w:rFonts w:cstheme="minorHAnsi"/>
                <w:sz w:val="18"/>
                <w:szCs w:val="18"/>
              </w:rPr>
              <w:t>NR;</w:t>
            </w:r>
          </w:p>
          <w:p w14:paraId="325AD680"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61E3B242" w14:textId="77777777" w:rsidR="007F0AE0" w:rsidRPr="00494051" w:rsidRDefault="007F0AE0" w:rsidP="00453DE3">
            <w:pPr>
              <w:spacing w:before="60" w:after="60"/>
              <w:rPr>
                <w:rFonts w:cstheme="minorHAnsi"/>
                <w:sz w:val="18"/>
                <w:szCs w:val="18"/>
              </w:rPr>
            </w:pPr>
            <w:r w:rsidRPr="00494051">
              <w:rPr>
                <w:rFonts w:cstheme="minorHAnsi"/>
                <w:sz w:val="18"/>
                <w:szCs w:val="18"/>
              </w:rPr>
              <w:t>A dual frame random digit dialing sample, drawn from landline and cell phone frames, stratified across all 50 states and the District of Columbia;</w:t>
            </w:r>
            <w:r>
              <w:rPr>
                <w:rFonts w:cstheme="minorHAnsi"/>
                <w:sz w:val="18"/>
                <w:szCs w:val="18"/>
              </w:rPr>
              <w:t xml:space="preserve"> </w:t>
            </w:r>
            <w:r w:rsidRPr="00494051">
              <w:rPr>
                <w:rFonts w:cstheme="minorHAnsi"/>
                <w:sz w:val="18"/>
                <w:szCs w:val="18"/>
              </w:rPr>
              <w:t>October 2012 to July 2013</w:t>
            </w:r>
          </w:p>
        </w:tc>
        <w:tc>
          <w:tcPr>
            <w:tcW w:w="4820" w:type="dxa"/>
            <w:tcMar>
              <w:top w:w="62" w:type="dxa"/>
              <w:left w:w="62" w:type="dxa"/>
              <w:bottom w:w="62" w:type="dxa"/>
              <w:right w:w="62" w:type="dxa"/>
            </w:tcMar>
          </w:tcPr>
          <w:p w14:paraId="773A6BEF"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w:t>
            </w:r>
            <w:r>
              <w:rPr>
                <w:rFonts w:cstheme="minorHAnsi"/>
                <w:sz w:val="18"/>
                <w:szCs w:val="18"/>
              </w:rPr>
              <w:t xml:space="preserve"> age</w:t>
            </w:r>
            <w:r w:rsidRPr="00494051">
              <w:rPr>
                <w:rFonts w:cstheme="minorHAnsi"/>
                <w:sz w:val="18"/>
                <w:szCs w:val="18"/>
              </w:rPr>
              <w:t xml:space="preserve"> ≥18, defined as having smoked least 100 cigarettes in their lifetime and currently smoked cigarettes every day or some days.</w:t>
            </w:r>
          </w:p>
        </w:tc>
        <w:tc>
          <w:tcPr>
            <w:tcW w:w="1275" w:type="dxa"/>
            <w:tcMar>
              <w:top w:w="62" w:type="dxa"/>
              <w:left w:w="62" w:type="dxa"/>
              <w:bottom w:w="62" w:type="dxa"/>
              <w:right w:w="62" w:type="dxa"/>
            </w:tcMar>
          </w:tcPr>
          <w:p w14:paraId="174BA77D"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3F340C25" w14:textId="77777777" w:rsidTr="00453DE3">
        <w:trPr>
          <w:cantSplit/>
        </w:trPr>
        <w:tc>
          <w:tcPr>
            <w:tcW w:w="1843" w:type="dxa"/>
            <w:tcMar>
              <w:top w:w="62" w:type="dxa"/>
              <w:left w:w="62" w:type="dxa"/>
              <w:bottom w:w="62" w:type="dxa"/>
              <w:right w:w="62" w:type="dxa"/>
            </w:tcMar>
          </w:tcPr>
          <w:p w14:paraId="5E17A5B4"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r>
            <w:r>
              <w:rPr>
                <w:rFonts w:cstheme="minorHAnsi"/>
                <w:sz w:val="18"/>
                <w:szCs w:val="18"/>
              </w:rPr>
              <w:instrText xml:space="preserve"> ADDIN EN.CITE &lt;EndNote&gt;&lt;Cite&gt;&lt;Author&gt;Pearson&lt;/Author&gt;&lt;Year&gt;2011&lt;/Year&gt;&lt;RecNum&gt;39&lt;/RecNum&gt;&lt;DisplayText&gt;(38, 39)&lt;/DisplayText&gt;&lt;record&gt;&lt;rec-number&gt;39&lt;/rec-number&gt;&lt;foreign-keys&gt;&lt;key app="EN" db-id="a2vz2dfp8xrad6exes75zwpiw5rxwa0vwapv" timestamp="0"&gt;39&lt;/key&gt;&lt;/foreign-keys&gt;&lt;ref-type name="Thesis"&gt;32&lt;/ref-type&gt;&lt;contributors&gt;&lt;authors&gt;&lt;author&gt;Pearson, J. L.&lt;/author&gt;&lt;/authors&gt;&lt;tertiary-authors&gt;&lt;author&gt;Abrams, D. B.&lt;/author&gt;&lt;/tertiary-authors&gt;&lt;/contributors&gt;&lt;titles&gt;&lt;title&gt;Public reaction to potential food and drug administration actions under the family smoking prevention and tobacco control act: Regulating e-cigarettes, banning menthol, and reducing cigarette nicotine content&lt;/title&gt;&lt;/titles&gt;&lt;pages&gt;142&lt;/pages&gt;&lt;volume&gt;PhD, Public Health&lt;/volume&gt;&lt;number&gt;3492521&lt;/number&gt;&lt;dates&gt;&lt;year&gt;2011&lt;/year&gt;&lt;/dates&gt;&lt;publisher&gt;Johns Hopkins University&lt;/publisher&gt;&lt;urls&gt;&lt;/urls&gt;&lt;research-notes&gt;#211&lt;/research-notes&gt;&lt;/record&gt;&lt;/Cite&gt;&lt;Cite&gt;&lt;Author&gt;Pearson&lt;/Author&gt;&lt;Year&gt;2012&lt;/Year&gt;&lt;RecNum&gt;34&lt;/RecNum&gt;&lt;record&gt;&lt;rec-number&gt;34&lt;/rec-number&gt;&lt;foreign-keys&gt;&lt;key app="EN" db-id="a2vz2dfp8xrad6exes75zwpiw5rxwa0vwapv" timestamp="0"&gt;34&lt;/key&gt;&lt;/foreign-keys&gt;&lt;ref-type name="Journal Article"&gt;17&lt;/ref-type&gt;&lt;contributors&gt;&lt;authors&gt;&lt;author&gt;Pearson, J. L.&lt;/author&gt;&lt;author&gt;Abrams, D. B.&lt;/author&gt;&lt;author&gt;Niaura, R. S.&lt;/author&gt;&lt;author&gt;Richardson, A.&lt;/author&gt;&lt;author&gt;Vallone, D.&lt;/author&gt;&lt;/authors&gt;&lt;/contributors&gt;&lt;titles&gt;&lt;title&gt;A ban on menthol cigarettes: Impact on public opinion and smokers&amp;apos; intention to quit&lt;/title&gt;&lt;secondary-title&gt;Am J Public Health&lt;/secondary-title&gt;&lt;/titles&gt;&lt;periodical&gt;&lt;full-title&gt;Am J Public Health&lt;/full-title&gt;&lt;/periodical&gt;&lt;pages&gt;e107-e114&lt;/pages&gt;&lt;volume&gt;102&lt;/volume&gt;&lt;number&gt;11&lt;/number&gt;&lt;section&gt;e107&lt;/section&gt;&lt;dates&gt;&lt;year&gt;2012&lt;/year&gt;&lt;/dates&gt;&lt;urls&gt;&lt;/urls&gt;&lt;electronic-resource-num&gt;10.2105/AJPH.2012.300804&lt;/electronic-resource-num&gt;&lt;research-notes&gt;#175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38" w:tooltip="Pearson, 2011 #39" w:history="1">
              <w:r>
                <w:rPr>
                  <w:rFonts w:cstheme="minorHAnsi"/>
                  <w:noProof/>
                  <w:sz w:val="18"/>
                  <w:szCs w:val="18"/>
                </w:rPr>
                <w:t>38</w:t>
              </w:r>
            </w:hyperlink>
            <w:r>
              <w:rPr>
                <w:rFonts w:cstheme="minorHAnsi"/>
                <w:noProof/>
                <w:sz w:val="18"/>
                <w:szCs w:val="18"/>
              </w:rPr>
              <w:t xml:space="preserve">, </w:t>
            </w:r>
            <w:hyperlink w:anchor="_ENREF_39" w:tooltip="Pearson, 2012 #34" w:history="1">
              <w:r>
                <w:rPr>
                  <w:rFonts w:cstheme="minorHAnsi"/>
                  <w:noProof/>
                  <w:sz w:val="18"/>
                  <w:szCs w:val="18"/>
                </w:rPr>
                <w:t>39</w:t>
              </w:r>
            </w:hyperlink>
            <w:r>
              <w:rPr>
                <w:rFonts w:cstheme="minorHAnsi"/>
                <w:noProof/>
                <w:sz w:val="18"/>
                <w:szCs w:val="18"/>
              </w:rPr>
              <w:t>)</w:t>
            </w:r>
            <w:r w:rsidRPr="00494051">
              <w:rPr>
                <w:rFonts w:cstheme="minorHAnsi"/>
                <w:sz w:val="18"/>
                <w:szCs w:val="18"/>
              </w:rPr>
              <w:fldChar w:fldCharType="end"/>
            </w:r>
          </w:p>
          <w:p w14:paraId="4C3CD683"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4FE3D8D"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388C1B8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72089A3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&amp; foundation; </w:t>
            </w:r>
          </w:p>
          <w:p w14:paraId="4F1185E6"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6E4AB8DF" w14:textId="77777777" w:rsidR="007F0AE0" w:rsidRPr="00494051" w:rsidRDefault="007F0AE0" w:rsidP="00453DE3">
            <w:pPr>
              <w:spacing w:before="60" w:after="60"/>
              <w:rPr>
                <w:rFonts w:cstheme="minorHAnsi"/>
                <w:sz w:val="18"/>
                <w:szCs w:val="18"/>
              </w:rPr>
            </w:pPr>
            <w:r w:rsidRPr="00494051">
              <w:rPr>
                <w:rFonts w:cstheme="minorHAnsi"/>
                <w:sz w:val="18"/>
                <w:szCs w:val="18"/>
              </w:rPr>
              <w:t>Knowledge Network’s KnowledgePanel, an online cohort using address-based sampling stratified design to recruit members, although some members were recruited earlier with random-digit dialing. Oversampling for Blacks and Hispanics; 2010</w:t>
            </w:r>
          </w:p>
        </w:tc>
        <w:tc>
          <w:tcPr>
            <w:tcW w:w="4820" w:type="dxa"/>
            <w:tcMar>
              <w:top w:w="62" w:type="dxa"/>
              <w:left w:w="62" w:type="dxa"/>
              <w:bottom w:w="62" w:type="dxa"/>
              <w:right w:w="62" w:type="dxa"/>
            </w:tcMar>
          </w:tcPr>
          <w:p w14:paraId="43A3279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Members age &gt;18 who completed the screening and confirmed their smoking status. Smokers (≥100 lifetime cigs and currently smoked “every day” or “some days") and 20% of former smokers (≥100 lifetime cigs but currently smoking “not at all”) and never smokers were randomly invited to participate. </w:t>
            </w:r>
          </w:p>
        </w:tc>
        <w:tc>
          <w:tcPr>
            <w:tcW w:w="1275" w:type="dxa"/>
            <w:tcMar>
              <w:top w:w="62" w:type="dxa"/>
              <w:left w:w="62" w:type="dxa"/>
              <w:bottom w:w="62" w:type="dxa"/>
              <w:right w:w="62" w:type="dxa"/>
            </w:tcMar>
          </w:tcPr>
          <w:p w14:paraId="6531B68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13C35F15" w14:textId="77777777" w:rsidTr="00453DE3">
        <w:trPr>
          <w:cantSplit/>
        </w:trPr>
        <w:tc>
          <w:tcPr>
            <w:tcW w:w="1843" w:type="dxa"/>
            <w:tcMar>
              <w:top w:w="62" w:type="dxa"/>
              <w:left w:w="62" w:type="dxa"/>
              <w:bottom w:w="62" w:type="dxa"/>
              <w:right w:w="62" w:type="dxa"/>
            </w:tcMar>
          </w:tcPr>
          <w:p w14:paraId="4AC2BCA2"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1" w:tooltip="Pletcher, 2006 #78" w:history="1">
              <w:r>
                <w:rPr>
                  <w:rFonts w:cstheme="minorHAnsi"/>
                  <w:noProof/>
                  <w:sz w:val="18"/>
                  <w:szCs w:val="18"/>
                </w:rPr>
                <w:t>41</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t xml:space="preserve"> 2006</w:t>
            </w:r>
            <w:r w:rsidRPr="00494051">
              <w:rPr>
                <w:rFonts w:cstheme="minorHAnsi"/>
                <w:sz w:val="18"/>
                <w:szCs w:val="18"/>
              </w:rPr>
              <w:br/>
              <w:t>None</w:t>
            </w:r>
            <w:r w:rsidRPr="00494051">
              <w:rPr>
                <w:rFonts w:cstheme="minorHAnsi"/>
                <w:sz w:val="18"/>
                <w:szCs w:val="18"/>
              </w:rPr>
              <w:br/>
              <w:t>Good</w:t>
            </w:r>
          </w:p>
        </w:tc>
        <w:tc>
          <w:tcPr>
            <w:tcW w:w="2126" w:type="dxa"/>
            <w:tcMar>
              <w:top w:w="62" w:type="dxa"/>
              <w:left w:w="62" w:type="dxa"/>
              <w:bottom w:w="62" w:type="dxa"/>
              <w:right w:w="62" w:type="dxa"/>
            </w:tcMar>
          </w:tcPr>
          <w:p w14:paraId="2BCB80D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 major city in each of: Alabama, Illinois, Minnesota, California; </w:t>
            </w:r>
          </w:p>
          <w:p w14:paraId="391AD12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54D7D56F"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7723E99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Coronary Artery Risk Development in Young Adults Study (CARDIA), </w:t>
            </w:r>
            <w:r w:rsidRPr="00494051">
              <w:rPr>
                <w:rFonts w:cstheme="minorHAnsi"/>
                <w:color w:val="000000"/>
                <w:sz w:val="18"/>
                <w:szCs w:val="18"/>
              </w:rPr>
              <w:t>population-based observational study of men and women age 18-30 at baseline with follow-up data through year 19. Selected for equal representation in subgroups of race, gender, education, and age, recruited across 4 U.S. study sites</w:t>
            </w:r>
            <w:r w:rsidRPr="00494051">
              <w:rPr>
                <w:rFonts w:cstheme="minorHAnsi"/>
                <w:sz w:val="18"/>
                <w:szCs w:val="18"/>
              </w:rPr>
              <w:t>; 1985-2000</w:t>
            </w:r>
          </w:p>
        </w:tc>
        <w:tc>
          <w:tcPr>
            <w:tcW w:w="4820" w:type="dxa"/>
            <w:tcMar>
              <w:top w:w="62" w:type="dxa"/>
              <w:left w:w="62" w:type="dxa"/>
              <w:bottom w:w="62" w:type="dxa"/>
              <w:right w:w="62" w:type="dxa"/>
            </w:tcMar>
          </w:tcPr>
          <w:p w14:paraId="37C5907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Young adult (18-30 years) Black or European-American current smokers. </w:t>
            </w:r>
          </w:p>
        </w:tc>
        <w:tc>
          <w:tcPr>
            <w:tcW w:w="1275" w:type="dxa"/>
            <w:tcMar>
              <w:top w:w="62" w:type="dxa"/>
              <w:left w:w="62" w:type="dxa"/>
              <w:bottom w:w="62" w:type="dxa"/>
              <w:right w:w="62" w:type="dxa"/>
            </w:tcMar>
          </w:tcPr>
          <w:p w14:paraId="3143DEB4"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adults age 18-30 at baseline</w:t>
            </w:r>
          </w:p>
        </w:tc>
      </w:tr>
      <w:tr w:rsidR="007F0AE0" w:rsidRPr="00494051" w14:paraId="35FF6E0C" w14:textId="77777777" w:rsidTr="00453DE3">
        <w:trPr>
          <w:cantSplit/>
        </w:trPr>
        <w:tc>
          <w:tcPr>
            <w:tcW w:w="1843" w:type="dxa"/>
            <w:tcMar>
              <w:top w:w="62" w:type="dxa"/>
              <w:left w:w="62" w:type="dxa"/>
              <w:bottom w:w="62" w:type="dxa"/>
              <w:right w:w="62" w:type="dxa"/>
            </w:tcMar>
          </w:tcPr>
          <w:p w14:paraId="49236B3D"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37" w:tooltip="Rath, 2015 #3" w:history="1">
              <w:r>
                <w:rPr>
                  <w:rFonts w:cstheme="minorHAnsi"/>
                  <w:noProof/>
                  <w:sz w:val="18"/>
                  <w:szCs w:val="18"/>
                </w:rPr>
                <w:t>37</w:t>
              </w:r>
            </w:hyperlink>
            <w:r>
              <w:rPr>
                <w:rFonts w:cstheme="minorHAnsi"/>
                <w:noProof/>
                <w:sz w:val="18"/>
                <w:szCs w:val="18"/>
              </w:rPr>
              <w:t>)</w:t>
            </w:r>
            <w:r w:rsidRPr="00494051">
              <w:rPr>
                <w:rFonts w:cstheme="minorHAnsi"/>
                <w:sz w:val="18"/>
                <w:szCs w:val="18"/>
              </w:rPr>
              <w:fldChar w:fldCharType="end"/>
            </w:r>
          </w:p>
          <w:p w14:paraId="6ED5EF5B" w14:textId="77777777" w:rsidR="007F0AE0" w:rsidRPr="00494051" w:rsidRDefault="007F0AE0" w:rsidP="00453DE3">
            <w:pPr>
              <w:spacing w:before="60" w:after="60"/>
              <w:rPr>
                <w:rFonts w:cstheme="minorHAnsi"/>
                <w:sz w:val="18"/>
                <w:szCs w:val="18"/>
              </w:rPr>
            </w:pPr>
            <w:r w:rsidRPr="00494051">
              <w:rPr>
                <w:rFonts w:cstheme="minorHAnsi"/>
                <w:sz w:val="18"/>
                <w:szCs w:val="18"/>
              </w:rPr>
              <w:t>LYAC</w:t>
            </w:r>
          </w:p>
          <w:p w14:paraId="204C5AFD"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2C4B692A" w14:textId="77777777" w:rsidR="007F0AE0" w:rsidRPr="00494051" w:rsidRDefault="007F0AE0" w:rsidP="00453DE3">
            <w:pPr>
              <w:spacing w:before="60" w:after="60"/>
              <w:rPr>
                <w:rFonts w:cstheme="minorHAnsi"/>
                <w:sz w:val="18"/>
                <w:szCs w:val="18"/>
              </w:rPr>
            </w:pPr>
            <w:r w:rsidRPr="00494051">
              <w:rPr>
                <w:rFonts w:cstheme="minorHAnsi"/>
                <w:sz w:val="18"/>
                <w:szCs w:val="18"/>
              </w:rPr>
              <w:t>National;</w:t>
            </w:r>
          </w:p>
          <w:p w14:paraId="640E2E26"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0F0D42FF"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0ACFE64A" w14:textId="77777777" w:rsidR="007F0AE0" w:rsidRPr="00494051" w:rsidRDefault="007F0AE0" w:rsidP="00453DE3">
            <w:pPr>
              <w:spacing w:before="60" w:after="60"/>
              <w:rPr>
                <w:rFonts w:cstheme="minorHAnsi"/>
                <w:sz w:val="18"/>
                <w:szCs w:val="18"/>
              </w:rPr>
            </w:pPr>
            <w:r w:rsidRPr="00494051">
              <w:rPr>
                <w:rFonts w:cstheme="minorHAnsi"/>
                <w:sz w:val="18"/>
                <w:szCs w:val="18"/>
              </w:rPr>
              <w:t>LYAC; 2011-2012</w:t>
            </w:r>
          </w:p>
        </w:tc>
        <w:tc>
          <w:tcPr>
            <w:tcW w:w="4820" w:type="dxa"/>
            <w:tcMar>
              <w:top w:w="62" w:type="dxa"/>
              <w:left w:w="62" w:type="dxa"/>
              <w:bottom w:w="62" w:type="dxa"/>
              <w:right w:w="62" w:type="dxa"/>
            </w:tcMar>
          </w:tcPr>
          <w:p w14:paraId="64C25A74" w14:textId="77777777" w:rsidR="007F0AE0" w:rsidRPr="00494051" w:rsidRDefault="007F0AE0" w:rsidP="00453DE3">
            <w:pPr>
              <w:spacing w:before="60" w:after="60"/>
              <w:rPr>
                <w:rFonts w:cstheme="minorHAnsi"/>
                <w:sz w:val="18"/>
                <w:szCs w:val="18"/>
              </w:rPr>
            </w:pPr>
            <w:r w:rsidRPr="00494051">
              <w:rPr>
                <w:rFonts w:cstheme="minorHAnsi"/>
                <w:sz w:val="18"/>
                <w:szCs w:val="18"/>
              </w:rPr>
              <w:t>Adults age 18-34 who completed the first 3 surveys and either remained current smokers across all 3 time points or initiated cig smoking at Time 2 and remained cig smokers at Time 3. Current smokers used ≥1cigs in the past 30 days.</w:t>
            </w:r>
          </w:p>
        </w:tc>
        <w:tc>
          <w:tcPr>
            <w:tcW w:w="1275" w:type="dxa"/>
            <w:tcMar>
              <w:top w:w="62" w:type="dxa"/>
              <w:left w:w="62" w:type="dxa"/>
              <w:bottom w:w="62" w:type="dxa"/>
              <w:right w:w="62" w:type="dxa"/>
            </w:tcMar>
          </w:tcPr>
          <w:p w14:paraId="0F150F7A" w14:textId="77777777" w:rsidR="007F0AE0" w:rsidRPr="00494051" w:rsidRDefault="007F0AE0" w:rsidP="00453DE3">
            <w:pPr>
              <w:spacing w:before="60" w:after="60"/>
              <w:rPr>
                <w:rFonts w:cstheme="minorHAnsi"/>
                <w:sz w:val="18"/>
                <w:szCs w:val="18"/>
              </w:rPr>
            </w:pPr>
            <w:r w:rsidRPr="00494051">
              <w:rPr>
                <w:rFonts w:cstheme="minorHAnsi"/>
                <w:sz w:val="18"/>
                <w:szCs w:val="18"/>
              </w:rPr>
              <w:t>Young adults</w:t>
            </w:r>
          </w:p>
        </w:tc>
      </w:tr>
      <w:tr w:rsidR="007F0AE0" w:rsidRPr="00494051" w14:paraId="7CE28DA9" w14:textId="77777777" w:rsidTr="00453DE3">
        <w:trPr>
          <w:cantSplit/>
        </w:trPr>
        <w:tc>
          <w:tcPr>
            <w:tcW w:w="1843" w:type="dxa"/>
            <w:tcMar>
              <w:top w:w="62" w:type="dxa"/>
              <w:left w:w="62" w:type="dxa"/>
              <w:bottom w:w="62" w:type="dxa"/>
              <w:right w:w="62" w:type="dxa"/>
            </w:tcMar>
          </w:tcPr>
          <w:p w14:paraId="232D9B14"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&lt;EndNote&gt;&lt;Cite&gt;&lt;Author&gt;Reitzel&lt;/Author&gt;&lt;Year&gt;2011&lt;/Year&gt;&lt;RecNum&gt;106&lt;/RecNum&gt;&lt;DisplayText&gt;(70)&lt;/DisplayText&gt;&lt;record&gt;&lt;rec-number&gt;106&lt;/rec-number&gt;&lt;foreign-keys&gt;&lt;key app="EN" db-id="a2vz2dfp8xrad6exes75zwpiw5rxwa0vwapv" timestamp="0"&gt;106&lt;/key&gt;&lt;/foreign-keys&gt;&lt;ref-type name="Unpublished Work"&gt;34&lt;/ref-type&gt;&lt;contributors&gt;&lt;authors&gt;&lt;author&gt;Reitzel, L. R.&lt;/author&gt;&lt;/authors&gt;&lt;/contributors&gt;&lt;titles&gt;&lt;title&gt;Menthol cigarettes, tobacco dependence, and smoking cessation: Project BREAK FREE final report&lt;/title&gt;&lt;/titles&gt;&lt;dates&gt;&lt;year&gt;2011&lt;/year&gt;&lt;/dates&gt;&lt;publisher&gt;The University of Texas, MD Anderson Cancer Center&lt;/publisher&gt;&lt;urls&gt;&lt;/urls&gt;&lt;research-notes&gt;#838&lt;/research-notes&gt;&lt;/record&gt;&lt;/Cite&gt;&lt;/EndNote&gt;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70" w:tooltip="Reitzel, 2011 #106" w:history="1">
              <w:r>
                <w:rPr>
                  <w:rFonts w:cstheme="minorHAnsi"/>
                  <w:noProof/>
                  <w:sz w:val="18"/>
                  <w:szCs w:val="18"/>
                </w:rPr>
                <w:t>70</w:t>
              </w:r>
            </w:hyperlink>
            <w:r>
              <w:rPr>
                <w:rFonts w:cstheme="minorHAnsi"/>
                <w:noProof/>
                <w:sz w:val="18"/>
                <w:szCs w:val="18"/>
              </w:rPr>
              <w:t>)</w:t>
            </w:r>
            <w:r w:rsidRPr="00494051">
              <w:rPr>
                <w:rFonts w:cstheme="minorHAnsi"/>
                <w:sz w:val="18"/>
                <w:szCs w:val="18"/>
              </w:rPr>
              <w:fldChar w:fldCharType="end"/>
            </w:r>
          </w:p>
          <w:p w14:paraId="27A3042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33E2A38F"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18A96D8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Texas; </w:t>
            </w:r>
          </w:p>
          <w:p w14:paraId="36DCBACD"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4CF7189F"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p w14:paraId="3E7876E9" w14:textId="77777777" w:rsidR="007F0AE0" w:rsidRPr="00494051" w:rsidRDefault="007F0AE0" w:rsidP="00453DE3">
            <w:pPr>
              <w:spacing w:before="60" w:after="60"/>
              <w:rPr>
                <w:rFonts w:cstheme="minorHAnsi"/>
                <w:sz w:val="18"/>
                <w:szCs w:val="18"/>
              </w:rPr>
            </w:pPr>
          </w:p>
        </w:tc>
        <w:tc>
          <w:tcPr>
            <w:tcW w:w="2977" w:type="dxa"/>
            <w:tcMar>
              <w:top w:w="62" w:type="dxa"/>
              <w:left w:w="62" w:type="dxa"/>
              <w:bottom w:w="62" w:type="dxa"/>
              <w:right w:w="62" w:type="dxa"/>
            </w:tcMar>
          </w:tcPr>
          <w:p w14:paraId="2E7698BF" w14:textId="77777777" w:rsidR="007F0AE0" w:rsidRPr="00494051" w:rsidRDefault="007F0AE0" w:rsidP="00453DE3">
            <w:pPr>
              <w:spacing w:before="60" w:after="60"/>
              <w:rPr>
                <w:rFonts w:cstheme="minorHAnsi"/>
                <w:sz w:val="18"/>
                <w:szCs w:val="18"/>
              </w:rPr>
            </w:pPr>
            <w:r w:rsidRPr="00494051">
              <w:rPr>
                <w:rFonts w:cstheme="minorHAnsi"/>
                <w:sz w:val="18"/>
                <w:szCs w:val="18"/>
              </w:rPr>
              <w:t>Project BREAK FREE, recruited from within the Houston metro area through local print and radio advertisements; 2005-2007</w:t>
            </w:r>
          </w:p>
        </w:tc>
        <w:tc>
          <w:tcPr>
            <w:tcW w:w="4820" w:type="dxa"/>
            <w:tcMar>
              <w:top w:w="62" w:type="dxa"/>
              <w:left w:w="62" w:type="dxa"/>
              <w:bottom w:w="62" w:type="dxa"/>
              <w:right w:w="62" w:type="dxa"/>
            </w:tcMar>
          </w:tcPr>
          <w:p w14:paraId="16CE9189"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 Blacks who smoked ≥5 CPD for ≥12 months, had </w:t>
            </w:r>
            <w:r>
              <w:rPr>
                <w:rFonts w:cstheme="minorHAnsi"/>
                <w:sz w:val="18"/>
                <w:szCs w:val="18"/>
              </w:rPr>
              <w:t>e</w:t>
            </w:r>
            <w:r w:rsidRPr="00494051">
              <w:rPr>
                <w:rFonts w:cstheme="minorHAnsi"/>
                <w:sz w:val="18"/>
                <w:szCs w:val="18"/>
              </w:rPr>
              <w:t>CO ≥8ppm, were willing to quit smoking in the next 2 weeks, had a working home telephone and a permanent address, and a 6</w:t>
            </w:r>
            <w:r w:rsidRPr="00494051">
              <w:rPr>
                <w:rFonts w:cstheme="minorHAnsi"/>
                <w:sz w:val="18"/>
                <w:szCs w:val="18"/>
                <w:vertAlign w:val="superscript"/>
              </w:rPr>
              <w:t>th</w:t>
            </w:r>
            <w:r w:rsidRPr="00494051">
              <w:rPr>
                <w:rFonts w:cstheme="minorHAnsi"/>
                <w:sz w:val="18"/>
                <w:szCs w:val="18"/>
              </w:rPr>
              <w:t xml:space="preserve"> grade English literacy level.</w:t>
            </w:r>
          </w:p>
        </w:tc>
        <w:tc>
          <w:tcPr>
            <w:tcW w:w="1275" w:type="dxa"/>
            <w:tcMar>
              <w:top w:w="62" w:type="dxa"/>
              <w:left w:w="62" w:type="dxa"/>
              <w:bottom w:w="62" w:type="dxa"/>
              <w:right w:w="62" w:type="dxa"/>
            </w:tcMar>
          </w:tcPr>
          <w:p w14:paraId="0DB1E673" w14:textId="77777777" w:rsidR="007F0AE0" w:rsidRPr="00494051" w:rsidRDefault="007F0AE0" w:rsidP="00453DE3">
            <w:pPr>
              <w:spacing w:before="60" w:after="60"/>
              <w:rPr>
                <w:rFonts w:cstheme="minorHAnsi"/>
                <w:sz w:val="18"/>
                <w:szCs w:val="18"/>
              </w:rPr>
            </w:pPr>
            <w:r w:rsidRPr="00494051">
              <w:rPr>
                <w:rFonts w:cstheme="minorHAnsi"/>
                <w:sz w:val="18"/>
                <w:szCs w:val="18"/>
              </w:rPr>
              <w:t>Blacks</w:t>
            </w:r>
          </w:p>
        </w:tc>
      </w:tr>
      <w:tr w:rsidR="007F0AE0" w:rsidRPr="00494051" w14:paraId="094F67A5" w14:textId="77777777" w:rsidTr="00453DE3">
        <w:trPr>
          <w:cantSplit/>
        </w:trPr>
        <w:tc>
          <w:tcPr>
            <w:tcW w:w="1843" w:type="dxa"/>
            <w:tcMar>
              <w:top w:w="62" w:type="dxa"/>
              <w:left w:w="62" w:type="dxa"/>
              <w:bottom w:w="62" w:type="dxa"/>
              <w:right w:w="62" w:type="dxa"/>
            </w:tcMar>
          </w:tcPr>
          <w:p w14:paraId="1A617BF7"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&lt;EndNote&gt;&lt;Cite&gt;&lt;Author&gt;Reitzel&lt;/Author&gt;&lt;Year&gt;2011&lt;/Year&gt;&lt;RecNum&gt;105&lt;/RecNum&gt;&lt;DisplayText&gt;(69)&lt;/DisplayText&gt;&lt;record&gt;&lt;rec-number&gt;105&lt;/rec-number&gt;&lt;foreign-keys&gt;&lt;key app="EN" db-id="a2vz2dfp8xrad6exes75zwpiw5rxwa0vwapv" timestamp="0"&gt;105&lt;/key&gt;&lt;/foreign-keys&gt;&lt;ref-type name="Unpublished Work"&gt;34&lt;/ref-type&gt;&lt;contributors&gt;&lt;authors&gt;&lt;author&gt;Reitzel, L. R.&lt;/author&gt;&lt;/authors&gt;&lt;/contributors&gt;&lt;titles&gt;&lt;title&gt;Menthol cigarettes, tobacco dependence, and smoking cessation: Project CARE final report&lt;/title&gt;&lt;/titles&gt;&lt;dates&gt;&lt;year&gt;2011&lt;/year&gt;&lt;/dates&gt;&lt;publisher&gt;University of Texas, MD Anderson Cancer Center&lt;/publisher&gt;&lt;urls&gt;&lt;/urls&gt;&lt;research-notes&gt;#837&lt;/research-notes&gt;&lt;/record&gt;&lt;/Cite&gt;&lt;/EndNote&gt;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69" w:tooltip="Reitzel, 2011 #105" w:history="1">
              <w:r>
                <w:rPr>
                  <w:rFonts w:cstheme="minorHAnsi"/>
                  <w:noProof/>
                  <w:sz w:val="18"/>
                  <w:szCs w:val="18"/>
                </w:rPr>
                <w:t>69</w:t>
              </w:r>
            </w:hyperlink>
            <w:r>
              <w:rPr>
                <w:rFonts w:cstheme="minorHAnsi"/>
                <w:noProof/>
                <w:sz w:val="18"/>
                <w:szCs w:val="18"/>
              </w:rPr>
              <w:t>)</w:t>
            </w:r>
            <w:r w:rsidRPr="00494051">
              <w:rPr>
                <w:rFonts w:cstheme="minorHAnsi"/>
                <w:sz w:val="18"/>
                <w:szCs w:val="18"/>
              </w:rPr>
              <w:fldChar w:fldCharType="end"/>
            </w:r>
          </w:p>
          <w:p w14:paraId="28DD780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5352F225"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30205F77"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Texas; </w:t>
            </w:r>
          </w:p>
          <w:p w14:paraId="64FB32E4" w14:textId="77777777" w:rsidR="007F0AE0" w:rsidRPr="00494051" w:rsidRDefault="007F0AE0" w:rsidP="00453DE3">
            <w:pPr>
              <w:spacing w:before="60" w:after="60"/>
              <w:rPr>
                <w:rFonts w:cstheme="minorHAnsi"/>
                <w:i/>
                <w:sz w:val="18"/>
                <w:szCs w:val="18"/>
                <w:u w:val="single"/>
              </w:rPr>
            </w:pPr>
            <w:r w:rsidRPr="00494051">
              <w:rPr>
                <w:rFonts w:cstheme="minorHAnsi"/>
                <w:sz w:val="18"/>
                <w:szCs w:val="18"/>
              </w:rPr>
              <w:t xml:space="preserve">Govt; </w:t>
            </w:r>
          </w:p>
          <w:p w14:paraId="13DC4CCB"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057AB3CF" w14:textId="77777777" w:rsidR="007F0AE0" w:rsidRPr="00494051" w:rsidRDefault="007F0AE0" w:rsidP="00453DE3">
            <w:pPr>
              <w:spacing w:before="60" w:after="60"/>
              <w:rPr>
                <w:rFonts w:cstheme="minorHAnsi"/>
                <w:sz w:val="18"/>
                <w:szCs w:val="18"/>
              </w:rPr>
            </w:pPr>
            <w:r w:rsidRPr="00494051">
              <w:rPr>
                <w:rFonts w:cstheme="minorHAnsi"/>
                <w:sz w:val="18"/>
                <w:szCs w:val="18"/>
              </w:rPr>
              <w:t>Project CARE recruited from within the Houston metro area through local print and radio advertisements; 2005-2007</w:t>
            </w:r>
          </w:p>
        </w:tc>
        <w:tc>
          <w:tcPr>
            <w:tcW w:w="4820" w:type="dxa"/>
            <w:tcMar>
              <w:top w:w="62" w:type="dxa"/>
              <w:left w:w="62" w:type="dxa"/>
              <w:bottom w:w="62" w:type="dxa"/>
              <w:right w:w="62" w:type="dxa"/>
            </w:tcMar>
          </w:tcPr>
          <w:p w14:paraId="4F50B82E"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 (≥5 CPD for the past year) age ≥21.</w:t>
            </w:r>
          </w:p>
        </w:tc>
        <w:tc>
          <w:tcPr>
            <w:tcW w:w="1275" w:type="dxa"/>
            <w:tcMar>
              <w:top w:w="62" w:type="dxa"/>
              <w:left w:w="62" w:type="dxa"/>
              <w:bottom w:w="62" w:type="dxa"/>
              <w:right w:w="62" w:type="dxa"/>
            </w:tcMar>
          </w:tcPr>
          <w:p w14:paraId="66B6AE73"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13366E66" w14:textId="77777777" w:rsidTr="00453DE3">
        <w:trPr>
          <w:cantSplit/>
        </w:trPr>
        <w:tc>
          <w:tcPr>
            <w:tcW w:w="1843" w:type="dxa"/>
            <w:tcMar>
              <w:top w:w="62" w:type="dxa"/>
              <w:left w:w="62" w:type="dxa"/>
              <w:bottom w:w="62" w:type="dxa"/>
              <w:right w:w="62" w:type="dxa"/>
            </w:tcMar>
          </w:tcPr>
          <w:p w14:paraId="4647CDB4"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71" w:tooltip="Reitzel, 2011 #107" w:history="1">
              <w:r>
                <w:rPr>
                  <w:rFonts w:cstheme="minorHAnsi"/>
                  <w:noProof/>
                  <w:sz w:val="18"/>
                  <w:szCs w:val="18"/>
                </w:rPr>
                <w:t>71</w:t>
              </w:r>
            </w:hyperlink>
            <w:r>
              <w:rPr>
                <w:rFonts w:cstheme="minorHAnsi"/>
                <w:noProof/>
                <w:sz w:val="18"/>
                <w:szCs w:val="18"/>
              </w:rPr>
              <w:t xml:space="preserve">, </w:t>
            </w:r>
            <w:hyperlink w:anchor="_ENREF_75" w:tooltip="Reitzel, 2011 #41" w:history="1">
              <w:r>
                <w:rPr>
                  <w:rFonts w:cstheme="minorHAnsi"/>
                  <w:noProof/>
                  <w:sz w:val="18"/>
                  <w:szCs w:val="18"/>
                </w:rPr>
                <w:t>75</w:t>
              </w:r>
            </w:hyperlink>
            <w:r>
              <w:rPr>
                <w:rFonts w:cstheme="minorHAnsi"/>
                <w:noProof/>
                <w:sz w:val="18"/>
                <w:szCs w:val="18"/>
              </w:rPr>
              <w:t>)</w:t>
            </w:r>
            <w:r w:rsidRPr="00494051">
              <w:rPr>
                <w:rFonts w:cstheme="minorHAnsi"/>
                <w:sz w:val="18"/>
                <w:szCs w:val="18"/>
              </w:rPr>
              <w:fldChar w:fldCharType="end"/>
            </w:r>
          </w:p>
          <w:p w14:paraId="4BAB450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0484518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Good </w:t>
            </w:r>
          </w:p>
        </w:tc>
        <w:tc>
          <w:tcPr>
            <w:tcW w:w="2126" w:type="dxa"/>
            <w:tcMar>
              <w:top w:w="62" w:type="dxa"/>
              <w:left w:w="62" w:type="dxa"/>
              <w:bottom w:w="62" w:type="dxa"/>
              <w:right w:w="62" w:type="dxa"/>
            </w:tcMar>
          </w:tcPr>
          <w:p w14:paraId="633840B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Texas; </w:t>
            </w:r>
          </w:p>
          <w:p w14:paraId="0016BD4B" w14:textId="77777777" w:rsidR="007F0AE0" w:rsidRPr="00494051" w:rsidRDefault="007F0AE0" w:rsidP="00453DE3">
            <w:pPr>
              <w:spacing w:before="60" w:after="60"/>
              <w:rPr>
                <w:rFonts w:cstheme="minorHAnsi"/>
                <w:i/>
                <w:sz w:val="18"/>
                <w:szCs w:val="18"/>
                <w:u w:val="single"/>
              </w:rPr>
            </w:pPr>
            <w:r w:rsidRPr="00494051">
              <w:rPr>
                <w:rFonts w:cstheme="minorHAnsi"/>
                <w:sz w:val="18"/>
                <w:szCs w:val="18"/>
              </w:rPr>
              <w:t xml:space="preserve">Govt; </w:t>
            </w:r>
          </w:p>
          <w:p w14:paraId="03688472"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p w14:paraId="5BADC49C" w14:textId="77777777" w:rsidR="007F0AE0" w:rsidRPr="00494051" w:rsidRDefault="007F0AE0" w:rsidP="00453DE3">
            <w:pPr>
              <w:spacing w:before="60" w:after="60"/>
              <w:rPr>
                <w:rFonts w:cstheme="minorHAnsi"/>
                <w:sz w:val="18"/>
                <w:szCs w:val="18"/>
              </w:rPr>
            </w:pPr>
          </w:p>
        </w:tc>
        <w:tc>
          <w:tcPr>
            <w:tcW w:w="2977" w:type="dxa"/>
            <w:tcMar>
              <w:top w:w="62" w:type="dxa"/>
              <w:left w:w="62" w:type="dxa"/>
              <w:bottom w:w="62" w:type="dxa"/>
              <w:right w:w="62" w:type="dxa"/>
            </w:tcMar>
          </w:tcPr>
          <w:p w14:paraId="345C68D6"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Project MOM, recruited from within Houston metropolitan area through a local health care system and via newspaper, radio, bus, and clinic advertisements; </w:t>
            </w:r>
          </w:p>
          <w:p w14:paraId="582EAB0A" w14:textId="77777777" w:rsidR="007F0AE0" w:rsidRPr="00494051" w:rsidRDefault="007F0AE0" w:rsidP="00453DE3">
            <w:pPr>
              <w:spacing w:before="60" w:after="60"/>
              <w:rPr>
                <w:rFonts w:cstheme="minorHAnsi"/>
                <w:sz w:val="18"/>
                <w:szCs w:val="18"/>
              </w:rPr>
            </w:pPr>
            <w:r w:rsidRPr="00494051">
              <w:rPr>
                <w:rFonts w:cstheme="minorHAnsi"/>
                <w:sz w:val="18"/>
                <w:szCs w:val="18"/>
              </w:rPr>
              <w:t>2005-2007</w:t>
            </w:r>
          </w:p>
        </w:tc>
        <w:tc>
          <w:tcPr>
            <w:tcW w:w="4820" w:type="dxa"/>
            <w:tcMar>
              <w:top w:w="62" w:type="dxa"/>
              <w:left w:w="62" w:type="dxa"/>
              <w:bottom w:w="62" w:type="dxa"/>
              <w:right w:w="62" w:type="dxa"/>
            </w:tcMar>
          </w:tcPr>
          <w:p w14:paraId="11647B8C"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 women in week 30-33 of pregnancy at time of enrollment. Smokers (≥1 CPD on average for the year) stopped smoking either during their pregnancy or within 2 months prior to becoming pregnant and wanted to remain quit postpartum. Women reporting a high-risk pregnancy were excluded. </w:t>
            </w:r>
          </w:p>
        </w:tc>
        <w:tc>
          <w:tcPr>
            <w:tcW w:w="1275" w:type="dxa"/>
            <w:tcMar>
              <w:top w:w="62" w:type="dxa"/>
              <w:left w:w="62" w:type="dxa"/>
              <w:bottom w:w="62" w:type="dxa"/>
              <w:right w:w="62" w:type="dxa"/>
            </w:tcMar>
          </w:tcPr>
          <w:p w14:paraId="56E46653" w14:textId="77777777" w:rsidR="007F0AE0" w:rsidRPr="00494051" w:rsidRDefault="007F0AE0" w:rsidP="00453DE3">
            <w:pPr>
              <w:spacing w:before="60" w:after="60"/>
              <w:rPr>
                <w:rFonts w:cstheme="minorHAnsi"/>
                <w:sz w:val="18"/>
                <w:szCs w:val="18"/>
              </w:rPr>
            </w:pPr>
            <w:r w:rsidRPr="00494051">
              <w:rPr>
                <w:rFonts w:cstheme="minorHAnsi"/>
                <w:sz w:val="18"/>
                <w:szCs w:val="18"/>
              </w:rPr>
              <w:t>Pregnant women</w:t>
            </w:r>
          </w:p>
        </w:tc>
      </w:tr>
      <w:tr w:rsidR="007F0AE0" w:rsidRPr="00494051" w14:paraId="3AC56C7D" w14:textId="77777777" w:rsidTr="00453DE3">
        <w:trPr>
          <w:cantSplit/>
        </w:trPr>
        <w:tc>
          <w:tcPr>
            <w:tcW w:w="1843" w:type="dxa"/>
            <w:tcMar>
              <w:top w:w="62" w:type="dxa"/>
              <w:left w:w="62" w:type="dxa"/>
              <w:bottom w:w="62" w:type="dxa"/>
              <w:right w:w="62" w:type="dxa"/>
            </w:tcMar>
          </w:tcPr>
          <w:p w14:paraId="2A35F647"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68" w:tooltip="Reitzel, 2013 #28" w:history="1">
              <w:r>
                <w:rPr>
                  <w:rFonts w:cstheme="minorHAnsi"/>
                  <w:noProof/>
                  <w:sz w:val="18"/>
                  <w:szCs w:val="18"/>
                </w:rPr>
                <w:t>68</w:t>
              </w:r>
            </w:hyperlink>
            <w:r>
              <w:rPr>
                <w:rFonts w:cstheme="minorHAnsi"/>
                <w:noProof/>
                <w:sz w:val="18"/>
                <w:szCs w:val="18"/>
              </w:rPr>
              <w:t>)</w:t>
            </w:r>
            <w:r w:rsidRPr="00494051">
              <w:rPr>
                <w:rFonts w:cstheme="minorHAnsi"/>
                <w:sz w:val="18"/>
                <w:szCs w:val="18"/>
              </w:rPr>
              <w:fldChar w:fldCharType="end"/>
            </w:r>
          </w:p>
          <w:p w14:paraId="7335D69C"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7377102F"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39B4E27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Texas; </w:t>
            </w:r>
          </w:p>
          <w:p w14:paraId="6B60F81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021BB800"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7C6E797D" w14:textId="77777777" w:rsidR="007F0AE0" w:rsidRPr="00494051" w:rsidRDefault="007F0AE0" w:rsidP="00453DE3">
            <w:pPr>
              <w:spacing w:before="60" w:after="60"/>
              <w:rPr>
                <w:rFonts w:cstheme="minorHAnsi"/>
                <w:sz w:val="18"/>
                <w:szCs w:val="18"/>
              </w:rPr>
            </w:pPr>
            <w:r w:rsidRPr="00494051">
              <w:rPr>
                <w:rFonts w:cstheme="minorHAnsi"/>
                <w:sz w:val="18"/>
                <w:szCs w:val="18"/>
              </w:rPr>
              <w:t>Longitudinal study among community smokers; 2006-2007</w:t>
            </w:r>
          </w:p>
        </w:tc>
        <w:tc>
          <w:tcPr>
            <w:tcW w:w="4820" w:type="dxa"/>
            <w:tcMar>
              <w:top w:w="62" w:type="dxa"/>
              <w:left w:w="62" w:type="dxa"/>
              <w:bottom w:w="62" w:type="dxa"/>
              <w:right w:w="62" w:type="dxa"/>
            </w:tcMar>
          </w:tcPr>
          <w:p w14:paraId="3537B809"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age 18-65 (≥5 CPD for ≥12 months) who had a working telephone number, permanent home address, and 6</w:t>
            </w:r>
            <w:r w:rsidRPr="00494051">
              <w:rPr>
                <w:rFonts w:cstheme="minorHAnsi"/>
                <w:sz w:val="18"/>
                <w:szCs w:val="18"/>
                <w:vertAlign w:val="superscript"/>
              </w:rPr>
              <w:t>th</w:t>
            </w:r>
            <w:r w:rsidRPr="00494051">
              <w:rPr>
                <w:rFonts w:cstheme="minorHAnsi"/>
                <w:sz w:val="18"/>
                <w:szCs w:val="18"/>
              </w:rPr>
              <w:t xml:space="preserve"> grade literacy level. Willing to quit smoking in the next week and did not participate in a smoking cessation program in the last 3 months.</w:t>
            </w:r>
          </w:p>
        </w:tc>
        <w:tc>
          <w:tcPr>
            <w:tcW w:w="1275" w:type="dxa"/>
            <w:tcMar>
              <w:top w:w="62" w:type="dxa"/>
              <w:left w:w="62" w:type="dxa"/>
              <w:bottom w:w="62" w:type="dxa"/>
              <w:right w:w="62" w:type="dxa"/>
            </w:tcMar>
          </w:tcPr>
          <w:p w14:paraId="359BF2FC"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2C899AB8" w14:textId="77777777" w:rsidTr="00453DE3">
        <w:trPr>
          <w:cantSplit/>
        </w:trPr>
        <w:tc>
          <w:tcPr>
            <w:tcW w:w="1843" w:type="dxa"/>
            <w:tcMar>
              <w:top w:w="62" w:type="dxa"/>
              <w:left w:w="62" w:type="dxa"/>
              <w:bottom w:w="62" w:type="dxa"/>
              <w:right w:w="62" w:type="dxa"/>
            </w:tcMar>
          </w:tcPr>
          <w:p w14:paraId="42DFC111"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62" w:tooltip="Rojewski, 2014 #22" w:history="1">
              <w:r>
                <w:rPr>
                  <w:rFonts w:cstheme="minorHAnsi"/>
                  <w:noProof/>
                  <w:sz w:val="18"/>
                  <w:szCs w:val="18"/>
                </w:rPr>
                <w:t>62</w:t>
              </w:r>
            </w:hyperlink>
            <w:r>
              <w:rPr>
                <w:rFonts w:cstheme="minorHAnsi"/>
                <w:noProof/>
                <w:sz w:val="18"/>
                <w:szCs w:val="18"/>
              </w:rPr>
              <w:t>)</w:t>
            </w:r>
            <w:r w:rsidRPr="00494051">
              <w:rPr>
                <w:rFonts w:cstheme="minorHAnsi"/>
                <w:sz w:val="18"/>
                <w:szCs w:val="18"/>
              </w:rPr>
              <w:fldChar w:fldCharType="end"/>
            </w:r>
          </w:p>
          <w:p w14:paraId="1CFE71DC"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6862BFBD"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2F62A60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Connecticut; </w:t>
            </w:r>
          </w:p>
          <w:p w14:paraId="76892C3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0773397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Prospective cohort </w:t>
            </w:r>
          </w:p>
        </w:tc>
        <w:tc>
          <w:tcPr>
            <w:tcW w:w="2977" w:type="dxa"/>
            <w:tcMar>
              <w:top w:w="62" w:type="dxa"/>
              <w:left w:w="62" w:type="dxa"/>
              <w:bottom w:w="62" w:type="dxa"/>
              <w:right w:w="62" w:type="dxa"/>
            </w:tcMar>
          </w:tcPr>
          <w:p w14:paraId="6A705648" w14:textId="77777777" w:rsidR="007F0AE0" w:rsidRPr="00494051" w:rsidRDefault="007F0AE0" w:rsidP="00453DE3">
            <w:pPr>
              <w:spacing w:before="60" w:after="60"/>
              <w:rPr>
                <w:rFonts w:cstheme="minorHAnsi"/>
                <w:sz w:val="18"/>
                <w:szCs w:val="18"/>
              </w:rPr>
            </w:pPr>
            <w:r w:rsidRPr="00494051">
              <w:rPr>
                <w:rFonts w:cstheme="minorHAnsi"/>
                <w:sz w:val="18"/>
                <w:szCs w:val="18"/>
              </w:rPr>
              <w:t>Media and provider referrals; 2005-2009</w:t>
            </w:r>
          </w:p>
        </w:tc>
        <w:tc>
          <w:tcPr>
            <w:tcW w:w="4820" w:type="dxa"/>
            <w:tcMar>
              <w:top w:w="62" w:type="dxa"/>
              <w:left w:w="62" w:type="dxa"/>
              <w:bottom w:w="62" w:type="dxa"/>
              <w:right w:w="62" w:type="dxa"/>
            </w:tcMar>
          </w:tcPr>
          <w:p w14:paraId="72AAF00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Weight-concerned smokers (&gt;10 CPD for ≥1 year) with </w:t>
            </w:r>
            <w:r>
              <w:rPr>
                <w:rFonts w:cstheme="minorHAnsi"/>
                <w:sz w:val="18"/>
                <w:szCs w:val="18"/>
              </w:rPr>
              <w:t>e</w:t>
            </w:r>
            <w:r w:rsidRPr="00494051">
              <w:rPr>
                <w:rFonts w:cstheme="minorHAnsi"/>
                <w:sz w:val="18"/>
                <w:szCs w:val="18"/>
              </w:rPr>
              <w:t>CO ≥10ppm, ≥1 prior quit attempt, and were enrolled in a cessation trial.</w:t>
            </w:r>
          </w:p>
        </w:tc>
        <w:tc>
          <w:tcPr>
            <w:tcW w:w="1275" w:type="dxa"/>
            <w:tcMar>
              <w:top w:w="62" w:type="dxa"/>
              <w:left w:w="62" w:type="dxa"/>
              <w:bottom w:w="62" w:type="dxa"/>
              <w:right w:w="62" w:type="dxa"/>
            </w:tcMar>
          </w:tcPr>
          <w:p w14:paraId="22C64D20"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3B96ACDA" w14:textId="77777777" w:rsidTr="00453DE3">
        <w:trPr>
          <w:cantSplit/>
        </w:trPr>
        <w:tc>
          <w:tcPr>
            <w:tcW w:w="1843" w:type="dxa"/>
            <w:tcMar>
              <w:top w:w="62" w:type="dxa"/>
              <w:left w:w="62" w:type="dxa"/>
              <w:bottom w:w="62" w:type="dxa"/>
              <w:right w:w="62" w:type="dxa"/>
            </w:tcMar>
          </w:tcPr>
          <w:p w14:paraId="3601535F"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&lt;EndNote&gt;&lt;Cite&gt;&lt;Author&gt;Rosenbloom&lt;/Author&gt;&lt;Year&gt;2012&lt;/Year&gt;&lt;RecNum&gt;32&lt;/RecNum&gt;&lt;DisplayText&gt;(17)&lt;/DisplayText&gt;&lt;record&gt;&lt;rec-number&gt;32&lt;/rec-number&gt;&lt;foreign-keys&gt;&lt;key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17" w:tooltip="Rosenbloom, 2012 #32" w:history="1">
              <w:r>
                <w:rPr>
                  <w:rFonts w:cstheme="minorHAnsi"/>
                  <w:noProof/>
                  <w:sz w:val="18"/>
                  <w:szCs w:val="18"/>
                </w:rPr>
                <w:t>17</w:t>
              </w:r>
            </w:hyperlink>
            <w:r>
              <w:rPr>
                <w:rFonts w:cstheme="minorHAnsi"/>
                <w:noProof/>
                <w:sz w:val="18"/>
                <w:szCs w:val="18"/>
              </w:rPr>
              <w:t>)</w:t>
            </w:r>
            <w:r w:rsidRPr="00494051">
              <w:rPr>
                <w:rFonts w:cstheme="minorHAnsi"/>
                <w:sz w:val="18"/>
                <w:szCs w:val="18"/>
              </w:rPr>
              <w:fldChar w:fldCharType="end"/>
            </w:r>
          </w:p>
          <w:p w14:paraId="6BE824C6"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3D7A1C9"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42667E8D" w14:textId="77777777" w:rsidR="007F0AE0" w:rsidRPr="00494051" w:rsidRDefault="007F0AE0" w:rsidP="00453DE3">
            <w:pPr>
              <w:spacing w:before="60" w:after="60"/>
              <w:rPr>
                <w:rFonts w:cstheme="minorHAnsi"/>
                <w:sz w:val="18"/>
                <w:szCs w:val="18"/>
              </w:rPr>
            </w:pPr>
            <w:r w:rsidRPr="00494051">
              <w:rPr>
                <w:rFonts w:cstheme="minorHAnsi"/>
                <w:sz w:val="18"/>
                <w:szCs w:val="18"/>
              </w:rPr>
              <w:t>Massachusetts;</w:t>
            </w:r>
          </w:p>
          <w:p w14:paraId="7111BB97" w14:textId="77777777" w:rsidR="007F0AE0" w:rsidRPr="00494051" w:rsidRDefault="007F0AE0" w:rsidP="00453DE3">
            <w:pPr>
              <w:spacing w:before="60" w:after="60"/>
              <w:rPr>
                <w:rFonts w:cstheme="minorHAnsi"/>
                <w:sz w:val="18"/>
                <w:szCs w:val="18"/>
              </w:rPr>
            </w:pPr>
            <w:r w:rsidRPr="00494051">
              <w:rPr>
                <w:rFonts w:cstheme="minorHAnsi"/>
                <w:sz w:val="18"/>
                <w:szCs w:val="18"/>
              </w:rPr>
              <w:t>Govt and academia;</w:t>
            </w:r>
          </w:p>
          <w:p w14:paraId="50567DED"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2129C07F" w14:textId="77777777" w:rsidR="007F0AE0" w:rsidRPr="00494051" w:rsidRDefault="007F0AE0" w:rsidP="00453DE3">
            <w:pPr>
              <w:spacing w:before="60" w:after="60"/>
              <w:rPr>
                <w:rFonts w:cstheme="minorHAnsi"/>
                <w:sz w:val="18"/>
                <w:szCs w:val="18"/>
              </w:rPr>
            </w:pPr>
            <w:r w:rsidRPr="00494051">
              <w:rPr>
                <w:rFonts w:cstheme="minorHAnsi"/>
                <w:sz w:val="18"/>
                <w:szCs w:val="18"/>
              </w:rPr>
              <w:t>Newspaper, radio and subway advertisements, postings on community bulletin boards; January 2004-December 2007</w:t>
            </w:r>
          </w:p>
        </w:tc>
        <w:tc>
          <w:tcPr>
            <w:tcW w:w="4820" w:type="dxa"/>
            <w:tcMar>
              <w:top w:w="62" w:type="dxa"/>
              <w:left w:w="62" w:type="dxa"/>
              <w:bottom w:w="62" w:type="dxa"/>
              <w:right w:w="62" w:type="dxa"/>
            </w:tcMar>
          </w:tcPr>
          <w:p w14:paraId="59CA81FB" w14:textId="77777777" w:rsidR="007F0AE0" w:rsidRPr="00494051" w:rsidRDefault="007F0AE0" w:rsidP="00453DE3">
            <w:pPr>
              <w:spacing w:before="60" w:after="60"/>
              <w:rPr>
                <w:rFonts w:cstheme="minorHAnsi"/>
                <w:sz w:val="18"/>
                <w:szCs w:val="18"/>
              </w:rPr>
            </w:pPr>
            <w:r w:rsidRPr="00494051">
              <w:rPr>
                <w:rFonts w:cstheme="minorHAnsi"/>
                <w:sz w:val="18"/>
                <w:szCs w:val="18"/>
              </w:rPr>
              <w:t>Women smokers who were interested in participating in a randomized controlled trial involving exercise and nicotine replacement therapy (nicotine patch) and provided information regarding menthol smoking status, race, tobacco use, and dependence measures.</w:t>
            </w:r>
          </w:p>
        </w:tc>
        <w:tc>
          <w:tcPr>
            <w:tcW w:w="1275" w:type="dxa"/>
            <w:tcMar>
              <w:top w:w="62" w:type="dxa"/>
              <w:left w:w="62" w:type="dxa"/>
              <w:bottom w:w="62" w:type="dxa"/>
              <w:right w:w="62" w:type="dxa"/>
            </w:tcMar>
          </w:tcPr>
          <w:p w14:paraId="48E95CB7" w14:textId="77777777" w:rsidR="007F0AE0" w:rsidRPr="00494051" w:rsidRDefault="007F0AE0" w:rsidP="00453DE3">
            <w:pPr>
              <w:spacing w:before="60" w:after="60"/>
              <w:rPr>
                <w:rFonts w:cstheme="minorHAnsi"/>
                <w:sz w:val="18"/>
                <w:szCs w:val="18"/>
              </w:rPr>
            </w:pPr>
            <w:r w:rsidRPr="00494051">
              <w:rPr>
                <w:rFonts w:cstheme="minorHAnsi"/>
                <w:sz w:val="18"/>
                <w:szCs w:val="18"/>
              </w:rPr>
              <w:t>Women</w:t>
            </w:r>
          </w:p>
        </w:tc>
      </w:tr>
      <w:tr w:rsidR="007F0AE0" w:rsidRPr="00494051" w14:paraId="40C6B5DF" w14:textId="77777777" w:rsidTr="00453DE3">
        <w:trPr>
          <w:cantSplit/>
        </w:trPr>
        <w:tc>
          <w:tcPr>
            <w:tcW w:w="1843" w:type="dxa"/>
            <w:tcMar>
              <w:top w:w="62" w:type="dxa"/>
              <w:left w:w="62" w:type="dxa"/>
              <w:bottom w:w="62" w:type="dxa"/>
              <w:right w:w="62" w:type="dxa"/>
            </w:tcMar>
          </w:tcPr>
          <w:p w14:paraId="1E71EEE7"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&lt;EndNote&gt;&lt;Cite&gt;&lt;Author&gt;Sidney&lt;/Author&gt;&lt;Year&gt;1989&lt;/Year&gt;&lt;RecNum&gt;92&lt;/RecNum&gt;&lt;DisplayText&gt;(73)&lt;/DisplayText&gt;&lt;record&gt;&lt;rec-number&gt;92&lt;/rec-number&gt;&lt;foreign-keys&gt;&lt;key app="EN" db-id="a2vz2dfp8xrad6exes75zwpiw5rxwa0vwapv" timestamp="0"&gt;92&lt;/key&gt;&lt;/foreign-keys&gt;&lt;ref-type name="Journal Article"&gt;17&lt;/ref-type&gt;&lt;contributors&gt;&lt;authors&gt;&lt;author&gt;Sidney, S.&lt;/author&gt;&lt;author&gt;Tekawa, I. S.&lt;/author&gt;&lt;author&gt;Friedman, G. D.&lt;/author&gt;&lt;/authors&gt;&lt;/contributors&gt;&lt;titles&gt;&lt;title&gt;Mentholated cigarette use among multiphasic examinees, 1979-86&lt;/title&gt;&lt;secondary-title&gt;Am J Public Health&lt;/secondary-title&gt;&lt;/titles&gt;&lt;periodical&gt;&lt;full-title&gt;Am J Public Health&lt;/full-title&gt;&lt;/periodical&gt;&lt;pages&gt;1415-1416&lt;/pages&gt;&lt;volume&gt;79&lt;/volume&gt;&lt;section&gt;1415&lt;/section&gt;&lt;dates&gt;&lt;year&gt;1989&lt;/year&gt;&lt;/dates&gt;&lt;urls&gt;&lt;/urls&gt;&lt;research-notes&gt;#505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73" w:tooltip="Sidney, 1989 #92" w:history="1">
              <w:r>
                <w:rPr>
                  <w:rFonts w:cstheme="minorHAnsi"/>
                  <w:noProof/>
                  <w:sz w:val="18"/>
                  <w:szCs w:val="18"/>
                </w:rPr>
                <w:t>73</w:t>
              </w:r>
            </w:hyperlink>
            <w:r>
              <w:rPr>
                <w:rFonts w:cstheme="minorHAnsi"/>
                <w:noProof/>
                <w:sz w:val="18"/>
                <w:szCs w:val="18"/>
              </w:rPr>
              <w:t>)</w:t>
            </w:r>
            <w:r w:rsidRPr="00494051">
              <w:rPr>
                <w:rFonts w:cstheme="minorHAnsi"/>
                <w:sz w:val="18"/>
                <w:szCs w:val="18"/>
              </w:rPr>
              <w:fldChar w:fldCharType="end"/>
            </w:r>
          </w:p>
          <w:p w14:paraId="13E6E73E"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1C41E867"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277D77B5"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California; </w:t>
            </w:r>
          </w:p>
          <w:p w14:paraId="13662EC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521C46FA"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p w14:paraId="21DBCCBF" w14:textId="77777777" w:rsidR="007F0AE0" w:rsidRPr="00494051" w:rsidRDefault="007F0AE0" w:rsidP="00453DE3">
            <w:pPr>
              <w:spacing w:before="60" w:after="60"/>
              <w:rPr>
                <w:rFonts w:cstheme="minorHAnsi"/>
                <w:sz w:val="18"/>
                <w:szCs w:val="18"/>
              </w:rPr>
            </w:pPr>
          </w:p>
        </w:tc>
        <w:tc>
          <w:tcPr>
            <w:tcW w:w="2977" w:type="dxa"/>
            <w:tcMar>
              <w:top w:w="62" w:type="dxa"/>
              <w:left w:w="62" w:type="dxa"/>
              <w:bottom w:w="62" w:type="dxa"/>
              <w:right w:w="62" w:type="dxa"/>
            </w:tcMar>
          </w:tcPr>
          <w:p w14:paraId="084A92C2" w14:textId="77777777" w:rsidR="007F0AE0" w:rsidRPr="00494051" w:rsidRDefault="007F0AE0" w:rsidP="00453DE3">
            <w:pPr>
              <w:spacing w:before="60" w:after="60"/>
              <w:rPr>
                <w:rFonts w:cstheme="minorHAnsi"/>
                <w:sz w:val="18"/>
                <w:szCs w:val="18"/>
              </w:rPr>
            </w:pPr>
            <w:r w:rsidRPr="00494051">
              <w:rPr>
                <w:rFonts w:cstheme="minorHAnsi"/>
                <w:sz w:val="18"/>
                <w:szCs w:val="18"/>
              </w:rPr>
              <w:t>Patients at Kaiser Permanente Medical centers in Oakland and San Francisco. Data collected as part of a multiphasic health checkup; 1979-1986</w:t>
            </w:r>
          </w:p>
        </w:tc>
        <w:tc>
          <w:tcPr>
            <w:tcW w:w="4820" w:type="dxa"/>
            <w:tcMar>
              <w:top w:w="62" w:type="dxa"/>
              <w:left w:w="62" w:type="dxa"/>
              <w:bottom w:w="62" w:type="dxa"/>
              <w:right w:w="62" w:type="dxa"/>
            </w:tcMar>
          </w:tcPr>
          <w:p w14:paraId="2FECC803" w14:textId="77777777" w:rsidR="007F0AE0" w:rsidRPr="00494051" w:rsidRDefault="007F0AE0" w:rsidP="00453DE3">
            <w:pPr>
              <w:spacing w:before="60" w:after="60"/>
              <w:rPr>
                <w:rFonts w:cstheme="minorHAnsi"/>
                <w:i/>
                <w:sz w:val="18"/>
                <w:szCs w:val="18"/>
                <w:u w:val="single"/>
              </w:rPr>
            </w:pPr>
            <w:r w:rsidRPr="00494051">
              <w:rPr>
                <w:rFonts w:cstheme="minorHAnsi"/>
                <w:sz w:val="18"/>
                <w:szCs w:val="18"/>
              </w:rPr>
              <w:t>Black current smokers age 15-40.</w:t>
            </w:r>
          </w:p>
          <w:p w14:paraId="29C1E306" w14:textId="77777777" w:rsidR="007F0AE0" w:rsidRPr="00494051" w:rsidRDefault="007F0AE0" w:rsidP="00453DE3">
            <w:pPr>
              <w:spacing w:before="60" w:after="60"/>
              <w:rPr>
                <w:rFonts w:cstheme="minorHAnsi"/>
                <w:sz w:val="18"/>
                <w:szCs w:val="18"/>
              </w:rPr>
            </w:pPr>
          </w:p>
        </w:tc>
        <w:tc>
          <w:tcPr>
            <w:tcW w:w="1275" w:type="dxa"/>
            <w:tcMar>
              <w:top w:w="62" w:type="dxa"/>
              <w:left w:w="62" w:type="dxa"/>
              <w:bottom w:w="62" w:type="dxa"/>
              <w:right w:w="62" w:type="dxa"/>
            </w:tcMar>
          </w:tcPr>
          <w:p w14:paraId="0E2F1F0C" w14:textId="77777777" w:rsidR="007F0AE0" w:rsidRPr="00494051" w:rsidRDefault="007F0AE0" w:rsidP="00453DE3">
            <w:pPr>
              <w:spacing w:before="60" w:after="60"/>
              <w:rPr>
                <w:rFonts w:cstheme="minorHAnsi"/>
                <w:sz w:val="18"/>
                <w:szCs w:val="18"/>
              </w:rPr>
            </w:pPr>
            <w:r w:rsidRPr="00494051">
              <w:rPr>
                <w:rFonts w:cstheme="minorHAnsi"/>
                <w:sz w:val="18"/>
                <w:szCs w:val="18"/>
              </w:rPr>
              <w:t>Black HMO medical center patients age 15-40</w:t>
            </w:r>
          </w:p>
        </w:tc>
      </w:tr>
      <w:tr w:rsidR="007F0AE0" w:rsidRPr="00494051" w14:paraId="3F8ED093" w14:textId="77777777" w:rsidTr="00453DE3">
        <w:trPr>
          <w:cantSplit/>
        </w:trPr>
        <w:tc>
          <w:tcPr>
            <w:tcW w:w="1843" w:type="dxa"/>
            <w:tcMar>
              <w:top w:w="62" w:type="dxa"/>
              <w:left w:w="62" w:type="dxa"/>
              <w:bottom w:w="62" w:type="dxa"/>
              <w:right w:w="62" w:type="dxa"/>
            </w:tcMar>
          </w:tcPr>
          <w:p w14:paraId="223C13CA"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r>
            <w:r>
              <w:rPr>
                <w:rFonts w:cstheme="minorHAnsi"/>
                <w:sz w:val="18"/>
                <w:szCs w:val="18"/>
              </w:rPr>
              <w:instrText xml:space="preserve"> ADDIN EN.CITE &lt;EndNote&gt;&lt;Cite&gt;&lt;Author&gt;Smith&lt;/Author&gt;&lt;Year&gt;2014&lt;/Year&gt;&lt;RecNum&gt;11&lt;/RecNum&gt;&lt;DisplayText&gt;(45)&lt;/DisplayText&gt;&lt;record&gt;&lt;rec-number&gt;11&lt;/rec-number&gt;&lt;foreign-keys&gt;&lt;key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5" w:tooltip="Smith, 2014 #11" w:history="1">
              <w:r>
                <w:rPr>
                  <w:rFonts w:cstheme="minorHAnsi"/>
                  <w:noProof/>
                  <w:sz w:val="18"/>
                  <w:szCs w:val="18"/>
                </w:rPr>
                <w:t>45</w:t>
              </w:r>
            </w:hyperlink>
            <w:r>
              <w:rPr>
                <w:rFonts w:cstheme="minorHAnsi"/>
                <w:noProof/>
                <w:sz w:val="18"/>
                <w:szCs w:val="18"/>
              </w:rPr>
              <w:t>)</w:t>
            </w:r>
            <w:r w:rsidRPr="00494051">
              <w:rPr>
                <w:rFonts w:cstheme="minorHAnsi"/>
                <w:sz w:val="18"/>
                <w:szCs w:val="18"/>
              </w:rPr>
              <w:fldChar w:fldCharType="end"/>
            </w:r>
          </w:p>
          <w:p w14:paraId="75CFF5CF"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61606B4"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60BEEA5" w14:textId="77777777" w:rsidR="007F0AE0" w:rsidRPr="00494051" w:rsidRDefault="007F0AE0" w:rsidP="00453DE3">
            <w:pPr>
              <w:spacing w:before="60" w:after="60"/>
              <w:rPr>
                <w:rFonts w:cstheme="minorHAnsi"/>
                <w:sz w:val="18"/>
                <w:szCs w:val="18"/>
              </w:rPr>
            </w:pPr>
            <w:r w:rsidRPr="00494051">
              <w:rPr>
                <w:rFonts w:cstheme="minorHAnsi"/>
                <w:sz w:val="18"/>
                <w:szCs w:val="18"/>
              </w:rPr>
              <w:t>Wisconsin;</w:t>
            </w:r>
          </w:p>
          <w:p w14:paraId="22CF262E"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7FF87E4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Prospective cohort </w:t>
            </w:r>
          </w:p>
        </w:tc>
        <w:tc>
          <w:tcPr>
            <w:tcW w:w="2977" w:type="dxa"/>
            <w:tcMar>
              <w:top w:w="62" w:type="dxa"/>
              <w:left w:w="62" w:type="dxa"/>
              <w:bottom w:w="62" w:type="dxa"/>
              <w:right w:w="62" w:type="dxa"/>
            </w:tcMar>
          </w:tcPr>
          <w:p w14:paraId="7B12A777" w14:textId="77777777" w:rsidR="007F0AE0" w:rsidRPr="00494051" w:rsidRDefault="007F0AE0" w:rsidP="00453DE3">
            <w:pPr>
              <w:spacing w:before="60" w:after="60"/>
              <w:rPr>
                <w:rFonts w:cstheme="minorHAnsi"/>
                <w:sz w:val="18"/>
                <w:szCs w:val="18"/>
              </w:rPr>
            </w:pPr>
            <w:r w:rsidRPr="00494051">
              <w:rPr>
                <w:rFonts w:cstheme="minorHAnsi"/>
                <w:sz w:val="18"/>
                <w:szCs w:val="18"/>
              </w:rPr>
              <w:t>Wisconsin Smokers Health Study (WSHS), re</w:t>
            </w:r>
            <w:r w:rsidRPr="00494051">
              <w:rPr>
                <w:rFonts w:cstheme="minorHAnsi"/>
                <w:color w:val="000000"/>
                <w:sz w:val="18"/>
                <w:szCs w:val="18"/>
              </w:rPr>
              <w:t>cruited by TV, radio and newspaper advertisements, flyers, earned media including press conferences, and TV and radio news interviews</w:t>
            </w:r>
            <w:r w:rsidRPr="00494051">
              <w:rPr>
                <w:rFonts w:cstheme="minorHAnsi"/>
                <w:sz w:val="18"/>
                <w:szCs w:val="18"/>
              </w:rPr>
              <w:t>; January 2005-June 2007</w:t>
            </w:r>
          </w:p>
        </w:tc>
        <w:tc>
          <w:tcPr>
            <w:tcW w:w="4820" w:type="dxa"/>
            <w:tcMar>
              <w:top w:w="62" w:type="dxa"/>
              <w:left w:w="62" w:type="dxa"/>
              <w:bottom w:w="62" w:type="dxa"/>
              <w:right w:w="62" w:type="dxa"/>
            </w:tcMar>
          </w:tcPr>
          <w:p w14:paraId="15AF695C"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(≥10 CPD during the last 6 months) who reported being motivated to quit smoking.</w:t>
            </w:r>
          </w:p>
        </w:tc>
        <w:tc>
          <w:tcPr>
            <w:tcW w:w="1275" w:type="dxa"/>
            <w:tcMar>
              <w:top w:w="62" w:type="dxa"/>
              <w:left w:w="62" w:type="dxa"/>
              <w:bottom w:w="62" w:type="dxa"/>
              <w:right w:w="62" w:type="dxa"/>
            </w:tcMar>
          </w:tcPr>
          <w:p w14:paraId="05699BE8"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6D850BF2" w14:textId="77777777" w:rsidTr="00453DE3">
        <w:trPr>
          <w:cantSplit/>
        </w:trPr>
        <w:tc>
          <w:tcPr>
            <w:tcW w:w="1843" w:type="dxa"/>
            <w:tcMar>
              <w:top w:w="62" w:type="dxa"/>
              <w:left w:w="62" w:type="dxa"/>
              <w:bottom w:w="62" w:type="dxa"/>
              <w:right w:w="62" w:type="dxa"/>
            </w:tcMar>
          </w:tcPr>
          <w:p w14:paraId="64E46134"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&lt;EndNote&gt;&lt;Cite&gt;&lt;Author&gt;Stahre&lt;/Author&gt;&lt;Year&gt;2010&lt;/Year&gt;&lt;RecNum&gt;57&lt;/RecNum&gt;&lt;DisplayText&gt;(32)&lt;/DisplayText&gt;&lt;record&gt;&lt;rec-number&gt;57&lt;/rec-number&gt;&lt;foreign-keys&gt;&lt;key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32" w:tooltip="Stahre, 2010 #57" w:history="1">
              <w:r>
                <w:rPr>
                  <w:rFonts w:cstheme="minorHAnsi"/>
                  <w:noProof/>
                  <w:sz w:val="18"/>
                  <w:szCs w:val="18"/>
                </w:rPr>
                <w:t>32</w:t>
              </w:r>
            </w:hyperlink>
            <w:r>
              <w:rPr>
                <w:rFonts w:cstheme="minorHAnsi"/>
                <w:noProof/>
                <w:sz w:val="18"/>
                <w:szCs w:val="18"/>
              </w:rPr>
              <w:t>)</w:t>
            </w:r>
            <w:r w:rsidRPr="00494051">
              <w:rPr>
                <w:rFonts w:cstheme="minorHAnsi"/>
                <w:sz w:val="18"/>
                <w:szCs w:val="18"/>
              </w:rPr>
              <w:fldChar w:fldCharType="end"/>
            </w:r>
            <w:r w:rsidRPr="00494051">
              <w:rPr>
                <w:rFonts w:cstheme="minorHAnsi"/>
                <w:sz w:val="18"/>
                <w:szCs w:val="18"/>
              </w:rPr>
              <w:br/>
              <w:t>NHIS-CCS</w:t>
            </w:r>
            <w:r w:rsidRPr="00494051">
              <w:rPr>
                <w:rFonts w:cstheme="minorHAnsi"/>
                <w:sz w:val="18"/>
                <w:szCs w:val="18"/>
              </w:rPr>
              <w:br/>
              <w:t>Fair</w:t>
            </w:r>
          </w:p>
        </w:tc>
        <w:tc>
          <w:tcPr>
            <w:tcW w:w="2126" w:type="dxa"/>
            <w:tcMar>
              <w:top w:w="62" w:type="dxa"/>
              <w:left w:w="62" w:type="dxa"/>
              <w:bottom w:w="62" w:type="dxa"/>
              <w:right w:w="62" w:type="dxa"/>
            </w:tcMar>
          </w:tcPr>
          <w:p w14:paraId="287204DF"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3931B7F4" w14:textId="77777777" w:rsidR="007F0AE0" w:rsidRPr="00494051" w:rsidRDefault="007F0AE0" w:rsidP="00453DE3">
            <w:pPr>
              <w:spacing w:before="60" w:after="60"/>
              <w:rPr>
                <w:rFonts w:cstheme="minorHAnsi"/>
                <w:sz w:val="18"/>
                <w:szCs w:val="18"/>
              </w:rPr>
            </w:pPr>
            <w:r w:rsidRPr="00494051">
              <w:rPr>
                <w:rFonts w:cstheme="minorHAnsi"/>
                <w:sz w:val="18"/>
                <w:szCs w:val="18"/>
              </w:rPr>
              <w:t>Govt;</w:t>
            </w:r>
          </w:p>
          <w:p w14:paraId="436AD66B"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74B0AB59" w14:textId="77777777" w:rsidR="007F0AE0" w:rsidRPr="00494051" w:rsidRDefault="007F0AE0" w:rsidP="00453DE3">
            <w:pPr>
              <w:spacing w:before="60" w:after="60"/>
              <w:rPr>
                <w:rFonts w:cstheme="minorHAnsi"/>
                <w:sz w:val="18"/>
                <w:szCs w:val="18"/>
              </w:rPr>
            </w:pPr>
            <w:r w:rsidRPr="00494051">
              <w:rPr>
                <w:rFonts w:cstheme="minorHAnsi"/>
                <w:sz w:val="18"/>
                <w:szCs w:val="18"/>
              </w:rPr>
              <w:t>NHIS-CCS; 2005</w:t>
            </w:r>
          </w:p>
        </w:tc>
        <w:tc>
          <w:tcPr>
            <w:tcW w:w="4820" w:type="dxa"/>
            <w:tcMar>
              <w:top w:w="62" w:type="dxa"/>
              <w:left w:w="62" w:type="dxa"/>
              <w:bottom w:w="62" w:type="dxa"/>
              <w:right w:w="62" w:type="dxa"/>
            </w:tcMar>
          </w:tcPr>
          <w:p w14:paraId="38AA656D"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and former smokers age ≥18 for whom menthol status was known.</w:t>
            </w:r>
          </w:p>
        </w:tc>
        <w:tc>
          <w:tcPr>
            <w:tcW w:w="1275" w:type="dxa"/>
            <w:tcMar>
              <w:top w:w="62" w:type="dxa"/>
              <w:left w:w="62" w:type="dxa"/>
              <w:bottom w:w="62" w:type="dxa"/>
              <w:right w:w="62" w:type="dxa"/>
            </w:tcMar>
          </w:tcPr>
          <w:p w14:paraId="7C01D63E"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458AE4DC" w14:textId="77777777" w:rsidTr="00453DE3">
        <w:trPr>
          <w:cantSplit/>
        </w:trPr>
        <w:tc>
          <w:tcPr>
            <w:tcW w:w="1843" w:type="dxa"/>
            <w:tcMar>
              <w:top w:w="62" w:type="dxa"/>
              <w:left w:w="62" w:type="dxa"/>
              <w:bottom w:w="62" w:type="dxa"/>
              <w:right w:w="62" w:type="dxa"/>
            </w:tcMar>
          </w:tcPr>
          <w:p w14:paraId="242833D5"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64" w:tooltip="Steinberg, 2011 #50" w:history="1">
              <w:r>
                <w:rPr>
                  <w:rFonts w:cstheme="minorHAnsi"/>
                  <w:noProof/>
                  <w:sz w:val="18"/>
                  <w:szCs w:val="18"/>
                </w:rPr>
                <w:t>64</w:t>
              </w:r>
            </w:hyperlink>
            <w:r>
              <w:rPr>
                <w:rFonts w:cstheme="minorHAnsi"/>
                <w:noProof/>
                <w:sz w:val="18"/>
                <w:szCs w:val="18"/>
              </w:rPr>
              <w:t>)</w:t>
            </w:r>
            <w:r w:rsidRPr="00494051">
              <w:rPr>
                <w:rFonts w:cstheme="minorHAnsi"/>
                <w:sz w:val="18"/>
                <w:szCs w:val="18"/>
              </w:rPr>
              <w:fldChar w:fldCharType="end"/>
            </w:r>
          </w:p>
          <w:p w14:paraId="35594207"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3C46E39B"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6967BB7" w14:textId="77777777" w:rsidR="007F0AE0" w:rsidRPr="00494051" w:rsidRDefault="007F0AE0" w:rsidP="00453DE3">
            <w:pPr>
              <w:spacing w:before="60" w:after="60"/>
              <w:rPr>
                <w:rFonts w:cstheme="minorHAnsi"/>
                <w:sz w:val="18"/>
                <w:szCs w:val="18"/>
              </w:rPr>
            </w:pPr>
            <w:r w:rsidRPr="00494051">
              <w:rPr>
                <w:rFonts w:cstheme="minorHAnsi"/>
                <w:sz w:val="18"/>
                <w:szCs w:val="18"/>
              </w:rPr>
              <w:t>New Jersey; None; Retrospective cohort</w:t>
            </w:r>
          </w:p>
        </w:tc>
        <w:tc>
          <w:tcPr>
            <w:tcW w:w="2977" w:type="dxa"/>
            <w:tcMar>
              <w:top w:w="62" w:type="dxa"/>
              <w:left w:w="62" w:type="dxa"/>
              <w:bottom w:w="62" w:type="dxa"/>
              <w:right w:w="62" w:type="dxa"/>
            </w:tcMar>
          </w:tcPr>
          <w:p w14:paraId="5614DD1E" w14:textId="77777777" w:rsidR="007F0AE0" w:rsidRPr="00494051" w:rsidRDefault="007F0AE0" w:rsidP="00453DE3">
            <w:pPr>
              <w:spacing w:before="60" w:after="60"/>
              <w:rPr>
                <w:rFonts w:cstheme="minorHAnsi"/>
                <w:sz w:val="18"/>
                <w:szCs w:val="18"/>
              </w:rPr>
            </w:pPr>
            <w:r w:rsidRPr="00494051">
              <w:rPr>
                <w:rFonts w:cstheme="minorHAnsi"/>
                <w:sz w:val="18"/>
                <w:szCs w:val="18"/>
              </w:rPr>
              <w:t>Smokers intending to quit enrolled in a study for smoking cessation; 2006-2008</w:t>
            </w:r>
          </w:p>
        </w:tc>
        <w:tc>
          <w:tcPr>
            <w:tcW w:w="4820" w:type="dxa"/>
            <w:tcMar>
              <w:top w:w="62" w:type="dxa"/>
              <w:left w:w="62" w:type="dxa"/>
              <w:bottom w:w="62" w:type="dxa"/>
              <w:right w:w="62" w:type="dxa"/>
            </w:tcMar>
          </w:tcPr>
          <w:p w14:paraId="7973A63B"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age 16-78 presenting for cessation treatment.</w:t>
            </w:r>
          </w:p>
        </w:tc>
        <w:tc>
          <w:tcPr>
            <w:tcW w:w="1275" w:type="dxa"/>
            <w:tcMar>
              <w:top w:w="62" w:type="dxa"/>
              <w:left w:w="62" w:type="dxa"/>
              <w:bottom w:w="62" w:type="dxa"/>
              <w:right w:w="62" w:type="dxa"/>
            </w:tcMar>
          </w:tcPr>
          <w:p w14:paraId="64BD1992"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08205882" w14:textId="77777777" w:rsidTr="00453DE3">
        <w:trPr>
          <w:cantSplit/>
        </w:trPr>
        <w:tc>
          <w:tcPr>
            <w:tcW w:w="1843" w:type="dxa"/>
            <w:tcMar>
              <w:top w:w="62" w:type="dxa"/>
              <w:left w:w="62" w:type="dxa"/>
              <w:bottom w:w="62" w:type="dxa"/>
              <w:right w:w="62" w:type="dxa"/>
            </w:tcMar>
          </w:tcPr>
          <w:p w14:paraId="7C7A9832"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54" w:tooltip="Sulsky, 2014 #15" w:history="1">
              <w:r>
                <w:rPr>
                  <w:rFonts w:cstheme="minorHAnsi"/>
                  <w:noProof/>
                  <w:sz w:val="18"/>
                  <w:szCs w:val="18"/>
                </w:rPr>
                <w:t>54</w:t>
              </w:r>
            </w:hyperlink>
            <w:r>
              <w:rPr>
                <w:rFonts w:cstheme="minorHAnsi"/>
                <w:noProof/>
                <w:sz w:val="18"/>
                <w:szCs w:val="18"/>
              </w:rPr>
              <w:t>)</w:t>
            </w:r>
            <w:r w:rsidRPr="00494051">
              <w:rPr>
                <w:rFonts w:cstheme="minorHAnsi"/>
                <w:sz w:val="18"/>
                <w:szCs w:val="18"/>
              </w:rPr>
              <w:fldChar w:fldCharType="end"/>
            </w:r>
          </w:p>
          <w:p w14:paraId="062DB2EC" w14:textId="77777777" w:rsidR="007F0AE0" w:rsidRPr="00494051" w:rsidRDefault="007F0AE0" w:rsidP="00453DE3">
            <w:pPr>
              <w:spacing w:before="60" w:after="60"/>
              <w:rPr>
                <w:rFonts w:cstheme="minorHAnsi"/>
                <w:sz w:val="18"/>
                <w:szCs w:val="18"/>
              </w:rPr>
            </w:pPr>
            <w:r w:rsidRPr="00494051">
              <w:rPr>
                <w:rFonts w:cstheme="minorHAnsi"/>
                <w:sz w:val="18"/>
                <w:szCs w:val="18"/>
              </w:rPr>
              <w:t>NHIS, TUS-CPS</w:t>
            </w:r>
          </w:p>
          <w:p w14:paraId="2235CBD9"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04D9FB95" w14:textId="77777777" w:rsidR="007F0AE0" w:rsidRPr="00494051" w:rsidRDefault="007F0AE0" w:rsidP="00453DE3">
            <w:pPr>
              <w:spacing w:before="60" w:after="60"/>
              <w:rPr>
                <w:rFonts w:cstheme="minorHAnsi"/>
                <w:sz w:val="18"/>
                <w:szCs w:val="18"/>
              </w:rPr>
            </w:pPr>
            <w:r w:rsidRPr="00494051">
              <w:rPr>
                <w:rFonts w:cstheme="minorHAnsi"/>
                <w:sz w:val="18"/>
                <w:szCs w:val="18"/>
              </w:rPr>
              <w:t>National;</w:t>
            </w:r>
          </w:p>
          <w:p w14:paraId="39953C00" w14:textId="77777777" w:rsidR="007F0AE0" w:rsidRPr="00494051" w:rsidRDefault="007F0AE0" w:rsidP="00453DE3">
            <w:pPr>
              <w:spacing w:before="60" w:after="60"/>
              <w:rPr>
                <w:rFonts w:cstheme="minorHAnsi"/>
                <w:sz w:val="18"/>
                <w:szCs w:val="18"/>
              </w:rPr>
            </w:pPr>
            <w:r w:rsidRPr="00494051">
              <w:rPr>
                <w:rFonts w:cstheme="minorHAnsi"/>
                <w:sz w:val="18"/>
                <w:szCs w:val="18"/>
              </w:rPr>
              <w:t>Industry;</w:t>
            </w:r>
          </w:p>
          <w:p w14:paraId="2D2BA0AC"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7DBFA3B3" w14:textId="77777777" w:rsidR="007F0AE0" w:rsidRPr="00494051" w:rsidRDefault="007F0AE0" w:rsidP="00453DE3">
            <w:pPr>
              <w:spacing w:before="60" w:after="60"/>
              <w:rPr>
                <w:rFonts w:cstheme="minorHAnsi"/>
                <w:sz w:val="18"/>
                <w:szCs w:val="18"/>
              </w:rPr>
            </w:pPr>
            <w:r w:rsidRPr="00494051">
              <w:rPr>
                <w:rFonts w:cstheme="minorHAnsi"/>
                <w:sz w:val="18"/>
                <w:szCs w:val="18"/>
              </w:rPr>
              <w:t>NHIS; 2005, 2010</w:t>
            </w:r>
          </w:p>
          <w:p w14:paraId="3BF7F33A" w14:textId="77777777" w:rsidR="007F0AE0" w:rsidRPr="00494051" w:rsidRDefault="007F0AE0" w:rsidP="00453DE3">
            <w:pPr>
              <w:spacing w:before="60" w:after="60"/>
              <w:rPr>
                <w:rFonts w:cstheme="minorHAnsi"/>
                <w:sz w:val="18"/>
                <w:szCs w:val="18"/>
              </w:rPr>
            </w:pPr>
            <w:r w:rsidRPr="00494051">
              <w:rPr>
                <w:rFonts w:cstheme="minorHAnsi"/>
                <w:sz w:val="18"/>
                <w:szCs w:val="18"/>
              </w:rPr>
              <w:t>TUS-CPS; 2010-2011</w:t>
            </w:r>
          </w:p>
        </w:tc>
        <w:tc>
          <w:tcPr>
            <w:tcW w:w="4820" w:type="dxa"/>
            <w:tcMar>
              <w:top w:w="62" w:type="dxa"/>
              <w:left w:w="62" w:type="dxa"/>
              <w:bottom w:w="62" w:type="dxa"/>
              <w:right w:w="62" w:type="dxa"/>
            </w:tcMar>
          </w:tcPr>
          <w:p w14:paraId="323AD2CF" w14:textId="77777777" w:rsidR="007F0AE0" w:rsidRPr="00494051" w:rsidRDefault="007F0AE0" w:rsidP="00453DE3">
            <w:pPr>
              <w:spacing w:before="60" w:after="60"/>
              <w:rPr>
                <w:rFonts w:cstheme="minorHAnsi"/>
                <w:sz w:val="18"/>
                <w:szCs w:val="18"/>
              </w:rPr>
            </w:pPr>
            <w:r w:rsidRPr="00494051">
              <w:rPr>
                <w:rFonts w:cstheme="minorHAnsi"/>
                <w:sz w:val="18"/>
                <w:szCs w:val="18"/>
              </w:rPr>
              <w:t>Adult current smokers (≥100 lifetime cigs) and former smokers (≥100 lifetime cigs who quit ≥1 year before survey).</w:t>
            </w:r>
          </w:p>
        </w:tc>
        <w:tc>
          <w:tcPr>
            <w:tcW w:w="1275" w:type="dxa"/>
            <w:tcMar>
              <w:top w:w="62" w:type="dxa"/>
              <w:left w:w="62" w:type="dxa"/>
              <w:bottom w:w="62" w:type="dxa"/>
              <w:right w:w="62" w:type="dxa"/>
            </w:tcMar>
          </w:tcPr>
          <w:p w14:paraId="15B627C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7C140D2E" w14:textId="77777777" w:rsidTr="00453DE3">
        <w:trPr>
          <w:cantSplit/>
        </w:trPr>
        <w:tc>
          <w:tcPr>
            <w:tcW w:w="1843" w:type="dxa"/>
            <w:tcMar>
              <w:top w:w="62" w:type="dxa"/>
              <w:left w:w="62" w:type="dxa"/>
              <w:bottom w:w="62" w:type="dxa"/>
              <w:right w:w="62" w:type="dxa"/>
            </w:tcMar>
          </w:tcPr>
          <w:p w14:paraId="5BF01F95"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43" w:tooltip="Thihalolipavan, 2014 #12" w:history="1">
              <w:r>
                <w:rPr>
                  <w:rFonts w:cstheme="minorHAnsi"/>
                  <w:noProof/>
                  <w:sz w:val="18"/>
                  <w:szCs w:val="18"/>
                </w:rPr>
                <w:t>43</w:t>
              </w:r>
            </w:hyperlink>
            <w:r>
              <w:rPr>
                <w:rFonts w:cstheme="minorHAnsi"/>
                <w:noProof/>
                <w:sz w:val="18"/>
                <w:szCs w:val="18"/>
              </w:rPr>
              <w:t>)</w:t>
            </w:r>
            <w:r w:rsidRPr="00494051">
              <w:rPr>
                <w:rFonts w:cstheme="minorHAnsi"/>
                <w:sz w:val="18"/>
                <w:szCs w:val="18"/>
              </w:rPr>
              <w:fldChar w:fldCharType="end"/>
            </w:r>
          </w:p>
          <w:p w14:paraId="25F8855A"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4A208897" w14:textId="77777777" w:rsidR="007F0AE0" w:rsidRPr="00494051" w:rsidRDefault="007F0AE0" w:rsidP="00453DE3">
            <w:pPr>
              <w:spacing w:before="60" w:after="60"/>
              <w:rPr>
                <w:rFonts w:cstheme="minorHAnsi"/>
                <w:sz w:val="18"/>
                <w:szCs w:val="18"/>
              </w:rPr>
            </w:pPr>
            <w:r w:rsidRPr="00494051">
              <w:rPr>
                <w:rFonts w:cstheme="minorHAnsi"/>
                <w:sz w:val="18"/>
                <w:szCs w:val="18"/>
              </w:rPr>
              <w:t>Poor</w:t>
            </w:r>
          </w:p>
        </w:tc>
        <w:tc>
          <w:tcPr>
            <w:tcW w:w="2126" w:type="dxa"/>
            <w:tcMar>
              <w:top w:w="62" w:type="dxa"/>
              <w:left w:w="62" w:type="dxa"/>
              <w:bottom w:w="62" w:type="dxa"/>
              <w:right w:w="62" w:type="dxa"/>
            </w:tcMar>
          </w:tcPr>
          <w:p w14:paraId="5D24D9DA"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New York; </w:t>
            </w:r>
          </w:p>
          <w:p w14:paraId="69C6679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7B812588"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2489C127" w14:textId="77777777" w:rsidR="007F0AE0" w:rsidRPr="00494051" w:rsidRDefault="007F0AE0" w:rsidP="00453DE3">
            <w:pPr>
              <w:spacing w:before="60" w:after="60"/>
              <w:rPr>
                <w:rFonts w:cstheme="minorHAnsi"/>
                <w:sz w:val="18"/>
                <w:szCs w:val="18"/>
              </w:rPr>
            </w:pPr>
            <w:r w:rsidRPr="00494051">
              <w:rPr>
                <w:rFonts w:cstheme="minorHAnsi"/>
                <w:sz w:val="18"/>
                <w:szCs w:val="18"/>
              </w:rPr>
              <w:t>New York City Nicotine Patch and Gum Program (NPGP), a nicotine replacement therapy giveaway administered to smokers who phoned a toll-free quitline; 2012</w:t>
            </w:r>
          </w:p>
        </w:tc>
        <w:tc>
          <w:tcPr>
            <w:tcW w:w="4820" w:type="dxa"/>
            <w:tcMar>
              <w:top w:w="62" w:type="dxa"/>
              <w:left w:w="62" w:type="dxa"/>
              <w:bottom w:w="62" w:type="dxa"/>
              <w:right w:w="62" w:type="dxa"/>
            </w:tcMar>
          </w:tcPr>
          <w:p w14:paraId="53C3BAA0" w14:textId="77777777" w:rsidR="007F0AE0" w:rsidRPr="00494051" w:rsidRDefault="007F0AE0" w:rsidP="00453DE3">
            <w:pPr>
              <w:spacing w:before="60" w:after="60"/>
              <w:rPr>
                <w:rFonts w:cstheme="minorHAnsi"/>
                <w:sz w:val="18"/>
                <w:szCs w:val="18"/>
              </w:rPr>
            </w:pPr>
            <w:r w:rsidRPr="00494051">
              <w:rPr>
                <w:rFonts w:cstheme="minorHAnsi"/>
                <w:sz w:val="18"/>
                <w:szCs w:val="18"/>
              </w:rPr>
              <w:t>Adult daily smokers in a nicotine replacement therapy giveaway.</w:t>
            </w:r>
          </w:p>
        </w:tc>
        <w:tc>
          <w:tcPr>
            <w:tcW w:w="1275" w:type="dxa"/>
            <w:tcMar>
              <w:top w:w="62" w:type="dxa"/>
              <w:left w:w="62" w:type="dxa"/>
              <w:bottom w:w="62" w:type="dxa"/>
              <w:right w:w="62" w:type="dxa"/>
            </w:tcMar>
          </w:tcPr>
          <w:p w14:paraId="16DB7494"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344C68D3" w14:textId="77777777" w:rsidTr="00453DE3">
        <w:trPr>
          <w:cantSplit/>
        </w:trPr>
        <w:tc>
          <w:tcPr>
            <w:tcW w:w="1843" w:type="dxa"/>
            <w:tcMar>
              <w:top w:w="62" w:type="dxa"/>
              <w:left w:w="62" w:type="dxa"/>
              <w:bottom w:w="62" w:type="dxa"/>
              <w:right w:w="62" w:type="dxa"/>
            </w:tcMar>
          </w:tcPr>
          <w:p w14:paraId="284A9F7D" w14:textId="77777777" w:rsidR="007F0AE0" w:rsidRPr="00494051" w:rsidRDefault="007F0AE0" w:rsidP="00453DE3">
            <w:pPr>
              <w:spacing w:before="60" w:after="60"/>
              <w:rPr>
                <w:rFonts w:cstheme="minorHAnsi"/>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52" w:tooltip="Trinidad, 2010 #58" w:history="1">
              <w:r>
                <w:rPr>
                  <w:rFonts w:cstheme="minorHAnsi"/>
                  <w:noProof/>
                  <w:sz w:val="18"/>
                  <w:szCs w:val="18"/>
                </w:rPr>
                <w:t>52</w:t>
              </w:r>
            </w:hyperlink>
            <w:r>
              <w:rPr>
                <w:rFonts w:cstheme="minorHAnsi"/>
                <w:noProof/>
                <w:sz w:val="18"/>
                <w:szCs w:val="18"/>
              </w:rPr>
              <w:t>)</w:t>
            </w:r>
            <w:r w:rsidRPr="00494051">
              <w:rPr>
                <w:rFonts w:cstheme="minorHAnsi"/>
                <w:sz w:val="18"/>
                <w:szCs w:val="18"/>
              </w:rPr>
              <w:fldChar w:fldCharType="end"/>
            </w:r>
          </w:p>
          <w:p w14:paraId="51D548F7" w14:textId="77777777" w:rsidR="007F0AE0" w:rsidRPr="00494051" w:rsidRDefault="007F0AE0" w:rsidP="00453DE3">
            <w:pPr>
              <w:spacing w:before="60" w:after="60"/>
              <w:rPr>
                <w:rFonts w:cstheme="minorHAnsi"/>
                <w:sz w:val="18"/>
                <w:szCs w:val="18"/>
              </w:rPr>
            </w:pPr>
            <w:r w:rsidRPr="00494051">
              <w:rPr>
                <w:rFonts w:cstheme="minorHAnsi"/>
                <w:sz w:val="18"/>
                <w:szCs w:val="18"/>
              </w:rPr>
              <w:t>TUS-CPS</w:t>
            </w:r>
          </w:p>
          <w:p w14:paraId="7E5CFB4D"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021B56E"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383A0B9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&amp; foundation; </w:t>
            </w:r>
          </w:p>
          <w:p w14:paraId="25DA5B8C"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44F6C13B" w14:textId="77777777" w:rsidR="007F0AE0" w:rsidRPr="00494051" w:rsidRDefault="007F0AE0" w:rsidP="00453DE3">
            <w:pPr>
              <w:spacing w:before="60" w:after="60"/>
              <w:rPr>
                <w:rFonts w:cstheme="minorHAnsi"/>
                <w:sz w:val="18"/>
                <w:szCs w:val="18"/>
              </w:rPr>
            </w:pPr>
            <w:r w:rsidRPr="00494051">
              <w:rPr>
                <w:rFonts w:cstheme="minorHAnsi"/>
                <w:sz w:val="18"/>
                <w:szCs w:val="18"/>
              </w:rPr>
              <w:t>TUS-CPS; 2003, 2006-2007</w:t>
            </w:r>
          </w:p>
        </w:tc>
        <w:tc>
          <w:tcPr>
            <w:tcW w:w="4820" w:type="dxa"/>
            <w:tcMar>
              <w:top w:w="62" w:type="dxa"/>
              <w:left w:w="62" w:type="dxa"/>
              <w:bottom w:w="62" w:type="dxa"/>
              <w:right w:w="62" w:type="dxa"/>
            </w:tcMar>
          </w:tcPr>
          <w:p w14:paraId="495FD730" w14:textId="77777777" w:rsidR="007F0AE0" w:rsidRPr="00494051" w:rsidRDefault="007F0AE0" w:rsidP="00453DE3">
            <w:pPr>
              <w:spacing w:before="60" w:after="60"/>
              <w:rPr>
                <w:rFonts w:cstheme="minorHAnsi"/>
                <w:sz w:val="18"/>
                <w:szCs w:val="18"/>
              </w:rPr>
            </w:pPr>
            <w:r w:rsidRPr="00494051">
              <w:rPr>
                <w:rFonts w:cstheme="minorHAnsi"/>
                <w:sz w:val="18"/>
                <w:szCs w:val="18"/>
              </w:rPr>
              <w:t>Adult ever smokers age 20-65, including current smokers (≥100 lifetime cigs and currently smoke every day or some days) and former smokers (≥100 lifetime cigs and currently smoke not at all).</w:t>
            </w:r>
          </w:p>
        </w:tc>
        <w:tc>
          <w:tcPr>
            <w:tcW w:w="1275" w:type="dxa"/>
            <w:tcMar>
              <w:top w:w="62" w:type="dxa"/>
              <w:left w:w="62" w:type="dxa"/>
              <w:bottom w:w="62" w:type="dxa"/>
              <w:right w:w="62" w:type="dxa"/>
            </w:tcMar>
          </w:tcPr>
          <w:p w14:paraId="7CCF35B5"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1CECE3B6" w14:textId="77777777" w:rsidTr="00453DE3">
        <w:trPr>
          <w:cantSplit/>
        </w:trPr>
        <w:tc>
          <w:tcPr>
            <w:tcW w:w="1843" w:type="dxa"/>
            <w:tcMar>
              <w:top w:w="62" w:type="dxa"/>
              <w:left w:w="62" w:type="dxa"/>
              <w:bottom w:w="62" w:type="dxa"/>
              <w:right w:w="62" w:type="dxa"/>
            </w:tcMar>
          </w:tcPr>
          <w:p w14:paraId="725E3B18" w14:textId="77777777" w:rsidR="007F0AE0" w:rsidRPr="00494051" w:rsidRDefault="007F0AE0" w:rsidP="00453DE3">
            <w:pPr>
              <w:spacing w:before="60" w:after="60"/>
              <w:rPr>
                <w:rFonts w:cstheme="minorHAnsi"/>
                <w:b/>
                <w:sz w:val="18"/>
                <w:szCs w:val="18"/>
              </w:rPr>
            </w:pPr>
            <w:r w:rsidRPr="00494051">
              <w:rPr>
                <w:rFonts w:cstheme="minorHAnsi"/>
                <w:sz w:val="18"/>
                <w:szCs w:val="18"/>
              </w:rPr>
              <w:fldChar w:fldCharType="begin"/>
            </w:r>
            <w:r>
              <w:rPr>
                <w:rFonts w:cstheme="minorHAnsi"/>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494051">
              <w:rPr>
                <w:rFonts w:cstheme="minorHAnsi"/>
                <w:sz w:val="18"/>
                <w:szCs w:val="18"/>
              </w:rPr>
              <w:fldChar w:fldCharType="separate"/>
            </w:r>
            <w:r>
              <w:rPr>
                <w:rFonts w:cstheme="minorHAnsi"/>
                <w:noProof/>
                <w:sz w:val="18"/>
                <w:szCs w:val="18"/>
              </w:rPr>
              <w:t>(</w:t>
            </w:r>
            <w:hyperlink w:anchor="_ENREF_35" w:tooltip="Webb Hooper, 2011 #51" w:history="1">
              <w:r>
                <w:rPr>
                  <w:rFonts w:cstheme="minorHAnsi"/>
                  <w:noProof/>
                  <w:sz w:val="18"/>
                  <w:szCs w:val="18"/>
                </w:rPr>
                <w:t>35</w:t>
              </w:r>
            </w:hyperlink>
            <w:r>
              <w:rPr>
                <w:rFonts w:cstheme="minorHAnsi"/>
                <w:noProof/>
                <w:sz w:val="18"/>
                <w:szCs w:val="18"/>
              </w:rPr>
              <w:t>)</w:t>
            </w:r>
            <w:r w:rsidRPr="00494051">
              <w:rPr>
                <w:rFonts w:cstheme="minorHAnsi"/>
                <w:sz w:val="18"/>
                <w:szCs w:val="18"/>
              </w:rPr>
              <w:fldChar w:fldCharType="end"/>
            </w:r>
          </w:p>
          <w:p w14:paraId="240DFCC2" w14:textId="77777777" w:rsidR="007F0AE0" w:rsidRPr="00494051" w:rsidRDefault="007F0AE0" w:rsidP="00453DE3">
            <w:pPr>
              <w:spacing w:before="60" w:after="60"/>
              <w:rPr>
                <w:rFonts w:cstheme="minorHAnsi"/>
                <w:sz w:val="18"/>
                <w:szCs w:val="18"/>
              </w:rPr>
            </w:pPr>
            <w:r w:rsidRPr="00494051">
              <w:rPr>
                <w:rFonts w:cstheme="minorHAnsi"/>
                <w:sz w:val="18"/>
                <w:szCs w:val="18"/>
              </w:rPr>
              <w:t>BRFSS</w:t>
            </w:r>
          </w:p>
          <w:p w14:paraId="47A66DD3" w14:textId="77777777" w:rsidR="007F0AE0" w:rsidRPr="00494051" w:rsidRDefault="007F0AE0" w:rsidP="00453DE3">
            <w:pPr>
              <w:spacing w:before="60" w:after="60"/>
              <w:rPr>
                <w:rFonts w:cstheme="minorHAnsi"/>
                <w:sz w:val="18"/>
                <w:szCs w:val="18"/>
              </w:rPr>
            </w:pPr>
            <w:r w:rsidRPr="00494051">
              <w:rPr>
                <w:rFonts w:cstheme="minorHAnsi"/>
                <w:sz w:val="18"/>
                <w:szCs w:val="18"/>
              </w:rPr>
              <w:t>Good</w:t>
            </w:r>
          </w:p>
        </w:tc>
        <w:tc>
          <w:tcPr>
            <w:tcW w:w="2126" w:type="dxa"/>
            <w:tcMar>
              <w:top w:w="62" w:type="dxa"/>
              <w:left w:w="62" w:type="dxa"/>
              <w:bottom w:w="62" w:type="dxa"/>
              <w:right w:w="62" w:type="dxa"/>
            </w:tcMar>
          </w:tcPr>
          <w:p w14:paraId="56D01F34"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Florida; </w:t>
            </w:r>
          </w:p>
          <w:p w14:paraId="0949E8C8"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737400CB" w14:textId="77777777" w:rsidR="007F0AE0" w:rsidRPr="00494051" w:rsidRDefault="007F0AE0" w:rsidP="00453DE3">
            <w:pPr>
              <w:spacing w:before="60" w:after="60"/>
              <w:rPr>
                <w:rFonts w:cstheme="minorHAnsi"/>
                <w:sz w:val="18"/>
                <w:szCs w:val="18"/>
              </w:rPr>
            </w:pPr>
            <w:r w:rsidRPr="00494051">
              <w:rPr>
                <w:rFonts w:cstheme="minorHAnsi"/>
                <w:sz w:val="18"/>
                <w:szCs w:val="18"/>
              </w:rPr>
              <w:t>Cross-sectional</w:t>
            </w:r>
          </w:p>
        </w:tc>
        <w:tc>
          <w:tcPr>
            <w:tcW w:w="2977" w:type="dxa"/>
            <w:tcMar>
              <w:top w:w="62" w:type="dxa"/>
              <w:left w:w="62" w:type="dxa"/>
              <w:bottom w:w="62" w:type="dxa"/>
              <w:right w:w="62" w:type="dxa"/>
            </w:tcMar>
          </w:tcPr>
          <w:p w14:paraId="444F582B" w14:textId="77777777" w:rsidR="007F0AE0" w:rsidRPr="00494051" w:rsidRDefault="007F0AE0" w:rsidP="00453DE3">
            <w:pPr>
              <w:spacing w:before="60" w:after="60"/>
              <w:rPr>
                <w:rFonts w:cstheme="minorHAnsi"/>
                <w:sz w:val="18"/>
                <w:szCs w:val="18"/>
              </w:rPr>
            </w:pPr>
            <w:r w:rsidRPr="00494051">
              <w:rPr>
                <w:rFonts w:cstheme="minorHAnsi"/>
                <w:sz w:val="18"/>
                <w:szCs w:val="18"/>
              </w:rPr>
              <w:t>BRFSS subsample from Florida; April 2007 – January 2008</w:t>
            </w:r>
          </w:p>
        </w:tc>
        <w:tc>
          <w:tcPr>
            <w:tcW w:w="4820" w:type="dxa"/>
            <w:tcMar>
              <w:top w:w="62" w:type="dxa"/>
              <w:left w:w="62" w:type="dxa"/>
              <w:bottom w:w="62" w:type="dxa"/>
              <w:right w:w="62" w:type="dxa"/>
            </w:tcMar>
          </w:tcPr>
          <w:p w14:paraId="32F63D2B" w14:textId="77777777" w:rsidR="007F0AE0" w:rsidRPr="00494051" w:rsidRDefault="007F0AE0" w:rsidP="00453DE3">
            <w:pPr>
              <w:spacing w:before="60" w:after="60"/>
              <w:rPr>
                <w:rFonts w:cstheme="minorHAnsi"/>
                <w:sz w:val="18"/>
                <w:szCs w:val="18"/>
              </w:rPr>
            </w:pPr>
            <w:r w:rsidRPr="00494051">
              <w:rPr>
                <w:rFonts w:cstheme="minorHAnsi"/>
                <w:sz w:val="18"/>
                <w:szCs w:val="18"/>
              </w:rPr>
              <w:t>Adult smokers age ≥18 (≥100 lifetime cigs and currently smoking on some days).</w:t>
            </w:r>
          </w:p>
        </w:tc>
        <w:tc>
          <w:tcPr>
            <w:tcW w:w="1275" w:type="dxa"/>
            <w:tcMar>
              <w:top w:w="62" w:type="dxa"/>
              <w:left w:w="62" w:type="dxa"/>
              <w:bottom w:w="62" w:type="dxa"/>
              <w:right w:w="62" w:type="dxa"/>
            </w:tcMar>
          </w:tcPr>
          <w:p w14:paraId="2B956267"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tc>
      </w:tr>
      <w:tr w:rsidR="007F0AE0" w:rsidRPr="00494051" w14:paraId="6CEF5738" w14:textId="77777777" w:rsidTr="00453DE3">
        <w:trPr>
          <w:cantSplit/>
        </w:trPr>
        <w:tc>
          <w:tcPr>
            <w:tcW w:w="1843" w:type="dxa"/>
            <w:tcMar>
              <w:top w:w="62" w:type="dxa"/>
              <w:left w:w="62" w:type="dxa"/>
              <w:bottom w:w="62" w:type="dxa"/>
              <w:right w:w="62" w:type="dxa"/>
            </w:tcMar>
          </w:tcPr>
          <w:p w14:paraId="46E86BDF" w14:textId="77777777" w:rsidR="007F0AE0" w:rsidRPr="00494051" w:rsidRDefault="007F0AE0" w:rsidP="00453DE3">
            <w:pPr>
              <w:spacing w:before="60" w:after="60"/>
              <w:rPr>
                <w:rFonts w:cstheme="minorHAnsi"/>
                <w:sz w:val="18"/>
                <w:szCs w:val="18"/>
              </w:rPr>
            </w:pPr>
            <w:r w:rsidRPr="00494051">
              <w:rPr>
                <w:rFonts w:cstheme="minorHAnsi"/>
                <w:sz w:val="18"/>
                <w:szCs w:val="18"/>
              </w:rPr>
              <w:lastRenderedPageBreak/>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494051">
              <w:rPr>
                <w:rFonts w:cstheme="minorHAnsi"/>
                <w:sz w:val="18"/>
                <w:szCs w:val="18"/>
              </w:rPr>
              <w:fldChar w:fldCharType="separate"/>
            </w:r>
            <w:r>
              <w:rPr>
                <w:rFonts w:cstheme="minorHAnsi"/>
                <w:noProof/>
                <w:sz w:val="18"/>
                <w:szCs w:val="18"/>
              </w:rPr>
              <w:t>(</w:t>
            </w:r>
            <w:hyperlink w:anchor="_ENREF_63" w:tooltip="Winhusen, 2013 #287" w:history="1">
              <w:r>
                <w:rPr>
                  <w:rFonts w:cstheme="minorHAnsi"/>
                  <w:noProof/>
                  <w:sz w:val="18"/>
                  <w:szCs w:val="18"/>
                </w:rPr>
                <w:t>63</w:t>
              </w:r>
            </w:hyperlink>
            <w:r>
              <w:rPr>
                <w:rFonts w:cstheme="minorHAnsi"/>
                <w:noProof/>
                <w:sz w:val="18"/>
                <w:szCs w:val="18"/>
              </w:rPr>
              <w:t>)</w:t>
            </w:r>
            <w:r w:rsidRPr="00494051">
              <w:rPr>
                <w:rFonts w:cstheme="minorHAnsi"/>
                <w:sz w:val="18"/>
                <w:szCs w:val="18"/>
              </w:rPr>
              <w:fldChar w:fldCharType="end"/>
            </w:r>
          </w:p>
          <w:p w14:paraId="5D7F3109" w14:textId="77777777" w:rsidR="007F0AE0" w:rsidRPr="00494051" w:rsidRDefault="007F0AE0" w:rsidP="00453DE3">
            <w:pPr>
              <w:spacing w:before="60" w:after="60"/>
              <w:rPr>
                <w:rFonts w:cstheme="minorHAnsi"/>
                <w:sz w:val="18"/>
                <w:szCs w:val="18"/>
              </w:rPr>
            </w:pPr>
            <w:r w:rsidRPr="00494051">
              <w:rPr>
                <w:rFonts w:cstheme="minorHAnsi"/>
                <w:sz w:val="18"/>
                <w:szCs w:val="18"/>
              </w:rPr>
              <w:t>None</w:t>
            </w:r>
          </w:p>
          <w:p w14:paraId="73891D1A" w14:textId="77777777" w:rsidR="007F0AE0" w:rsidRPr="00494051" w:rsidRDefault="007F0AE0" w:rsidP="00453DE3">
            <w:pPr>
              <w:spacing w:before="60" w:after="60"/>
              <w:rPr>
                <w:rFonts w:cstheme="minorHAnsi"/>
                <w:sz w:val="18"/>
                <w:szCs w:val="18"/>
              </w:rPr>
            </w:pPr>
            <w:r w:rsidRPr="00494051">
              <w:rPr>
                <w:rFonts w:cstheme="minorHAnsi"/>
                <w:sz w:val="18"/>
                <w:szCs w:val="18"/>
              </w:rPr>
              <w:t>Fair</w:t>
            </w:r>
          </w:p>
        </w:tc>
        <w:tc>
          <w:tcPr>
            <w:tcW w:w="2126" w:type="dxa"/>
            <w:tcMar>
              <w:top w:w="62" w:type="dxa"/>
              <w:left w:w="62" w:type="dxa"/>
              <w:bottom w:w="62" w:type="dxa"/>
              <w:right w:w="62" w:type="dxa"/>
            </w:tcMar>
          </w:tcPr>
          <w:p w14:paraId="6E2E71CB"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National; </w:t>
            </w:r>
          </w:p>
          <w:p w14:paraId="06D062A0"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Govt; </w:t>
            </w:r>
          </w:p>
          <w:p w14:paraId="03643A91" w14:textId="77777777" w:rsidR="007F0AE0" w:rsidRPr="00494051" w:rsidRDefault="007F0AE0" w:rsidP="00453DE3">
            <w:pPr>
              <w:spacing w:before="60" w:after="60"/>
              <w:rPr>
                <w:rFonts w:cstheme="minorHAnsi"/>
                <w:sz w:val="18"/>
                <w:szCs w:val="18"/>
              </w:rPr>
            </w:pPr>
            <w:r w:rsidRPr="00494051">
              <w:rPr>
                <w:rFonts w:cstheme="minorHAnsi"/>
                <w:sz w:val="18"/>
                <w:szCs w:val="18"/>
              </w:rPr>
              <w:t>Prospective cohort</w:t>
            </w:r>
          </w:p>
        </w:tc>
        <w:tc>
          <w:tcPr>
            <w:tcW w:w="2977" w:type="dxa"/>
            <w:tcMar>
              <w:top w:w="62" w:type="dxa"/>
              <w:left w:w="62" w:type="dxa"/>
              <w:bottom w:w="62" w:type="dxa"/>
              <w:right w:w="62" w:type="dxa"/>
            </w:tcMar>
          </w:tcPr>
          <w:p w14:paraId="3727871F" w14:textId="77777777" w:rsidR="007F0AE0" w:rsidRPr="00494051" w:rsidRDefault="007F0AE0" w:rsidP="00453DE3">
            <w:pPr>
              <w:spacing w:before="60" w:after="60"/>
              <w:rPr>
                <w:rFonts w:cstheme="minorHAnsi"/>
                <w:sz w:val="18"/>
                <w:szCs w:val="18"/>
              </w:rPr>
            </w:pPr>
            <w:r w:rsidRPr="00494051">
              <w:rPr>
                <w:rFonts w:cstheme="minorHAnsi"/>
                <w:sz w:val="18"/>
                <w:szCs w:val="18"/>
              </w:rPr>
              <w:t>Randomized trial examining substance use disorder treatment with smoking cessation treatment. Participants recruited from one of 12 nationwide outpatient treatment programs; Feb 2010-July 2012</w:t>
            </w:r>
          </w:p>
        </w:tc>
        <w:tc>
          <w:tcPr>
            <w:tcW w:w="4820" w:type="dxa"/>
            <w:tcMar>
              <w:top w:w="62" w:type="dxa"/>
              <w:left w:w="62" w:type="dxa"/>
              <w:bottom w:w="62" w:type="dxa"/>
              <w:right w:w="62" w:type="dxa"/>
            </w:tcMar>
          </w:tcPr>
          <w:p w14:paraId="02777DD1" w14:textId="77777777" w:rsidR="007F0AE0" w:rsidRPr="00494051" w:rsidRDefault="007F0AE0" w:rsidP="00453DE3">
            <w:pPr>
              <w:spacing w:before="60" w:after="60"/>
              <w:rPr>
                <w:rFonts w:cstheme="minorHAnsi"/>
                <w:sz w:val="18"/>
                <w:szCs w:val="18"/>
              </w:rPr>
            </w:pPr>
            <w:r w:rsidRPr="00494051">
              <w:rPr>
                <w:rFonts w:cstheme="minorHAnsi"/>
                <w:sz w:val="18"/>
                <w:szCs w:val="18"/>
              </w:rPr>
              <w:t xml:space="preserve">Adult current smokers (≥7 CPD and </w:t>
            </w:r>
            <w:r>
              <w:rPr>
                <w:rFonts w:cstheme="minorHAnsi"/>
                <w:sz w:val="18"/>
                <w:szCs w:val="18"/>
              </w:rPr>
              <w:t>e</w:t>
            </w:r>
            <w:r w:rsidRPr="00494051">
              <w:rPr>
                <w:rFonts w:cstheme="minorHAnsi"/>
                <w:sz w:val="18"/>
                <w:szCs w:val="18"/>
              </w:rPr>
              <w:t xml:space="preserve">CO ≥8ppm) enrolled in outpatient treatment for cocaine or methamphetamine addiction and are interested in smoking. </w:t>
            </w:r>
          </w:p>
        </w:tc>
        <w:tc>
          <w:tcPr>
            <w:tcW w:w="1275" w:type="dxa"/>
            <w:tcMar>
              <w:top w:w="62" w:type="dxa"/>
              <w:left w:w="62" w:type="dxa"/>
              <w:bottom w:w="62" w:type="dxa"/>
              <w:right w:w="62" w:type="dxa"/>
            </w:tcMar>
          </w:tcPr>
          <w:p w14:paraId="3D226E54" w14:textId="77777777" w:rsidR="007F0AE0" w:rsidRPr="00494051" w:rsidRDefault="007F0AE0" w:rsidP="00453DE3">
            <w:pPr>
              <w:spacing w:before="60" w:after="60"/>
              <w:rPr>
                <w:rFonts w:cstheme="minorHAnsi"/>
                <w:sz w:val="18"/>
                <w:szCs w:val="18"/>
              </w:rPr>
            </w:pPr>
            <w:r w:rsidRPr="00494051">
              <w:rPr>
                <w:rFonts w:cstheme="minorHAnsi"/>
                <w:sz w:val="18"/>
                <w:szCs w:val="18"/>
              </w:rPr>
              <w:t>Cocaine- or methamphetamine-dependent smokers.</w:t>
            </w:r>
          </w:p>
        </w:tc>
      </w:tr>
    </w:tbl>
    <w:p w14:paraId="34F1F3DC" w14:textId="77777777" w:rsidR="007F0AE0" w:rsidRPr="00494051" w:rsidRDefault="007F0AE0" w:rsidP="007F0AE0">
      <w:pPr>
        <w:spacing w:before="60" w:after="120" w:line="240" w:lineRule="auto"/>
        <w:jc w:val="both"/>
        <w:rPr>
          <w:rFonts w:cstheme="minorHAnsi"/>
          <w:b/>
          <w:bCs/>
          <w:sz w:val="18"/>
          <w:szCs w:val="18"/>
        </w:rPr>
      </w:pPr>
      <w:r w:rsidRPr="00494051">
        <w:rPr>
          <w:rFonts w:cstheme="minorHAnsi"/>
          <w:sz w:val="18"/>
          <w:szCs w:val="18"/>
          <w:vertAlign w:val="superscript"/>
        </w:rPr>
        <w:t>a</w:t>
      </w:r>
      <w:r>
        <w:rPr>
          <w:rFonts w:cstheme="minorHAnsi"/>
          <w:sz w:val="18"/>
          <w:szCs w:val="18"/>
          <w:vertAlign w:val="superscript"/>
        </w:rPr>
        <w:t xml:space="preserve"> </w:t>
      </w:r>
      <w:r w:rsidRPr="00494051">
        <w:rPr>
          <w:rFonts w:cstheme="minorHAnsi"/>
          <w:sz w:val="18"/>
          <w:szCs w:val="18"/>
        </w:rPr>
        <w:t xml:space="preserve">Details of sampling and recruitment strategies for the </w:t>
      </w:r>
      <w:r>
        <w:rPr>
          <w:rFonts w:cstheme="minorHAnsi"/>
          <w:sz w:val="18"/>
          <w:szCs w:val="18"/>
        </w:rPr>
        <w:t xml:space="preserve">data sources </w:t>
      </w:r>
      <w:r w:rsidRPr="00494051">
        <w:rPr>
          <w:rFonts w:cstheme="minorHAnsi"/>
          <w:sz w:val="18"/>
          <w:szCs w:val="18"/>
        </w:rPr>
        <w:t xml:space="preserve">can be found in </w:t>
      </w:r>
      <w:r w:rsidRPr="00494051">
        <w:rPr>
          <w:rFonts w:cstheme="minorHAnsi"/>
          <w:b/>
          <w:bCs/>
          <w:sz w:val="18"/>
          <w:szCs w:val="18"/>
        </w:rPr>
        <w:t xml:space="preserve">SUPPLEMENTAL SECTION </w:t>
      </w:r>
      <w:r>
        <w:rPr>
          <w:rFonts w:cstheme="minorHAnsi"/>
          <w:b/>
          <w:bCs/>
          <w:sz w:val="18"/>
          <w:szCs w:val="18"/>
        </w:rPr>
        <w:t>9</w:t>
      </w:r>
      <w:r w:rsidRPr="00494051">
        <w:rPr>
          <w:rFonts w:cstheme="minorHAnsi"/>
          <w:b/>
          <w:bCs/>
          <w:sz w:val="18"/>
          <w:szCs w:val="18"/>
        </w:rPr>
        <w:t>: Evidence Tables, National Survey Details.</w:t>
      </w:r>
    </w:p>
    <w:p w14:paraId="412503C8"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rPr>
        <w:t xml:space="preserve">Abbreviations: ALLTURS=American Legacy Longitudinal Tobacco Use Reduction Study; BRFSS=Behavioral Risk Factor Surveillance System; CARDIA=Coronary Artery Risk Development in Young Adults Study; </w:t>
      </w:r>
      <w:r>
        <w:rPr>
          <w:rFonts w:cstheme="minorHAnsi"/>
          <w:sz w:val="18"/>
          <w:szCs w:val="18"/>
        </w:rPr>
        <w:t>e</w:t>
      </w:r>
      <w:r w:rsidRPr="00494051">
        <w:rPr>
          <w:rFonts w:cstheme="minorHAnsi"/>
          <w:sz w:val="18"/>
          <w:szCs w:val="18"/>
        </w:rPr>
        <w:t>CO=</w:t>
      </w:r>
      <w:r>
        <w:rPr>
          <w:rFonts w:cstheme="minorHAnsi"/>
          <w:sz w:val="18"/>
          <w:szCs w:val="18"/>
        </w:rPr>
        <w:t xml:space="preserve">exhaled </w:t>
      </w:r>
      <w:r w:rsidRPr="00494051">
        <w:rPr>
          <w:rFonts w:cstheme="minorHAnsi"/>
          <w:sz w:val="18"/>
          <w:szCs w:val="18"/>
        </w:rPr>
        <w:t>carbon monoxide; COMMIT=Community Intervention Trial for Smoking Cessation; COPDGene=Chronic Obstructive Pulmonary Disease Gene Study; CPD=cigarettes per day; cigs=cigarettes; Govt=government; HH=household; HMO=health maintenance organization; ITC-4=International Tobacco Control Four Country Survey (U.S. data only); KIS-III=Kick it at Swope III Trial; LYAC=Legacy Young Adult Cohort; NATS=National Adult Tobacco Survey; NHIS=National Health Interview Survey; NHIS-CCS=National Health Interview Survey Cancer Control Supplement; NPGP=New York City Nicotine Patch and Gum Program; NR=not reported; NYAHS=National Young Adult Health Survey; NYTS=National Youth Tobacco Survey; ppm=parts per million; SCCS=Southern Community Cohort Study; TUS-CPS=Tobacco Use Supplement to the Current Population Survey; TV=television; VA=Veterans Health Administration; WSHS=Wisconsin Smokers Health Study.</w:t>
      </w:r>
    </w:p>
    <w:p w14:paraId="440EE6B9" w14:textId="77777777" w:rsidR="007F0AE0" w:rsidRPr="00494051" w:rsidRDefault="007F0AE0" w:rsidP="007F0AE0">
      <w:pPr>
        <w:spacing w:before="60" w:after="120" w:line="240" w:lineRule="auto"/>
        <w:rPr>
          <w:rFonts w:cstheme="minorHAnsi"/>
          <w:sz w:val="16"/>
          <w:szCs w:val="16"/>
        </w:rPr>
        <w:sectPr w:rsidR="007F0AE0" w:rsidRPr="00494051" w:rsidSect="00E9666D">
          <w:pgSz w:w="15840" w:h="12240" w:orient="landscape"/>
          <w:pgMar w:top="1440" w:right="1440" w:bottom="1440" w:left="1440" w:header="720" w:footer="720" w:gutter="0"/>
          <w:cols w:space="720"/>
          <w:titlePg/>
          <w:docGrid w:linePitch="360"/>
        </w:sectPr>
      </w:pPr>
    </w:p>
    <w:p w14:paraId="0AB62399" w14:textId="77777777" w:rsidR="007F0AE0" w:rsidRPr="00494051" w:rsidRDefault="007F0AE0" w:rsidP="007F0AE0">
      <w:pPr>
        <w:pStyle w:val="AppChapterHeading"/>
        <w:outlineLvl w:val="1"/>
        <w:rPr>
          <w:rFonts w:asciiTheme="minorHAnsi" w:hAnsiTheme="minorHAnsi" w:cstheme="minorHAnsi"/>
          <w:sz w:val="22"/>
          <w:szCs w:val="22"/>
        </w:rPr>
      </w:pPr>
      <w:bookmarkStart w:id="20" w:name="_Toc472735598"/>
      <w:r w:rsidRPr="00494051">
        <w:rPr>
          <w:rFonts w:asciiTheme="minorHAnsi" w:hAnsiTheme="minorHAnsi" w:cstheme="minorHAnsi"/>
          <w:sz w:val="22"/>
          <w:szCs w:val="22"/>
        </w:rPr>
        <w:lastRenderedPageBreak/>
        <w:t>Evidence Tables, National Survey Details</w:t>
      </w:r>
      <w:bookmarkEnd w:id="20"/>
      <w:r w:rsidRPr="00494051">
        <w:rPr>
          <w:rFonts w:asciiTheme="minorHAnsi" w:hAnsiTheme="minorHAnsi" w:cstheme="minorHAnsi"/>
          <w:sz w:val="22"/>
          <w:szCs w:val="22"/>
        </w:rPr>
        <w:t xml:space="preserve"> </w:t>
      </w:r>
    </w:p>
    <w:tbl>
      <w:tblPr>
        <w:tblStyle w:val="TableGrid"/>
        <w:tblW w:w="5000" w:type="pct"/>
        <w:tblLook w:val="04A0" w:firstRow="1" w:lastRow="0" w:firstColumn="1" w:lastColumn="0" w:noHBand="0" w:noVBand="1"/>
      </w:tblPr>
      <w:tblGrid>
        <w:gridCol w:w="2500"/>
        <w:gridCol w:w="1588"/>
        <w:gridCol w:w="5262"/>
      </w:tblGrid>
      <w:tr w:rsidR="007F0AE0" w:rsidRPr="00494051" w14:paraId="4F2DB80A" w14:textId="77777777" w:rsidTr="00453DE3">
        <w:tc>
          <w:tcPr>
            <w:tcW w:w="1337" w:type="pct"/>
            <w:shd w:val="clear" w:color="auto" w:fill="44546A" w:themeFill="text2"/>
            <w:vAlign w:val="center"/>
          </w:tcPr>
          <w:p w14:paraId="088056A3" w14:textId="77777777" w:rsidR="007F0AE0" w:rsidRPr="00494051" w:rsidRDefault="007F0AE0" w:rsidP="00453DE3">
            <w:pPr>
              <w:jc w:val="center"/>
              <w:rPr>
                <w:rFonts w:cstheme="minorHAnsi"/>
                <w:b/>
                <w:color w:val="FFFFFF" w:themeColor="background1"/>
                <w:sz w:val="18"/>
                <w:szCs w:val="18"/>
              </w:rPr>
            </w:pPr>
            <w:r w:rsidRPr="00494051">
              <w:rPr>
                <w:rFonts w:cstheme="minorHAnsi"/>
                <w:b/>
                <w:color w:val="FFFFFF" w:themeColor="background1"/>
                <w:sz w:val="18"/>
                <w:szCs w:val="18"/>
              </w:rPr>
              <w:t>Survey Name</w:t>
            </w:r>
          </w:p>
        </w:tc>
        <w:tc>
          <w:tcPr>
            <w:tcW w:w="849" w:type="pct"/>
            <w:shd w:val="clear" w:color="auto" w:fill="44546A" w:themeFill="text2"/>
            <w:vAlign w:val="center"/>
          </w:tcPr>
          <w:p w14:paraId="3E886B94" w14:textId="77777777" w:rsidR="007F0AE0" w:rsidRPr="00494051" w:rsidRDefault="007F0AE0" w:rsidP="00453DE3">
            <w:pPr>
              <w:jc w:val="center"/>
              <w:rPr>
                <w:rFonts w:cstheme="minorHAnsi"/>
                <w:b/>
                <w:color w:val="FFFFFF" w:themeColor="background1"/>
                <w:sz w:val="18"/>
                <w:szCs w:val="18"/>
              </w:rPr>
            </w:pPr>
            <w:r w:rsidRPr="00494051">
              <w:rPr>
                <w:rFonts w:cstheme="minorHAnsi"/>
                <w:b/>
                <w:color w:val="FFFFFF" w:themeColor="background1"/>
                <w:sz w:val="18"/>
                <w:szCs w:val="18"/>
              </w:rPr>
              <w:t>Type of Study (Cross-sectional or Prospective Cohort)</w:t>
            </w:r>
          </w:p>
        </w:tc>
        <w:tc>
          <w:tcPr>
            <w:tcW w:w="2814" w:type="pct"/>
            <w:shd w:val="clear" w:color="auto" w:fill="44546A" w:themeFill="text2"/>
            <w:vAlign w:val="center"/>
          </w:tcPr>
          <w:p w14:paraId="1293E7BB" w14:textId="77777777" w:rsidR="007F0AE0" w:rsidRPr="00494051" w:rsidRDefault="007F0AE0" w:rsidP="00453DE3">
            <w:pPr>
              <w:jc w:val="center"/>
              <w:rPr>
                <w:rFonts w:cstheme="minorHAnsi"/>
                <w:b/>
                <w:color w:val="FFFFFF" w:themeColor="background1"/>
                <w:sz w:val="18"/>
                <w:szCs w:val="18"/>
              </w:rPr>
            </w:pPr>
            <w:r w:rsidRPr="00494051">
              <w:rPr>
                <w:rFonts w:cstheme="minorHAnsi"/>
                <w:b/>
                <w:color w:val="FFFFFF" w:themeColor="background1"/>
                <w:sz w:val="18"/>
                <w:szCs w:val="18"/>
              </w:rPr>
              <w:t>Sampling / Recruitment Strategy</w:t>
            </w:r>
          </w:p>
        </w:tc>
      </w:tr>
      <w:tr w:rsidR="007F0AE0" w:rsidRPr="00494051" w14:paraId="03FA321A" w14:textId="77777777" w:rsidTr="00453DE3">
        <w:tc>
          <w:tcPr>
            <w:tcW w:w="1337" w:type="pct"/>
          </w:tcPr>
          <w:p w14:paraId="27FA3FEF" w14:textId="77777777" w:rsidR="007F0AE0" w:rsidRPr="00494051" w:rsidRDefault="007F0AE0" w:rsidP="00453DE3">
            <w:pPr>
              <w:rPr>
                <w:rFonts w:cstheme="minorHAnsi"/>
                <w:sz w:val="18"/>
                <w:szCs w:val="18"/>
              </w:rPr>
            </w:pPr>
            <w:r w:rsidRPr="00494051">
              <w:rPr>
                <w:rFonts w:cstheme="minorHAnsi"/>
                <w:sz w:val="18"/>
                <w:szCs w:val="18"/>
              </w:rPr>
              <w:t>International Tobacco Control Policy Evaluation Survey (ITCPES) / Tobacco Control Four Country Survey (ITC-4)</w:t>
            </w:r>
          </w:p>
        </w:tc>
        <w:tc>
          <w:tcPr>
            <w:tcW w:w="849" w:type="pct"/>
          </w:tcPr>
          <w:p w14:paraId="467387AB" w14:textId="77777777" w:rsidR="007F0AE0" w:rsidRPr="00494051" w:rsidRDefault="007F0AE0" w:rsidP="00453DE3">
            <w:pPr>
              <w:rPr>
                <w:rFonts w:cstheme="minorHAnsi"/>
                <w:sz w:val="18"/>
                <w:szCs w:val="18"/>
              </w:rPr>
            </w:pPr>
            <w:r w:rsidRPr="00494051">
              <w:rPr>
                <w:rFonts w:cstheme="minorHAnsi"/>
                <w:sz w:val="18"/>
                <w:szCs w:val="18"/>
              </w:rPr>
              <w:t>Prospective cohort</w:t>
            </w:r>
          </w:p>
        </w:tc>
        <w:tc>
          <w:tcPr>
            <w:tcW w:w="2814" w:type="pct"/>
          </w:tcPr>
          <w:p w14:paraId="59288EC6" w14:textId="77777777" w:rsidR="007F0AE0" w:rsidRPr="00494051" w:rsidRDefault="007F0AE0" w:rsidP="00453DE3">
            <w:pPr>
              <w:rPr>
                <w:rFonts w:cstheme="minorHAnsi"/>
                <w:color w:val="000000"/>
                <w:sz w:val="18"/>
                <w:szCs w:val="18"/>
              </w:rPr>
            </w:pPr>
            <w:r w:rsidRPr="00494051">
              <w:rPr>
                <w:rFonts w:cstheme="minorHAnsi"/>
                <w:color w:val="000000"/>
                <w:sz w:val="18"/>
                <w:szCs w:val="18"/>
              </w:rPr>
              <w:t>Random digit dialing to recruit adult smokers from the United States, Canada, the United Kingdom, and Australia. Eight waves have been completed between 2002 and 2011. Only U.S. data are included in this Review.</w:t>
            </w:r>
          </w:p>
        </w:tc>
      </w:tr>
      <w:tr w:rsidR="007F0AE0" w:rsidRPr="00494051" w14:paraId="0B0BF17E" w14:textId="77777777" w:rsidTr="00453DE3">
        <w:tc>
          <w:tcPr>
            <w:tcW w:w="1337" w:type="pct"/>
          </w:tcPr>
          <w:p w14:paraId="3060BFB3" w14:textId="77777777" w:rsidR="007F0AE0" w:rsidRPr="00494051" w:rsidRDefault="007F0AE0" w:rsidP="00453DE3">
            <w:pPr>
              <w:rPr>
                <w:rFonts w:cstheme="minorHAnsi"/>
                <w:sz w:val="18"/>
                <w:szCs w:val="18"/>
              </w:rPr>
            </w:pPr>
            <w:r w:rsidRPr="00494051">
              <w:rPr>
                <w:rFonts w:cstheme="minorHAnsi"/>
                <w:sz w:val="18"/>
                <w:szCs w:val="18"/>
              </w:rPr>
              <w:t>Legacy Young Adult Cohort (LYAC)</w:t>
            </w:r>
          </w:p>
        </w:tc>
        <w:tc>
          <w:tcPr>
            <w:tcW w:w="849" w:type="pct"/>
          </w:tcPr>
          <w:p w14:paraId="0AA70EF9" w14:textId="77777777" w:rsidR="007F0AE0" w:rsidRPr="00494051" w:rsidRDefault="007F0AE0" w:rsidP="00453DE3">
            <w:pPr>
              <w:rPr>
                <w:rFonts w:cstheme="minorHAnsi"/>
                <w:sz w:val="18"/>
                <w:szCs w:val="18"/>
              </w:rPr>
            </w:pPr>
            <w:r w:rsidRPr="00494051">
              <w:rPr>
                <w:rFonts w:cstheme="minorHAnsi"/>
                <w:sz w:val="18"/>
                <w:szCs w:val="18"/>
              </w:rPr>
              <w:t>Prospective cohort</w:t>
            </w:r>
          </w:p>
        </w:tc>
        <w:tc>
          <w:tcPr>
            <w:tcW w:w="2814" w:type="pct"/>
          </w:tcPr>
          <w:p w14:paraId="45F60ADF" w14:textId="77777777" w:rsidR="007F0AE0" w:rsidRPr="00494051" w:rsidRDefault="007F0AE0" w:rsidP="00453DE3">
            <w:pPr>
              <w:rPr>
                <w:rFonts w:cstheme="minorHAnsi"/>
                <w:color w:val="000000"/>
                <w:sz w:val="18"/>
                <w:szCs w:val="18"/>
              </w:rPr>
            </w:pPr>
            <w:r w:rsidRPr="00494051">
              <w:rPr>
                <w:rFonts w:cstheme="minorHAnsi"/>
                <w:color w:val="000000"/>
                <w:sz w:val="18"/>
                <w:szCs w:val="18"/>
              </w:rPr>
              <w:t xml:space="preserve">GfK's KnowledgePanel - an online panel of adults age 18 or older that covers both the online and offline populations in the </w:t>
            </w:r>
            <w:r>
              <w:rPr>
                <w:rFonts w:cstheme="minorHAnsi"/>
                <w:color w:val="000000"/>
                <w:sz w:val="18"/>
                <w:szCs w:val="18"/>
              </w:rPr>
              <w:t>U.S</w:t>
            </w:r>
            <w:r w:rsidRPr="00494051">
              <w:rPr>
                <w:rFonts w:cstheme="minorHAnsi"/>
                <w:color w:val="000000"/>
                <w:sz w:val="18"/>
                <w:szCs w:val="18"/>
              </w:rPr>
              <w:t xml:space="preserve">. Recruited via address-based sampling, a probability-based sampling method that provides statistically valid representation of the U.S. population, including cell-phone only households. Black and Hispanic young adults were oversampled. </w:t>
            </w:r>
          </w:p>
        </w:tc>
      </w:tr>
      <w:tr w:rsidR="007F0AE0" w:rsidRPr="00494051" w14:paraId="5464F338" w14:textId="77777777" w:rsidTr="00453DE3">
        <w:tc>
          <w:tcPr>
            <w:tcW w:w="1337" w:type="pct"/>
          </w:tcPr>
          <w:p w14:paraId="643C3880" w14:textId="77777777" w:rsidR="007F0AE0" w:rsidRPr="00494051" w:rsidRDefault="007F0AE0" w:rsidP="00453DE3">
            <w:pPr>
              <w:rPr>
                <w:rFonts w:cstheme="minorHAnsi"/>
                <w:sz w:val="18"/>
                <w:szCs w:val="18"/>
              </w:rPr>
            </w:pPr>
            <w:r w:rsidRPr="00494051">
              <w:rPr>
                <w:rFonts w:cstheme="minorHAnsi"/>
                <w:sz w:val="18"/>
                <w:szCs w:val="18"/>
              </w:rPr>
              <w:t>National Adult Tobacco Survey (NATS)</w:t>
            </w:r>
          </w:p>
        </w:tc>
        <w:tc>
          <w:tcPr>
            <w:tcW w:w="849" w:type="pct"/>
          </w:tcPr>
          <w:p w14:paraId="75507C82"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2BC58AA7" w14:textId="77777777" w:rsidR="007F0AE0" w:rsidRPr="00494051" w:rsidRDefault="007F0AE0" w:rsidP="00453DE3">
            <w:pPr>
              <w:rPr>
                <w:rFonts w:cstheme="minorHAnsi"/>
                <w:color w:val="000000"/>
                <w:sz w:val="18"/>
                <w:szCs w:val="18"/>
              </w:rPr>
            </w:pPr>
            <w:r w:rsidRPr="00494051">
              <w:rPr>
                <w:rFonts w:cstheme="minorHAnsi"/>
                <w:sz w:val="18"/>
                <w:szCs w:val="18"/>
              </w:rPr>
              <w:t>Stratified, national, landline and cell phone survey of non-institutionalized adults age ≥18 across the 50 states and the District of Columbia; NATS 2012-2013 used a dual frame random digit dialing sample, drawn from landline and cell phone frames.</w:t>
            </w:r>
          </w:p>
        </w:tc>
      </w:tr>
      <w:tr w:rsidR="007F0AE0" w:rsidRPr="00494051" w14:paraId="23E2098F" w14:textId="77777777" w:rsidTr="00453DE3">
        <w:tc>
          <w:tcPr>
            <w:tcW w:w="1337" w:type="pct"/>
          </w:tcPr>
          <w:p w14:paraId="3FD3A148" w14:textId="77777777" w:rsidR="007F0AE0" w:rsidRPr="00494051" w:rsidRDefault="007F0AE0" w:rsidP="00453DE3">
            <w:pPr>
              <w:rPr>
                <w:rFonts w:cstheme="minorHAnsi"/>
                <w:sz w:val="18"/>
                <w:szCs w:val="18"/>
              </w:rPr>
            </w:pPr>
            <w:r w:rsidRPr="00494051">
              <w:rPr>
                <w:rFonts w:cstheme="minorHAnsi"/>
                <w:sz w:val="18"/>
                <w:szCs w:val="18"/>
              </w:rPr>
              <w:t>National Health and Nutrition Examination Survey (NHANES)</w:t>
            </w:r>
          </w:p>
        </w:tc>
        <w:tc>
          <w:tcPr>
            <w:tcW w:w="849" w:type="pct"/>
          </w:tcPr>
          <w:p w14:paraId="34DF1D40"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6E71EEC6" w14:textId="77777777" w:rsidR="007F0AE0" w:rsidRPr="00494051" w:rsidRDefault="007F0AE0" w:rsidP="00453DE3">
            <w:pPr>
              <w:rPr>
                <w:rFonts w:cstheme="minorHAnsi"/>
                <w:color w:val="000000"/>
                <w:sz w:val="18"/>
                <w:szCs w:val="18"/>
              </w:rPr>
            </w:pPr>
            <w:r w:rsidRPr="00494051">
              <w:rPr>
                <w:rFonts w:cstheme="minorHAnsi"/>
                <w:color w:val="000000"/>
                <w:sz w:val="18"/>
                <w:szCs w:val="18"/>
              </w:rPr>
              <w:t xml:space="preserve">Stratified multistage probability sample, civilian non-institutionalized U.S. population. </w:t>
            </w:r>
          </w:p>
        </w:tc>
      </w:tr>
      <w:tr w:rsidR="007F0AE0" w:rsidRPr="00494051" w14:paraId="722639A0" w14:textId="77777777" w:rsidTr="00453DE3">
        <w:tc>
          <w:tcPr>
            <w:tcW w:w="1337" w:type="pct"/>
          </w:tcPr>
          <w:p w14:paraId="31956E85" w14:textId="77777777" w:rsidR="007F0AE0" w:rsidRPr="00494051" w:rsidRDefault="007F0AE0" w:rsidP="00453DE3">
            <w:pPr>
              <w:rPr>
                <w:rFonts w:cstheme="minorHAnsi"/>
                <w:sz w:val="18"/>
                <w:szCs w:val="18"/>
              </w:rPr>
            </w:pPr>
            <w:r w:rsidRPr="00494051">
              <w:rPr>
                <w:rFonts w:cstheme="minorHAnsi"/>
                <w:sz w:val="18"/>
                <w:szCs w:val="18"/>
              </w:rPr>
              <w:t>National Health Interview Survey (NHIS)</w:t>
            </w:r>
          </w:p>
        </w:tc>
        <w:tc>
          <w:tcPr>
            <w:tcW w:w="849" w:type="pct"/>
          </w:tcPr>
          <w:p w14:paraId="4CBDA74D"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22C81DA6" w14:textId="77777777" w:rsidR="007F0AE0" w:rsidRPr="00494051" w:rsidRDefault="007F0AE0" w:rsidP="00453DE3">
            <w:pPr>
              <w:rPr>
                <w:rFonts w:cstheme="minorHAnsi"/>
                <w:color w:val="000000"/>
                <w:sz w:val="18"/>
                <w:szCs w:val="18"/>
              </w:rPr>
            </w:pPr>
            <w:r w:rsidRPr="00494051">
              <w:rPr>
                <w:rFonts w:cstheme="minorHAnsi"/>
                <w:color w:val="000000"/>
                <w:sz w:val="18"/>
                <w:szCs w:val="18"/>
                <w:shd w:val="clear" w:color="auto" w:fill="FFFFFF"/>
              </w:rPr>
              <w:t xml:space="preserve">Cross-sectional household interview; </w:t>
            </w:r>
            <w:r w:rsidRPr="00494051">
              <w:rPr>
                <w:rStyle w:val="apple-converted-space"/>
                <w:rFonts w:cstheme="minorHAnsi"/>
                <w:color w:val="000000"/>
                <w:sz w:val="18"/>
                <w:szCs w:val="18"/>
                <w:shd w:val="clear" w:color="auto" w:fill="FFFFFF"/>
              </w:rPr>
              <w:t xml:space="preserve">stratified </w:t>
            </w:r>
            <w:r w:rsidRPr="00494051">
              <w:rPr>
                <w:rFonts w:cstheme="minorHAnsi"/>
                <w:color w:val="000000"/>
                <w:sz w:val="18"/>
                <w:szCs w:val="18"/>
                <w:shd w:val="clear" w:color="auto" w:fill="FFFFFF"/>
              </w:rPr>
              <w:t>multistage area probability design allows representative sampling of households and non-institutional group quarters.</w:t>
            </w:r>
          </w:p>
        </w:tc>
      </w:tr>
      <w:tr w:rsidR="007F0AE0" w:rsidRPr="00494051" w14:paraId="4A3094EF" w14:textId="77777777" w:rsidTr="00453DE3">
        <w:tc>
          <w:tcPr>
            <w:tcW w:w="1337" w:type="pct"/>
          </w:tcPr>
          <w:p w14:paraId="3F7DA48A" w14:textId="77777777" w:rsidR="007F0AE0" w:rsidRPr="00494051" w:rsidRDefault="007F0AE0" w:rsidP="00453DE3">
            <w:pPr>
              <w:rPr>
                <w:rFonts w:cstheme="minorHAnsi"/>
                <w:sz w:val="18"/>
                <w:szCs w:val="18"/>
              </w:rPr>
            </w:pPr>
            <w:r w:rsidRPr="00494051">
              <w:rPr>
                <w:rFonts w:cstheme="minorHAnsi"/>
                <w:sz w:val="18"/>
                <w:szCs w:val="18"/>
              </w:rPr>
              <w:t>National Health Interview Survey Cancer Control Supplement (NHIS-CCS)</w:t>
            </w:r>
          </w:p>
        </w:tc>
        <w:tc>
          <w:tcPr>
            <w:tcW w:w="849" w:type="pct"/>
          </w:tcPr>
          <w:p w14:paraId="521E0DE2"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66078971" w14:textId="77777777" w:rsidR="007F0AE0" w:rsidRPr="00494051" w:rsidRDefault="007F0AE0" w:rsidP="00453DE3">
            <w:pPr>
              <w:rPr>
                <w:rFonts w:cstheme="minorHAnsi"/>
                <w:color w:val="000000"/>
                <w:sz w:val="18"/>
                <w:szCs w:val="18"/>
              </w:rPr>
            </w:pPr>
            <w:r w:rsidRPr="00494051">
              <w:rPr>
                <w:rFonts w:cstheme="minorHAnsi"/>
                <w:color w:val="000000"/>
                <w:sz w:val="18"/>
                <w:szCs w:val="18"/>
                <w:shd w:val="clear" w:color="auto" w:fill="FFFFFF"/>
              </w:rPr>
              <w:t>Administered in 1992, 2000, 2005, and 2010 as a supplement to the NHIS that assesses issues related to cancer-related behaviors, screening, and risk assessment, including tobacco use and control.</w:t>
            </w:r>
          </w:p>
        </w:tc>
      </w:tr>
      <w:tr w:rsidR="007F0AE0" w:rsidRPr="00494051" w14:paraId="389DF686" w14:textId="77777777" w:rsidTr="00453DE3">
        <w:tc>
          <w:tcPr>
            <w:tcW w:w="1337" w:type="pct"/>
          </w:tcPr>
          <w:p w14:paraId="44CE6958" w14:textId="77777777" w:rsidR="007F0AE0" w:rsidRPr="00494051" w:rsidRDefault="007F0AE0" w:rsidP="00453DE3">
            <w:pPr>
              <w:rPr>
                <w:rFonts w:cstheme="minorHAnsi"/>
                <w:sz w:val="18"/>
                <w:szCs w:val="18"/>
              </w:rPr>
            </w:pPr>
            <w:r w:rsidRPr="00494051">
              <w:rPr>
                <w:rFonts w:cstheme="minorHAnsi"/>
                <w:sz w:val="18"/>
                <w:szCs w:val="18"/>
              </w:rPr>
              <w:t>National Survey on Drug Use and Health (NSDUH)</w:t>
            </w:r>
          </w:p>
        </w:tc>
        <w:tc>
          <w:tcPr>
            <w:tcW w:w="849" w:type="pct"/>
          </w:tcPr>
          <w:p w14:paraId="3DAC2A9D"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10EB941E" w14:textId="77777777" w:rsidR="007F0AE0" w:rsidRPr="00494051" w:rsidRDefault="007F0AE0" w:rsidP="00453DE3">
            <w:pPr>
              <w:rPr>
                <w:rFonts w:cstheme="minorHAnsi"/>
                <w:color w:val="000000"/>
                <w:sz w:val="18"/>
                <w:szCs w:val="18"/>
              </w:rPr>
            </w:pPr>
            <w:r w:rsidRPr="00494051">
              <w:rPr>
                <w:rFonts w:cstheme="minorHAnsi"/>
                <w:color w:val="000000"/>
                <w:sz w:val="18"/>
                <w:szCs w:val="18"/>
              </w:rPr>
              <w:t>Stratified multistage probability sample, civilian non-institutionalized U.S. population.</w:t>
            </w:r>
          </w:p>
        </w:tc>
      </w:tr>
      <w:tr w:rsidR="007F0AE0" w:rsidRPr="00494051" w14:paraId="70ACC1F5" w14:textId="77777777" w:rsidTr="00453DE3">
        <w:tc>
          <w:tcPr>
            <w:tcW w:w="1337" w:type="pct"/>
          </w:tcPr>
          <w:p w14:paraId="1F07524A" w14:textId="77777777" w:rsidR="007F0AE0" w:rsidRPr="00494051" w:rsidRDefault="007F0AE0" w:rsidP="00453DE3">
            <w:pPr>
              <w:rPr>
                <w:rFonts w:cstheme="minorHAnsi"/>
                <w:sz w:val="18"/>
                <w:szCs w:val="18"/>
              </w:rPr>
            </w:pPr>
            <w:r w:rsidRPr="00494051">
              <w:rPr>
                <w:rFonts w:cstheme="minorHAnsi"/>
                <w:sz w:val="18"/>
                <w:szCs w:val="18"/>
              </w:rPr>
              <w:t>National Young Adult Health Survey (NYAHS)</w:t>
            </w:r>
          </w:p>
        </w:tc>
        <w:tc>
          <w:tcPr>
            <w:tcW w:w="849" w:type="pct"/>
          </w:tcPr>
          <w:p w14:paraId="76ECB207"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7176ABE1" w14:textId="77777777" w:rsidR="007F0AE0" w:rsidRPr="00494051" w:rsidRDefault="007F0AE0" w:rsidP="00453DE3">
            <w:pPr>
              <w:rPr>
                <w:rFonts w:cstheme="minorHAnsi"/>
                <w:color w:val="000000"/>
                <w:sz w:val="18"/>
                <w:szCs w:val="18"/>
              </w:rPr>
            </w:pPr>
            <w:r w:rsidRPr="00494051">
              <w:rPr>
                <w:rFonts w:cstheme="minorHAnsi"/>
                <w:sz w:val="18"/>
                <w:szCs w:val="18"/>
              </w:rPr>
              <w:t>Stratified random-digit-dial cell phone survey representative of young adults in the USA.</w:t>
            </w:r>
          </w:p>
        </w:tc>
      </w:tr>
      <w:tr w:rsidR="007F0AE0" w:rsidRPr="00494051" w14:paraId="4831EB3A" w14:textId="77777777" w:rsidTr="00453DE3">
        <w:tc>
          <w:tcPr>
            <w:tcW w:w="1337" w:type="pct"/>
          </w:tcPr>
          <w:p w14:paraId="2E99D183" w14:textId="77777777" w:rsidR="007F0AE0" w:rsidRPr="00494051" w:rsidRDefault="007F0AE0" w:rsidP="00453DE3">
            <w:pPr>
              <w:rPr>
                <w:rFonts w:cstheme="minorHAnsi"/>
                <w:sz w:val="18"/>
                <w:szCs w:val="18"/>
              </w:rPr>
            </w:pPr>
            <w:r w:rsidRPr="00494051">
              <w:rPr>
                <w:rFonts w:cstheme="minorHAnsi"/>
                <w:sz w:val="18"/>
                <w:szCs w:val="18"/>
              </w:rPr>
              <w:t>National Youth Smoking Cessation Survey (NYSCS)</w:t>
            </w:r>
          </w:p>
        </w:tc>
        <w:tc>
          <w:tcPr>
            <w:tcW w:w="849" w:type="pct"/>
          </w:tcPr>
          <w:p w14:paraId="5E074BA8" w14:textId="77777777" w:rsidR="007F0AE0" w:rsidRPr="00494051" w:rsidRDefault="007F0AE0" w:rsidP="00453DE3">
            <w:pPr>
              <w:rPr>
                <w:rFonts w:cstheme="minorHAnsi"/>
                <w:sz w:val="18"/>
                <w:szCs w:val="18"/>
              </w:rPr>
            </w:pPr>
            <w:r w:rsidRPr="00494051">
              <w:rPr>
                <w:rFonts w:cstheme="minorHAnsi"/>
                <w:sz w:val="18"/>
                <w:szCs w:val="18"/>
              </w:rPr>
              <w:t>Prospective cohort</w:t>
            </w:r>
          </w:p>
        </w:tc>
        <w:tc>
          <w:tcPr>
            <w:tcW w:w="2814" w:type="pct"/>
          </w:tcPr>
          <w:p w14:paraId="58EE474B" w14:textId="77777777" w:rsidR="007F0AE0" w:rsidRPr="00494051" w:rsidRDefault="007F0AE0" w:rsidP="00453DE3">
            <w:pPr>
              <w:rPr>
                <w:rFonts w:cstheme="minorHAnsi"/>
                <w:color w:val="000000"/>
                <w:sz w:val="18"/>
                <w:szCs w:val="18"/>
              </w:rPr>
            </w:pPr>
            <w:r w:rsidRPr="00494051">
              <w:rPr>
                <w:rFonts w:cstheme="minorHAnsi"/>
                <w:sz w:val="18"/>
                <w:szCs w:val="18"/>
              </w:rPr>
              <w:t xml:space="preserve">Random-digit-dialed computer-assisted telephone survey administered in 2003 to smokers aged 16-24 years old. </w:t>
            </w:r>
          </w:p>
        </w:tc>
      </w:tr>
      <w:tr w:rsidR="007F0AE0" w:rsidRPr="00494051" w14:paraId="296B5FAE" w14:textId="77777777" w:rsidTr="00453DE3">
        <w:tc>
          <w:tcPr>
            <w:tcW w:w="1337" w:type="pct"/>
          </w:tcPr>
          <w:p w14:paraId="3E19E7E3" w14:textId="77777777" w:rsidR="007F0AE0" w:rsidRPr="00494051" w:rsidRDefault="007F0AE0" w:rsidP="00453DE3">
            <w:pPr>
              <w:rPr>
                <w:rFonts w:cstheme="minorHAnsi"/>
                <w:sz w:val="18"/>
                <w:szCs w:val="18"/>
              </w:rPr>
            </w:pPr>
            <w:r w:rsidRPr="00494051">
              <w:rPr>
                <w:rFonts w:cstheme="minorHAnsi"/>
                <w:sz w:val="18"/>
                <w:szCs w:val="18"/>
              </w:rPr>
              <w:t>National Youth Tobacco Survey (NYTS)</w:t>
            </w:r>
          </w:p>
        </w:tc>
        <w:tc>
          <w:tcPr>
            <w:tcW w:w="849" w:type="pct"/>
          </w:tcPr>
          <w:p w14:paraId="02E1C4D0"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2A480EC5" w14:textId="77777777" w:rsidR="007F0AE0" w:rsidRPr="00494051" w:rsidRDefault="007F0AE0" w:rsidP="00453DE3">
            <w:pPr>
              <w:rPr>
                <w:rFonts w:cstheme="minorHAnsi"/>
                <w:color w:val="000000"/>
                <w:sz w:val="18"/>
                <w:szCs w:val="18"/>
              </w:rPr>
            </w:pPr>
            <w:r w:rsidRPr="00494051">
              <w:rPr>
                <w:rFonts w:cstheme="minorHAnsi"/>
                <w:color w:val="000000"/>
                <w:sz w:val="18"/>
                <w:szCs w:val="18"/>
              </w:rPr>
              <w:t xml:space="preserve">The NYTS is a nationally representative sample of students enrolled in grades 6 through 12. The sampling universe consists of public and private school students in the 50 states and the District of Columbia. Primary sampling units, are selected with probability proportional to the student enrollment in the PSU but giving disproportionate weight to Black, Asian, and Hispanic students. All students present in a selected classroom on the day of the interview are selected for the study. </w:t>
            </w:r>
          </w:p>
        </w:tc>
      </w:tr>
      <w:tr w:rsidR="007F0AE0" w:rsidRPr="00494051" w14:paraId="409C35D8" w14:textId="77777777" w:rsidTr="00453DE3">
        <w:tc>
          <w:tcPr>
            <w:tcW w:w="1337" w:type="pct"/>
          </w:tcPr>
          <w:p w14:paraId="174264F7" w14:textId="77777777" w:rsidR="007F0AE0" w:rsidRPr="00494051" w:rsidRDefault="007F0AE0" w:rsidP="00453DE3">
            <w:pPr>
              <w:rPr>
                <w:rFonts w:cstheme="minorHAnsi"/>
                <w:sz w:val="18"/>
                <w:szCs w:val="18"/>
              </w:rPr>
            </w:pPr>
            <w:r w:rsidRPr="00494051">
              <w:rPr>
                <w:rFonts w:cstheme="minorHAnsi"/>
                <w:sz w:val="18"/>
                <w:szCs w:val="18"/>
              </w:rPr>
              <w:t>Tobacco Use Supplement to the Current Population Survey (TUS-CPS)</w:t>
            </w:r>
          </w:p>
        </w:tc>
        <w:tc>
          <w:tcPr>
            <w:tcW w:w="849" w:type="pct"/>
          </w:tcPr>
          <w:p w14:paraId="69280788" w14:textId="77777777" w:rsidR="007F0AE0" w:rsidRPr="00494051" w:rsidRDefault="007F0AE0" w:rsidP="00453DE3">
            <w:pPr>
              <w:rPr>
                <w:rFonts w:cstheme="minorHAnsi"/>
                <w:sz w:val="18"/>
                <w:szCs w:val="18"/>
              </w:rPr>
            </w:pPr>
            <w:r w:rsidRPr="00494051">
              <w:rPr>
                <w:rFonts w:cstheme="minorHAnsi"/>
                <w:sz w:val="18"/>
                <w:szCs w:val="18"/>
              </w:rPr>
              <w:t>Cross-sectional</w:t>
            </w:r>
          </w:p>
        </w:tc>
        <w:tc>
          <w:tcPr>
            <w:tcW w:w="2814" w:type="pct"/>
          </w:tcPr>
          <w:p w14:paraId="3FB5E843" w14:textId="77777777" w:rsidR="007F0AE0" w:rsidRPr="00494051" w:rsidRDefault="007F0AE0" w:rsidP="00453DE3">
            <w:pPr>
              <w:rPr>
                <w:rFonts w:cstheme="minorHAnsi"/>
                <w:color w:val="000000"/>
                <w:sz w:val="18"/>
                <w:szCs w:val="18"/>
              </w:rPr>
            </w:pPr>
            <w:r w:rsidRPr="00494051">
              <w:rPr>
                <w:rFonts w:cstheme="minorHAnsi"/>
                <w:color w:val="000000"/>
                <w:sz w:val="18"/>
                <w:szCs w:val="18"/>
              </w:rPr>
              <w:t>Stratified multistage probability sample, civilian non-institutionalized U.S. population.</w:t>
            </w:r>
          </w:p>
        </w:tc>
      </w:tr>
    </w:tbl>
    <w:p w14:paraId="43CA81B3" w14:textId="77777777" w:rsidR="007F0AE0" w:rsidRPr="00494051" w:rsidRDefault="007F0AE0" w:rsidP="007F0AE0">
      <w:pPr>
        <w:rPr>
          <w:rFonts w:cstheme="minorHAnsi"/>
          <w:sz w:val="18"/>
          <w:szCs w:val="18"/>
        </w:rPr>
      </w:pPr>
    </w:p>
    <w:p w14:paraId="4ADE8EE3" w14:textId="77777777" w:rsidR="007F0AE0" w:rsidRDefault="007F0AE0" w:rsidP="007F0AE0">
      <w:pPr>
        <w:rPr>
          <w:rFonts w:cstheme="minorHAnsi"/>
          <w:b/>
        </w:rPr>
      </w:pPr>
      <w:r>
        <w:rPr>
          <w:rFonts w:cstheme="minorHAnsi"/>
          <w:b/>
        </w:rPr>
        <w:br w:type="page"/>
      </w:r>
    </w:p>
    <w:p w14:paraId="571C72A8" w14:textId="77777777" w:rsidR="007F0AE0" w:rsidRPr="000F3C17" w:rsidRDefault="007F0AE0" w:rsidP="007F0AE0">
      <w:pPr>
        <w:spacing w:after="240" w:line="240" w:lineRule="auto"/>
        <w:jc w:val="center"/>
      </w:pPr>
      <w:r>
        <w:rPr>
          <w:rFonts w:cstheme="minorHAnsi"/>
          <w:b/>
        </w:rPr>
        <w:lastRenderedPageBreak/>
        <w:t>REFERENCES</w:t>
      </w:r>
    </w:p>
    <w:p w14:paraId="796768D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fldChar w:fldCharType="begin"/>
      </w:r>
      <w:r w:rsidRPr="000F3C17">
        <w:rPr>
          <w:rFonts w:ascii="Calibri" w:hAnsi="Calibri" w:cs="Calibri"/>
          <w:noProof/>
        </w:rPr>
        <w:instrText xml:space="preserve"> ADDIN EN.REFLIST </w:instrText>
      </w:r>
      <w:r w:rsidRPr="000F3C17">
        <w:rPr>
          <w:rFonts w:ascii="Calibri" w:hAnsi="Calibri" w:cs="Calibri"/>
          <w:noProof/>
        </w:rPr>
        <w:fldChar w:fldCharType="separate"/>
      </w:r>
      <w:r w:rsidRPr="000F3C17">
        <w:rPr>
          <w:rFonts w:ascii="Calibri" w:hAnsi="Calibri" w:cs="Calibri"/>
          <w:noProof/>
        </w:rPr>
        <w:t>Alexander, L.A., Crawford, T., Mendiondo, M.S., 2010. Occupational status, work-site cessation programs and policies and menthol smoking on quitting behaviors of US smokers. Addiction 105 Suppl 1, 95-104.</w:t>
      </w:r>
    </w:p>
    <w:p w14:paraId="0F2E5A8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Berg, C.J., Thomas, J.L., Guo, H., An, L.C., Okuyemi, K.S., Collins, T.C., Ahluwalia, J.S., 2010. Predictors of smoking reduction among Blacks. Nicotine Tob Res 12(4), 423-431.</w:t>
      </w:r>
    </w:p>
    <w:p w14:paraId="00538CB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Blot, W.J., Cohen, S.S., Aldrich, M., McLaughlin, J.K., Hargreaves, M.K., Signorello, L.B., 2011. Lung cancer risk among smokers of menthol cigarettes. J Natl Cancer Inst 103(10), 810-816.</w:t>
      </w:r>
    </w:p>
    <w:p w14:paraId="204B022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Brooks, D.R., Palmer, J.R., Strom, B.L., Rosenberg, L., 2003. Menthol cigarettes and risk of lung cancer. Am J Epidemiol 158(7), 609-616; discussion 617-620.</w:t>
      </w:r>
    </w:p>
    <w:p w14:paraId="789D932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Cropsey, K.L., Weaver, M.F., Eldridge, G.D., Villalobos, G.C., Best, A.M., Stitzer, M.L., 2009. Differential success rates in racial groups: results of a clinical trial of smoking cessation among female prisoners. Nicotine Tob Res 11(6), 690-697.</w:t>
      </w:r>
    </w:p>
    <w:p w14:paraId="50239F0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Cubbin, C., Soobader, M.J., LeClere, F.B., 2010. The intersection of gender and race/ethnicity in smoking behaviors among menthol and non-menthol smokers in the United States. Addiction 105 Suppl 1, 32-38.</w:t>
      </w:r>
    </w:p>
    <w:p w14:paraId="0199AC0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D'Silva, J., Boyle, R.G., Lien, R., Rode, P., Okuyemi, K.S., 2012. Cessation outcomes among treatment-seeking menthol and nonmenthol smokers. Am J Prev Med 43(5 Suppl 3), S242-248.</w:t>
      </w:r>
    </w:p>
    <w:p w14:paraId="7F69A7D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1358C36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Echeverria, S.E., Steinberg, M.B., 2011. Smoking-cessation prevalence among U.S. smokers of menthol versus non-menthol cigarettes. Am J Prev Med 41(4), 357-365.</w:t>
      </w:r>
    </w:p>
    <w:p w14:paraId="4F4CA21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Villanti, A.C., Wackowski, O.A., Gundersen, D.A., Giovenco, D.P., 2015. The influence of menthol, e-cigarettes and other tobacco products on young adults' self-reported changes in past year smoking. Tob Control.</w:t>
      </w:r>
    </w:p>
    <w:p w14:paraId="49F2AF6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Augustson, E., Backinger, C.L., O'Connell, M.E., Vollinger, R.E., Jr., Kaufman, A., Gibson, J.T., 2007. Quit attempts and intention to quit cigarette smoking among young adults in the United States. Am J Public Health 97(8), 1412-1420.</w:t>
      </w:r>
    </w:p>
    <w:p w14:paraId="7E410AD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Moolchan, E.T., Hart, A., Jr., Rose, A., Lawrence, D., Shavers, V.L., Gibson, J.T., 2010. Nicotine dependence and quitting behaviors among menthol and non-menthol smokers with similar consumptive patterns. Addiction 105 Suppl 1, 55-74.</w:t>
      </w:r>
    </w:p>
    <w:p w14:paraId="2048D76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Pohkrel, P., Herzog, T., Pagano, I., Vallone, D., Trinidad, D.R., Sakuma, K.L., Sterling, K., Fryer, C.S., Moolchan, E., 2015. Comparisons of three nicotine dependence scales in a multiethnic sample of young adult menthol and non-menthol smokers. Drug Alcohol Depend 149, 203-211.</w:t>
      </w:r>
    </w:p>
    <w:p w14:paraId="257D793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Faseru, B., Choi, W.S., Krebill, R., Mayo, M.S., Nollen, N.L., Okuyemi, K.S., Ahluwalia, J.S., Cox, L.S., 2011. Factors associated with smoking menthol cigarettes among treatment-seeking African American light smokers. Addict Behav 36(12), 1321-1324.</w:t>
      </w:r>
    </w:p>
    <w:p w14:paraId="599F2BA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Faseru, B., Nollen, N.L., Mayo, M.S., Krebill, R., Choi, W.S., Benowitz, N.L., Tyndale, R.F., Okuyemi, K.S., Ahluwalia, J.S., Sanderson Cox, L., 2013. Predictors of cessation in African American light smokers enrolled in a bupropion clinical trial. Addict Behav 38(3), 1796-1803.</w:t>
      </w:r>
    </w:p>
    <w:p w14:paraId="4A5ACA9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Foulds, J., Gandhi, K.K., Steinberg, M.B., Richardson, D.L., Williams, J.M., Burke, M.V., Rhoads, G.G., 2006. Factors associated with quitting smoking at a tobacco dependence treatment clinic. Am J Health Behav 30(4), 400-412.</w:t>
      </w:r>
    </w:p>
    <w:p w14:paraId="181AAE5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Fu, S.S., Okuyemi, K.S., Partin, M.R., Ahluwalia, J.S., Nelson, D.B., Clothier, B.A., Joseph, A.M., 2008. Menthol cigarettes and smoking cessation during an aided quit attempt. Nicotine Tob Res 10(3), 457-462.</w:t>
      </w:r>
    </w:p>
    <w:p w14:paraId="529E1A6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Gandhi, K.K., Foulds, J., Steinberg, M.B., Lu, S.E., Williams, J.M., 2009. Lower quit rates among African American and Latino menthol cigarette smokers at a tobacco treatment clinic. Int J Clin Pract 63(3), 360-367.</w:t>
      </w:r>
    </w:p>
    <w:p w14:paraId="1667345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Gubner, N.R., Williams, D.D., Pagano, A., Campbell, B.K., Guydish, J., 2018. Menthol cigarette smoking among individuals in treatment for substance use disorders. Addictive behaviors 80, 135-141.</w:t>
      </w:r>
    </w:p>
    <w:p w14:paraId="104EAD9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Gundersen, D.A., Delnevo, C.D., Wackowski, O., 2009. Exploring the relationship between race/ethnicity, menthol smoking, and cessation, in a nationally representative sample of adults. Prev Med 49(6), 553-557.</w:t>
      </w:r>
    </w:p>
    <w:p w14:paraId="3565589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Harris, K.J., Okuyemi, K.S., Catley, D., Mayo, M.S., Ge, B., Ahluwalia, J.S., 2004. Predictors of smoking cessation among African-Americans enrolled in a randomized controlled trial of bupropion. Prev Med 38(4), 498-502.</w:t>
      </w:r>
    </w:p>
    <w:p w14:paraId="0C0536B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Hersey, J.C., Ng, S.W., Nonnemaker, J.M., Mowery, P., Thomas, K.Y., Vilsaint, M.C., Allen, J.A., Haviland, M.L., 2006. Are menthol cigarettes a starter product for youth? Nicotine Tob Res 8(3), 403-413.</w:t>
      </w:r>
    </w:p>
    <w:p w14:paraId="3F10960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Garten, S., Giovino, G.A., Cummings, K.M., 2002. Mentholated cigarettes and smoking cessation: Findings from COMMIT. Tob Control 11, 135-139.</w:t>
      </w:r>
    </w:p>
    <w:p w14:paraId="7A58169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Rivard, C., 2010. Analysis of mentholated cigarettes using the COMMIT data -- summary. Department of Health Behavior, Roswell Park Cancer Institute.</w:t>
      </w:r>
    </w:p>
    <w:p w14:paraId="20681B8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Jarvik, M.E., Tashkin, D.P., Caskey, N.H., McCarthy, W.J., Rosenblatt, M.R., 1994. Mentholated cigarettes decrease puff volume of smoke and increase carbon monoxide absorption. Physiol Behav 56(3), 563-570.</w:t>
      </w:r>
    </w:p>
    <w:p w14:paraId="54F45D4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Kahende, J.W., Malarcher, A.M., Teplinskaya, A., Asman, K.J., 2011. Quit attempt correlates among smokers by race/ethnicity. International journal of environmental research and public health 8(10), 3871-3888.</w:t>
      </w:r>
    </w:p>
    <w:p w14:paraId="3DAC8F0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Kanyuch, J.A., Bercz, P.A., Chang, J., Martinez, F.J., Criner, G.J., Lawrence, M.J., Tomko, P.A., Foreman, M.G., Silverman, E., Crapo, J.D., Sciurba, F.C., Investigators, C., 2011. Menthol cigarette use among African Americans associated with persistent tobacco use. Am J Respir Crit Care Med, p. A4568.</w:t>
      </w:r>
    </w:p>
    <w:p w14:paraId="1FF86FB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Kasza, K.A., Hyland, A.J., Bansal-Travers, M., Vogl, L.M., Chen, J., Evans, S.E., Fong, G.T., Cummings, K.M., O'Connor, R.J., 2014. Switching between menthol and nonmenthol cigarettes: findings from the U.S. Cohort of the International Tobacco Control Four Country Survey. Nicotine Tob Res 16(9), 1255-1265.</w:t>
      </w:r>
    </w:p>
    <w:p w14:paraId="18E192D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 Yao, T., Ong, M.K., Sung, H.-Y., 2017. The Association of Menthol Cigarette Use With Quit Attempts, Successful Cessation, and Intention to Quit Across Racial/Ethnic Groups in the United States. Nicotine &amp; tobacco research : official journal of the Society for Research on Nicotine and Tobacco 19(12), 1450-1464.</w:t>
      </w:r>
    </w:p>
    <w:p w14:paraId="20CB557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V.B., Yao, T., Wang, Y., Ong, M.K., Sung, H.-Y., 2018. Effects of cigarette prices on intention to quit, quit attempts, and successful cessation among African American smokers. Nicotine &amp; tobacco research : official journal of the Society for Research on Nicotine and Tobacco.</w:t>
      </w:r>
    </w:p>
    <w:p w14:paraId="339B814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King, A., Cao, D., Matthews, A., 2011. Influence of menthol use on smoking cessation outcomes in a smoking cessation treatment program.</w:t>
      </w:r>
    </w:p>
    <w:p w14:paraId="6FBAD3E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Levy, D.T., Blackman, K., Tauras, J., Chaloupka, F.J., Villanti, A.C., Niaura, R.S., Vallone, D.M., Abrams, D.B., 2011. Quit attempts and quit rates among menthol and nonmenthol smokers in the United States. Am J Public Health 101(7), 1241-1247.</w:t>
      </w:r>
    </w:p>
    <w:p w14:paraId="6D60730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282A98A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Mendiondo, M.S., Alexander, L.A., Crawford, T., 2010. Health profile differences for menthol and non-menthol smokers: findings from the National Health Interview Survey. Addiction 105 Suppl 1, 124-140.</w:t>
      </w:r>
    </w:p>
    <w:p w14:paraId="052F444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Miller, G.E., Jarvik, M.E., Caskey, N.H., Segerstrom, S.C., Rosenblatt, M.R., McCarthy, W.J., 1994. Cigarette mentholation increases smokers' exhaled carbon monoxide levels. Exp Clin Psychopharm 2(2), 154-160.</w:t>
      </w:r>
    </w:p>
    <w:p w14:paraId="015AB96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Muench, C., Juliano, L.M., 2017. Predictors of smoking lapse during a 48-hour laboratory analogue smoking cessation attempt. Psychology of addictive behaviors : journal of the Society of Psychologists in Addictive Behaviors 31(4), 415-422.</w:t>
      </w:r>
    </w:p>
    <w:p w14:paraId="1086551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Murray, R.P., Connett, J.E., Skeans, M.A., Tashkin, D.P., 2007. Menthol cigarettes and health risks in Lung Health Study data. Nicotine Tob Res 9(1), 101-107.</w:t>
      </w:r>
    </w:p>
    <w:p w14:paraId="0C7B3C8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Muscat, J.E., Richie, J.P., Jr., Stellman, S.D., 2002. Mentholated cigarettes and smoking habits in whites and blacks. Tob Control 11, 368-371.</w:t>
      </w:r>
    </w:p>
    <w:p w14:paraId="6ECEF9D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Nonnemaker, J., Hersey, J., Homsi, G., Busey, A., Allen, J., Vallone, D., 2012. Initiation with menthol cigarettes and youth smoking uptake. Addiction 108(1), 171-178.</w:t>
      </w:r>
    </w:p>
    <w:p w14:paraId="1552FAD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O'Connor, R.J., Bansal-Travers, M., Carter, L.P., Cummings, K.M., 2012. What would menthol smokers do if menthol in cigarettes were banned? Behavioral intentions and simulated demand. Addiction 107(7), 1330-1338.</w:t>
      </w:r>
    </w:p>
    <w:p w14:paraId="2B6EE56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Ahluwalia, J.S., Ebersole-Robinson, M., Catley, D., Mayo, M.S., Resnicow, K., 2003. Does menthol attenuate the effect of bupropion among African American smokers? Addiction 98, 1387-1393.</w:t>
      </w:r>
    </w:p>
    <w:p w14:paraId="5863503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Ebersole-Robinson, M., Nazir, N., Ahluwalia, J.S., 2004. African-American menthol and nonmenthol smokers: Differences in smoking and cessation experiences. J Natl Med Assoc 96(9), 1208-1211.</w:t>
      </w:r>
    </w:p>
    <w:p w14:paraId="7509703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Faseru, B., Sanderson Cox, L., Bronars, C.A., Ahluwalia, J.S., 2007. Relationship between menthol cigarettes and smoking cessation among African American light smokers. Addiction 102(12), 1979-1986.</w:t>
      </w:r>
    </w:p>
    <w:p w14:paraId="0622380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Park, J.-Y., 2017. Tobacco use behaviors among vulnerable populations. Dissertation Abstracts International: Section B: The Sciences and Engineering 77(12-B(E)), No-Specified.</w:t>
      </w:r>
    </w:p>
    <w:p w14:paraId="69CC6D2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2011. Public reaction to potential food and drug administration actions under the family smoking prevention and tobacco control act: Regulating e-cigarettes, banning menthol, and reducing cigarette nicotine content. Johns Hopkins University, p. 142.</w:t>
      </w:r>
    </w:p>
    <w:p w14:paraId="6283B69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Abrams, D.B., Niaura, R.S., Richardson, A., Vallone, D., 2012. A ban on menthol cigarettes: Impact on public opinion and smokers' intention to quit. Am J Public Health 102(11), e107-e114.</w:t>
      </w:r>
    </w:p>
    <w:p w14:paraId="71FFFD9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Pletcher, M.J., Hulley, B.J., Houston, T., Kiefe, C.I., Benowitz, N., Sidney, S., 2006. Menthol cigarettes, smoking cessation, atherosclerosis, and pulmonary function: the Coronary Artery Risk Development in Young Adults (CARDIA) Study. Arch Intern Med 166, 1915-1922.</w:t>
      </w:r>
    </w:p>
    <w:p w14:paraId="04B0820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Rath, J.M., Villanti, A.C., Williams, V.F., Richardson, A., Pearson, J.L., Vallone, D.M., 2015. Patterns of Longitudinal Transitions in Menthol Use Among US Young Adult Smokers. Nicotine Tob Res 17(7), 839-846.</w:t>
      </w:r>
    </w:p>
    <w:p w14:paraId="0279A0F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2011a. Menthol cigarettes, tobacco dependence, and smoking cessation: Project BREAK FREE final report. The University of Texas, MD Anderson Cancer Center.</w:t>
      </w:r>
    </w:p>
    <w:p w14:paraId="0F20C35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2011b. Menthol cigarettes, tobacco dependence, and smoking cessation: Project CARE final report. University of Texas, MD Anderson Cancer Center.</w:t>
      </w:r>
    </w:p>
    <w:p w14:paraId="76F3203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2011c. Menthol cigarettes, tobacco dependence, and smoking cessation: Project MOM final report. The University of Texas, MD Anderson Cancer Center.</w:t>
      </w:r>
    </w:p>
    <w:p w14:paraId="6827207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Li, Y., Stewart, D.W., Cao, Y., Wetter, D.W., Waters, A.J., Vidrine, J.I., 2013. Race moderates the effect of menthol cigarette use on short-term smoking abstinence. Nicotine Tob Res 15(5), 883-889.</w:t>
      </w:r>
    </w:p>
    <w:p w14:paraId="40154A4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Nguyen, N., Cao, Y., Vidrine, J.I., Daza, P., Mullen, P.D., Velasquez, M.M., Li, Y., Cinciripini, P.M., Cofta-Woerpel, L., Wetter, D.W., 2011. Race/ethnicity moderates the effect of prepartum menthol cigarette use on postpartum smoking abstinence. Nicotine Tob Res 13(12), 1305-1310.</w:t>
      </w:r>
    </w:p>
    <w:p w14:paraId="0BCF3F7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Rojewski, A.M., Toll, B.A., O'Malley, S.S., 2014. Menthol cigarette use predicts treatment outcomes of weight-concerned smokers. Nicotine Tob Res 16(1), 115-119.</w:t>
      </w:r>
    </w:p>
    <w:p w14:paraId="28C3730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Rosenbloom, J., Rees, V.W., Reid, K., Wong, J., Kinnunen, T., 2012. A cross-sectional study on tobacco use and dependence among women: Does menthol matter? Tob Induc Dis 10(19), 1-6.</w:t>
      </w:r>
    </w:p>
    <w:p w14:paraId="6D1FC9F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Sidney, S., Tekawa, I.S., Friedman, G.D., 1989. Mentholated cigarette use among multiphasic examinees, 1979-86. Am J Public Health 79, 1415-1416.</w:t>
      </w:r>
    </w:p>
    <w:p w14:paraId="779442C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Smith, S.S., Fiore, M.C., Baker, T.B., 2014. Smoking cessation in smokers who smoke menthol and non-menthol cigarettes. Addiction 109(12), 2107-2117.</w:t>
      </w:r>
    </w:p>
    <w:p w14:paraId="0DD2A6B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Stahre, M., Okuyemi, K.S., Joseph, A.M., Fu, S.S., 2010. Racial/ethnic differences in menthol cigarette smoking, population quit ratios and utilization of evidence-based tobacco cessation treatments. Addiction 105 Suppl 1, 75-83.</w:t>
      </w:r>
    </w:p>
    <w:p w14:paraId="6553371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Steinberg, M.B., Bover, M.T., Richardson, D.L., Schmelzer, A.C., Williams, J.M., Foulds, J., 2011. Abstinence and psychological distress in co-morbid smokers using various pharmacotherapies. Drug Alcohol Depend 114(1), 77-81.</w:t>
      </w:r>
    </w:p>
    <w:p w14:paraId="4474469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Sulsky, S.I., Fuller, W.G., Van Landingham, C., Ogden, M.W., Swauger, J.E., Curtin, G.M., 2014. Evaluating the association between menthol cigarette use and the likelihood of being a former versus current smoker. Regul Toxicol Pharmacol 70(1), 231-241.</w:t>
      </w:r>
    </w:p>
    <w:p w14:paraId="3BC3F5C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Thihalolipavan, S., Jung, M., Jasek, J., Chamany, S., 2014. Menthol smokers in large-scale nicotine replacement therapy program. Am J Public Health 104(11), e3-4.</w:t>
      </w:r>
    </w:p>
    <w:p w14:paraId="67B8A99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Trinidad, D.R., Perez-Stable, E.J., Messer, K., White, M.M., Pierce, J.P., 2010. Menthol cigarettes and smoking cessation among racial/ethnic groups in the United States. Addiction 105 Suppl 1, 84-94.</w:t>
      </w:r>
    </w:p>
    <w:p w14:paraId="324FA91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Webb Hooper, M., Zhao, W., Byrne, M.M., Davila, E., Caban-Martinez, A., Dietz, N.A., Parker, D.F., Huang, Y., Messiah, A., Lee, D.J., 2011. Menthol cigarette smoking and health, Florida 2007 BRFSS. Am J Health Behav 31(1), 3-14.</w:t>
      </w:r>
    </w:p>
    <w:p w14:paraId="351725B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Winhusen, T.M., Adinoff, B., Lewis, D.F., Brigham, G.S., Gardin, J.G., 2nd, Sonne, S.C., Theobald, J., Ghitza, U., 2013. A tale of two stimulants: mentholated cigarettes may play a role in cocaine, but not methamphetamine, dependence. Drug Alcohol Depend 133(3), 845-851.</w:t>
      </w:r>
    </w:p>
    <w:p w14:paraId="540E73BC" w14:textId="77777777" w:rsidR="007F0AE0" w:rsidRPr="000F3C17" w:rsidRDefault="007F0AE0" w:rsidP="007F0AE0">
      <w:pPr>
        <w:spacing w:after="240" w:line="240" w:lineRule="auto"/>
        <w:sectPr w:rsidR="007F0AE0" w:rsidRPr="000F3C17" w:rsidSect="009366E4">
          <w:pgSz w:w="12240" w:h="15840"/>
          <w:pgMar w:top="1440" w:right="1440" w:bottom="1440" w:left="1440" w:header="720" w:footer="720" w:gutter="0"/>
          <w:cols w:space="720"/>
          <w:titlePg/>
          <w:docGrid w:linePitch="360"/>
        </w:sectPr>
      </w:pPr>
      <w:r w:rsidRPr="000F3C17">
        <w:fldChar w:fldCharType="end"/>
      </w:r>
    </w:p>
    <w:p w14:paraId="497ACB1D" w14:textId="77777777" w:rsidR="007F0AE0" w:rsidRPr="00494051" w:rsidRDefault="007F0AE0" w:rsidP="007F0AE0">
      <w:pPr>
        <w:outlineLvl w:val="0"/>
        <w:rPr>
          <w:rFonts w:cstheme="minorHAnsi"/>
          <w:b/>
        </w:rPr>
      </w:pPr>
      <w:bookmarkStart w:id="21" w:name="Supp7"/>
      <w:r w:rsidRPr="00494051">
        <w:rPr>
          <w:rFonts w:cstheme="minorHAnsi"/>
          <w:b/>
        </w:rPr>
        <w:lastRenderedPageBreak/>
        <w:t xml:space="preserve">SUPPLEMENTAL SECTION </w:t>
      </w:r>
      <w:r>
        <w:rPr>
          <w:rFonts w:cstheme="minorHAnsi"/>
          <w:b/>
        </w:rPr>
        <w:t>10</w:t>
      </w:r>
      <w:r w:rsidRPr="00494051">
        <w:rPr>
          <w:rFonts w:cstheme="minorHAnsi"/>
          <w:b/>
        </w:rPr>
        <w:t>: Evidence Tables, Sample Characteristics, Unadjusted and Adjusted Analyses</w:t>
      </w:r>
      <w:bookmarkEnd w:id="21"/>
    </w:p>
    <w:p w14:paraId="06CEECE2" w14:textId="77777777" w:rsidR="007F0AE0" w:rsidRPr="00494051" w:rsidRDefault="007F0AE0" w:rsidP="007F0AE0">
      <w:pPr>
        <w:pStyle w:val="AppTableNote"/>
        <w:jc w:val="both"/>
        <w:outlineLvl w:val="1"/>
        <w:rPr>
          <w:rFonts w:asciiTheme="minorHAnsi" w:hAnsiTheme="minorHAnsi" w:cstheme="minorHAnsi"/>
          <w:b/>
          <w:sz w:val="22"/>
          <w:szCs w:val="22"/>
        </w:rPr>
      </w:pPr>
      <w:bookmarkStart w:id="22" w:name="Table7_1"/>
      <w:r w:rsidRPr="00494051">
        <w:rPr>
          <w:rFonts w:asciiTheme="minorHAnsi" w:hAnsiTheme="minorHAnsi" w:cstheme="minorHAnsi"/>
          <w:b/>
          <w:sz w:val="22"/>
          <w:szCs w:val="22"/>
        </w:rPr>
        <w:t xml:space="preserve">Table </w:t>
      </w:r>
      <w:r>
        <w:rPr>
          <w:rFonts w:asciiTheme="minorHAnsi" w:hAnsiTheme="minorHAnsi" w:cstheme="minorHAnsi"/>
          <w:b/>
          <w:sz w:val="22"/>
          <w:szCs w:val="22"/>
        </w:rPr>
        <w:t>10</w:t>
      </w:r>
      <w:r w:rsidRPr="00494051">
        <w:rPr>
          <w:rFonts w:asciiTheme="minorHAnsi" w:hAnsiTheme="minorHAnsi" w:cstheme="minorHAnsi"/>
          <w:b/>
          <w:sz w:val="22"/>
          <w:szCs w:val="22"/>
        </w:rPr>
        <w:t>-1: Unadjusted Analyses (Duration of Abstinence, Rate of Abstinence/Quitting, and Return to Smoking/Relapse)</w:t>
      </w:r>
    </w:p>
    <w:tbl>
      <w:tblPr>
        <w:tblStyle w:val="TableGrid6"/>
        <w:tblW w:w="12753" w:type="dxa"/>
        <w:tblLook w:val="04A0" w:firstRow="1" w:lastRow="0" w:firstColumn="1" w:lastColumn="0" w:noHBand="0" w:noVBand="1"/>
      </w:tblPr>
      <w:tblGrid>
        <w:gridCol w:w="1927"/>
        <w:gridCol w:w="3648"/>
        <w:gridCol w:w="4500"/>
        <w:gridCol w:w="2678"/>
      </w:tblGrid>
      <w:tr w:rsidR="007F0AE0" w:rsidRPr="00191C09" w14:paraId="3DBA12E5" w14:textId="77777777" w:rsidTr="00453DE3">
        <w:trPr>
          <w:tblHeader/>
        </w:trPr>
        <w:tc>
          <w:tcPr>
            <w:tcW w:w="1927" w:type="dxa"/>
            <w:shd w:val="clear" w:color="auto" w:fill="44546A"/>
            <w:tcMar>
              <w:top w:w="62" w:type="dxa"/>
              <w:left w:w="62" w:type="dxa"/>
              <w:bottom w:w="62" w:type="dxa"/>
              <w:right w:w="62" w:type="dxa"/>
            </w:tcMar>
          </w:tcPr>
          <w:bookmarkEnd w:id="22"/>
          <w:p w14:paraId="4B62494E"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First Author, Year</w:t>
            </w:r>
          </w:p>
          <w:p w14:paraId="14A31FD0"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National survey name</w:t>
            </w:r>
          </w:p>
          <w:p w14:paraId="5108264F"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Special population</w:t>
            </w:r>
          </w:p>
        </w:tc>
        <w:tc>
          <w:tcPr>
            <w:tcW w:w="3648" w:type="dxa"/>
            <w:shd w:val="clear" w:color="auto" w:fill="44546A"/>
            <w:tcMar>
              <w:top w:w="62" w:type="dxa"/>
              <w:left w:w="62" w:type="dxa"/>
              <w:bottom w:w="62" w:type="dxa"/>
              <w:right w:w="62" w:type="dxa"/>
            </w:tcMar>
          </w:tcPr>
          <w:p w14:paraId="40B283EF"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Duration of abstinence</w:t>
            </w:r>
          </w:p>
        </w:tc>
        <w:tc>
          <w:tcPr>
            <w:tcW w:w="4500" w:type="dxa"/>
            <w:shd w:val="clear" w:color="auto" w:fill="44546A"/>
            <w:tcMar>
              <w:top w:w="62" w:type="dxa"/>
              <w:left w:w="62" w:type="dxa"/>
              <w:bottom w:w="62" w:type="dxa"/>
              <w:right w:w="62" w:type="dxa"/>
            </w:tcMar>
          </w:tcPr>
          <w:p w14:paraId="1B7C3C7F"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Rate of abstinence/quitting</w:t>
            </w:r>
          </w:p>
        </w:tc>
        <w:tc>
          <w:tcPr>
            <w:tcW w:w="2678" w:type="dxa"/>
            <w:shd w:val="clear" w:color="auto" w:fill="44546A"/>
            <w:tcMar>
              <w:top w:w="62" w:type="dxa"/>
              <w:left w:w="62" w:type="dxa"/>
              <w:bottom w:w="62" w:type="dxa"/>
              <w:right w:w="62" w:type="dxa"/>
            </w:tcMar>
          </w:tcPr>
          <w:p w14:paraId="0829915B" w14:textId="77777777" w:rsidR="007F0AE0" w:rsidRPr="00191C09" w:rsidRDefault="007F0AE0" w:rsidP="00453DE3">
            <w:pPr>
              <w:jc w:val="center"/>
              <w:rPr>
                <w:rFonts w:asciiTheme="minorHAnsi" w:hAnsiTheme="minorHAnsi" w:cstheme="minorHAnsi"/>
                <w:b/>
                <w:color w:val="FFFFFF"/>
                <w:sz w:val="18"/>
                <w:szCs w:val="18"/>
              </w:rPr>
            </w:pPr>
            <w:r>
              <w:rPr>
                <w:rFonts w:asciiTheme="minorHAnsi" w:hAnsiTheme="minorHAnsi" w:cstheme="minorHAnsi"/>
                <w:b/>
                <w:color w:val="FFFFFF"/>
                <w:sz w:val="18"/>
                <w:szCs w:val="18"/>
              </w:rPr>
              <w:t>Return to smoking</w:t>
            </w:r>
            <w:r w:rsidRPr="00191C09">
              <w:rPr>
                <w:rFonts w:asciiTheme="minorHAnsi" w:hAnsiTheme="minorHAnsi" w:cstheme="minorHAnsi"/>
                <w:b/>
                <w:color w:val="FFFFFF"/>
                <w:sz w:val="18"/>
                <w:szCs w:val="18"/>
              </w:rPr>
              <w:t>/relapse</w:t>
            </w:r>
          </w:p>
        </w:tc>
      </w:tr>
      <w:tr w:rsidR="007F0AE0" w:rsidRPr="00191C09" w14:paraId="2BC00F4A" w14:textId="77777777" w:rsidTr="00453DE3">
        <w:tc>
          <w:tcPr>
            <w:tcW w:w="1927" w:type="dxa"/>
            <w:tcMar>
              <w:top w:w="62" w:type="dxa"/>
              <w:left w:w="62" w:type="dxa"/>
              <w:bottom w:w="62" w:type="dxa"/>
              <w:right w:w="62" w:type="dxa"/>
            </w:tcMar>
          </w:tcPr>
          <w:p w14:paraId="2673B5EE"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14" w:tooltip="Alexander, 2010 #59" w:history="1">
              <w:r>
                <w:rPr>
                  <w:rFonts w:cstheme="minorHAnsi"/>
                  <w:noProof/>
                  <w:sz w:val="18"/>
                  <w:szCs w:val="18"/>
                </w:rPr>
                <w:t>14</w:t>
              </w:r>
            </w:hyperlink>
            <w:r>
              <w:rPr>
                <w:rFonts w:cstheme="minorHAnsi"/>
                <w:noProof/>
                <w:sz w:val="18"/>
                <w:szCs w:val="18"/>
              </w:rPr>
              <w:t>)</w:t>
            </w:r>
            <w:r w:rsidRPr="00191C09">
              <w:rPr>
                <w:rFonts w:cstheme="minorHAnsi"/>
                <w:sz w:val="18"/>
                <w:szCs w:val="18"/>
              </w:rPr>
              <w:fldChar w:fldCharType="end"/>
            </w:r>
          </w:p>
          <w:p w14:paraId="4017440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57998ED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3909C73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Current smokers, “What is the longest length of time you stopped smoking (months)?”</w:t>
            </w:r>
          </w:p>
          <w:p w14:paraId="472B6AA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Mean (95% CI), months</w:t>
            </w:r>
          </w:p>
          <w:p w14:paraId="67A7904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 (1.7 to 2.3)</w:t>
            </w:r>
          </w:p>
          <w:p w14:paraId="225737E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2.2 (1.9 to 2.5)</w:t>
            </w:r>
          </w:p>
        </w:tc>
        <w:tc>
          <w:tcPr>
            <w:tcW w:w="4500" w:type="dxa"/>
            <w:tcMar>
              <w:top w:w="62" w:type="dxa"/>
              <w:left w:w="62" w:type="dxa"/>
              <w:bottom w:w="62" w:type="dxa"/>
              <w:right w:w="62" w:type="dxa"/>
            </w:tcMar>
          </w:tcPr>
          <w:p w14:paraId="07079A2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49B1240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2A33DA4A" w14:textId="77777777" w:rsidTr="00453DE3">
        <w:tc>
          <w:tcPr>
            <w:tcW w:w="1927" w:type="dxa"/>
            <w:tcMar>
              <w:top w:w="62" w:type="dxa"/>
              <w:left w:w="62" w:type="dxa"/>
              <w:bottom w:w="62" w:type="dxa"/>
              <w:right w:w="62" w:type="dxa"/>
            </w:tcMar>
          </w:tcPr>
          <w:p w14:paraId="02174F3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4" w:tooltip="Okuyemi, 2007 #74" w:history="1">
              <w:r>
                <w:rPr>
                  <w:rFonts w:cstheme="minorHAnsi"/>
                  <w:noProof/>
                  <w:color w:val="000000"/>
                  <w:sz w:val="18"/>
                  <w:szCs w:val="18"/>
                </w:rPr>
                <w:t>24</w:t>
              </w:r>
            </w:hyperlink>
            <w:r>
              <w:rPr>
                <w:rFonts w:cstheme="minorHAnsi"/>
                <w:noProof/>
                <w:color w:val="000000"/>
                <w:sz w:val="18"/>
                <w:szCs w:val="18"/>
              </w:rPr>
              <w:t xml:space="preserve">, </w:t>
            </w:r>
            <w:hyperlink w:anchor="_ENREF_67" w:tooltip="Berg, 2010 #102" w:history="1">
              <w:r>
                <w:rPr>
                  <w:rFonts w:cstheme="minorHAnsi"/>
                  <w:noProof/>
                  <w:color w:val="000000"/>
                  <w:sz w:val="18"/>
                  <w:szCs w:val="18"/>
                </w:rPr>
                <w:t>67</w:t>
              </w:r>
            </w:hyperlink>
            <w:r>
              <w:rPr>
                <w:rFonts w:cstheme="minorHAnsi"/>
                <w:noProof/>
                <w:color w:val="000000"/>
                <w:sz w:val="18"/>
                <w:szCs w:val="18"/>
              </w:rPr>
              <w:t>)</w:t>
            </w:r>
            <w:r w:rsidRPr="00191C09">
              <w:rPr>
                <w:rFonts w:cstheme="minorHAnsi"/>
                <w:color w:val="000000"/>
                <w:sz w:val="18"/>
                <w:szCs w:val="18"/>
              </w:rPr>
              <w:fldChar w:fldCharType="end"/>
            </w:r>
          </w:p>
          <w:p w14:paraId="5345E55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B7B181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light smokers (≤10 CPD)</w:t>
            </w:r>
          </w:p>
        </w:tc>
        <w:tc>
          <w:tcPr>
            <w:tcW w:w="3648" w:type="dxa"/>
            <w:tcMar>
              <w:top w:w="62" w:type="dxa"/>
              <w:left w:w="62" w:type="dxa"/>
              <w:bottom w:w="62" w:type="dxa"/>
              <w:right w:w="62" w:type="dxa"/>
            </w:tcMar>
          </w:tcPr>
          <w:p w14:paraId="7C57F5A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Duration of longest quit period, Black smokers motivated to quit (N=755) (Okuyemi, 2007a):</w:t>
            </w:r>
          </w:p>
          <w:p w14:paraId="55781CE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350.7±767.30 days</w:t>
            </w:r>
          </w:p>
          <w:p w14:paraId="7BFA835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418.2±880.57 days</w:t>
            </w:r>
          </w:p>
          <w:p w14:paraId="548D993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(p=0.407)</w:t>
            </w:r>
          </w:p>
        </w:tc>
        <w:tc>
          <w:tcPr>
            <w:tcW w:w="4500" w:type="dxa"/>
            <w:tcMar>
              <w:top w:w="62" w:type="dxa"/>
              <w:left w:w="62" w:type="dxa"/>
              <w:bottom w:w="62" w:type="dxa"/>
              <w:right w:w="62" w:type="dxa"/>
            </w:tcMar>
          </w:tcPr>
          <w:p w14:paraId="573CA415" w14:textId="77777777" w:rsidR="007F0AE0" w:rsidRPr="00191C09" w:rsidRDefault="007F0AE0" w:rsidP="00453DE3">
            <w:pPr>
              <w:rPr>
                <w:rFonts w:asciiTheme="minorHAnsi" w:hAnsiTheme="minorHAnsi" w:cstheme="minorHAnsi"/>
                <w:sz w:val="18"/>
                <w:szCs w:val="18"/>
                <w:u w:val="single"/>
              </w:rPr>
            </w:pPr>
            <w:r w:rsidRPr="00F52E88">
              <w:rPr>
                <w:rFonts w:cstheme="minorHAnsi"/>
                <w:sz w:val="18"/>
                <w:szCs w:val="18"/>
                <w:u w:val="single"/>
              </w:rPr>
              <w:t>Cotinine-verified 7-day PPA: not having smoked even a puff f</w:t>
            </w:r>
            <w:r w:rsidRPr="00191C09">
              <w:rPr>
                <w:rFonts w:asciiTheme="minorHAnsi" w:hAnsiTheme="minorHAnsi" w:cstheme="minorHAnsi"/>
                <w:sz w:val="18"/>
                <w:szCs w:val="18"/>
                <w:u w:val="single"/>
              </w:rPr>
              <w:t>or past 7 days (Okuyemi, 2007a)</w:t>
            </w:r>
          </w:p>
          <w:p w14:paraId="4C6F9B2F"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At end of an 8-week cessation intervention</w:t>
            </w:r>
            <w:r w:rsidRPr="00191C09">
              <w:rPr>
                <w:rFonts w:asciiTheme="minorHAnsi" w:hAnsiTheme="minorHAnsi" w:cstheme="minorHAnsi"/>
                <w:sz w:val="18"/>
                <w:szCs w:val="18"/>
              </w:rPr>
              <w:t>:</w:t>
            </w:r>
          </w:p>
          <w:p w14:paraId="70A146F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22.6%</w:t>
            </w:r>
          </w:p>
          <w:p w14:paraId="762B88D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26.8%</w:t>
            </w:r>
          </w:p>
          <w:p w14:paraId="7F2D21D3" w14:textId="77777777" w:rsidR="007F0AE0"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(p=0.291)</w:t>
            </w:r>
          </w:p>
          <w:p w14:paraId="0177A2C1" w14:textId="77777777" w:rsidR="007F0AE0" w:rsidRPr="00191C09" w:rsidRDefault="007F0AE0" w:rsidP="00453DE3">
            <w:pPr>
              <w:rPr>
                <w:rFonts w:asciiTheme="minorHAnsi" w:hAnsiTheme="minorHAnsi" w:cstheme="minorHAnsi"/>
                <w:sz w:val="18"/>
                <w:szCs w:val="18"/>
              </w:rPr>
            </w:pPr>
          </w:p>
          <w:p w14:paraId="65AB6668"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At 26 weeks (18 weeks after end of a cessation intervention)</w:t>
            </w:r>
            <w:r w:rsidRPr="00191C09">
              <w:rPr>
                <w:rFonts w:asciiTheme="minorHAnsi" w:hAnsiTheme="minorHAnsi" w:cstheme="minorHAnsi"/>
                <w:sz w:val="18"/>
                <w:szCs w:val="18"/>
              </w:rPr>
              <w:t>:</w:t>
            </w:r>
          </w:p>
          <w:p w14:paraId="7B8488A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11.2%</w:t>
            </w:r>
          </w:p>
          <w:p w14:paraId="267AA6E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18.8%</w:t>
            </w:r>
          </w:p>
          <w:p w14:paraId="4A612C0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(p=0.015)</w:t>
            </w:r>
          </w:p>
          <w:p w14:paraId="0CE1FE87" w14:textId="77777777" w:rsidR="007F0AE0" w:rsidRPr="00191C09" w:rsidRDefault="007F0AE0" w:rsidP="00453DE3">
            <w:pPr>
              <w:rPr>
                <w:rFonts w:asciiTheme="minorHAnsi" w:hAnsiTheme="minorHAnsi" w:cstheme="minorHAnsi"/>
                <w:sz w:val="18"/>
                <w:szCs w:val="18"/>
              </w:rPr>
            </w:pPr>
          </w:p>
          <w:p w14:paraId="54EE448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Bivariate association of menthol cigarette use and cessation (Berg, 2010)</w:t>
            </w:r>
          </w:p>
          <w:p w14:paraId="53C8C8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 reduction: 187 (83.9%)</w:t>
            </w:r>
          </w:p>
          <w:p w14:paraId="58B97EE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Reduction: 177 (80.8%)</w:t>
            </w:r>
          </w:p>
          <w:p w14:paraId="5F4635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Cessation: 69 (72.6%)</w:t>
            </w:r>
          </w:p>
          <w:p w14:paraId="2382BB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(p=0.07)</w:t>
            </w:r>
          </w:p>
        </w:tc>
        <w:tc>
          <w:tcPr>
            <w:tcW w:w="2678" w:type="dxa"/>
            <w:tcMar>
              <w:top w:w="62" w:type="dxa"/>
              <w:left w:w="62" w:type="dxa"/>
              <w:bottom w:w="62" w:type="dxa"/>
              <w:right w:w="62" w:type="dxa"/>
            </w:tcMar>
          </w:tcPr>
          <w:p w14:paraId="69562E1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4BDD194" w14:textId="77777777" w:rsidTr="00453DE3">
        <w:tc>
          <w:tcPr>
            <w:tcW w:w="1927" w:type="dxa"/>
            <w:tcMar>
              <w:top w:w="62" w:type="dxa"/>
              <w:left w:w="62" w:type="dxa"/>
              <w:bottom w:w="62" w:type="dxa"/>
              <w:right w:w="62" w:type="dxa"/>
            </w:tcMar>
          </w:tcPr>
          <w:p w14:paraId="224A14D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191C09">
              <w:rPr>
                <w:rFonts w:cstheme="minorHAnsi"/>
                <w:color w:val="000000"/>
                <w:sz w:val="18"/>
                <w:szCs w:val="18"/>
              </w:rPr>
              <w:fldChar w:fldCharType="end"/>
            </w:r>
          </w:p>
          <w:p w14:paraId="0F0F1CC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1D0DF5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Aged 40-79 living in southern U.S. states</w:t>
            </w:r>
          </w:p>
        </w:tc>
        <w:tc>
          <w:tcPr>
            <w:tcW w:w="3648" w:type="dxa"/>
            <w:tcMar>
              <w:top w:w="62" w:type="dxa"/>
              <w:left w:w="62" w:type="dxa"/>
              <w:bottom w:w="62" w:type="dxa"/>
              <w:right w:w="62" w:type="dxa"/>
            </w:tcMar>
          </w:tcPr>
          <w:p w14:paraId="55157BB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34377378"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Former smoker: quit prior to enrollment</w:t>
            </w:r>
          </w:p>
          <w:p w14:paraId="4E559C95"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 xml:space="preserve">OR* (95% CI) for M (ref=NM) </w:t>
            </w:r>
          </w:p>
          <w:p w14:paraId="4564DFBD" w14:textId="77777777" w:rsidR="007F0AE0" w:rsidRPr="00F52E88" w:rsidRDefault="007F0AE0" w:rsidP="00453DE3">
            <w:pPr>
              <w:rPr>
                <w:rFonts w:asciiTheme="minorHAnsi" w:hAnsiTheme="minorHAnsi" w:cstheme="minorHAnsi"/>
                <w:i/>
                <w:sz w:val="18"/>
                <w:szCs w:val="18"/>
              </w:rPr>
            </w:pPr>
            <w:r w:rsidRPr="00F52E88">
              <w:rPr>
                <w:rFonts w:cstheme="minorHAnsi"/>
                <w:i/>
                <w:sz w:val="18"/>
                <w:szCs w:val="18"/>
              </w:rPr>
              <w:t>Total sample</w:t>
            </w:r>
          </w:p>
          <w:p w14:paraId="49E826C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1.02 (0.89 to 1.16)</w:t>
            </w:r>
          </w:p>
          <w:p w14:paraId="6A25A22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*Adjusted for age and gender; not for race/ethnicity</w:t>
            </w:r>
          </w:p>
        </w:tc>
        <w:tc>
          <w:tcPr>
            <w:tcW w:w="2678" w:type="dxa"/>
            <w:tcMar>
              <w:top w:w="62" w:type="dxa"/>
              <w:left w:w="62" w:type="dxa"/>
              <w:bottom w:w="62" w:type="dxa"/>
              <w:right w:w="62" w:type="dxa"/>
            </w:tcMar>
          </w:tcPr>
          <w:p w14:paraId="40CB5D0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9C45CAB" w14:textId="77777777" w:rsidTr="00453DE3">
        <w:tc>
          <w:tcPr>
            <w:tcW w:w="1927" w:type="dxa"/>
            <w:tcMar>
              <w:top w:w="62" w:type="dxa"/>
              <w:left w:w="62" w:type="dxa"/>
              <w:bottom w:w="62" w:type="dxa"/>
              <w:right w:w="62" w:type="dxa"/>
            </w:tcMar>
          </w:tcPr>
          <w:p w14:paraId="111DFF66"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&lt;EndNote&gt;&lt;Cite&gt;&lt;Author&gt;Brooks&lt;/Author&gt;&lt;Year&gt;2003&lt;/Year&gt;&lt;RecNum&gt;290&lt;/RecNum&gt;&lt;DisplayText&gt;(21)&lt;/DisplayText&gt;&lt;record&gt;&lt;rec-number&gt;290&lt;/rec-number&gt;&lt;foreign-keys&gt;&lt;key app="EN" db-id="a2vz2dfp8xrad6exes75zwpiw5rxwa0vwapv" timestamp="1484765626"&gt;290&lt;/key&gt;&lt;/foreign-keys&gt;&lt;ref-type name="Journal Article"&gt;17&lt;/ref-type&gt;&lt;contributors&gt;&lt;authors&gt;&lt;author&gt;Brooks, D. R.&lt;/author&gt;&lt;author&gt;Palmer, J. R.&lt;/author&gt;&lt;author&gt;Strom, B. L.&lt;/author&gt;&lt;author&gt;Rosenberg, L.&lt;/author&gt;&lt;/authors&gt;&lt;/contributors&gt;&lt;auth-address&gt;Department of Epidemiology, Boston University School of Public Health, Boston, MA 02118, USA. danbrook@bu.edu&lt;/auth-address&gt;&lt;titles&gt;&lt;title&gt;Menthol cigarettes and risk of lung cancer&lt;/title&gt;&lt;secondary-title&gt;Am J Epidemiol&lt;/secondary-title&gt;&lt;/titles&gt;&lt;periodical&gt;&lt;full-title&gt;Am J Epidemiol&lt;/full-title&gt;&lt;/periodical&gt;&lt;pages&gt;609-16; discussion 617-20&lt;/pages&gt;&lt;volume&gt;158&lt;/volume&gt;&lt;number&gt;7&lt;/number&gt;&lt;keywords&gt;&lt;keyword&gt;Adult&lt;/keyword&gt;&lt;keyword&gt;African Continental Ancestry Group&lt;/keyword&gt;&lt;keyword&gt;Age Distribution&lt;/keyword&gt;&lt;keyword&gt;Aged&lt;/keyword&gt;&lt;keyword&gt;Case-Control Studies&lt;/keyword&gt;&lt;keyword&gt;European Continental Ancestry Group&lt;/keyword&gt;&lt;keyword&gt;Female&lt;/keyword&gt;&lt;keyword&gt;Humans&lt;/keyword&gt;&lt;keyword&gt;Lung Neoplasms/*epidemiology&lt;/keyword&gt;&lt;keyword&gt;Male&lt;/keyword&gt;&lt;keyword&gt;Menthol/*administration &amp;amp; dosage&lt;/keyword&gt;&lt;keyword&gt;Middle Aged&lt;/keyword&gt;&lt;keyword&gt;Multivariate Analysis&lt;/keyword&gt;&lt;keyword&gt;Odds Ratio&lt;/keyword&gt;&lt;keyword&gt;Population Surveillance&lt;/keyword&gt;&lt;keyword&gt;Risk Assessment&lt;/keyword&gt;&lt;keyword&gt;Risk Factors&lt;/keyword&gt;&lt;keyword&gt;Sex Distribution&lt;/keyword&gt;&lt;keyword&gt;Smoking/*epidemiology&lt;/keyword&gt;&lt;keyword&gt;Socioeconomic Factors&lt;/keyword&gt;&lt;keyword&gt;United States/epidemiology&lt;/keyword&gt;&lt;/keywords&gt;&lt;dates&gt;&lt;year&gt;2003&lt;/year&gt;&lt;pub-dates&gt;&lt;date&gt;Oct 01&lt;/date&gt;&lt;/pub-dates&gt;&lt;/dates&gt;&lt;isbn&gt;0002-9262 (Print)&amp;#xD;0002-9262 (Linking)&lt;/isbn&gt;&lt;accession-num&gt;14507595&lt;/accession-num&gt;&lt;urls&gt;&lt;related-urls&gt;&lt;url&gt;https://www.ncbi.nlm.nih.gov/pubmed/14507595&lt;/url&gt;&lt;/related-urls&gt;&lt;/urls&gt;&lt;/record&gt;&lt;/Cite&gt;&lt;/EndNote&gt;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21" w:tooltip="Brooks, 2003 #290" w:history="1">
              <w:r>
                <w:rPr>
                  <w:rFonts w:cstheme="minorHAnsi"/>
                  <w:noProof/>
                  <w:color w:val="000000"/>
                  <w:sz w:val="18"/>
                  <w:szCs w:val="18"/>
                </w:rPr>
                <w:t>21</w:t>
              </w:r>
            </w:hyperlink>
            <w:r>
              <w:rPr>
                <w:rFonts w:cstheme="minorHAnsi"/>
                <w:noProof/>
                <w:color w:val="000000"/>
                <w:sz w:val="18"/>
                <w:szCs w:val="18"/>
              </w:rPr>
              <w:t>)</w:t>
            </w:r>
            <w:r w:rsidRPr="00191C09">
              <w:rPr>
                <w:rFonts w:cstheme="minorHAnsi"/>
                <w:color w:val="000000"/>
                <w:sz w:val="18"/>
                <w:szCs w:val="18"/>
              </w:rPr>
              <w:fldChar w:fldCharType="end"/>
            </w:r>
          </w:p>
          <w:p w14:paraId="46DB9D5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23099D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Age 40-74</w:t>
            </w:r>
          </w:p>
        </w:tc>
        <w:tc>
          <w:tcPr>
            <w:tcW w:w="3648" w:type="dxa"/>
            <w:tcMar>
              <w:top w:w="62" w:type="dxa"/>
              <w:left w:w="62" w:type="dxa"/>
              <w:bottom w:w="62" w:type="dxa"/>
              <w:right w:w="62" w:type="dxa"/>
            </w:tcMar>
          </w:tcPr>
          <w:p w14:paraId="4D8A37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Number of years since quitting smoking</w:t>
            </w:r>
          </w:p>
          <w:p w14:paraId="4A8C836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0 (current smoker):</w:t>
            </w:r>
          </w:p>
          <w:p w14:paraId="0B98DF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31.6%</w:t>
            </w:r>
          </w:p>
          <w:p w14:paraId="02B0F1A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lastRenderedPageBreak/>
              <w:t xml:space="preserve">1-5: </w:t>
            </w:r>
          </w:p>
          <w:p w14:paraId="5932580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26.4 %</w:t>
            </w:r>
          </w:p>
          <w:p w14:paraId="7B68A4C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6-10: </w:t>
            </w:r>
          </w:p>
          <w:p w14:paraId="7886E7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20.6%</w:t>
            </w:r>
          </w:p>
          <w:p w14:paraId="6A7848A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≥11: </w:t>
            </w:r>
          </w:p>
          <w:p w14:paraId="238898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16.0%</w:t>
            </w:r>
          </w:p>
        </w:tc>
        <w:tc>
          <w:tcPr>
            <w:tcW w:w="4500" w:type="dxa"/>
            <w:tcMar>
              <w:top w:w="62" w:type="dxa"/>
              <w:left w:w="62" w:type="dxa"/>
              <w:bottom w:w="62" w:type="dxa"/>
              <w:right w:w="62" w:type="dxa"/>
            </w:tcMar>
          </w:tcPr>
          <w:p w14:paraId="4A5B7BD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2678" w:type="dxa"/>
            <w:tcMar>
              <w:top w:w="62" w:type="dxa"/>
              <w:left w:w="62" w:type="dxa"/>
              <w:bottom w:w="62" w:type="dxa"/>
              <w:right w:w="62" w:type="dxa"/>
            </w:tcMar>
          </w:tcPr>
          <w:p w14:paraId="32A9DE5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28AE0B55" w14:textId="77777777" w:rsidTr="00453DE3">
        <w:tc>
          <w:tcPr>
            <w:tcW w:w="1927" w:type="dxa"/>
            <w:tcMar>
              <w:top w:w="62" w:type="dxa"/>
              <w:left w:w="62" w:type="dxa"/>
              <w:bottom w:w="62" w:type="dxa"/>
              <w:right w:w="62" w:type="dxa"/>
            </w:tcMar>
          </w:tcPr>
          <w:p w14:paraId="3D23DF84"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42" w:tooltip="D'Silva, 2012 #33" w:history="1">
              <w:r>
                <w:rPr>
                  <w:rFonts w:cstheme="minorHAnsi"/>
                  <w:noProof/>
                  <w:sz w:val="18"/>
                  <w:szCs w:val="18"/>
                </w:rPr>
                <w:t>42</w:t>
              </w:r>
            </w:hyperlink>
            <w:r>
              <w:rPr>
                <w:rFonts w:cstheme="minorHAnsi"/>
                <w:noProof/>
                <w:sz w:val="18"/>
                <w:szCs w:val="18"/>
              </w:rPr>
              <w:t>)</w:t>
            </w:r>
            <w:r w:rsidRPr="00191C09">
              <w:rPr>
                <w:rFonts w:cstheme="minorHAnsi"/>
                <w:sz w:val="18"/>
                <w:szCs w:val="18"/>
              </w:rPr>
              <w:fldChar w:fldCharType="end"/>
            </w:r>
          </w:p>
          <w:p w14:paraId="2442AB2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2CAD26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3648" w:type="dxa"/>
            <w:tcMar>
              <w:top w:w="62" w:type="dxa"/>
              <w:left w:w="62" w:type="dxa"/>
              <w:bottom w:w="62" w:type="dxa"/>
              <w:right w:w="62" w:type="dxa"/>
            </w:tcMar>
          </w:tcPr>
          <w:p w14:paraId="09A7F7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0BE0ACCE"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30-day PPA: quit for the past 30 days at the 7-month follow-up visit</w:t>
            </w:r>
          </w:p>
          <w:p w14:paraId="455207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17.3% (12.5 to 23.5)</w:t>
            </w:r>
          </w:p>
          <w:p w14:paraId="7701CFFC" w14:textId="77777777" w:rsidR="007F0AE0"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13.8% (11.7 to 16.2)</w:t>
            </w:r>
          </w:p>
          <w:p w14:paraId="1B94DD34" w14:textId="77777777" w:rsidR="007F0AE0" w:rsidRPr="00191C09" w:rsidRDefault="007F0AE0" w:rsidP="00453DE3">
            <w:pPr>
              <w:rPr>
                <w:rFonts w:asciiTheme="minorHAnsi" w:hAnsiTheme="minorHAnsi" w:cstheme="minorHAnsi"/>
                <w:sz w:val="18"/>
                <w:szCs w:val="18"/>
              </w:rPr>
            </w:pPr>
          </w:p>
          <w:p w14:paraId="38F6C1AC"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Prolonged abstinence: quit for 30 days or more sometime during the 7-month follow-up period</w:t>
            </w:r>
          </w:p>
          <w:p w14:paraId="6D70BCA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33.7% (27.3 to 40.7)</w:t>
            </w:r>
          </w:p>
          <w:p w14:paraId="19020BF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30.3% (27.7-33.7)</w:t>
            </w:r>
          </w:p>
        </w:tc>
        <w:tc>
          <w:tcPr>
            <w:tcW w:w="2678" w:type="dxa"/>
            <w:tcMar>
              <w:top w:w="62" w:type="dxa"/>
              <w:left w:w="62" w:type="dxa"/>
              <w:bottom w:w="62" w:type="dxa"/>
              <w:right w:w="62" w:type="dxa"/>
            </w:tcMar>
          </w:tcPr>
          <w:p w14:paraId="7E92C11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Relapse: achieved prolonged abstinence at some point during 7-month period but used tobacco in last 30 days </w:t>
            </w:r>
          </w:p>
          <w:p w14:paraId="5F06D444" w14:textId="77777777" w:rsidR="007F0AE0" w:rsidRPr="00191C09" w:rsidRDefault="007F0AE0" w:rsidP="00453DE3">
            <w:pPr>
              <w:rPr>
                <w:rFonts w:asciiTheme="minorHAnsi" w:hAnsiTheme="minorHAnsi" w:cstheme="minorHAnsi"/>
                <w:sz w:val="18"/>
                <w:szCs w:val="18"/>
              </w:rPr>
            </w:pPr>
          </w:p>
          <w:p w14:paraId="240A1C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48.5% (36.3 to 60.9)</w:t>
            </w:r>
          </w:p>
          <w:p w14:paraId="32E224E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54.4% (48.4 to 60.2) </w:t>
            </w:r>
          </w:p>
        </w:tc>
      </w:tr>
      <w:tr w:rsidR="007F0AE0" w:rsidRPr="00191C09" w14:paraId="1A9C149B" w14:textId="77777777" w:rsidTr="00453DE3">
        <w:tc>
          <w:tcPr>
            <w:tcW w:w="1927" w:type="dxa"/>
            <w:shd w:val="clear" w:color="auto" w:fill="auto"/>
            <w:tcMar>
              <w:top w:w="62" w:type="dxa"/>
              <w:left w:w="62" w:type="dxa"/>
              <w:bottom w:w="62" w:type="dxa"/>
              <w:right w:w="62" w:type="dxa"/>
            </w:tcMar>
          </w:tcPr>
          <w:p w14:paraId="37F580D0"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57" w:tooltip="Delnevo, 2011 #42" w:history="1">
              <w:r>
                <w:rPr>
                  <w:rFonts w:cstheme="minorHAnsi"/>
                  <w:noProof/>
                  <w:color w:val="000000"/>
                  <w:sz w:val="18"/>
                  <w:szCs w:val="18"/>
                </w:rPr>
                <w:t>57</w:t>
              </w:r>
            </w:hyperlink>
            <w:r>
              <w:rPr>
                <w:rFonts w:cstheme="minorHAnsi"/>
                <w:noProof/>
                <w:color w:val="000000"/>
                <w:sz w:val="18"/>
                <w:szCs w:val="18"/>
              </w:rPr>
              <w:t>)</w:t>
            </w:r>
            <w:r w:rsidRPr="00191C09">
              <w:rPr>
                <w:rFonts w:cstheme="minorHAnsi"/>
                <w:color w:val="000000"/>
                <w:sz w:val="18"/>
                <w:szCs w:val="18"/>
              </w:rPr>
              <w:fldChar w:fldCharType="end"/>
            </w:r>
          </w:p>
          <w:p w14:paraId="605B899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32BA8A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396D7F9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38C5D9F8" w14:textId="77777777" w:rsidR="007F0AE0" w:rsidRPr="00F52E88" w:rsidRDefault="007F0AE0" w:rsidP="00453DE3">
            <w:pPr>
              <w:rPr>
                <w:rFonts w:asciiTheme="minorHAnsi" w:hAnsiTheme="minorHAnsi" w:cstheme="minorHAnsi"/>
                <w:color w:val="000000"/>
                <w:sz w:val="18"/>
                <w:szCs w:val="18"/>
                <w:u w:val="single"/>
              </w:rPr>
            </w:pPr>
            <w:r w:rsidRPr="00F52E88">
              <w:rPr>
                <w:rFonts w:cstheme="minorHAnsi"/>
                <w:sz w:val="18"/>
                <w:szCs w:val="18"/>
                <w:u w:val="single"/>
              </w:rPr>
              <w:t xml:space="preserve">Former smoker: ≥100 lifetime cigs and smoking “not at all” at the time of the survey </w:t>
            </w:r>
            <w:r w:rsidRPr="00F52E88">
              <w:rPr>
                <w:rFonts w:cstheme="minorHAnsi"/>
                <w:color w:val="000000"/>
                <w:sz w:val="18"/>
                <w:szCs w:val="18"/>
                <w:u w:val="single"/>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u w:val="single"/>
              </w:rPr>
              <w:instrText xml:space="preserve"> ADDIN EN.CITE </w:instrText>
            </w:r>
            <w:r>
              <w:rPr>
                <w:rFonts w:cstheme="minorHAnsi"/>
                <w:color w:val="000000"/>
                <w:sz w:val="18"/>
                <w:szCs w:val="18"/>
                <w:u w:val="single"/>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u w:val="single"/>
              </w:rPr>
              <w:instrText xml:space="preserve"> ADDIN EN.CITE.DATA </w:instrText>
            </w:r>
            <w:r>
              <w:rPr>
                <w:rFonts w:cstheme="minorHAnsi"/>
                <w:color w:val="000000"/>
                <w:sz w:val="18"/>
                <w:szCs w:val="18"/>
                <w:u w:val="single"/>
              </w:rPr>
            </w:r>
            <w:r>
              <w:rPr>
                <w:rFonts w:cstheme="minorHAnsi"/>
                <w:color w:val="000000"/>
                <w:sz w:val="18"/>
                <w:szCs w:val="18"/>
                <w:u w:val="single"/>
              </w:rPr>
              <w:fldChar w:fldCharType="end"/>
            </w:r>
            <w:r w:rsidRPr="00F52E88">
              <w:rPr>
                <w:rFonts w:cstheme="minorHAnsi"/>
                <w:color w:val="000000"/>
                <w:sz w:val="18"/>
                <w:szCs w:val="18"/>
                <w:u w:val="single"/>
              </w:rPr>
              <w:fldChar w:fldCharType="separate"/>
            </w:r>
            <w:r w:rsidRPr="00342AED">
              <w:rPr>
                <w:rFonts w:asciiTheme="minorHAnsi" w:eastAsiaTheme="minorHAnsi" w:hAnsiTheme="minorHAnsi" w:cstheme="minorHAnsi"/>
                <w:noProof/>
                <w:color w:val="000000"/>
                <w:sz w:val="18"/>
                <w:szCs w:val="18"/>
                <w:u w:val="single"/>
              </w:rPr>
              <w:t>(</w:t>
            </w:r>
            <w:hyperlink w:anchor="_ENREF_57" w:tooltip="Delnevo, 2011 #42" w:history="1">
              <w:r w:rsidRPr="00342AED">
                <w:rPr>
                  <w:rFonts w:asciiTheme="minorHAnsi" w:eastAsiaTheme="minorHAnsi" w:hAnsiTheme="minorHAnsi" w:cstheme="minorHAnsi"/>
                  <w:noProof/>
                  <w:color w:val="000000"/>
                  <w:sz w:val="18"/>
                  <w:szCs w:val="18"/>
                  <w:u w:val="single"/>
                </w:rPr>
                <w:t>57</w:t>
              </w:r>
            </w:hyperlink>
            <w:r w:rsidRPr="00342AED">
              <w:rPr>
                <w:rFonts w:asciiTheme="minorHAnsi" w:eastAsiaTheme="minorHAnsi" w:hAnsiTheme="minorHAnsi" w:cstheme="minorHAnsi"/>
                <w:noProof/>
                <w:color w:val="000000"/>
                <w:sz w:val="18"/>
                <w:szCs w:val="18"/>
                <w:u w:val="single"/>
              </w:rPr>
              <w:t>)</w:t>
            </w:r>
            <w:r w:rsidRPr="00F52E88">
              <w:rPr>
                <w:rFonts w:cstheme="minorHAnsi"/>
                <w:color w:val="000000"/>
                <w:sz w:val="18"/>
                <w:szCs w:val="18"/>
                <w:u w:val="single"/>
              </w:rPr>
              <w:fldChar w:fldCharType="end"/>
            </w:r>
          </w:p>
          <w:p w14:paraId="1947C574" w14:textId="77777777" w:rsidR="007F0AE0" w:rsidRPr="00F52E88" w:rsidRDefault="007F0AE0" w:rsidP="00453DE3">
            <w:pPr>
              <w:rPr>
                <w:rFonts w:asciiTheme="minorHAnsi" w:hAnsiTheme="minorHAnsi" w:cstheme="minorHAnsi"/>
                <w:i/>
                <w:sz w:val="18"/>
                <w:szCs w:val="18"/>
              </w:rPr>
            </w:pPr>
            <w:r w:rsidRPr="00F52E88">
              <w:rPr>
                <w:rFonts w:cstheme="minorHAnsi"/>
                <w:i/>
                <w:sz w:val="18"/>
                <w:szCs w:val="18"/>
              </w:rPr>
              <w:t xml:space="preserve">Total sample </w:t>
            </w:r>
          </w:p>
          <w:p w14:paraId="716EBC1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20.4% (19.7% to 21.1%)</w:t>
            </w:r>
          </w:p>
          <w:p w14:paraId="4033C7F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23.4% (23.0% to 23.8%)</w:t>
            </w:r>
          </w:p>
          <w:p w14:paraId="1D8ABBA0" w14:textId="77777777" w:rsidR="007F0AE0" w:rsidRPr="00C5440B" w:rsidRDefault="007F0AE0" w:rsidP="00453DE3">
            <w:pPr>
              <w:rPr>
                <w:rFonts w:asciiTheme="minorHAnsi" w:hAnsiTheme="minorHAnsi" w:cstheme="minorHAnsi"/>
                <w:i/>
                <w:sz w:val="18"/>
                <w:szCs w:val="18"/>
              </w:rPr>
            </w:pPr>
            <w:r w:rsidRPr="00C5440B">
              <w:rPr>
                <w:rFonts w:asciiTheme="minorHAnsi" w:hAnsiTheme="minorHAnsi" w:cstheme="minorHAnsi"/>
                <w:i/>
                <w:sz w:val="18"/>
                <w:szCs w:val="18"/>
              </w:rPr>
              <w:t>White</w:t>
            </w:r>
          </w:p>
          <w:p w14:paraId="6E4CB6C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21.8% (21.0% to 22.7%)</w:t>
            </w:r>
          </w:p>
          <w:p w14:paraId="100BC47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23.5% (23.0% to 23.9%)</w:t>
            </w:r>
          </w:p>
          <w:p w14:paraId="2E7D8FB5" w14:textId="77777777" w:rsidR="007F0AE0" w:rsidRPr="00C5440B" w:rsidRDefault="007F0AE0" w:rsidP="00453DE3">
            <w:pPr>
              <w:rPr>
                <w:rFonts w:asciiTheme="minorHAnsi" w:hAnsiTheme="minorHAnsi" w:cstheme="minorHAnsi"/>
                <w:i/>
                <w:sz w:val="18"/>
                <w:szCs w:val="18"/>
              </w:rPr>
            </w:pPr>
            <w:r w:rsidRPr="00C5440B">
              <w:rPr>
                <w:rFonts w:asciiTheme="minorHAnsi" w:hAnsiTheme="minorHAnsi" w:cstheme="minorHAnsi"/>
                <w:i/>
                <w:sz w:val="18"/>
                <w:szCs w:val="18"/>
              </w:rPr>
              <w:t>Black</w:t>
            </w:r>
          </w:p>
          <w:p w14:paraId="21FED1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16.4% (15.1% to 17.7%)</w:t>
            </w:r>
          </w:p>
          <w:p w14:paraId="47AE24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20.3% (18.1% to 22.6%)</w:t>
            </w:r>
          </w:p>
          <w:p w14:paraId="7EAB8E1F" w14:textId="77777777" w:rsidR="007F0AE0" w:rsidRPr="00191C09" w:rsidRDefault="007F0AE0" w:rsidP="00453DE3">
            <w:pPr>
              <w:rPr>
                <w:rFonts w:asciiTheme="minorHAnsi" w:hAnsiTheme="minorHAnsi" w:cstheme="minorHAnsi"/>
                <w:sz w:val="18"/>
                <w:szCs w:val="18"/>
                <w:u w:val="single"/>
              </w:rPr>
            </w:pPr>
            <w:r w:rsidRPr="00C5440B">
              <w:rPr>
                <w:rFonts w:asciiTheme="minorHAnsi" w:hAnsiTheme="minorHAnsi" w:cstheme="minorHAnsi"/>
                <w:i/>
                <w:sz w:val="18"/>
                <w:szCs w:val="18"/>
              </w:rPr>
              <w:t>Hispanic</w:t>
            </w:r>
          </w:p>
          <w:p w14:paraId="1678409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23.7% (21.2% to 26.3%)</w:t>
            </w:r>
          </w:p>
          <w:p w14:paraId="1E518D2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24.1% (22.6% to 25.7%)</w:t>
            </w:r>
          </w:p>
        </w:tc>
        <w:tc>
          <w:tcPr>
            <w:tcW w:w="2678" w:type="dxa"/>
            <w:tcMar>
              <w:top w:w="62" w:type="dxa"/>
              <w:left w:w="62" w:type="dxa"/>
              <w:bottom w:w="62" w:type="dxa"/>
              <w:right w:w="62" w:type="dxa"/>
            </w:tcMar>
          </w:tcPr>
          <w:p w14:paraId="39A218B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E792F1B" w14:textId="77777777" w:rsidTr="00453DE3">
        <w:tc>
          <w:tcPr>
            <w:tcW w:w="1927" w:type="dxa"/>
            <w:tcMar>
              <w:top w:w="62" w:type="dxa"/>
              <w:left w:w="62" w:type="dxa"/>
              <w:bottom w:w="62" w:type="dxa"/>
              <w:right w:w="62" w:type="dxa"/>
            </w:tcMar>
          </w:tcPr>
          <w:p w14:paraId="70CF4124"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18" w:tooltip="Delnevo, 2015 #1" w:history="1">
              <w:r>
                <w:rPr>
                  <w:rFonts w:cstheme="minorHAnsi"/>
                  <w:noProof/>
                  <w:sz w:val="18"/>
                  <w:szCs w:val="18"/>
                </w:rPr>
                <w:t>18</w:t>
              </w:r>
            </w:hyperlink>
            <w:r>
              <w:rPr>
                <w:rFonts w:cstheme="minorHAnsi"/>
                <w:noProof/>
                <w:sz w:val="18"/>
                <w:szCs w:val="18"/>
              </w:rPr>
              <w:t>)</w:t>
            </w:r>
            <w:r w:rsidRPr="00191C09">
              <w:rPr>
                <w:rFonts w:cstheme="minorHAnsi"/>
                <w:sz w:val="18"/>
                <w:szCs w:val="18"/>
              </w:rPr>
              <w:fldChar w:fldCharType="end"/>
            </w:r>
          </w:p>
          <w:p w14:paraId="5A03032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NYAHS</w:t>
            </w:r>
          </w:p>
          <w:p w14:paraId="409DD45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Young adults</w:t>
            </w:r>
          </w:p>
        </w:tc>
        <w:tc>
          <w:tcPr>
            <w:tcW w:w="3648" w:type="dxa"/>
            <w:tcMar>
              <w:top w:w="62" w:type="dxa"/>
              <w:left w:w="62" w:type="dxa"/>
              <w:bottom w:w="62" w:type="dxa"/>
              <w:right w:w="62" w:type="dxa"/>
            </w:tcMar>
          </w:tcPr>
          <w:p w14:paraId="01E855F8" w14:textId="77777777" w:rsidR="007F0AE0" w:rsidRPr="00C5440B" w:rsidRDefault="007F0AE0" w:rsidP="00453DE3">
            <w:pPr>
              <w:rPr>
                <w:rFonts w:asciiTheme="minorHAnsi" w:hAnsiTheme="minorHAnsi" w:cstheme="minorHAnsi"/>
                <w:sz w:val="18"/>
                <w:szCs w:val="18"/>
                <w:u w:val="single"/>
              </w:rPr>
            </w:pPr>
            <w:r w:rsidRPr="00C5440B">
              <w:rPr>
                <w:rFonts w:asciiTheme="minorHAnsi" w:hAnsiTheme="minorHAnsi" w:cstheme="minorHAnsi"/>
                <w:sz w:val="18"/>
                <w:szCs w:val="18"/>
                <w:u w:val="single"/>
              </w:rPr>
              <w:t>Former smoker: quit ≥1 year before survey</w:t>
            </w:r>
          </w:p>
          <w:p w14:paraId="4936B35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19.0% (13.9 to 25.6)</w:t>
            </w:r>
          </w:p>
          <w:p w14:paraId="528A8C1C" w14:textId="77777777" w:rsidR="007F0AE0"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25.5% (20.7 to 31.0)</w:t>
            </w:r>
          </w:p>
          <w:p w14:paraId="282E02E9" w14:textId="77777777" w:rsidR="007F0AE0" w:rsidRPr="00191C09" w:rsidRDefault="007F0AE0" w:rsidP="00453DE3">
            <w:pPr>
              <w:rPr>
                <w:rFonts w:asciiTheme="minorHAnsi" w:hAnsiTheme="minorHAnsi" w:cstheme="minorHAnsi"/>
                <w:sz w:val="18"/>
                <w:szCs w:val="18"/>
              </w:rPr>
            </w:pPr>
          </w:p>
          <w:p w14:paraId="08327E56" w14:textId="77777777" w:rsidR="007F0AE0" w:rsidRPr="00C5440B" w:rsidRDefault="007F0AE0" w:rsidP="00453DE3">
            <w:pPr>
              <w:rPr>
                <w:rFonts w:asciiTheme="minorHAnsi" w:hAnsiTheme="minorHAnsi" w:cstheme="minorHAnsi"/>
                <w:sz w:val="18"/>
                <w:szCs w:val="18"/>
                <w:u w:val="single"/>
              </w:rPr>
            </w:pPr>
            <w:r w:rsidRPr="00C5440B">
              <w:rPr>
                <w:rFonts w:asciiTheme="minorHAnsi" w:hAnsiTheme="minorHAnsi" w:cstheme="minorHAnsi"/>
                <w:sz w:val="18"/>
                <w:szCs w:val="18"/>
                <w:u w:val="single"/>
              </w:rPr>
              <w:t>Quit within past year: smoked “some days” or “every day” 1 year ago and “not at all” at present</w:t>
            </w:r>
          </w:p>
          <w:p w14:paraId="14256CF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M: 9.8% (5.6 to 16.5)</w:t>
            </w:r>
          </w:p>
          <w:p w14:paraId="7AD2947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7.2% (4.7 to 10.8)</w:t>
            </w:r>
          </w:p>
        </w:tc>
        <w:tc>
          <w:tcPr>
            <w:tcW w:w="4500" w:type="dxa"/>
            <w:tcMar>
              <w:top w:w="62" w:type="dxa"/>
              <w:left w:w="62" w:type="dxa"/>
              <w:bottom w:w="62" w:type="dxa"/>
              <w:right w:w="62" w:type="dxa"/>
            </w:tcMar>
          </w:tcPr>
          <w:p w14:paraId="7B95F39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Quit rate: “Quit or remained quit”</w:t>
            </w:r>
          </w:p>
          <w:p w14:paraId="42AFC75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28.8%</w:t>
            </w:r>
          </w:p>
          <w:p w14:paraId="6C7F57C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32.7%</w:t>
            </w:r>
          </w:p>
        </w:tc>
        <w:tc>
          <w:tcPr>
            <w:tcW w:w="2678" w:type="dxa"/>
            <w:tcMar>
              <w:top w:w="62" w:type="dxa"/>
              <w:left w:w="62" w:type="dxa"/>
              <w:bottom w:w="62" w:type="dxa"/>
              <w:right w:w="62" w:type="dxa"/>
            </w:tcMar>
          </w:tcPr>
          <w:p w14:paraId="6C5855B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Relapsed or initiated: participants who reported that they smoked “not at all” a year ago and reported current every day or someday smoking at interview</w:t>
            </w:r>
          </w:p>
          <w:p w14:paraId="13DC822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11.4%</w:t>
            </w:r>
          </w:p>
          <w:p w14:paraId="0D7AE3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5.7%</w:t>
            </w:r>
          </w:p>
        </w:tc>
      </w:tr>
      <w:tr w:rsidR="007F0AE0" w:rsidRPr="00191C09" w14:paraId="7A3296AE" w14:textId="77777777" w:rsidTr="00453DE3">
        <w:tc>
          <w:tcPr>
            <w:tcW w:w="1927" w:type="dxa"/>
            <w:tcMar>
              <w:top w:w="62" w:type="dxa"/>
              <w:left w:w="62" w:type="dxa"/>
              <w:bottom w:w="62" w:type="dxa"/>
              <w:right w:w="62" w:type="dxa"/>
            </w:tcMar>
          </w:tcPr>
          <w:p w14:paraId="4A10FB3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12" w:tooltip="Fagan, 2010 #56" w:history="1">
              <w:r>
                <w:rPr>
                  <w:rFonts w:cstheme="minorHAnsi"/>
                  <w:noProof/>
                  <w:color w:val="000000"/>
                  <w:sz w:val="18"/>
                  <w:szCs w:val="18"/>
                </w:rPr>
                <w:t>12</w:t>
              </w:r>
            </w:hyperlink>
            <w:r>
              <w:rPr>
                <w:rFonts w:cstheme="minorHAnsi"/>
                <w:noProof/>
                <w:color w:val="000000"/>
                <w:sz w:val="18"/>
                <w:szCs w:val="18"/>
              </w:rPr>
              <w:t>)</w:t>
            </w:r>
            <w:r w:rsidRPr="00191C09">
              <w:rPr>
                <w:rFonts w:cstheme="minorHAnsi"/>
                <w:color w:val="000000"/>
                <w:sz w:val="18"/>
                <w:szCs w:val="18"/>
              </w:rPr>
              <w:fldChar w:fldCharType="end"/>
            </w:r>
          </w:p>
          <w:p w14:paraId="0881859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6BEE65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3648" w:type="dxa"/>
            <w:tcMar>
              <w:top w:w="62" w:type="dxa"/>
              <w:left w:w="62" w:type="dxa"/>
              <w:bottom w:w="62" w:type="dxa"/>
              <w:right w:w="62" w:type="dxa"/>
            </w:tcMar>
          </w:tcPr>
          <w:p w14:paraId="33B86DB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The longest period of abstinence in the last 12 months among those who had a quit attempt</w:t>
            </w:r>
            <w:r w:rsidRPr="00191C09">
              <w:rPr>
                <w:rFonts w:asciiTheme="minorHAnsi" w:hAnsiTheme="minorHAnsi" w:cstheme="minorHAnsi"/>
                <w:sz w:val="18"/>
                <w:szCs w:val="18"/>
                <w:u w:val="single"/>
              </w:rPr>
              <w:t xml:space="preserve"> </w:t>
            </w:r>
          </w:p>
          <w:p w14:paraId="4556B2E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≤2 weeks</w:t>
            </w:r>
          </w:p>
          <w:p w14:paraId="2A1AB1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67.6%</w:t>
            </w:r>
          </w:p>
          <w:p w14:paraId="5D0E89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67.2%</w:t>
            </w:r>
          </w:p>
          <w:p w14:paraId="11BD64D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2 weeks-1 month</w:t>
            </w:r>
          </w:p>
          <w:p w14:paraId="29D168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6.6%</w:t>
            </w:r>
          </w:p>
          <w:p w14:paraId="61A9FB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7.3%</w:t>
            </w:r>
          </w:p>
          <w:p w14:paraId="512A2B7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1-3 months</w:t>
            </w:r>
          </w:p>
          <w:p w14:paraId="59D15BF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15.9%</w:t>
            </w:r>
          </w:p>
          <w:p w14:paraId="4FC25C1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15.6%</w:t>
            </w:r>
          </w:p>
          <w:p w14:paraId="6E52AE4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3-6 months</w:t>
            </w:r>
          </w:p>
          <w:p w14:paraId="74F492C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4.5%</w:t>
            </w:r>
          </w:p>
          <w:p w14:paraId="65B1183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5.1%</w:t>
            </w:r>
          </w:p>
          <w:p w14:paraId="55FBE4E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&gt;6 months</w:t>
            </w:r>
          </w:p>
          <w:p w14:paraId="3B895EB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5.3%</w:t>
            </w:r>
          </w:p>
          <w:p w14:paraId="2003626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4.8%</w:t>
            </w:r>
          </w:p>
          <w:p w14:paraId="3CE3E88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Geometric mean</w:t>
            </w:r>
          </w:p>
          <w:p w14:paraId="0E5C89B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0.32 months (0.30 to 0.34)</w:t>
            </w:r>
          </w:p>
          <w:p w14:paraId="0F1B0E7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0.32 months (0.31 to 0.33)</w:t>
            </w:r>
          </w:p>
        </w:tc>
        <w:tc>
          <w:tcPr>
            <w:tcW w:w="4500" w:type="dxa"/>
            <w:tcMar>
              <w:top w:w="62" w:type="dxa"/>
              <w:left w:w="62" w:type="dxa"/>
              <w:bottom w:w="62" w:type="dxa"/>
              <w:right w:w="62" w:type="dxa"/>
            </w:tcMar>
          </w:tcPr>
          <w:p w14:paraId="1C05AEF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2114F54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Return to smoking: reported smoking "not at all" 12 months ago but daily now</w:t>
            </w:r>
          </w:p>
          <w:p w14:paraId="3C1227D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3.4% (3.0 to 3.8)</w:t>
            </w:r>
          </w:p>
          <w:p w14:paraId="1F90344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3.3% (3.1 to 3.5)</w:t>
            </w:r>
          </w:p>
        </w:tc>
      </w:tr>
      <w:tr w:rsidR="007F0AE0" w:rsidRPr="00191C09" w14:paraId="03687D39" w14:textId="77777777" w:rsidTr="00453DE3">
        <w:tc>
          <w:tcPr>
            <w:tcW w:w="1927" w:type="dxa"/>
            <w:shd w:val="clear" w:color="auto" w:fill="auto"/>
            <w:tcMar>
              <w:top w:w="62" w:type="dxa"/>
              <w:left w:w="62" w:type="dxa"/>
              <w:bottom w:w="62" w:type="dxa"/>
              <w:right w:w="62" w:type="dxa"/>
            </w:tcMar>
          </w:tcPr>
          <w:p w14:paraId="01CB79F7"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6" w:tooltip="Faseru, 2011 #40" w:history="1">
              <w:r>
                <w:rPr>
                  <w:rFonts w:cstheme="minorHAnsi"/>
                  <w:noProof/>
                  <w:color w:val="000000"/>
                  <w:sz w:val="18"/>
                  <w:szCs w:val="18"/>
                </w:rPr>
                <w:t>26</w:t>
              </w:r>
            </w:hyperlink>
            <w:r>
              <w:rPr>
                <w:rFonts w:cstheme="minorHAnsi"/>
                <w:noProof/>
                <w:color w:val="000000"/>
                <w:sz w:val="18"/>
                <w:szCs w:val="18"/>
              </w:rPr>
              <w:t xml:space="preserve">, </w:t>
            </w:r>
            <w:hyperlink w:anchor="_ENREF_27" w:tooltip="Faseru, 2013 #29" w:history="1">
              <w:r>
                <w:rPr>
                  <w:rFonts w:cstheme="minorHAnsi"/>
                  <w:noProof/>
                  <w:color w:val="000000"/>
                  <w:sz w:val="18"/>
                  <w:szCs w:val="18"/>
                </w:rPr>
                <w:t>27</w:t>
              </w:r>
            </w:hyperlink>
            <w:r>
              <w:rPr>
                <w:rFonts w:cstheme="minorHAnsi"/>
                <w:noProof/>
                <w:color w:val="000000"/>
                <w:sz w:val="18"/>
                <w:szCs w:val="18"/>
              </w:rPr>
              <w:t>)</w:t>
            </w:r>
            <w:r w:rsidRPr="00191C09">
              <w:rPr>
                <w:rFonts w:cstheme="minorHAnsi"/>
                <w:color w:val="000000"/>
                <w:sz w:val="18"/>
                <w:szCs w:val="18"/>
              </w:rPr>
              <w:fldChar w:fldCharType="end"/>
            </w:r>
          </w:p>
          <w:p w14:paraId="7612A9C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4509431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light smokers (&lt;10 CPD)</w:t>
            </w:r>
          </w:p>
        </w:tc>
        <w:tc>
          <w:tcPr>
            <w:tcW w:w="3648" w:type="dxa"/>
            <w:tcMar>
              <w:top w:w="62" w:type="dxa"/>
              <w:left w:w="62" w:type="dxa"/>
              <w:bottom w:w="62" w:type="dxa"/>
              <w:right w:w="62" w:type="dxa"/>
            </w:tcMar>
          </w:tcPr>
          <w:p w14:paraId="0F5EBE1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40AE5251" w14:textId="77777777" w:rsidR="007F0AE0" w:rsidRPr="00191C09" w:rsidRDefault="007F0AE0" w:rsidP="00453DE3">
            <w:pPr>
              <w:rPr>
                <w:rFonts w:asciiTheme="minorHAnsi" w:hAnsiTheme="minorHAnsi" w:cstheme="minorHAnsi"/>
                <w:sz w:val="18"/>
                <w:szCs w:val="18"/>
                <w:u w:val="single"/>
              </w:rPr>
            </w:pPr>
            <w:r w:rsidRPr="00F52E88">
              <w:rPr>
                <w:rFonts w:cstheme="minorHAnsi"/>
                <w:sz w:val="18"/>
                <w:szCs w:val="18"/>
                <w:u w:val="single"/>
              </w:rPr>
              <w:t xml:space="preserve">Blood cotinine-verified 7-day PPA (cut-point 15ng/ml), defined as no cigarettes (not even a puff) in the previous 7 days at the end of the 7-week cessation intervention </w:t>
            </w:r>
            <w:r w:rsidRPr="00191C09">
              <w:rPr>
                <w:rFonts w:asciiTheme="minorHAnsi" w:hAnsiTheme="minorHAnsi" w:cstheme="minorHAnsi"/>
                <w:sz w:val="18"/>
                <w:szCs w:val="18"/>
                <w:u w:val="single"/>
              </w:rPr>
              <w:t>(bupropion vs. placebo)</w:t>
            </w:r>
            <w:r w:rsidRPr="00F52E88">
              <w:rPr>
                <w:rFonts w:cstheme="minorHAnsi"/>
                <w:sz w:val="18"/>
                <w:szCs w:val="18"/>
                <w:u w:val="single"/>
              </w:rPr>
              <w:t xml:space="preserve"> (Faseru, 2013):</w:t>
            </w:r>
          </w:p>
          <w:p w14:paraId="7A98B37B"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At the end of a 7-week cessation intervention:</w:t>
            </w:r>
          </w:p>
          <w:p w14:paraId="4F2A6F8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14.4%</w:t>
            </w:r>
          </w:p>
          <w:p w14:paraId="2A05024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28.4%</w:t>
            </w:r>
          </w:p>
          <w:p w14:paraId="1D354A2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(p=0.001)</w:t>
            </w:r>
          </w:p>
          <w:p w14:paraId="206A1395"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At 26 weeks:</w:t>
            </w:r>
          </w:p>
          <w:p w14:paraId="207E001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10.0%</w:t>
            </w:r>
          </w:p>
          <w:p w14:paraId="1CD543D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20.4%</w:t>
            </w:r>
          </w:p>
          <w:p w14:paraId="3C98B41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(p=0.005)</w:t>
            </w:r>
          </w:p>
        </w:tc>
        <w:tc>
          <w:tcPr>
            <w:tcW w:w="2678" w:type="dxa"/>
            <w:tcMar>
              <w:top w:w="62" w:type="dxa"/>
              <w:left w:w="62" w:type="dxa"/>
              <w:bottom w:w="62" w:type="dxa"/>
              <w:right w:w="62" w:type="dxa"/>
            </w:tcMar>
          </w:tcPr>
          <w:p w14:paraId="4941FBD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3ED4614" w14:textId="77777777" w:rsidTr="00453DE3">
        <w:tc>
          <w:tcPr>
            <w:tcW w:w="1927" w:type="dxa"/>
            <w:tcMar>
              <w:top w:w="62" w:type="dxa"/>
              <w:left w:w="62" w:type="dxa"/>
              <w:bottom w:w="62" w:type="dxa"/>
              <w:right w:w="62" w:type="dxa"/>
            </w:tcMar>
          </w:tcPr>
          <w:p w14:paraId="5A9893B3"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66" w:tooltip="Foulds, 2006 #95" w:history="1">
              <w:r w:rsidRPr="00342AED">
                <w:rPr>
                  <w:rFonts w:asciiTheme="minorHAnsi" w:hAnsiTheme="minorHAnsi" w:cstheme="minorHAnsi"/>
                  <w:noProof/>
                  <w:color w:val="000000"/>
                  <w:sz w:val="18"/>
                  <w:szCs w:val="18"/>
                </w:rPr>
                <w:t>66</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2A67295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2AAF83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 but includes ages 14 and older</w:t>
            </w:r>
          </w:p>
        </w:tc>
        <w:tc>
          <w:tcPr>
            <w:tcW w:w="3648" w:type="dxa"/>
            <w:tcMar>
              <w:top w:w="62" w:type="dxa"/>
              <w:left w:w="62" w:type="dxa"/>
              <w:bottom w:w="62" w:type="dxa"/>
              <w:right w:w="62" w:type="dxa"/>
            </w:tcMar>
          </w:tcPr>
          <w:p w14:paraId="0400C2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2C3DF92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7-day PPA: "Have you used tobacco in the past 7 days?” Some (number NR) participants had abstinence at 4 weeks verified with exhaled eCO &lt;10 ppm</w:t>
            </w:r>
          </w:p>
          <w:p w14:paraId="608B4BD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4 weeks</w:t>
            </w:r>
          </w:p>
          <w:p w14:paraId="5AE963A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35.4%</w:t>
            </w:r>
          </w:p>
          <w:p w14:paraId="46A1C54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52.3%</w:t>
            </w:r>
          </w:p>
          <w:p w14:paraId="47192D8C" w14:textId="77777777" w:rsidR="007F0AE0" w:rsidRPr="00191C09" w:rsidRDefault="007F0AE0" w:rsidP="00453DE3">
            <w:pPr>
              <w:tabs>
                <w:tab w:val="left" w:pos="1459"/>
              </w:tabs>
              <w:rPr>
                <w:rFonts w:asciiTheme="minorHAnsi" w:hAnsiTheme="minorHAnsi" w:cstheme="minorHAnsi"/>
                <w:sz w:val="18"/>
                <w:szCs w:val="18"/>
                <w:u w:val="single"/>
              </w:rPr>
            </w:pPr>
            <w:r w:rsidRPr="00191C09">
              <w:rPr>
                <w:rFonts w:asciiTheme="minorHAnsi" w:hAnsiTheme="minorHAnsi" w:cstheme="minorHAnsi"/>
                <w:sz w:val="18"/>
                <w:szCs w:val="18"/>
              </w:rPr>
              <w:t>(p&lt;0.0001)</w:t>
            </w:r>
          </w:p>
          <w:p w14:paraId="2BF5330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26 weeks</w:t>
            </w:r>
          </w:p>
          <w:p w14:paraId="78B3148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24.9%</w:t>
            </w:r>
          </w:p>
          <w:p w14:paraId="0926F3A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35.8%</w:t>
            </w:r>
          </w:p>
          <w:p w14:paraId="365E367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(p&lt;0.0001)</w:t>
            </w:r>
          </w:p>
        </w:tc>
        <w:tc>
          <w:tcPr>
            <w:tcW w:w="2678" w:type="dxa"/>
            <w:tcMar>
              <w:top w:w="62" w:type="dxa"/>
              <w:left w:w="62" w:type="dxa"/>
              <w:bottom w:w="62" w:type="dxa"/>
              <w:right w:w="62" w:type="dxa"/>
            </w:tcMar>
          </w:tcPr>
          <w:p w14:paraId="575D5E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7D71C7B" w14:textId="77777777" w:rsidTr="00453DE3">
        <w:tc>
          <w:tcPr>
            <w:tcW w:w="1927" w:type="dxa"/>
            <w:shd w:val="clear" w:color="auto" w:fill="auto"/>
            <w:tcMar>
              <w:top w:w="62" w:type="dxa"/>
              <w:left w:w="62" w:type="dxa"/>
              <w:bottom w:w="62" w:type="dxa"/>
              <w:right w:w="62" w:type="dxa"/>
            </w:tcMar>
          </w:tcPr>
          <w:p w14:paraId="30A639B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3" w:tooltip="Fu, 2008 #72" w:history="1">
              <w:r>
                <w:rPr>
                  <w:rFonts w:cstheme="minorHAnsi"/>
                  <w:noProof/>
                  <w:color w:val="000000"/>
                  <w:sz w:val="18"/>
                  <w:szCs w:val="18"/>
                </w:rPr>
                <w:t>23</w:t>
              </w:r>
            </w:hyperlink>
            <w:r>
              <w:rPr>
                <w:rFonts w:cstheme="minorHAnsi"/>
                <w:noProof/>
                <w:color w:val="000000"/>
                <w:sz w:val="18"/>
                <w:szCs w:val="18"/>
              </w:rPr>
              <w:t>)</w:t>
            </w:r>
            <w:r w:rsidRPr="00191C09">
              <w:rPr>
                <w:rFonts w:cstheme="minorHAnsi"/>
                <w:color w:val="000000"/>
                <w:sz w:val="18"/>
                <w:szCs w:val="18"/>
              </w:rPr>
              <w:fldChar w:fldCharType="end"/>
            </w:r>
          </w:p>
          <w:p w14:paraId="74001FA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43CA45A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VA patients</w:t>
            </w:r>
          </w:p>
        </w:tc>
        <w:tc>
          <w:tcPr>
            <w:tcW w:w="3648" w:type="dxa"/>
            <w:shd w:val="clear" w:color="auto" w:fill="auto"/>
            <w:tcMar>
              <w:top w:w="62" w:type="dxa"/>
              <w:left w:w="62" w:type="dxa"/>
              <w:bottom w:w="62" w:type="dxa"/>
              <w:right w:w="62" w:type="dxa"/>
            </w:tcMar>
          </w:tcPr>
          <w:p w14:paraId="41DEA2F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151F616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Self-reported 7-day PPA </w:t>
            </w:r>
          </w:p>
          <w:p w14:paraId="6FE9A8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r>
              <w:rPr>
                <w:rFonts w:asciiTheme="minorHAnsi" w:hAnsiTheme="minorHAnsi" w:cstheme="minorHAnsi"/>
                <w:sz w:val="18"/>
                <w:szCs w:val="18"/>
              </w:rPr>
              <w:t xml:space="preserve"> </w:t>
            </w:r>
          </w:p>
          <w:p w14:paraId="71F32EA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1.14 (0.85 to 1.53)</w:t>
            </w:r>
          </w:p>
        </w:tc>
        <w:tc>
          <w:tcPr>
            <w:tcW w:w="2678" w:type="dxa"/>
            <w:shd w:val="clear" w:color="auto" w:fill="auto"/>
            <w:tcMar>
              <w:top w:w="62" w:type="dxa"/>
              <w:left w:w="62" w:type="dxa"/>
              <w:bottom w:w="62" w:type="dxa"/>
              <w:right w:w="62" w:type="dxa"/>
            </w:tcMar>
          </w:tcPr>
          <w:p w14:paraId="19511D2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BC7CB18" w14:textId="77777777" w:rsidTr="00453DE3">
        <w:tc>
          <w:tcPr>
            <w:tcW w:w="1927" w:type="dxa"/>
            <w:shd w:val="clear" w:color="auto" w:fill="auto"/>
            <w:tcMar>
              <w:top w:w="62" w:type="dxa"/>
              <w:left w:w="62" w:type="dxa"/>
              <w:bottom w:w="62" w:type="dxa"/>
              <w:right w:w="62" w:type="dxa"/>
            </w:tcMar>
          </w:tcPr>
          <w:p w14:paraId="726C7BF0"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7" w:tooltip="Gandhi, 2009 #67" w:history="1">
              <w:r>
                <w:rPr>
                  <w:rFonts w:cstheme="minorHAnsi"/>
                  <w:noProof/>
                  <w:color w:val="000000"/>
                  <w:sz w:val="18"/>
                  <w:szCs w:val="18"/>
                </w:rPr>
                <w:t>47</w:t>
              </w:r>
            </w:hyperlink>
            <w:r>
              <w:rPr>
                <w:rFonts w:cstheme="minorHAnsi"/>
                <w:noProof/>
                <w:color w:val="000000"/>
                <w:sz w:val="18"/>
                <w:szCs w:val="18"/>
              </w:rPr>
              <w:t>)</w:t>
            </w:r>
            <w:r w:rsidRPr="00191C09">
              <w:rPr>
                <w:rFonts w:cstheme="minorHAnsi"/>
                <w:color w:val="000000"/>
                <w:sz w:val="18"/>
                <w:szCs w:val="18"/>
              </w:rPr>
              <w:fldChar w:fldCharType="end"/>
            </w:r>
          </w:p>
          <w:p w14:paraId="46DB9D8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237EB5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shd w:val="clear" w:color="auto" w:fill="auto"/>
            <w:tcMar>
              <w:top w:w="62" w:type="dxa"/>
              <w:left w:w="62" w:type="dxa"/>
              <w:bottom w:w="62" w:type="dxa"/>
              <w:right w:w="62" w:type="dxa"/>
            </w:tcMar>
          </w:tcPr>
          <w:p w14:paraId="664C162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0FFB0D8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Self-reported 7-day PPA: answering “No” to "Have you used any tobacco in the past 7 days?"</w:t>
            </w:r>
          </w:p>
          <w:p w14:paraId="2D426D0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685C6FF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7-day PPA at 4 weeks</w:t>
            </w:r>
          </w:p>
          <w:p w14:paraId="3D4138B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White:</w:t>
            </w:r>
            <w:r w:rsidRPr="00191C09">
              <w:rPr>
                <w:rFonts w:asciiTheme="minorHAnsi" w:hAnsiTheme="minorHAnsi" w:cstheme="minorHAnsi"/>
                <w:sz w:val="18"/>
                <w:szCs w:val="18"/>
              </w:rPr>
              <w:t xml:space="preserve"> </w:t>
            </w:r>
          </w:p>
          <w:p w14:paraId="0A28BA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0.75 (0.58 to 0.97) </w:t>
            </w:r>
          </w:p>
          <w:p w14:paraId="57948A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Black</w:t>
            </w:r>
            <w:r w:rsidRPr="00191C09">
              <w:rPr>
                <w:rFonts w:asciiTheme="minorHAnsi" w:hAnsiTheme="minorHAnsi" w:cstheme="minorHAnsi"/>
                <w:sz w:val="18"/>
                <w:szCs w:val="18"/>
              </w:rPr>
              <w:t xml:space="preserve">: </w:t>
            </w:r>
          </w:p>
          <w:p w14:paraId="7882993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0.34 (0.17 to 0.69)</w:t>
            </w:r>
          </w:p>
          <w:p w14:paraId="453C3B9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Latino</w:t>
            </w:r>
            <w:r w:rsidRPr="00191C09">
              <w:rPr>
                <w:rFonts w:asciiTheme="minorHAnsi" w:hAnsiTheme="minorHAnsi" w:cstheme="minorHAnsi"/>
                <w:sz w:val="18"/>
                <w:szCs w:val="18"/>
              </w:rPr>
              <w:t>:</w:t>
            </w:r>
          </w:p>
          <w:p w14:paraId="32C7696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0.30 (0.14 to 0.62)</w:t>
            </w:r>
          </w:p>
          <w:p w14:paraId="272246F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7-day PPA at 6 months</w:t>
            </w:r>
          </w:p>
          <w:p w14:paraId="6909495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White</w:t>
            </w:r>
            <w:r w:rsidRPr="00191C09">
              <w:rPr>
                <w:rFonts w:asciiTheme="minorHAnsi" w:hAnsiTheme="minorHAnsi" w:cstheme="minorHAnsi"/>
                <w:sz w:val="18"/>
                <w:szCs w:val="18"/>
              </w:rPr>
              <w:t xml:space="preserve">: </w:t>
            </w:r>
          </w:p>
          <w:p w14:paraId="244EB59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0.88 (0.66 to 1.10) </w:t>
            </w:r>
          </w:p>
          <w:p w14:paraId="7A9943C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Black</w:t>
            </w:r>
            <w:r w:rsidRPr="00191C09">
              <w:rPr>
                <w:rFonts w:asciiTheme="minorHAnsi" w:hAnsiTheme="minorHAnsi" w:cstheme="minorHAnsi"/>
                <w:sz w:val="18"/>
                <w:szCs w:val="18"/>
              </w:rPr>
              <w:t xml:space="preserve">: </w:t>
            </w:r>
          </w:p>
          <w:p w14:paraId="64CA5F5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0.40 (0.23 to 0.70) </w:t>
            </w:r>
          </w:p>
          <w:p w14:paraId="42B981F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i/>
                <w:sz w:val="18"/>
                <w:szCs w:val="18"/>
              </w:rPr>
              <w:t>Latino</w:t>
            </w:r>
            <w:r w:rsidRPr="00191C09">
              <w:rPr>
                <w:rFonts w:asciiTheme="minorHAnsi" w:hAnsiTheme="minorHAnsi" w:cstheme="minorHAnsi"/>
                <w:sz w:val="18"/>
                <w:szCs w:val="18"/>
              </w:rPr>
              <w:t xml:space="preserve">: </w:t>
            </w:r>
          </w:p>
          <w:p w14:paraId="61BC0BB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0.32 (0.13 to 0.77)</w:t>
            </w:r>
          </w:p>
        </w:tc>
        <w:tc>
          <w:tcPr>
            <w:tcW w:w="2678" w:type="dxa"/>
            <w:shd w:val="clear" w:color="auto" w:fill="auto"/>
            <w:tcMar>
              <w:top w:w="62" w:type="dxa"/>
              <w:left w:w="62" w:type="dxa"/>
              <w:bottom w:w="62" w:type="dxa"/>
              <w:right w:w="62" w:type="dxa"/>
            </w:tcMar>
          </w:tcPr>
          <w:p w14:paraId="061A58A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25915A34" w14:textId="77777777" w:rsidTr="00453DE3">
        <w:tc>
          <w:tcPr>
            <w:tcW w:w="1927" w:type="dxa"/>
            <w:shd w:val="clear" w:color="auto" w:fill="auto"/>
            <w:tcMar>
              <w:top w:w="62" w:type="dxa"/>
              <w:left w:w="62" w:type="dxa"/>
              <w:bottom w:w="62" w:type="dxa"/>
              <w:right w:w="62" w:type="dxa"/>
            </w:tcMar>
          </w:tcPr>
          <w:p w14:paraId="7AC73C0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59" w:tooltip="Gundersen, 2009 #65" w:history="1">
              <w:r>
                <w:rPr>
                  <w:rFonts w:cstheme="minorHAnsi"/>
                  <w:noProof/>
                  <w:color w:val="000000"/>
                  <w:sz w:val="18"/>
                  <w:szCs w:val="18"/>
                </w:rPr>
                <w:t>59</w:t>
              </w:r>
            </w:hyperlink>
            <w:r>
              <w:rPr>
                <w:rFonts w:cstheme="minorHAnsi"/>
                <w:noProof/>
                <w:color w:val="000000"/>
                <w:sz w:val="18"/>
                <w:szCs w:val="18"/>
              </w:rPr>
              <w:t>)</w:t>
            </w:r>
            <w:r w:rsidRPr="00191C09">
              <w:rPr>
                <w:rFonts w:cstheme="minorHAnsi"/>
                <w:color w:val="000000"/>
                <w:sz w:val="18"/>
                <w:szCs w:val="18"/>
              </w:rPr>
              <w:fldChar w:fldCharType="end"/>
            </w:r>
          </w:p>
          <w:p w14:paraId="48577A8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NHIS-CCS</w:t>
            </w:r>
          </w:p>
          <w:p w14:paraId="5F03F1F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shd w:val="clear" w:color="auto" w:fill="auto"/>
            <w:tcMar>
              <w:top w:w="62" w:type="dxa"/>
              <w:left w:w="62" w:type="dxa"/>
              <w:bottom w:w="62" w:type="dxa"/>
              <w:right w:w="62" w:type="dxa"/>
            </w:tcMar>
          </w:tcPr>
          <w:p w14:paraId="3567878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5FC6E8E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Former smoker: ≥100 lifetime cigs and now smoking “not at all.”</w:t>
            </w:r>
          </w:p>
          <w:p w14:paraId="6CE111B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w:t>
            </w:r>
          </w:p>
          <w:p w14:paraId="1170D3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56.9%</w:t>
            </w:r>
          </w:p>
          <w:p w14:paraId="3071764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61.5%</w:t>
            </w:r>
          </w:p>
          <w:p w14:paraId="0BD2A33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(p&lt;0.01)</w:t>
            </w:r>
          </w:p>
          <w:p w14:paraId="2ACD05C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1664242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62.8%</w:t>
            </w:r>
          </w:p>
          <w:p w14:paraId="1ACB92C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61.6%</w:t>
            </w:r>
          </w:p>
          <w:p w14:paraId="0EC9E4D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(p=0.44)</w:t>
            </w:r>
          </w:p>
          <w:p w14:paraId="725D913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0A995EF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43.7%</w:t>
            </w:r>
          </w:p>
          <w:p w14:paraId="38DC53F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62.1%</w:t>
            </w:r>
          </w:p>
          <w:p w14:paraId="778CF8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p w14:paraId="763394C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Hispanic</w:t>
            </w:r>
          </w:p>
          <w:p w14:paraId="33E0023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48.5%</w:t>
            </w:r>
          </w:p>
          <w:p w14:paraId="33C2DDE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61.2%</w:t>
            </w:r>
          </w:p>
          <w:p w14:paraId="55C8283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tc>
        <w:tc>
          <w:tcPr>
            <w:tcW w:w="2678" w:type="dxa"/>
            <w:shd w:val="clear" w:color="auto" w:fill="auto"/>
            <w:tcMar>
              <w:top w:w="62" w:type="dxa"/>
              <w:left w:w="62" w:type="dxa"/>
              <w:bottom w:w="62" w:type="dxa"/>
              <w:right w:w="62" w:type="dxa"/>
            </w:tcMar>
          </w:tcPr>
          <w:p w14:paraId="7ABC51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162F0E75" w14:textId="77777777" w:rsidTr="00453DE3">
        <w:tc>
          <w:tcPr>
            <w:tcW w:w="1927" w:type="dxa"/>
            <w:shd w:val="clear" w:color="auto" w:fill="auto"/>
            <w:tcMar>
              <w:top w:w="62" w:type="dxa"/>
              <w:left w:w="62" w:type="dxa"/>
              <w:bottom w:w="62" w:type="dxa"/>
              <w:right w:w="62" w:type="dxa"/>
            </w:tcMar>
          </w:tcPr>
          <w:p w14:paraId="543E378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48" w:tooltip="Harris, 2004 #82" w:history="1">
              <w:r>
                <w:rPr>
                  <w:rFonts w:cstheme="minorHAnsi"/>
                  <w:noProof/>
                  <w:color w:val="000000"/>
                  <w:sz w:val="18"/>
                  <w:szCs w:val="18"/>
                </w:rPr>
                <w:t>48</w:t>
              </w:r>
            </w:hyperlink>
            <w:r>
              <w:rPr>
                <w:rFonts w:cstheme="minorHAnsi"/>
                <w:noProof/>
                <w:color w:val="000000"/>
                <w:sz w:val="18"/>
                <w:szCs w:val="18"/>
              </w:rPr>
              <w:t xml:space="preserve">, </w:t>
            </w:r>
            <w:hyperlink w:anchor="_ENREF_49" w:tooltip="Okuyemi, 2003 #85" w:history="1">
              <w:r>
                <w:rPr>
                  <w:rFonts w:cstheme="minorHAnsi"/>
                  <w:noProof/>
                  <w:color w:val="000000"/>
                  <w:sz w:val="18"/>
                  <w:szCs w:val="18"/>
                </w:rPr>
                <w:t>49</w:t>
              </w:r>
            </w:hyperlink>
            <w:r>
              <w:rPr>
                <w:rFonts w:cstheme="minorHAnsi"/>
                <w:noProof/>
                <w:color w:val="000000"/>
                <w:sz w:val="18"/>
                <w:szCs w:val="18"/>
              </w:rPr>
              <w:t>)</w:t>
            </w:r>
            <w:r w:rsidRPr="00191C09">
              <w:rPr>
                <w:rFonts w:cstheme="minorHAnsi"/>
                <w:color w:val="000000"/>
                <w:sz w:val="18"/>
                <w:szCs w:val="18"/>
              </w:rPr>
              <w:fldChar w:fldCharType="end"/>
            </w:r>
          </w:p>
          <w:p w14:paraId="71E64B6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AE7A22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Blacks</w:t>
            </w:r>
          </w:p>
        </w:tc>
        <w:tc>
          <w:tcPr>
            <w:tcW w:w="3648" w:type="dxa"/>
            <w:shd w:val="clear" w:color="auto" w:fill="auto"/>
            <w:tcMar>
              <w:top w:w="62" w:type="dxa"/>
              <w:left w:w="62" w:type="dxa"/>
              <w:bottom w:w="62" w:type="dxa"/>
              <w:right w:w="62" w:type="dxa"/>
            </w:tcMar>
          </w:tcPr>
          <w:p w14:paraId="1345B0F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73A340BB" w14:textId="77777777" w:rsidR="007F0AE0" w:rsidRPr="00191C09" w:rsidRDefault="007F0AE0" w:rsidP="00453DE3">
            <w:pPr>
              <w:rPr>
                <w:rFonts w:asciiTheme="minorHAnsi" w:hAnsiTheme="minorHAnsi" w:cstheme="minorHAnsi"/>
                <w:sz w:val="18"/>
                <w:szCs w:val="18"/>
                <w:u w:val="single"/>
              </w:rPr>
            </w:pPr>
            <w:r w:rsidRPr="00F52E88">
              <w:rPr>
                <w:rFonts w:cstheme="minorHAnsi"/>
                <w:sz w:val="18"/>
                <w:szCs w:val="18"/>
                <w:u w:val="single"/>
              </w:rPr>
              <w:t xml:space="preserve">7-day PPA verified by eCO ≤10ppm, or, if </w:t>
            </w:r>
            <w:r w:rsidRPr="00191C09">
              <w:rPr>
                <w:rFonts w:asciiTheme="minorHAnsi" w:hAnsiTheme="minorHAnsi" w:cstheme="minorHAnsi"/>
                <w:sz w:val="18"/>
                <w:szCs w:val="18"/>
                <w:u w:val="single"/>
              </w:rPr>
              <w:t>e</w:t>
            </w:r>
            <w:r w:rsidRPr="00F52E88">
              <w:rPr>
                <w:rFonts w:cstheme="minorHAnsi"/>
                <w:sz w:val="18"/>
                <w:szCs w:val="18"/>
                <w:u w:val="single"/>
              </w:rPr>
              <w:t>CO &gt;10ppm, salivary cotinine ≤20ng/ml</w:t>
            </w:r>
          </w:p>
          <w:p w14:paraId="58F744F0"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At end of 7-week cessation intervention</w:t>
            </w:r>
            <w:r w:rsidRPr="00191C09">
              <w:rPr>
                <w:rFonts w:asciiTheme="minorHAnsi" w:hAnsiTheme="minorHAnsi" w:cstheme="minorHAnsi"/>
                <w:sz w:val="18"/>
                <w:szCs w:val="18"/>
              </w:rPr>
              <w:t xml:space="preserve"> (Harris, 2004; Okyuemi, 2003)</w:t>
            </w:r>
            <w:r w:rsidRPr="00F52E88">
              <w:rPr>
                <w:rFonts w:cstheme="minorHAnsi"/>
                <w:sz w:val="18"/>
                <w:szCs w:val="18"/>
              </w:rPr>
              <w:t>:</w:t>
            </w:r>
          </w:p>
          <w:p w14:paraId="211C808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Full sample</w:t>
            </w:r>
          </w:p>
          <w:p w14:paraId="5D7BB6F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28.30%</w:t>
            </w:r>
          </w:p>
          <w:p w14:paraId="6E2758E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41.53%</w:t>
            </w:r>
          </w:p>
          <w:p w14:paraId="768B809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(p=0.0062)</w:t>
            </w:r>
          </w:p>
          <w:p w14:paraId="60D0404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Age &lt;50</w:t>
            </w:r>
            <w:r>
              <w:rPr>
                <w:rFonts w:asciiTheme="minorHAnsi" w:hAnsiTheme="minorHAnsi" w:cstheme="minorHAnsi"/>
                <w:i/>
                <w:sz w:val="18"/>
                <w:szCs w:val="18"/>
              </w:rPr>
              <w:t xml:space="preserve"> </w:t>
            </w:r>
            <w:r w:rsidRPr="00191C09">
              <w:rPr>
                <w:rFonts w:asciiTheme="minorHAnsi" w:hAnsiTheme="minorHAnsi" w:cstheme="minorHAnsi"/>
                <w:i/>
                <w:sz w:val="18"/>
                <w:szCs w:val="18"/>
              </w:rPr>
              <w:t>(Okuyemi, 2003)</w:t>
            </w:r>
          </w:p>
          <w:p w14:paraId="303E92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24.9%</w:t>
            </w:r>
          </w:p>
          <w:p w14:paraId="6B7A8C8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44.4%</w:t>
            </w:r>
          </w:p>
          <w:p w14:paraId="576E227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p w14:paraId="372DCA3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Age ≥50 </w:t>
            </w:r>
          </w:p>
          <w:p w14:paraId="72B43B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(p=0.57)</w:t>
            </w:r>
          </w:p>
          <w:p w14:paraId="0767502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6 months</w:t>
            </w:r>
          </w:p>
          <w:p w14:paraId="217A23C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Full sample (Okuyemi, 2003)</w:t>
            </w:r>
          </w:p>
          <w:p w14:paraId="65BAA98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21.4%</w:t>
            </w:r>
          </w:p>
          <w:p w14:paraId="4506C15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27.0%</w:t>
            </w:r>
          </w:p>
          <w:p w14:paraId="2F34E96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(p=0.21)</w:t>
            </w:r>
          </w:p>
        </w:tc>
        <w:tc>
          <w:tcPr>
            <w:tcW w:w="2678" w:type="dxa"/>
            <w:shd w:val="clear" w:color="auto" w:fill="auto"/>
            <w:tcMar>
              <w:top w:w="62" w:type="dxa"/>
              <w:left w:w="62" w:type="dxa"/>
              <w:bottom w:w="62" w:type="dxa"/>
              <w:right w:w="62" w:type="dxa"/>
            </w:tcMar>
          </w:tcPr>
          <w:p w14:paraId="1BEAB50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19FDE006" w14:textId="77777777" w:rsidTr="00453DE3">
        <w:tc>
          <w:tcPr>
            <w:tcW w:w="1927" w:type="dxa"/>
            <w:shd w:val="clear" w:color="auto" w:fill="auto"/>
            <w:tcMar>
              <w:top w:w="62" w:type="dxa"/>
              <w:left w:w="62" w:type="dxa"/>
              <w:bottom w:w="62" w:type="dxa"/>
              <w:right w:w="62" w:type="dxa"/>
            </w:tcMar>
          </w:tcPr>
          <w:p w14:paraId="264A543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6" w:tooltip="Hyland, 2010 #100" w:history="1">
              <w:r>
                <w:rPr>
                  <w:rFonts w:cstheme="minorHAnsi"/>
                  <w:noProof/>
                  <w:color w:val="000000"/>
                  <w:sz w:val="18"/>
                  <w:szCs w:val="18"/>
                </w:rPr>
                <w:t>46</w:t>
              </w:r>
            </w:hyperlink>
            <w:r>
              <w:rPr>
                <w:rFonts w:cstheme="minorHAnsi"/>
                <w:noProof/>
                <w:color w:val="000000"/>
                <w:sz w:val="18"/>
                <w:szCs w:val="18"/>
              </w:rPr>
              <w:t xml:space="preserve">, </w:t>
            </w:r>
            <w:hyperlink w:anchor="_ENREF_50" w:tooltip="Hyland, 2002 #87" w:history="1">
              <w:r>
                <w:rPr>
                  <w:rFonts w:cstheme="minorHAnsi"/>
                  <w:noProof/>
                  <w:color w:val="000000"/>
                  <w:sz w:val="18"/>
                  <w:szCs w:val="18"/>
                </w:rPr>
                <w:t>50</w:t>
              </w:r>
            </w:hyperlink>
            <w:r>
              <w:rPr>
                <w:rFonts w:cstheme="minorHAnsi"/>
                <w:noProof/>
                <w:color w:val="000000"/>
                <w:sz w:val="18"/>
                <w:szCs w:val="18"/>
              </w:rPr>
              <w:t>)</w:t>
            </w:r>
            <w:r w:rsidRPr="00191C09">
              <w:rPr>
                <w:rFonts w:cstheme="minorHAnsi"/>
                <w:color w:val="000000"/>
                <w:sz w:val="18"/>
                <w:szCs w:val="18"/>
              </w:rPr>
              <w:fldChar w:fldCharType="end"/>
            </w:r>
          </w:p>
          <w:p w14:paraId="0C8E17F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423AA2A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shd w:val="clear" w:color="auto" w:fill="auto"/>
            <w:tcMar>
              <w:top w:w="62" w:type="dxa"/>
              <w:left w:w="62" w:type="dxa"/>
              <w:bottom w:w="62" w:type="dxa"/>
              <w:right w:w="62" w:type="dxa"/>
            </w:tcMar>
          </w:tcPr>
          <w:p w14:paraId="5E7F539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55B676AF" w14:textId="77777777" w:rsidR="007F0AE0" w:rsidRPr="00191C09" w:rsidRDefault="007F0AE0" w:rsidP="00453DE3">
            <w:pPr>
              <w:rPr>
                <w:rFonts w:asciiTheme="minorHAnsi" w:hAnsiTheme="minorHAnsi" w:cstheme="minorHAnsi"/>
                <w:sz w:val="18"/>
                <w:szCs w:val="18"/>
                <w:u w:val="single"/>
              </w:rPr>
            </w:pPr>
            <w:r w:rsidRPr="00F52E88">
              <w:rPr>
                <w:rFonts w:cstheme="minorHAnsi"/>
                <w:sz w:val="18"/>
                <w:szCs w:val="18"/>
                <w:u w:val="single"/>
              </w:rPr>
              <w:t>Quit rate: “No” responses to “Do you smoke now?” and “Have you smoked any cigarettes in the last 6 months?” (Hyland and Rivard, 2010)</w:t>
            </w:r>
          </w:p>
          <w:p w14:paraId="53F40591"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In 2005 for exclusively M/NM smokers 1988-2001:</w:t>
            </w:r>
          </w:p>
          <w:p w14:paraId="53867E6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lastRenderedPageBreak/>
              <w:t>Total sample</w:t>
            </w:r>
          </w:p>
          <w:p w14:paraId="69AB9F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14.7%</w:t>
            </w:r>
          </w:p>
          <w:p w14:paraId="781A093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18.5%</w:t>
            </w:r>
          </w:p>
          <w:p w14:paraId="19E05A8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4EFC99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14.7%</w:t>
            </w:r>
          </w:p>
          <w:p w14:paraId="4BABA52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19.1%</w:t>
            </w:r>
          </w:p>
          <w:p w14:paraId="12EB656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B9E7F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17.0%</w:t>
            </w:r>
          </w:p>
          <w:p w14:paraId="3A96015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9.4%</w:t>
            </w:r>
          </w:p>
          <w:p w14:paraId="27BD740B"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In 2005 for exclusively M/NM smokers 1988-2001 with past quit attempts</w:t>
            </w:r>
            <w:r w:rsidRPr="00191C09">
              <w:rPr>
                <w:rFonts w:asciiTheme="minorHAnsi" w:hAnsiTheme="minorHAnsi" w:cstheme="minorHAnsi"/>
                <w:sz w:val="18"/>
                <w:szCs w:val="18"/>
              </w:rPr>
              <w:t>:</w:t>
            </w:r>
          </w:p>
          <w:p w14:paraId="2A1987E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307EEAA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22.1%</w:t>
            </w:r>
          </w:p>
          <w:p w14:paraId="0FFCE4A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24.5%</w:t>
            </w:r>
          </w:p>
          <w:p w14:paraId="73DDC32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1D945DC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22.0%</w:t>
            </w:r>
          </w:p>
          <w:p w14:paraId="5FDE4E2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25.2%</w:t>
            </w:r>
          </w:p>
          <w:p w14:paraId="6E69AE4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74F876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26.9%</w:t>
            </w:r>
          </w:p>
          <w:p w14:paraId="710B2BE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10.0%</w:t>
            </w:r>
          </w:p>
        </w:tc>
        <w:tc>
          <w:tcPr>
            <w:tcW w:w="2678" w:type="dxa"/>
            <w:shd w:val="clear" w:color="auto" w:fill="auto"/>
            <w:tcMar>
              <w:top w:w="62" w:type="dxa"/>
              <w:left w:w="62" w:type="dxa"/>
              <w:bottom w:w="62" w:type="dxa"/>
              <w:right w:w="62" w:type="dxa"/>
            </w:tcMar>
          </w:tcPr>
          <w:p w14:paraId="54A0057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2189AFDA" w14:textId="77777777" w:rsidTr="00453DE3">
        <w:tc>
          <w:tcPr>
            <w:tcW w:w="1927" w:type="dxa"/>
            <w:tcMar>
              <w:top w:w="62" w:type="dxa"/>
              <w:left w:w="62" w:type="dxa"/>
              <w:bottom w:w="62" w:type="dxa"/>
              <w:right w:w="62" w:type="dxa"/>
            </w:tcMar>
          </w:tcPr>
          <w:p w14:paraId="3B881874"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72" w:tooltip="Kanyuch, 2011 #49" w:history="1">
              <w:r w:rsidRPr="00342AED">
                <w:rPr>
                  <w:rFonts w:asciiTheme="minorHAnsi" w:hAnsiTheme="minorHAnsi" w:cstheme="minorHAnsi"/>
                  <w:noProof/>
                  <w:color w:val="000000"/>
                  <w:sz w:val="18"/>
                  <w:szCs w:val="18"/>
                </w:rPr>
                <w:t>72</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6F1EDE8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E4C9A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2BDD1F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5D037D8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Current/persistent (i.e., non-former; not otherwise defined) smoker</w:t>
            </w:r>
          </w:p>
          <w:p w14:paraId="69F2E0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258B692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w:t>
            </w:r>
          </w:p>
          <w:p w14:paraId="704D1F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1.92 (0.91 to 4.05)</w:t>
            </w:r>
          </w:p>
          <w:p w14:paraId="59C175F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6DD8434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1.14 (0.40 to 3.25)</w:t>
            </w:r>
          </w:p>
          <w:p w14:paraId="1C98CE0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2D2401F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2.84 (1.13 to 7.12)</w:t>
            </w:r>
          </w:p>
        </w:tc>
        <w:tc>
          <w:tcPr>
            <w:tcW w:w="2678" w:type="dxa"/>
            <w:tcMar>
              <w:top w:w="62" w:type="dxa"/>
              <w:left w:w="62" w:type="dxa"/>
              <w:bottom w:w="62" w:type="dxa"/>
              <w:right w:w="62" w:type="dxa"/>
            </w:tcMar>
          </w:tcPr>
          <w:p w14:paraId="596C0F0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88B13F4" w14:textId="77777777" w:rsidTr="00453DE3">
        <w:tc>
          <w:tcPr>
            <w:tcW w:w="1927" w:type="dxa"/>
            <w:tcMar>
              <w:top w:w="62" w:type="dxa"/>
              <w:left w:w="62" w:type="dxa"/>
              <w:bottom w:w="62" w:type="dxa"/>
              <w:right w:w="62" w:type="dxa"/>
            </w:tcMar>
          </w:tcPr>
          <w:p w14:paraId="3A2C0108"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29" w:tooltip="Keeler, 2017 #660" w:history="1">
              <w:r w:rsidRPr="00342AED">
                <w:rPr>
                  <w:rFonts w:asciiTheme="minorHAnsi" w:hAnsiTheme="minorHAnsi" w:cstheme="minorHAnsi"/>
                  <w:noProof/>
                  <w:sz w:val="18"/>
                  <w:szCs w:val="18"/>
                </w:rPr>
                <w:t>29</w:t>
              </w:r>
            </w:hyperlink>
            <w:r w:rsidRPr="00342AED">
              <w:rPr>
                <w:rFonts w:asciiTheme="minorHAnsi" w:hAnsiTheme="minorHAnsi" w:cstheme="minorHAnsi"/>
                <w:noProof/>
                <w:sz w:val="18"/>
                <w:szCs w:val="18"/>
              </w:rPr>
              <w:t>)</w:t>
            </w:r>
            <w:r>
              <w:rPr>
                <w:rFonts w:cstheme="minorHAnsi"/>
                <w:sz w:val="18"/>
                <w:szCs w:val="18"/>
              </w:rPr>
              <w:fldChar w:fldCharType="end"/>
            </w:r>
          </w:p>
          <w:p w14:paraId="45306AA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TUS-CPS;</w:t>
            </w:r>
          </w:p>
          <w:p w14:paraId="6D7814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3648" w:type="dxa"/>
            <w:tcMar>
              <w:top w:w="62" w:type="dxa"/>
              <w:left w:w="62" w:type="dxa"/>
              <w:bottom w:w="62" w:type="dxa"/>
              <w:right w:w="62" w:type="dxa"/>
            </w:tcMar>
          </w:tcPr>
          <w:p w14:paraId="32B78D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46BD46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Successful cessation (≥ 3 months):</w:t>
            </w:r>
          </w:p>
          <w:p w14:paraId="665374E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Total sample: M=5.4% (5.0-5.9); NM=6.0% (5.7-6.2)</w:t>
            </w:r>
          </w:p>
          <w:p w14:paraId="2AB9AB9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Whites: M=5.7% (5.1-6.3); NM=6.0% (5.7-6.2)</w:t>
            </w:r>
          </w:p>
          <w:p w14:paraId="2FF8DDF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Blacks: M=4.9% (4.1-5.9); NM=4.9% (3.9-6.2)</w:t>
            </w:r>
          </w:p>
          <w:p w14:paraId="7967BD8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Asians: M=5.1% (3.2-8.2); NM=5.8% (4.1-8.0)</w:t>
            </w:r>
          </w:p>
          <w:p w14:paraId="1BDE760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Hispanics: M=6.1% (4.6-8.0); NM=6.9% (5.8-8.1)</w:t>
            </w:r>
          </w:p>
          <w:p w14:paraId="4062B4CC" w14:textId="77777777" w:rsidR="007F0AE0" w:rsidRPr="00191C09" w:rsidRDefault="007F0AE0" w:rsidP="00453DE3">
            <w:pPr>
              <w:rPr>
                <w:rFonts w:asciiTheme="minorHAnsi" w:hAnsiTheme="minorHAnsi" w:cstheme="minorHAnsi"/>
                <w:sz w:val="18"/>
                <w:szCs w:val="18"/>
              </w:rPr>
            </w:pPr>
          </w:p>
          <w:p w14:paraId="25BED02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Based on interaction term results, no difference in rate of abstinence ((≥3 months) between Black M smokers and non-Black NM smokers:</w:t>
            </w:r>
          </w:p>
          <w:p w14:paraId="24450E9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OR=1.10, 95% CI: 0.79–1.55; p=0.5640</w:t>
            </w:r>
          </w:p>
        </w:tc>
        <w:tc>
          <w:tcPr>
            <w:tcW w:w="2678" w:type="dxa"/>
            <w:tcMar>
              <w:top w:w="62" w:type="dxa"/>
              <w:left w:w="62" w:type="dxa"/>
              <w:bottom w:w="62" w:type="dxa"/>
              <w:right w:w="62" w:type="dxa"/>
            </w:tcMar>
          </w:tcPr>
          <w:p w14:paraId="084C775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2E6E2781" w14:textId="77777777" w:rsidTr="00453DE3">
        <w:tc>
          <w:tcPr>
            <w:tcW w:w="1927" w:type="dxa"/>
            <w:tcMar>
              <w:top w:w="62" w:type="dxa"/>
              <w:left w:w="62" w:type="dxa"/>
              <w:bottom w:w="62" w:type="dxa"/>
              <w:right w:w="62" w:type="dxa"/>
            </w:tcMar>
          </w:tcPr>
          <w:p w14:paraId="0A895F3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&lt;EndNote&gt;&lt;Cite&gt;&lt;Author&gt;King&lt;/Author&gt;&lt;Year&gt;2011&lt;/Year&gt;&lt;RecNum&gt;104&lt;/RecNum&gt;&lt;DisplayText&gt;(13)&lt;/DisplayText&gt;&lt;record&gt;&lt;rec-number&gt;104&lt;/rec-number&gt;&lt;foreign-keys&gt;&lt;key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3" w:tooltip="King, 2011 #104" w:history="1">
              <w:r>
                <w:rPr>
                  <w:rFonts w:cstheme="minorHAnsi"/>
                  <w:noProof/>
                  <w:color w:val="000000"/>
                  <w:sz w:val="18"/>
                  <w:szCs w:val="18"/>
                </w:rPr>
                <w:t>13</w:t>
              </w:r>
            </w:hyperlink>
            <w:r>
              <w:rPr>
                <w:rFonts w:cstheme="minorHAnsi"/>
                <w:noProof/>
                <w:color w:val="000000"/>
                <w:sz w:val="18"/>
                <w:szCs w:val="18"/>
              </w:rPr>
              <w:t>)</w:t>
            </w:r>
            <w:r w:rsidRPr="00191C09">
              <w:rPr>
                <w:rFonts w:cstheme="minorHAnsi"/>
                <w:color w:val="000000"/>
                <w:sz w:val="18"/>
                <w:szCs w:val="18"/>
              </w:rPr>
              <w:fldChar w:fldCharType="end"/>
            </w:r>
          </w:p>
          <w:p w14:paraId="5315B5D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2EDC72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76FF13E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“…menthol users and non-menthol users were comparable in terms of… longest time quit in the past…”</w:t>
            </w:r>
          </w:p>
        </w:tc>
        <w:tc>
          <w:tcPr>
            <w:tcW w:w="4500" w:type="dxa"/>
            <w:tcMar>
              <w:top w:w="62" w:type="dxa"/>
              <w:left w:w="62" w:type="dxa"/>
              <w:bottom w:w="62" w:type="dxa"/>
              <w:right w:w="62" w:type="dxa"/>
            </w:tcMar>
          </w:tcPr>
          <w:p w14:paraId="32AAE6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6148519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B86B275" w14:textId="77777777" w:rsidTr="00453DE3">
        <w:tc>
          <w:tcPr>
            <w:tcW w:w="1927" w:type="dxa"/>
            <w:tcMar>
              <w:top w:w="62" w:type="dxa"/>
              <w:left w:w="62" w:type="dxa"/>
              <w:bottom w:w="62" w:type="dxa"/>
              <w:right w:w="62" w:type="dxa"/>
            </w:tcMar>
          </w:tcPr>
          <w:p w14:paraId="52EE550E"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19" w:tooltip="Levy, 2011 #45" w:history="1">
              <w:r w:rsidRPr="00342AED">
                <w:rPr>
                  <w:rFonts w:asciiTheme="minorHAnsi" w:hAnsiTheme="minorHAnsi" w:cstheme="minorHAnsi"/>
                  <w:noProof/>
                  <w:color w:val="000000"/>
                  <w:sz w:val="18"/>
                  <w:szCs w:val="18"/>
                </w:rPr>
                <w:t>19</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1C41E81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277139F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3DCA2F8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Among all former smokers (≥100 lifetime cigarettes but not currently smoking)</w:t>
            </w:r>
          </w:p>
          <w:p w14:paraId="108ECDC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2003</w:t>
            </w:r>
          </w:p>
          <w:p w14:paraId="5178FC72" w14:textId="77777777" w:rsidR="007F0AE0" w:rsidRPr="00191C09" w:rsidRDefault="007F0AE0" w:rsidP="00453DE3">
            <w:pPr>
              <w:rPr>
                <w:rFonts w:asciiTheme="minorHAnsi" w:hAnsiTheme="minorHAnsi" w:cstheme="minorHAnsi"/>
                <w:i/>
                <w:sz w:val="18"/>
                <w:szCs w:val="18"/>
              </w:rPr>
            </w:pPr>
            <w:r>
              <w:rPr>
                <w:rFonts w:asciiTheme="minorHAnsi" w:hAnsiTheme="minorHAnsi" w:cstheme="minorHAnsi"/>
                <w:i/>
                <w:sz w:val="18"/>
                <w:szCs w:val="18"/>
              </w:rPr>
              <w:t>Quit ≥</w:t>
            </w:r>
            <w:r w:rsidRPr="00191C09">
              <w:rPr>
                <w:rFonts w:asciiTheme="minorHAnsi" w:hAnsiTheme="minorHAnsi" w:cstheme="minorHAnsi"/>
                <w:i/>
                <w:sz w:val="18"/>
                <w:szCs w:val="18"/>
              </w:rPr>
              <w:t>3 months and ≤1 year</w:t>
            </w:r>
          </w:p>
          <w:p w14:paraId="2979814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4.2%</w:t>
            </w:r>
          </w:p>
          <w:p w14:paraId="356033F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4.4%</w:t>
            </w:r>
          </w:p>
          <w:p w14:paraId="46B56729" w14:textId="77777777" w:rsidR="007F0AE0" w:rsidRPr="00191C09" w:rsidRDefault="007F0AE0" w:rsidP="00453DE3">
            <w:pPr>
              <w:rPr>
                <w:rFonts w:asciiTheme="minorHAnsi" w:hAnsiTheme="minorHAnsi" w:cstheme="minorHAnsi"/>
                <w:i/>
                <w:sz w:val="18"/>
                <w:szCs w:val="18"/>
              </w:rPr>
            </w:pPr>
            <w:r>
              <w:rPr>
                <w:rFonts w:asciiTheme="minorHAnsi" w:hAnsiTheme="minorHAnsi" w:cstheme="minorHAnsi"/>
                <w:i/>
                <w:sz w:val="18"/>
                <w:szCs w:val="18"/>
              </w:rPr>
              <w:t>Quit ≥</w:t>
            </w:r>
            <w:r w:rsidRPr="00191C09">
              <w:rPr>
                <w:rFonts w:asciiTheme="minorHAnsi" w:hAnsiTheme="minorHAnsi" w:cstheme="minorHAnsi"/>
                <w:i/>
                <w:sz w:val="18"/>
                <w:szCs w:val="18"/>
              </w:rPr>
              <w:t>3 months and ≤5 years</w:t>
            </w:r>
          </w:p>
          <w:p w14:paraId="38437C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18.8%</w:t>
            </w:r>
          </w:p>
          <w:p w14:paraId="0FFC634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21.2%</w:t>
            </w:r>
          </w:p>
          <w:p w14:paraId="6079B4B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2007</w:t>
            </w:r>
          </w:p>
          <w:p w14:paraId="3815EDF3" w14:textId="77777777" w:rsidR="007F0AE0" w:rsidRPr="00191C09" w:rsidRDefault="007F0AE0" w:rsidP="00453DE3">
            <w:pPr>
              <w:rPr>
                <w:rFonts w:asciiTheme="minorHAnsi" w:hAnsiTheme="minorHAnsi" w:cstheme="minorHAnsi"/>
                <w:i/>
                <w:sz w:val="18"/>
                <w:szCs w:val="18"/>
              </w:rPr>
            </w:pPr>
            <w:r>
              <w:rPr>
                <w:rFonts w:asciiTheme="minorHAnsi" w:hAnsiTheme="minorHAnsi" w:cstheme="minorHAnsi"/>
                <w:i/>
                <w:sz w:val="18"/>
                <w:szCs w:val="18"/>
              </w:rPr>
              <w:t>Quit ≥</w:t>
            </w:r>
            <w:r w:rsidRPr="00191C09">
              <w:rPr>
                <w:rFonts w:asciiTheme="minorHAnsi" w:hAnsiTheme="minorHAnsi" w:cstheme="minorHAnsi"/>
                <w:i/>
                <w:sz w:val="18"/>
                <w:szCs w:val="18"/>
              </w:rPr>
              <w:t>3 months and ≤1 year</w:t>
            </w:r>
          </w:p>
          <w:p w14:paraId="3C56629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4.1%</w:t>
            </w:r>
          </w:p>
          <w:p w14:paraId="5910F0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4.6%</w:t>
            </w:r>
          </w:p>
          <w:p w14:paraId="79D90172" w14:textId="77777777" w:rsidR="007F0AE0" w:rsidRPr="00191C09" w:rsidRDefault="007F0AE0" w:rsidP="00453DE3">
            <w:pPr>
              <w:rPr>
                <w:rFonts w:asciiTheme="minorHAnsi" w:hAnsiTheme="minorHAnsi" w:cstheme="minorHAnsi"/>
                <w:i/>
                <w:sz w:val="18"/>
                <w:szCs w:val="18"/>
              </w:rPr>
            </w:pPr>
            <w:r>
              <w:rPr>
                <w:rFonts w:asciiTheme="minorHAnsi" w:hAnsiTheme="minorHAnsi" w:cstheme="minorHAnsi"/>
                <w:i/>
                <w:sz w:val="18"/>
                <w:szCs w:val="18"/>
              </w:rPr>
              <w:t>Quit ≥</w:t>
            </w:r>
            <w:r w:rsidRPr="00191C09">
              <w:rPr>
                <w:rFonts w:asciiTheme="minorHAnsi" w:hAnsiTheme="minorHAnsi" w:cstheme="minorHAnsi"/>
                <w:i/>
                <w:sz w:val="18"/>
                <w:szCs w:val="18"/>
              </w:rPr>
              <w:t>3 months and ≤5 years</w:t>
            </w:r>
          </w:p>
          <w:p w14:paraId="15195BF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18.3%</w:t>
            </w:r>
          </w:p>
          <w:p w14:paraId="08EAD03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21.2%</w:t>
            </w:r>
          </w:p>
        </w:tc>
        <w:tc>
          <w:tcPr>
            <w:tcW w:w="4500" w:type="dxa"/>
            <w:tcMar>
              <w:top w:w="62" w:type="dxa"/>
              <w:left w:w="62" w:type="dxa"/>
              <w:bottom w:w="62" w:type="dxa"/>
              <w:right w:w="62" w:type="dxa"/>
            </w:tcMar>
          </w:tcPr>
          <w:p w14:paraId="334225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0BB1B55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6D3661B" w14:textId="77777777" w:rsidTr="00453DE3">
        <w:tc>
          <w:tcPr>
            <w:tcW w:w="1927" w:type="dxa"/>
            <w:shd w:val="clear" w:color="auto" w:fill="auto"/>
            <w:tcMar>
              <w:top w:w="62" w:type="dxa"/>
              <w:left w:w="62" w:type="dxa"/>
              <w:bottom w:w="62" w:type="dxa"/>
              <w:right w:w="62" w:type="dxa"/>
            </w:tcMar>
          </w:tcPr>
          <w:p w14:paraId="397902E7"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53" w:tooltip="Lewis, 2014 #17" w:history="1">
              <w:r w:rsidRPr="00342AED">
                <w:rPr>
                  <w:rFonts w:asciiTheme="minorHAnsi" w:hAnsiTheme="minorHAnsi" w:cstheme="minorHAnsi"/>
                  <w:noProof/>
                  <w:sz w:val="18"/>
                  <w:szCs w:val="18"/>
                </w:rPr>
                <w:t>53</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72712DE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7AFC17B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3648" w:type="dxa"/>
            <w:tcMar>
              <w:top w:w="62" w:type="dxa"/>
              <w:left w:w="62" w:type="dxa"/>
              <w:bottom w:w="62" w:type="dxa"/>
              <w:right w:w="62" w:type="dxa"/>
            </w:tcMar>
          </w:tcPr>
          <w:p w14:paraId="3427BF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tcMar>
              <w:top w:w="62" w:type="dxa"/>
              <w:left w:w="62" w:type="dxa"/>
              <w:bottom w:w="62" w:type="dxa"/>
              <w:right w:w="62" w:type="dxa"/>
            </w:tcMar>
          </w:tcPr>
          <w:p w14:paraId="73F7A9F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Former smoker: did not purchase a pack of cigarettes for ≥1 year</w:t>
            </w:r>
          </w:p>
          <w:p w14:paraId="7F415E0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 per text</w:t>
            </w:r>
          </w:p>
          <w:p w14:paraId="09C0E3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19.8%</w:t>
            </w:r>
          </w:p>
          <w:p w14:paraId="47E923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27.4%</w:t>
            </w:r>
          </w:p>
          <w:p w14:paraId="560B7B2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 per table 3</w:t>
            </w:r>
          </w:p>
          <w:p w14:paraId="1181051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20.3%</w:t>
            </w:r>
          </w:p>
          <w:p w14:paraId="1DAD80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26.2%</w:t>
            </w:r>
          </w:p>
          <w:p w14:paraId="241B0E0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p w14:paraId="3CF4CCB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165DB96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17.0%</w:t>
            </w:r>
          </w:p>
          <w:p w14:paraId="249F98F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18.5%</w:t>
            </w:r>
          </w:p>
          <w:p w14:paraId="19BBF3B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Non-Black</w:t>
            </w:r>
          </w:p>
          <w:p w14:paraId="5A810E2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M: 21.3%</w:t>
            </w:r>
          </w:p>
          <w:p w14:paraId="24094FE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NM: 26.8%</w:t>
            </w:r>
          </w:p>
        </w:tc>
        <w:tc>
          <w:tcPr>
            <w:tcW w:w="2678" w:type="dxa"/>
            <w:tcMar>
              <w:top w:w="62" w:type="dxa"/>
              <w:left w:w="62" w:type="dxa"/>
              <w:bottom w:w="62" w:type="dxa"/>
              <w:right w:w="62" w:type="dxa"/>
            </w:tcMar>
          </w:tcPr>
          <w:p w14:paraId="144C1B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40D45BE5" w14:textId="77777777" w:rsidTr="00453DE3">
        <w:tc>
          <w:tcPr>
            <w:tcW w:w="1927" w:type="dxa"/>
            <w:tcMar>
              <w:top w:w="62" w:type="dxa"/>
              <w:left w:w="62" w:type="dxa"/>
              <w:bottom w:w="62" w:type="dxa"/>
              <w:right w:w="62" w:type="dxa"/>
            </w:tcMar>
          </w:tcPr>
          <w:p w14:paraId="37010375"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&lt;EndNote&gt;&lt;Cite&gt;&lt;Author&gt;Mendiondo&lt;/Author&gt;&lt;Year&gt;2010&lt;/Year&gt;&lt;RecNum&gt;60&lt;/RecNum&gt;&lt;DisplayText&gt;(22)&lt;/DisplayText&gt;&lt;record&gt;&lt;rec-number&gt;60&lt;/rec-number&gt;&lt;foreign-keys&gt;&lt;key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22" w:tooltip="Mendiondo, 2010 #60" w:history="1">
              <w:r>
                <w:rPr>
                  <w:rFonts w:cstheme="minorHAnsi"/>
                  <w:noProof/>
                  <w:color w:val="000000"/>
                  <w:sz w:val="18"/>
                  <w:szCs w:val="18"/>
                </w:rPr>
                <w:t>22</w:t>
              </w:r>
            </w:hyperlink>
            <w:r>
              <w:rPr>
                <w:rFonts w:cstheme="minorHAnsi"/>
                <w:noProof/>
                <w:color w:val="000000"/>
                <w:sz w:val="18"/>
                <w:szCs w:val="18"/>
              </w:rPr>
              <w:t>)</w:t>
            </w:r>
            <w:r w:rsidRPr="00191C09">
              <w:rPr>
                <w:rFonts w:cstheme="minorHAnsi"/>
                <w:color w:val="000000"/>
                <w:sz w:val="18"/>
                <w:szCs w:val="18"/>
              </w:rPr>
              <w:fldChar w:fldCharType="end"/>
            </w:r>
          </w:p>
          <w:p w14:paraId="3CEE7DB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NHIS</w:t>
            </w:r>
          </w:p>
          <w:p w14:paraId="2458AF2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7943C89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Former smokers: years since quit</w:t>
            </w:r>
          </w:p>
          <w:p w14:paraId="3874861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694893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15.6</w:t>
            </w:r>
          </w:p>
          <w:p w14:paraId="203FD3C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17.9</w:t>
            </w:r>
          </w:p>
          <w:p w14:paraId="4BACBE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(p&lt;0.001)</w:t>
            </w:r>
          </w:p>
          <w:p w14:paraId="3D18179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04D13C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12.9</w:t>
            </w:r>
          </w:p>
          <w:p w14:paraId="07FCAE0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17.7</w:t>
            </w:r>
          </w:p>
          <w:p w14:paraId="03AD429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(p&lt;0.001)</w:t>
            </w:r>
          </w:p>
          <w:p w14:paraId="28E0AB5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4E19240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16.6</w:t>
            </w:r>
          </w:p>
          <w:p w14:paraId="358920E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18.5</w:t>
            </w:r>
          </w:p>
          <w:p w14:paraId="68C0F6E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(p=0.002)</w:t>
            </w:r>
          </w:p>
          <w:p w14:paraId="4DCC7E0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390B3C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12.0</w:t>
            </w:r>
          </w:p>
          <w:p w14:paraId="7F203E3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12.9</w:t>
            </w:r>
          </w:p>
          <w:p w14:paraId="13001AF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(p=0.50)</w:t>
            </w:r>
          </w:p>
        </w:tc>
        <w:tc>
          <w:tcPr>
            <w:tcW w:w="4500" w:type="dxa"/>
            <w:tcMar>
              <w:top w:w="62" w:type="dxa"/>
              <w:left w:w="62" w:type="dxa"/>
              <w:bottom w:w="62" w:type="dxa"/>
              <w:right w:w="62" w:type="dxa"/>
            </w:tcMar>
          </w:tcPr>
          <w:p w14:paraId="0616BB1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Former smoker: “not currently smoking”</w:t>
            </w:r>
          </w:p>
          <w:p w14:paraId="3113260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w:t>
            </w:r>
          </w:p>
          <w:p w14:paraId="46A6FD3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24.7%</w:t>
            </w:r>
          </w:p>
          <w:p w14:paraId="0F4CE79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75.3%</w:t>
            </w:r>
          </w:p>
          <w:p w14:paraId="145C958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3EE1D6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61.7%</w:t>
            </w:r>
          </w:p>
          <w:p w14:paraId="78F2BB5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38.3%</w:t>
            </w:r>
          </w:p>
          <w:p w14:paraId="130AF4C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265DDC1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21.0%</w:t>
            </w:r>
          </w:p>
          <w:p w14:paraId="79D1887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79.0%</w:t>
            </w:r>
          </w:p>
          <w:p w14:paraId="766C3D5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Hispanic</w:t>
            </w:r>
          </w:p>
          <w:p w14:paraId="3179971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23.4%</w:t>
            </w:r>
          </w:p>
          <w:p w14:paraId="20A6CD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76.6%</w:t>
            </w:r>
          </w:p>
          <w:p w14:paraId="3A2D9B79" w14:textId="77777777" w:rsidR="007F0AE0" w:rsidRPr="00191C09" w:rsidRDefault="007F0AE0" w:rsidP="00453DE3">
            <w:pPr>
              <w:rPr>
                <w:rFonts w:asciiTheme="minorHAnsi" w:hAnsiTheme="minorHAnsi" w:cstheme="minorHAnsi"/>
                <w:sz w:val="18"/>
                <w:szCs w:val="18"/>
              </w:rPr>
            </w:pPr>
          </w:p>
          <w:p w14:paraId="02B2563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 xml:space="preserve">OR (95% CI) for M (ref= </w:t>
            </w:r>
            <w:r w:rsidRPr="00191C09">
              <w:rPr>
                <w:rFonts w:asciiTheme="minorHAnsi" w:hAnsiTheme="minorHAnsi" w:cstheme="minorHAnsi"/>
                <w:color w:val="000000"/>
                <w:sz w:val="18"/>
                <w:szCs w:val="18"/>
                <w:u w:val="single"/>
              </w:rPr>
              <w:t>NH White NM</w:t>
            </w:r>
            <w:r w:rsidRPr="00191C09">
              <w:rPr>
                <w:rFonts w:asciiTheme="minorHAnsi" w:hAnsiTheme="minorHAnsi" w:cstheme="minorHAnsi"/>
                <w:color w:val="000000"/>
                <w:sz w:val="18"/>
                <w:szCs w:val="18"/>
              </w:rPr>
              <w:t>)</w:t>
            </w:r>
          </w:p>
          <w:p w14:paraId="0EA1322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Black </w:t>
            </w:r>
          </w:p>
          <w:p w14:paraId="590CC26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6.04 (4.70 to 7.75) </w:t>
            </w:r>
          </w:p>
          <w:p w14:paraId="598BC768"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Hispanic </w:t>
            </w:r>
          </w:p>
          <w:p w14:paraId="626DCB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0.99 (0.71 to 1.39)</w:t>
            </w:r>
          </w:p>
        </w:tc>
        <w:tc>
          <w:tcPr>
            <w:tcW w:w="2678" w:type="dxa"/>
            <w:tcMar>
              <w:top w:w="62" w:type="dxa"/>
              <w:left w:w="62" w:type="dxa"/>
              <w:bottom w:w="62" w:type="dxa"/>
              <w:right w:w="62" w:type="dxa"/>
            </w:tcMar>
          </w:tcPr>
          <w:p w14:paraId="2929BA1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78C8459" w14:textId="77777777" w:rsidTr="00453DE3">
        <w:tc>
          <w:tcPr>
            <w:tcW w:w="1927" w:type="dxa"/>
            <w:tcMar>
              <w:top w:w="62" w:type="dxa"/>
              <w:left w:w="62" w:type="dxa"/>
              <w:bottom w:w="62" w:type="dxa"/>
              <w:right w:w="62" w:type="dxa"/>
            </w:tcMar>
          </w:tcPr>
          <w:p w14:paraId="2DD636BC"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&lt;EndNote&gt;&lt;Cite&gt;&lt;Author&gt;Miller&lt;/Author&gt;&lt;Year&gt;1994&lt;/Year&gt;&lt;RecNum&gt;91&lt;/RecNum&gt;&lt;DisplayText&gt;(16)&lt;/DisplayText&gt;&lt;record&gt;&lt;rec-number&gt;91&lt;/rec-number&gt;&lt;foreign-keys&gt;&lt;key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6" w:tooltip="Miller, 1994 #91" w:history="1">
              <w:r>
                <w:rPr>
                  <w:rFonts w:cstheme="minorHAnsi"/>
                  <w:noProof/>
                  <w:color w:val="000000"/>
                  <w:sz w:val="18"/>
                  <w:szCs w:val="18"/>
                </w:rPr>
                <w:t>16</w:t>
              </w:r>
            </w:hyperlink>
            <w:r>
              <w:rPr>
                <w:rFonts w:cstheme="minorHAnsi"/>
                <w:noProof/>
                <w:color w:val="000000"/>
                <w:sz w:val="18"/>
                <w:szCs w:val="18"/>
              </w:rPr>
              <w:t>)</w:t>
            </w:r>
            <w:r w:rsidRPr="00191C09">
              <w:rPr>
                <w:rFonts w:cstheme="minorHAnsi"/>
                <w:color w:val="000000"/>
                <w:sz w:val="18"/>
                <w:szCs w:val="18"/>
              </w:rPr>
              <w:fldChar w:fldCharType="end"/>
            </w:r>
          </w:p>
          <w:p w14:paraId="0DFE9C4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BBDD1F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men in inpatient substance abuse treatment at the VA</w:t>
            </w:r>
          </w:p>
        </w:tc>
        <w:tc>
          <w:tcPr>
            <w:tcW w:w="3648" w:type="dxa"/>
            <w:tcMar>
              <w:top w:w="62" w:type="dxa"/>
              <w:left w:w="62" w:type="dxa"/>
              <w:bottom w:w="62" w:type="dxa"/>
              <w:right w:w="62" w:type="dxa"/>
            </w:tcMar>
          </w:tcPr>
          <w:p w14:paraId="3C2CD4D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Duration of abstinence: the greatest number of days without smoking</w:t>
            </w:r>
          </w:p>
          <w:p w14:paraId="1EEDE2F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60.3 (94.1)</w:t>
            </w:r>
          </w:p>
          <w:p w14:paraId="272A0E8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NM: 98.0 (177.8)</w:t>
            </w:r>
          </w:p>
        </w:tc>
        <w:tc>
          <w:tcPr>
            <w:tcW w:w="4500" w:type="dxa"/>
            <w:tcMar>
              <w:top w:w="62" w:type="dxa"/>
              <w:left w:w="62" w:type="dxa"/>
              <w:bottom w:w="62" w:type="dxa"/>
              <w:right w:w="62" w:type="dxa"/>
            </w:tcMar>
          </w:tcPr>
          <w:p w14:paraId="137C2C3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1DB9AF7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E4D49C6" w14:textId="77777777" w:rsidTr="00453DE3">
        <w:tc>
          <w:tcPr>
            <w:tcW w:w="1927" w:type="dxa"/>
            <w:shd w:val="clear" w:color="auto" w:fill="auto"/>
            <w:tcMar>
              <w:top w:w="62" w:type="dxa"/>
              <w:left w:w="62" w:type="dxa"/>
              <w:bottom w:w="62" w:type="dxa"/>
              <w:right w:w="62" w:type="dxa"/>
            </w:tcMar>
          </w:tcPr>
          <w:p w14:paraId="64BE45A9"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&lt;EndNote&gt;&lt;Cite&gt;&lt;Author&gt;Murray&lt;/Author&gt;&lt;Year&gt;2007&lt;/Year&gt;&lt;RecNum&gt;77&lt;/RecNum&gt;&lt;DisplayText&gt;(60)&lt;/DisplayText&gt;&lt;record&gt;&lt;rec-number&gt;77&lt;/rec-number&gt;&lt;foreign-keys&gt;&lt;key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60" w:tooltip="Murray, 2007 #77" w:history="1">
              <w:r>
                <w:rPr>
                  <w:rFonts w:cstheme="minorHAnsi"/>
                  <w:noProof/>
                  <w:color w:val="000000"/>
                  <w:sz w:val="18"/>
                  <w:szCs w:val="18"/>
                </w:rPr>
                <w:t>60</w:t>
              </w:r>
            </w:hyperlink>
            <w:r>
              <w:rPr>
                <w:rFonts w:cstheme="minorHAnsi"/>
                <w:noProof/>
                <w:color w:val="000000"/>
                <w:sz w:val="18"/>
                <w:szCs w:val="18"/>
              </w:rPr>
              <w:t>)</w:t>
            </w:r>
            <w:r w:rsidRPr="00191C09">
              <w:rPr>
                <w:rFonts w:cstheme="minorHAnsi"/>
                <w:color w:val="000000"/>
                <w:sz w:val="18"/>
                <w:szCs w:val="18"/>
              </w:rPr>
              <w:fldChar w:fldCharType="end"/>
            </w:r>
          </w:p>
          <w:p w14:paraId="728363F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5A0144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Patients with obstructive lung impairment</w:t>
            </w:r>
          </w:p>
        </w:tc>
        <w:tc>
          <w:tcPr>
            <w:tcW w:w="3648" w:type="dxa"/>
            <w:shd w:val="clear" w:color="auto" w:fill="auto"/>
            <w:tcMar>
              <w:top w:w="62" w:type="dxa"/>
              <w:left w:w="62" w:type="dxa"/>
              <w:bottom w:w="62" w:type="dxa"/>
              <w:right w:w="62" w:type="dxa"/>
            </w:tcMar>
          </w:tcPr>
          <w:p w14:paraId="59372F0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3513F8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Sustained quitter:</w:t>
            </w:r>
            <w:r>
              <w:rPr>
                <w:rFonts w:asciiTheme="minorHAnsi" w:hAnsiTheme="minorHAnsi" w:cstheme="minorHAnsi"/>
                <w:sz w:val="18"/>
                <w:szCs w:val="18"/>
              </w:rPr>
              <w:t xml:space="preserve"> </w:t>
            </w:r>
            <w:r w:rsidRPr="00191C09">
              <w:rPr>
                <w:rFonts w:asciiTheme="minorHAnsi" w:hAnsiTheme="minorHAnsi" w:cstheme="minorHAnsi"/>
                <w:sz w:val="18"/>
                <w:szCs w:val="18"/>
              </w:rPr>
              <w:t>at each of the 5 annual visits in LHS1, recalled no month with mean smoking greater than 1 CPD and biochemically verified as quitter;</w:t>
            </w:r>
          </w:p>
          <w:p w14:paraId="5A39177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Intermittent smoker: biochemically verified as quitter at some annual visits but as smoking at some annual visits</w:t>
            </w:r>
          </w:p>
          <w:p w14:paraId="5B44FBCD" w14:textId="77777777" w:rsidR="007F0AE0" w:rsidRPr="00191C09" w:rsidRDefault="007F0AE0" w:rsidP="00453DE3">
            <w:pPr>
              <w:rPr>
                <w:rFonts w:asciiTheme="minorHAnsi" w:hAnsiTheme="minorHAnsi" w:cstheme="minorHAnsi"/>
                <w:sz w:val="18"/>
                <w:szCs w:val="18"/>
                <w:u w:val="single"/>
              </w:rPr>
            </w:pPr>
          </w:p>
          <w:p w14:paraId="007CD8B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&gt;5 years after baseline</w:t>
            </w:r>
          </w:p>
          <w:p w14:paraId="5091C36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Men</w:t>
            </w:r>
          </w:p>
          <w:p w14:paraId="030172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Sustained quitters</w:t>
            </w:r>
          </w:p>
          <w:p w14:paraId="69954CE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16.6%</w:t>
            </w:r>
          </w:p>
          <w:p w14:paraId="1FB3985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NM: 17.2%</w:t>
            </w:r>
          </w:p>
          <w:p w14:paraId="47E8972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Intermittent quitters</w:t>
            </w:r>
          </w:p>
          <w:p w14:paraId="40FB809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26.0%</w:t>
            </w:r>
          </w:p>
          <w:p w14:paraId="0B802CD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26.9%</w:t>
            </w:r>
          </w:p>
          <w:p w14:paraId="4F46139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p=0.80 for 3-group comparison (current smokers vs. sustained quitters vs. intermittent quitters)</w:t>
            </w:r>
          </w:p>
          <w:p w14:paraId="4E6A8AF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Women</w:t>
            </w:r>
          </w:p>
          <w:p w14:paraId="6862941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Sustained quitters</w:t>
            </w:r>
          </w:p>
          <w:p w14:paraId="28D795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13.8%</w:t>
            </w:r>
          </w:p>
          <w:p w14:paraId="718AD3C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15.4%</w:t>
            </w:r>
          </w:p>
          <w:p w14:paraId="75EC3B5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Intermittent quitters</w:t>
            </w:r>
          </w:p>
          <w:p w14:paraId="02AD206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30.4%</w:t>
            </w:r>
          </w:p>
          <w:p w14:paraId="46C0878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28.7%</w:t>
            </w:r>
          </w:p>
          <w:p w14:paraId="631D034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p=0.57 for 3-group comparison (current smokers vs. sustained quitters vs. intermittent quitters)</w:t>
            </w:r>
          </w:p>
        </w:tc>
        <w:tc>
          <w:tcPr>
            <w:tcW w:w="2678" w:type="dxa"/>
            <w:shd w:val="clear" w:color="auto" w:fill="auto"/>
            <w:tcMar>
              <w:top w:w="62" w:type="dxa"/>
              <w:left w:w="62" w:type="dxa"/>
              <w:bottom w:w="62" w:type="dxa"/>
              <w:right w:w="62" w:type="dxa"/>
            </w:tcMar>
          </w:tcPr>
          <w:p w14:paraId="6B14214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71601780" w14:textId="77777777" w:rsidTr="00453DE3">
        <w:tc>
          <w:tcPr>
            <w:tcW w:w="1927" w:type="dxa"/>
            <w:shd w:val="clear" w:color="auto" w:fill="auto"/>
            <w:tcMar>
              <w:top w:w="62" w:type="dxa"/>
              <w:left w:w="62" w:type="dxa"/>
              <w:bottom w:w="62" w:type="dxa"/>
              <w:right w:w="62" w:type="dxa"/>
            </w:tcMar>
          </w:tcPr>
          <w:p w14:paraId="76143EE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&lt;EndNote&gt;&lt;Cite&gt;&lt;Author&gt;Muscat&lt;/Author&gt;&lt;Year&gt;2002&lt;/Year&gt;&lt;RecNum&gt;86&lt;/RecNum&gt;&lt;DisplayText&gt;(55)&lt;/DisplayText&gt;&lt;record&gt;&lt;rec-number&gt;86&lt;/rec-number&gt;&lt;foreign-keys&gt;&lt;key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55" w:tooltip="Muscat, 2002 #86" w:history="1">
              <w:r>
                <w:rPr>
                  <w:rFonts w:cstheme="minorHAnsi"/>
                  <w:noProof/>
                  <w:color w:val="000000"/>
                  <w:sz w:val="18"/>
                  <w:szCs w:val="18"/>
                </w:rPr>
                <w:t>55</w:t>
              </w:r>
            </w:hyperlink>
            <w:r>
              <w:rPr>
                <w:rFonts w:cstheme="minorHAnsi"/>
                <w:noProof/>
                <w:color w:val="000000"/>
                <w:sz w:val="18"/>
                <w:szCs w:val="18"/>
              </w:rPr>
              <w:t>)</w:t>
            </w:r>
            <w:r w:rsidRPr="00191C09">
              <w:rPr>
                <w:rFonts w:cstheme="minorHAnsi"/>
                <w:color w:val="000000"/>
                <w:sz w:val="18"/>
                <w:szCs w:val="18"/>
              </w:rPr>
              <w:fldChar w:fldCharType="end"/>
            </w:r>
          </w:p>
          <w:p w14:paraId="01BE9F4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8F2366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Cancer patients and non-cancer controls</w:t>
            </w:r>
          </w:p>
        </w:tc>
        <w:tc>
          <w:tcPr>
            <w:tcW w:w="3648" w:type="dxa"/>
            <w:shd w:val="clear" w:color="auto" w:fill="auto"/>
            <w:tcMar>
              <w:top w:w="62" w:type="dxa"/>
              <w:left w:w="62" w:type="dxa"/>
              <w:bottom w:w="62" w:type="dxa"/>
              <w:right w:w="62" w:type="dxa"/>
            </w:tcMar>
          </w:tcPr>
          <w:p w14:paraId="4F1DB05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4102B67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Former smoker: ever smoker who did not smoke ≥1 CPD for the preceding year</w:t>
            </w:r>
          </w:p>
          <w:p w14:paraId="201DC42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Former smokers</w:t>
            </w:r>
          </w:p>
          <w:p w14:paraId="30F9C68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79413C9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43.7%</w:t>
            </w:r>
          </w:p>
          <w:p w14:paraId="56BF7F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52.9%</w:t>
            </w:r>
          </w:p>
          <w:p w14:paraId="0B9D2F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p w14:paraId="2838E17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292F8CD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29.6%</w:t>
            </w:r>
          </w:p>
          <w:p w14:paraId="203B0D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35.7%</w:t>
            </w:r>
          </w:p>
          <w:p w14:paraId="148CD7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tc>
        <w:tc>
          <w:tcPr>
            <w:tcW w:w="2678" w:type="dxa"/>
            <w:shd w:val="clear" w:color="auto" w:fill="auto"/>
            <w:tcMar>
              <w:top w:w="62" w:type="dxa"/>
              <w:left w:w="62" w:type="dxa"/>
              <w:bottom w:w="62" w:type="dxa"/>
              <w:right w:w="62" w:type="dxa"/>
            </w:tcMar>
          </w:tcPr>
          <w:p w14:paraId="7A38D56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96AB0CF" w14:textId="77777777" w:rsidTr="00453DE3">
        <w:tc>
          <w:tcPr>
            <w:tcW w:w="1927" w:type="dxa"/>
            <w:tcMar>
              <w:top w:w="62" w:type="dxa"/>
              <w:left w:w="62" w:type="dxa"/>
              <w:bottom w:w="62" w:type="dxa"/>
              <w:right w:w="62" w:type="dxa"/>
            </w:tcMar>
          </w:tcPr>
          <w:p w14:paraId="0E727B2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&lt;EndNote&gt;&lt;Cite&gt;&lt;Author&gt;Okuyemi&lt;/Author&gt;&lt;Year&gt;2004&lt;/Year&gt;&lt;RecNum&gt;81&lt;/RecNum&gt;&lt;DisplayText&gt;(15)&lt;/DisplayText&gt;&lt;record&gt;&lt;rec-number&gt;81&lt;/rec-number&gt;&lt;foreign-keys&gt;&lt;key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5" w:tooltip="Okuyemi, 2004 #81" w:history="1">
              <w:r>
                <w:rPr>
                  <w:rFonts w:cstheme="minorHAnsi"/>
                  <w:noProof/>
                  <w:color w:val="000000"/>
                  <w:sz w:val="18"/>
                  <w:szCs w:val="18"/>
                </w:rPr>
                <w:t>15</w:t>
              </w:r>
            </w:hyperlink>
            <w:r>
              <w:rPr>
                <w:rFonts w:cstheme="minorHAnsi"/>
                <w:noProof/>
                <w:color w:val="000000"/>
                <w:sz w:val="18"/>
                <w:szCs w:val="18"/>
              </w:rPr>
              <w:t>)</w:t>
            </w:r>
            <w:r w:rsidRPr="00191C09">
              <w:rPr>
                <w:rFonts w:cstheme="minorHAnsi"/>
                <w:color w:val="000000"/>
                <w:sz w:val="18"/>
                <w:szCs w:val="18"/>
              </w:rPr>
              <w:fldChar w:fldCharType="end"/>
            </w:r>
          </w:p>
          <w:p w14:paraId="58EBE93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D5F304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Blacks</w:t>
            </w:r>
          </w:p>
        </w:tc>
        <w:tc>
          <w:tcPr>
            <w:tcW w:w="3648" w:type="dxa"/>
            <w:tcMar>
              <w:top w:w="62" w:type="dxa"/>
              <w:left w:w="62" w:type="dxa"/>
              <w:bottom w:w="62" w:type="dxa"/>
              <w:right w:w="62" w:type="dxa"/>
            </w:tcMar>
          </w:tcPr>
          <w:p w14:paraId="77CC2EA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Duration of most recent quit attempt, days:</w:t>
            </w:r>
          </w:p>
          <w:p w14:paraId="6F27415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 30 </w:t>
            </w:r>
          </w:p>
          <w:p w14:paraId="5002A41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36 </w:t>
            </w:r>
          </w:p>
          <w:p w14:paraId="105EA9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(p=0.19)</w:t>
            </w:r>
          </w:p>
          <w:p w14:paraId="1A9D543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Duration of longest-ever quit attempt, days:</w:t>
            </w:r>
          </w:p>
          <w:p w14:paraId="20B4583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 90 </w:t>
            </w:r>
          </w:p>
          <w:p w14:paraId="41A9CD9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157.5 </w:t>
            </w:r>
          </w:p>
          <w:p w14:paraId="2A41D56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(p=0.11)</w:t>
            </w:r>
          </w:p>
        </w:tc>
        <w:tc>
          <w:tcPr>
            <w:tcW w:w="4500" w:type="dxa"/>
            <w:tcMar>
              <w:top w:w="62" w:type="dxa"/>
              <w:left w:w="62" w:type="dxa"/>
              <w:bottom w:w="62" w:type="dxa"/>
              <w:right w:w="62" w:type="dxa"/>
            </w:tcMar>
          </w:tcPr>
          <w:p w14:paraId="3AA3BFC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37022C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05050B29" w14:textId="77777777" w:rsidTr="00453DE3">
        <w:tc>
          <w:tcPr>
            <w:tcW w:w="1927" w:type="dxa"/>
            <w:tcMar>
              <w:top w:w="62" w:type="dxa"/>
              <w:left w:w="62" w:type="dxa"/>
              <w:bottom w:w="62" w:type="dxa"/>
              <w:right w:w="62" w:type="dxa"/>
            </w:tcMar>
          </w:tcPr>
          <w:p w14:paraId="3D0DD46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191C09">
              <w:rPr>
                <w:rFonts w:cstheme="minorHAnsi"/>
                <w:color w:val="000000"/>
                <w:sz w:val="18"/>
                <w:szCs w:val="18"/>
              </w:rPr>
              <w:fldChar w:fldCharType="end"/>
            </w:r>
          </w:p>
          <w:p w14:paraId="569B7AF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5CA45D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Young adults</w:t>
            </w:r>
          </w:p>
        </w:tc>
        <w:tc>
          <w:tcPr>
            <w:tcW w:w="3648" w:type="dxa"/>
            <w:tcMar>
              <w:top w:w="62" w:type="dxa"/>
              <w:left w:w="62" w:type="dxa"/>
              <w:bottom w:w="62" w:type="dxa"/>
              <w:right w:w="62" w:type="dxa"/>
            </w:tcMar>
          </w:tcPr>
          <w:p w14:paraId="5BE6A56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500" w:type="dxa"/>
            <w:tcMar>
              <w:top w:w="62" w:type="dxa"/>
              <w:left w:w="62" w:type="dxa"/>
              <w:bottom w:w="62" w:type="dxa"/>
              <w:right w:w="62" w:type="dxa"/>
            </w:tcMar>
          </w:tcPr>
          <w:p w14:paraId="3A63EE6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26BECA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Documented relapse: baseline smokers who reported no current </w:t>
            </w:r>
            <w:r w:rsidRPr="00191C09">
              <w:rPr>
                <w:rFonts w:asciiTheme="minorHAnsi" w:hAnsiTheme="minorHAnsi" w:cstheme="minorHAnsi"/>
                <w:sz w:val="18"/>
                <w:szCs w:val="18"/>
              </w:rPr>
              <w:lastRenderedPageBreak/>
              <w:t>smoking at a subsequent examination but reported current smoking at the final examination</w:t>
            </w:r>
          </w:p>
          <w:p w14:paraId="006C6B5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 OR (95% CI) for M (ref=NM):</w:t>
            </w:r>
          </w:p>
          <w:p w14:paraId="5A5EE1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1.87 (1.28 to 2.74)</w:t>
            </w:r>
          </w:p>
        </w:tc>
      </w:tr>
      <w:tr w:rsidR="007F0AE0" w:rsidRPr="00191C09" w14:paraId="3BEC9439" w14:textId="77777777" w:rsidTr="00453DE3">
        <w:tc>
          <w:tcPr>
            <w:tcW w:w="1927" w:type="dxa"/>
            <w:shd w:val="clear" w:color="auto" w:fill="auto"/>
            <w:tcMar>
              <w:top w:w="62" w:type="dxa"/>
              <w:left w:w="62" w:type="dxa"/>
              <w:bottom w:w="62" w:type="dxa"/>
              <w:right w:w="62" w:type="dxa"/>
            </w:tcMar>
          </w:tcPr>
          <w:p w14:paraId="2D89EA41"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&lt;EndNote&gt;&lt;Cite&gt;&lt;Author&gt;Reitzel&lt;/Author&gt;&lt;Year&gt;2011&lt;/Year&gt;&lt;RecNum&gt;106&lt;/RecNum&gt;&lt;DisplayText&gt;(70)&lt;/DisplayText&gt;&lt;record&gt;&lt;rec-number&gt;106&lt;/rec-number&gt;&lt;foreign-keys&gt;&lt;key app="EN" db-id="a2vz2dfp8xrad6exes75zwpiw5rxwa0vwapv" timestamp="0"&gt;106&lt;/key&gt;&lt;/foreign-keys&gt;&lt;ref-type name="Unpublished Work"&gt;34&lt;/ref-type&gt;&lt;contributors&gt;&lt;authors&gt;&lt;author&gt;Reitzel, L. R.&lt;/author&gt;&lt;/authors&gt;&lt;/contributors&gt;&lt;titles&gt;&lt;title&gt;Menthol cigarettes, tobacco dependence, and smoking cessation: Project BREAK FREE final report&lt;/title&gt;&lt;/titles&gt;&lt;dates&gt;&lt;year&gt;2011&lt;/year&gt;&lt;/dates&gt;&lt;publisher&gt;The University of Texas, MD Anderson Cancer Center&lt;/publisher&gt;&lt;urls&gt;&lt;/urls&gt;&lt;research-notes&gt;#838&lt;/research-notes&gt;&lt;/record&gt;&lt;/Cite&gt;&lt;/EndNote&gt;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70" w:tooltip="Reitzel, 2011 #106" w:history="1">
              <w:r>
                <w:rPr>
                  <w:rFonts w:cstheme="minorHAnsi"/>
                  <w:noProof/>
                  <w:color w:val="000000"/>
                  <w:sz w:val="18"/>
                  <w:szCs w:val="18"/>
                </w:rPr>
                <w:t>70</w:t>
              </w:r>
            </w:hyperlink>
            <w:r>
              <w:rPr>
                <w:rFonts w:cstheme="minorHAnsi"/>
                <w:noProof/>
                <w:color w:val="000000"/>
                <w:sz w:val="18"/>
                <w:szCs w:val="18"/>
              </w:rPr>
              <w:t>)</w:t>
            </w:r>
            <w:r w:rsidRPr="00191C09">
              <w:rPr>
                <w:rFonts w:cstheme="minorHAnsi"/>
                <w:color w:val="000000"/>
                <w:sz w:val="18"/>
                <w:szCs w:val="18"/>
              </w:rPr>
              <w:fldChar w:fldCharType="end"/>
            </w:r>
            <w:r w:rsidRPr="00191C09">
              <w:rPr>
                <w:rFonts w:asciiTheme="minorHAnsi" w:hAnsiTheme="minorHAnsi" w:cstheme="minorHAnsi"/>
                <w:color w:val="000000"/>
                <w:sz w:val="18"/>
                <w:szCs w:val="18"/>
              </w:rPr>
              <w:t xml:space="preserve"> </w:t>
            </w:r>
          </w:p>
          <w:p w14:paraId="1EEC889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34105E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Blacks</w:t>
            </w:r>
          </w:p>
          <w:p w14:paraId="208C9B8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(Project BREAK FREE)</w:t>
            </w:r>
          </w:p>
        </w:tc>
        <w:tc>
          <w:tcPr>
            <w:tcW w:w="3648" w:type="dxa"/>
            <w:shd w:val="clear" w:color="auto" w:fill="auto"/>
            <w:tcMar>
              <w:top w:w="62" w:type="dxa"/>
              <w:left w:w="62" w:type="dxa"/>
              <w:bottom w:w="62" w:type="dxa"/>
              <w:right w:w="62" w:type="dxa"/>
            </w:tcMar>
          </w:tcPr>
          <w:p w14:paraId="4D385D3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065DF86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Prolonged abstinence: self-reported no smoking (not even a puff) since the quit date, verified by eCO &lt;10 ppm</w:t>
            </w:r>
            <w:r w:rsidRPr="00191C09" w:rsidDel="00152017">
              <w:rPr>
                <w:rFonts w:asciiTheme="minorHAnsi" w:hAnsiTheme="minorHAnsi" w:cstheme="minorHAnsi"/>
                <w:sz w:val="18"/>
                <w:szCs w:val="18"/>
              </w:rPr>
              <w:t xml:space="preserve"> </w:t>
            </w:r>
            <w:r w:rsidRPr="00191C09">
              <w:rPr>
                <w:rFonts w:asciiTheme="minorHAnsi" w:hAnsiTheme="minorHAnsi" w:cstheme="minorHAnsi"/>
                <w:sz w:val="18"/>
                <w:szCs w:val="18"/>
              </w:rPr>
              <w:t>or, in a few cases where participants were unable to attend more distal study visits, a mailed saliva cotinine &lt;20 ng/ml</w:t>
            </w:r>
          </w:p>
          <w:p w14:paraId="5E0E677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"Menthol users had higher rates of continuous abstinence than non-menthol users at all follow-up points [day 3, day 10, day 31, week 26; however, menthol cigarette use did not </w:t>
            </w:r>
            <w:r>
              <w:rPr>
                <w:rFonts w:asciiTheme="minorHAnsi" w:hAnsiTheme="minorHAnsi" w:cstheme="minorHAnsi"/>
                <w:color w:val="000000"/>
                <w:sz w:val="18"/>
                <w:szCs w:val="18"/>
              </w:rPr>
              <w:t>statistically significantly</w:t>
            </w:r>
            <w:r w:rsidRPr="00191C09">
              <w:rPr>
                <w:rFonts w:asciiTheme="minorHAnsi" w:hAnsiTheme="minorHAnsi" w:cstheme="minorHAnsi"/>
                <w:color w:val="000000"/>
                <w:sz w:val="18"/>
                <w:szCs w:val="18"/>
              </w:rPr>
              <w:t xml:space="preserve"> predict continuous abstinence from smoking (β=.21, SE=.25; χ2=.70; p=.40; n=573)</w:t>
            </w:r>
          </w:p>
        </w:tc>
        <w:tc>
          <w:tcPr>
            <w:tcW w:w="2678" w:type="dxa"/>
            <w:shd w:val="clear" w:color="auto" w:fill="auto"/>
            <w:tcMar>
              <w:top w:w="62" w:type="dxa"/>
              <w:left w:w="62" w:type="dxa"/>
              <w:bottom w:w="62" w:type="dxa"/>
              <w:right w:w="62" w:type="dxa"/>
            </w:tcMar>
          </w:tcPr>
          <w:p w14:paraId="69A361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3D1A3B6" w14:textId="77777777" w:rsidTr="00453DE3">
        <w:tc>
          <w:tcPr>
            <w:tcW w:w="1927" w:type="dxa"/>
            <w:shd w:val="clear" w:color="auto" w:fill="auto"/>
            <w:tcMar>
              <w:top w:w="62" w:type="dxa"/>
              <w:left w:w="62" w:type="dxa"/>
              <w:bottom w:w="62" w:type="dxa"/>
              <w:right w:w="62" w:type="dxa"/>
            </w:tcMar>
          </w:tcPr>
          <w:p w14:paraId="7DFF2DD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&lt;EndNote&gt;&lt;Cite&gt;&lt;Author&gt;Reitzel&lt;/Author&gt;&lt;Year&gt;2011&lt;/Year&gt;&lt;RecNum&gt;105&lt;/RecNum&gt;&lt;DisplayText&gt;(69)&lt;/DisplayText&gt;&lt;record&gt;&lt;rec-number&gt;105&lt;/rec-number&gt;&lt;foreign-keys&gt;&lt;key app="EN" db-id="a2vz2dfp8xrad6exes75zwpiw5rxwa0vwapv" timestamp="0"&gt;105&lt;/key&gt;&lt;/foreign-keys&gt;&lt;ref-type name="Unpublished Work"&gt;34&lt;/ref-type&gt;&lt;contributors&gt;&lt;authors&gt;&lt;author&gt;Reitzel, L. R.&lt;/author&gt;&lt;/authors&gt;&lt;/contributors&gt;&lt;titles&gt;&lt;title&gt;Menthol cigarettes, tobacco dependence, and smoking cessation: Project CARE final report&lt;/title&gt;&lt;/titles&gt;&lt;dates&gt;&lt;year&gt;2011&lt;/year&gt;&lt;/dates&gt;&lt;publisher&gt;University of Texas, MD Anderson Cancer Center&lt;/publisher&gt;&lt;urls&gt;&lt;/urls&gt;&lt;research-notes&gt;#837&lt;/research-notes&gt;&lt;/record&gt;&lt;/Cite&gt;&lt;/EndNote&gt;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69" w:tooltip="Reitzel, 2011 #105" w:history="1">
              <w:r>
                <w:rPr>
                  <w:rFonts w:cstheme="minorHAnsi"/>
                  <w:noProof/>
                  <w:color w:val="000000"/>
                  <w:sz w:val="18"/>
                  <w:szCs w:val="18"/>
                </w:rPr>
                <w:t>69</w:t>
              </w:r>
            </w:hyperlink>
            <w:r>
              <w:rPr>
                <w:rFonts w:cstheme="minorHAnsi"/>
                <w:noProof/>
                <w:color w:val="000000"/>
                <w:sz w:val="18"/>
                <w:szCs w:val="18"/>
              </w:rPr>
              <w:t>)</w:t>
            </w:r>
            <w:r w:rsidRPr="00191C09">
              <w:rPr>
                <w:rFonts w:cstheme="minorHAnsi"/>
                <w:color w:val="000000"/>
                <w:sz w:val="18"/>
                <w:szCs w:val="18"/>
              </w:rPr>
              <w:fldChar w:fldCharType="end"/>
            </w:r>
          </w:p>
          <w:p w14:paraId="418F6B5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6161D1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967849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(Project CARE)</w:t>
            </w:r>
          </w:p>
        </w:tc>
        <w:tc>
          <w:tcPr>
            <w:tcW w:w="3648" w:type="dxa"/>
            <w:shd w:val="clear" w:color="auto" w:fill="auto"/>
            <w:tcMar>
              <w:top w:w="62" w:type="dxa"/>
              <w:left w:w="62" w:type="dxa"/>
              <w:bottom w:w="62" w:type="dxa"/>
              <w:right w:w="62" w:type="dxa"/>
            </w:tcMar>
          </w:tcPr>
          <w:p w14:paraId="6356E2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172C2D2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Prolonged abstinence: self-reported no smoking (not even a puff) since the quit date and verified by eCO &lt;10 ppm</w:t>
            </w:r>
          </w:p>
          <w:p w14:paraId="14CDE04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"Menthol users had lower rates of continuous abstinence than non-menthol users at all follow-up points [week 1, week 2, week 4, week 26]"</w:t>
            </w:r>
          </w:p>
          <w:p w14:paraId="3920ED5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"Continuous abstinence rates within each racial/ethnic group did not differ by menthol cigarette use status."</w:t>
            </w:r>
          </w:p>
        </w:tc>
        <w:tc>
          <w:tcPr>
            <w:tcW w:w="2678" w:type="dxa"/>
            <w:shd w:val="clear" w:color="auto" w:fill="auto"/>
            <w:tcMar>
              <w:top w:w="62" w:type="dxa"/>
              <w:left w:w="62" w:type="dxa"/>
              <w:bottom w:w="62" w:type="dxa"/>
              <w:right w:w="62" w:type="dxa"/>
            </w:tcMar>
          </w:tcPr>
          <w:p w14:paraId="3F3DE0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02A15CC2" w14:textId="77777777" w:rsidTr="00453DE3">
        <w:tc>
          <w:tcPr>
            <w:tcW w:w="1927" w:type="dxa"/>
            <w:shd w:val="clear" w:color="auto" w:fill="auto"/>
            <w:tcMar>
              <w:top w:w="62" w:type="dxa"/>
              <w:left w:w="62" w:type="dxa"/>
              <w:bottom w:w="62" w:type="dxa"/>
              <w:right w:w="62" w:type="dxa"/>
            </w:tcMar>
          </w:tcPr>
          <w:p w14:paraId="5C82657E"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191C09">
              <w:rPr>
                <w:rFonts w:cstheme="minorHAnsi"/>
                <w:color w:val="000000"/>
                <w:sz w:val="18"/>
                <w:szCs w:val="18"/>
              </w:rPr>
              <w:fldChar w:fldCharType="end"/>
            </w:r>
          </w:p>
          <w:p w14:paraId="117C6D9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D84F30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Pregnant women (Project MOM)</w:t>
            </w:r>
          </w:p>
        </w:tc>
        <w:tc>
          <w:tcPr>
            <w:tcW w:w="3648" w:type="dxa"/>
            <w:shd w:val="clear" w:color="auto" w:fill="auto"/>
            <w:tcMar>
              <w:top w:w="62" w:type="dxa"/>
              <w:left w:w="62" w:type="dxa"/>
              <w:bottom w:w="62" w:type="dxa"/>
              <w:right w:w="62" w:type="dxa"/>
            </w:tcMar>
          </w:tcPr>
          <w:p w14:paraId="206C1DB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6EBD157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Menthol cigarette use did not </w:t>
            </w:r>
            <w:r>
              <w:rPr>
                <w:rFonts w:asciiTheme="minorHAnsi" w:hAnsiTheme="minorHAnsi" w:cstheme="minorHAnsi"/>
                <w:sz w:val="18"/>
                <w:szCs w:val="18"/>
              </w:rPr>
              <w:t>statistically significantly</w:t>
            </w:r>
            <w:r w:rsidRPr="00191C09">
              <w:rPr>
                <w:rFonts w:asciiTheme="minorHAnsi" w:hAnsiTheme="minorHAnsi" w:cstheme="minorHAnsi"/>
                <w:sz w:val="18"/>
                <w:szCs w:val="18"/>
              </w:rPr>
              <w:t xml:space="preserve"> predict continuous abstinence from smoking through 26 weeks postpartum: β=−0.24, SE=0.23; p=0.31; n=331</w:t>
            </w:r>
          </w:p>
          <w:p w14:paraId="66ECD56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t>
            </w:r>
            <w:hyperlink w:anchor="_ENREF_81" w:tooltip="Reitzel, 2011 #41" w:history="1">
              <w:r w:rsidRPr="00191C09">
                <w:rPr>
                  <w:rFonts w:asciiTheme="minorHAnsi" w:hAnsiTheme="minorHAnsi" w:cstheme="minorHAnsi"/>
                  <w:noProof/>
                  <w:color w:val="000000"/>
                  <w:sz w:val="18"/>
                  <w:szCs w:val="18"/>
                </w:rPr>
                <w:t>Reitzel et al., 2011</w:t>
              </w:r>
            </w:hyperlink>
            <w:r w:rsidRPr="00191C09">
              <w:rPr>
                <w:rFonts w:asciiTheme="minorHAnsi" w:hAnsiTheme="minorHAnsi" w:cstheme="minorHAnsi"/>
                <w:noProof/>
                <w:color w:val="000000"/>
                <w:sz w:val="18"/>
                <w:szCs w:val="18"/>
              </w:rPr>
              <w:t>)</w:t>
            </w:r>
          </w:p>
          <w:p w14:paraId="26C40812" w14:textId="77777777" w:rsidR="007F0AE0" w:rsidRPr="00191C09" w:rsidRDefault="007F0AE0" w:rsidP="00453DE3">
            <w:pPr>
              <w:rPr>
                <w:rFonts w:asciiTheme="minorHAnsi" w:hAnsiTheme="minorHAnsi" w:cstheme="minorHAnsi"/>
                <w:sz w:val="18"/>
                <w:szCs w:val="18"/>
              </w:rPr>
            </w:pPr>
          </w:p>
          <w:p w14:paraId="497655B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White menthol users were less likely to maintain continuous abstinence through post-quit week 26 than White non-menthol users: β=-1.73, SE=0.67; p=.01; n=120, OR=0.15 (0.05-0.40) (</w:t>
            </w:r>
            <w:hyperlink w:anchor="_ENREF_78" w:tooltip="Reitzel, 2011 #107" w:history="1">
              <w:r w:rsidRPr="00191C09">
                <w:rPr>
                  <w:rFonts w:asciiTheme="minorHAnsi" w:hAnsiTheme="minorHAnsi" w:cstheme="minorHAnsi"/>
                  <w:noProof/>
                  <w:color w:val="000000"/>
                  <w:sz w:val="18"/>
                  <w:szCs w:val="18"/>
                </w:rPr>
                <w:t>Reitzel, 2011c</w:t>
              </w:r>
            </w:hyperlink>
            <w:r w:rsidRPr="00191C09">
              <w:rPr>
                <w:rFonts w:asciiTheme="minorHAnsi" w:hAnsiTheme="minorHAnsi" w:cstheme="minorHAnsi"/>
                <w:noProof/>
                <w:color w:val="000000"/>
                <w:sz w:val="18"/>
                <w:szCs w:val="18"/>
              </w:rPr>
              <w:t>)</w:t>
            </w:r>
          </w:p>
        </w:tc>
        <w:tc>
          <w:tcPr>
            <w:tcW w:w="2678" w:type="dxa"/>
            <w:shd w:val="clear" w:color="auto" w:fill="auto"/>
            <w:tcMar>
              <w:top w:w="62" w:type="dxa"/>
              <w:left w:w="62" w:type="dxa"/>
              <w:bottom w:w="62" w:type="dxa"/>
              <w:right w:w="62" w:type="dxa"/>
            </w:tcMar>
          </w:tcPr>
          <w:p w14:paraId="5BC3D3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0B79E46B" w14:textId="77777777" w:rsidTr="00453DE3">
        <w:tc>
          <w:tcPr>
            <w:tcW w:w="1927" w:type="dxa"/>
            <w:shd w:val="clear" w:color="auto" w:fill="auto"/>
            <w:tcMar>
              <w:top w:w="62" w:type="dxa"/>
              <w:left w:w="62" w:type="dxa"/>
              <w:bottom w:w="62" w:type="dxa"/>
              <w:right w:w="62" w:type="dxa"/>
            </w:tcMar>
          </w:tcPr>
          <w:p w14:paraId="03702691"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68" w:tooltip="Reitzel, 2013 #28" w:history="1">
              <w:r>
                <w:rPr>
                  <w:rFonts w:cstheme="minorHAnsi"/>
                  <w:noProof/>
                  <w:sz w:val="18"/>
                  <w:szCs w:val="18"/>
                </w:rPr>
                <w:t>68</w:t>
              </w:r>
            </w:hyperlink>
            <w:r>
              <w:rPr>
                <w:rFonts w:cstheme="minorHAnsi"/>
                <w:noProof/>
                <w:sz w:val="18"/>
                <w:szCs w:val="18"/>
              </w:rPr>
              <w:t>)</w:t>
            </w:r>
            <w:r w:rsidRPr="00191C09">
              <w:rPr>
                <w:rFonts w:cstheme="minorHAnsi"/>
                <w:sz w:val="18"/>
                <w:szCs w:val="18"/>
              </w:rPr>
              <w:fldChar w:fldCharType="end"/>
            </w:r>
            <w:r w:rsidRPr="00191C09">
              <w:rPr>
                <w:rFonts w:asciiTheme="minorHAnsi" w:hAnsiTheme="minorHAnsi" w:cstheme="minorHAnsi"/>
                <w:sz w:val="18"/>
                <w:szCs w:val="18"/>
              </w:rPr>
              <w:t xml:space="preserve"> </w:t>
            </w:r>
          </w:p>
          <w:p w14:paraId="008442F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6D0A211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3648" w:type="dxa"/>
            <w:shd w:val="clear" w:color="auto" w:fill="auto"/>
            <w:tcMar>
              <w:top w:w="62" w:type="dxa"/>
              <w:left w:w="62" w:type="dxa"/>
              <w:bottom w:w="62" w:type="dxa"/>
              <w:right w:w="62" w:type="dxa"/>
            </w:tcMar>
          </w:tcPr>
          <w:p w14:paraId="38A352D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6CAE9D8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Prolonged short-term abstinence: self-report of no cigarettes smoked since the quit date (not even a puff) and eCO &lt;10ppm</w:t>
            </w:r>
          </w:p>
          <w:p w14:paraId="01DF566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week 1</w:t>
            </w:r>
          </w:p>
          <w:p w14:paraId="7002BD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19.3%</w:t>
            </w:r>
          </w:p>
          <w:p w14:paraId="342CE30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NM: 31.0%</w:t>
            </w:r>
          </w:p>
          <w:p w14:paraId="390E099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week 2</w:t>
            </w:r>
          </w:p>
          <w:p w14:paraId="6A939AD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14.5%</w:t>
            </w:r>
          </w:p>
          <w:p w14:paraId="3BA8C70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23.0%</w:t>
            </w:r>
          </w:p>
          <w:p w14:paraId="54E95BD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week 3</w:t>
            </w:r>
          </w:p>
          <w:p w14:paraId="17746B2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12.1%</w:t>
            </w:r>
          </w:p>
          <w:p w14:paraId="68402F5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19.0%</w:t>
            </w:r>
          </w:p>
        </w:tc>
        <w:tc>
          <w:tcPr>
            <w:tcW w:w="2678" w:type="dxa"/>
            <w:shd w:val="clear" w:color="auto" w:fill="auto"/>
            <w:tcMar>
              <w:top w:w="62" w:type="dxa"/>
              <w:left w:w="62" w:type="dxa"/>
              <w:bottom w:w="62" w:type="dxa"/>
              <w:right w:w="62" w:type="dxa"/>
            </w:tcMar>
          </w:tcPr>
          <w:p w14:paraId="01649A2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5A538537" w14:textId="77777777" w:rsidTr="00453DE3">
        <w:tc>
          <w:tcPr>
            <w:tcW w:w="1927" w:type="dxa"/>
            <w:tcMar>
              <w:top w:w="62" w:type="dxa"/>
              <w:left w:w="62" w:type="dxa"/>
              <w:bottom w:w="62" w:type="dxa"/>
              <w:right w:w="62" w:type="dxa"/>
            </w:tcMar>
          </w:tcPr>
          <w:p w14:paraId="5E3C9D16"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&lt;EndNote&gt;&lt;Cite&gt;&lt;Author&gt;Rosenbloom&lt;/Author&gt;&lt;Year&gt;2012&lt;/Year&gt;&lt;RecNum&gt;32&lt;/RecNum&gt;&lt;DisplayText&gt;(17)&lt;/DisplayText&gt;&lt;record&gt;&lt;rec-number&gt;32&lt;/rec-number&gt;&lt;foreign-keys&gt;&lt;key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17" w:tooltip="Rosenbloom, 2012 #32" w:history="1">
              <w:r>
                <w:rPr>
                  <w:rFonts w:cstheme="minorHAnsi"/>
                  <w:noProof/>
                  <w:sz w:val="18"/>
                  <w:szCs w:val="18"/>
                </w:rPr>
                <w:t>17</w:t>
              </w:r>
            </w:hyperlink>
            <w:r>
              <w:rPr>
                <w:rFonts w:cstheme="minorHAnsi"/>
                <w:noProof/>
                <w:sz w:val="18"/>
                <w:szCs w:val="18"/>
              </w:rPr>
              <w:t>)</w:t>
            </w:r>
            <w:r w:rsidRPr="00191C09">
              <w:rPr>
                <w:rFonts w:cstheme="minorHAnsi"/>
                <w:sz w:val="18"/>
                <w:szCs w:val="18"/>
              </w:rPr>
              <w:fldChar w:fldCharType="end"/>
            </w:r>
          </w:p>
          <w:p w14:paraId="56632D8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35D6254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Women</w:t>
            </w:r>
          </w:p>
        </w:tc>
        <w:tc>
          <w:tcPr>
            <w:tcW w:w="3648" w:type="dxa"/>
            <w:tcMar>
              <w:top w:w="62" w:type="dxa"/>
              <w:left w:w="62" w:type="dxa"/>
              <w:bottom w:w="62" w:type="dxa"/>
              <w:right w:w="62" w:type="dxa"/>
            </w:tcMar>
          </w:tcPr>
          <w:p w14:paraId="7360E61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reporting longest quit time &lt;90 days</w:t>
            </w:r>
          </w:p>
          <w:p w14:paraId="6767DD4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16A05C8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56.0%</w:t>
            </w:r>
          </w:p>
          <w:p w14:paraId="210ABDA7" w14:textId="77777777" w:rsidR="007F0AE0" w:rsidRPr="00191C09" w:rsidRDefault="007F0AE0" w:rsidP="00453DE3">
            <w:pPr>
              <w:rPr>
                <w:rFonts w:asciiTheme="minorHAnsi" w:hAnsiTheme="minorHAnsi" w:cstheme="minorHAnsi"/>
                <w:sz w:val="18"/>
                <w:szCs w:val="18"/>
                <w:vertAlign w:val="superscript"/>
              </w:rPr>
            </w:pPr>
            <w:r w:rsidRPr="00191C09">
              <w:rPr>
                <w:rFonts w:asciiTheme="minorHAnsi" w:hAnsiTheme="minorHAnsi" w:cstheme="minorHAnsi"/>
                <w:sz w:val="18"/>
                <w:szCs w:val="18"/>
              </w:rPr>
              <w:t>NM: 46.5%</w:t>
            </w:r>
            <w:r w:rsidRPr="00191C09">
              <w:rPr>
                <w:rFonts w:asciiTheme="minorHAnsi" w:hAnsiTheme="minorHAnsi" w:cstheme="minorHAnsi"/>
                <w:sz w:val="18"/>
                <w:szCs w:val="18"/>
                <w:vertAlign w:val="superscript"/>
              </w:rPr>
              <w:t>a</w:t>
            </w:r>
          </w:p>
          <w:p w14:paraId="341A66E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(p=0.01)</w:t>
            </w:r>
          </w:p>
          <w:p w14:paraId="73EA0DA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751A647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46.6%</w:t>
            </w:r>
          </w:p>
          <w:p w14:paraId="108CBD8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53.7%</w:t>
            </w:r>
          </w:p>
          <w:p w14:paraId="0250134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(p=0.11)</w:t>
            </w:r>
          </w:p>
          <w:p w14:paraId="5501455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2CCE08A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58.2%</w:t>
            </w:r>
          </w:p>
          <w:p w14:paraId="772FBF2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42.8%</w:t>
            </w:r>
          </w:p>
          <w:p w14:paraId="7DC5CB2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(p=0.13)</w:t>
            </w:r>
          </w:p>
        </w:tc>
        <w:tc>
          <w:tcPr>
            <w:tcW w:w="4500" w:type="dxa"/>
            <w:tcMar>
              <w:top w:w="62" w:type="dxa"/>
              <w:left w:w="62" w:type="dxa"/>
              <w:bottom w:w="62" w:type="dxa"/>
              <w:right w:w="62" w:type="dxa"/>
            </w:tcMar>
          </w:tcPr>
          <w:p w14:paraId="280FA52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2678" w:type="dxa"/>
            <w:tcMar>
              <w:top w:w="62" w:type="dxa"/>
              <w:left w:w="62" w:type="dxa"/>
              <w:bottom w:w="62" w:type="dxa"/>
              <w:right w:w="62" w:type="dxa"/>
            </w:tcMar>
          </w:tcPr>
          <w:p w14:paraId="7B3FD17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3552832" w14:textId="77777777" w:rsidTr="00453DE3">
        <w:tc>
          <w:tcPr>
            <w:tcW w:w="1927" w:type="dxa"/>
            <w:shd w:val="clear" w:color="auto" w:fill="auto"/>
            <w:tcMar>
              <w:top w:w="62" w:type="dxa"/>
              <w:left w:w="62" w:type="dxa"/>
              <w:bottom w:w="62" w:type="dxa"/>
              <w:right w:w="62" w:type="dxa"/>
            </w:tcMar>
          </w:tcPr>
          <w:p w14:paraId="512A77CE"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&lt;EndNote&gt;&lt;Cite&gt;&lt;Author&gt;Sidney&lt;/Author&gt;&lt;Year&gt;1989&lt;/Year&gt;&lt;RecNum&gt;92&lt;/RecNum&gt;&lt;DisplayText&gt;(73)&lt;/DisplayText&gt;&lt;record&gt;&lt;rec-number&gt;92&lt;/rec-number&gt;&lt;foreign-keys&gt;&lt;key app="EN" db-id="a2vz2dfp8xrad6exes75zwpiw5rxwa0vwapv" timestamp="0"&gt;92&lt;/key&gt;&lt;/foreign-keys&gt;&lt;ref-type name="Journal Article"&gt;17&lt;/ref-type&gt;&lt;contributors&gt;&lt;authors&gt;&lt;author&gt;Sidney, S.&lt;/author&gt;&lt;author&gt;Tekawa, I. S.&lt;/author&gt;&lt;author&gt;Friedman, G. D.&lt;/author&gt;&lt;/authors&gt;&lt;/contributors&gt;&lt;titles&gt;&lt;title&gt;Mentholated cigarette use among multiphasic examinees, 1979-86&lt;/title&gt;&lt;secondary-title&gt;Am J Public Health&lt;/secondary-title&gt;&lt;/titles&gt;&lt;periodical&gt;&lt;full-title&gt;Am J Public Health&lt;/full-title&gt;&lt;/periodical&gt;&lt;pages&gt;1415-1416&lt;/pages&gt;&lt;volume&gt;79&lt;/volume&gt;&lt;section&gt;1415&lt;/section&gt;&lt;dates&gt;&lt;year&gt;1989&lt;/year&gt;&lt;/dates&gt;&lt;urls&gt;&lt;/urls&gt;&lt;research-notes&gt;#505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73" w:tooltip="Sidney, 1989 #92" w:history="1">
              <w:r>
                <w:rPr>
                  <w:rFonts w:cstheme="minorHAnsi"/>
                  <w:noProof/>
                  <w:color w:val="000000"/>
                  <w:sz w:val="18"/>
                  <w:szCs w:val="18"/>
                </w:rPr>
                <w:t>73</w:t>
              </w:r>
            </w:hyperlink>
            <w:r>
              <w:rPr>
                <w:rFonts w:cstheme="minorHAnsi"/>
                <w:noProof/>
                <w:color w:val="000000"/>
                <w:sz w:val="18"/>
                <w:szCs w:val="18"/>
              </w:rPr>
              <w:t>)</w:t>
            </w:r>
            <w:r w:rsidRPr="00191C09">
              <w:rPr>
                <w:rFonts w:cstheme="minorHAnsi"/>
                <w:color w:val="000000"/>
                <w:sz w:val="18"/>
                <w:szCs w:val="18"/>
              </w:rPr>
              <w:fldChar w:fldCharType="end"/>
            </w:r>
          </w:p>
          <w:p w14:paraId="6542F81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5349DE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Black HMO medical center patients age (15-40)</w:t>
            </w:r>
          </w:p>
        </w:tc>
        <w:tc>
          <w:tcPr>
            <w:tcW w:w="3648" w:type="dxa"/>
            <w:shd w:val="clear" w:color="auto" w:fill="auto"/>
            <w:tcMar>
              <w:top w:w="62" w:type="dxa"/>
              <w:left w:w="62" w:type="dxa"/>
              <w:bottom w:w="62" w:type="dxa"/>
              <w:right w:w="62" w:type="dxa"/>
            </w:tcMar>
          </w:tcPr>
          <w:p w14:paraId="5E9A004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5508A1F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quit (definition NR); mean follow-up=4.5 years</w:t>
            </w:r>
          </w:p>
          <w:p w14:paraId="47397C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15.4%</w:t>
            </w:r>
          </w:p>
          <w:p w14:paraId="037203A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17.5%</w:t>
            </w:r>
          </w:p>
          <w:p w14:paraId="4802AD41" w14:textId="77777777" w:rsidR="007F0AE0" w:rsidRPr="00191C09" w:rsidRDefault="007F0AE0" w:rsidP="00453DE3">
            <w:pPr>
              <w:rPr>
                <w:rFonts w:asciiTheme="minorHAnsi" w:hAnsiTheme="minorHAnsi" w:cstheme="minorHAnsi"/>
                <w:sz w:val="18"/>
                <w:szCs w:val="18"/>
              </w:rPr>
            </w:pPr>
          </w:p>
          <w:p w14:paraId="29BD6810" w14:textId="77777777" w:rsidR="007F0AE0" w:rsidRPr="00F52E88"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Quit rate: among Black smokers age &lt;40, "Quitting was equally likely in both groups [M and NM]." </w:t>
            </w:r>
          </w:p>
        </w:tc>
        <w:tc>
          <w:tcPr>
            <w:tcW w:w="2678" w:type="dxa"/>
            <w:shd w:val="clear" w:color="auto" w:fill="auto"/>
            <w:tcMar>
              <w:top w:w="62" w:type="dxa"/>
              <w:left w:w="62" w:type="dxa"/>
              <w:bottom w:w="62" w:type="dxa"/>
              <w:right w:w="62" w:type="dxa"/>
            </w:tcMar>
          </w:tcPr>
          <w:p w14:paraId="624DF24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2FBFD3BF" w14:textId="77777777" w:rsidTr="00453DE3">
        <w:tc>
          <w:tcPr>
            <w:tcW w:w="1927" w:type="dxa"/>
            <w:shd w:val="clear" w:color="auto" w:fill="auto"/>
            <w:tcMar>
              <w:top w:w="62" w:type="dxa"/>
              <w:left w:w="62" w:type="dxa"/>
              <w:bottom w:w="62" w:type="dxa"/>
              <w:right w:w="62" w:type="dxa"/>
            </w:tcMar>
          </w:tcPr>
          <w:p w14:paraId="54F3F728"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&lt;EndNote&gt;&lt;Cite&gt;&lt;Author&gt;Smith&lt;/Author&gt;&lt;Year&gt;2014&lt;/Year&gt;&lt;RecNum&gt;11&lt;/RecNum&gt;&lt;DisplayText&gt;(45)&lt;/DisplayText&gt;&lt;record&gt;&lt;rec-number&gt;11&lt;/rec-number&gt;&lt;foreign-keys&gt;&lt;key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45" w:tooltip="Smith, 2014 #11" w:history="1">
              <w:r>
                <w:rPr>
                  <w:rFonts w:cstheme="minorHAnsi"/>
                  <w:noProof/>
                  <w:sz w:val="18"/>
                  <w:szCs w:val="18"/>
                </w:rPr>
                <w:t>45</w:t>
              </w:r>
            </w:hyperlink>
            <w:r>
              <w:rPr>
                <w:rFonts w:cstheme="minorHAnsi"/>
                <w:noProof/>
                <w:sz w:val="18"/>
                <w:szCs w:val="18"/>
              </w:rPr>
              <w:t>)</w:t>
            </w:r>
            <w:r w:rsidRPr="00191C09">
              <w:rPr>
                <w:rFonts w:cstheme="minorHAnsi"/>
                <w:sz w:val="18"/>
                <w:szCs w:val="18"/>
              </w:rPr>
              <w:fldChar w:fldCharType="end"/>
            </w:r>
          </w:p>
          <w:p w14:paraId="2E5D901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566CFAD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3648" w:type="dxa"/>
            <w:shd w:val="clear" w:color="auto" w:fill="auto"/>
            <w:tcMar>
              <w:top w:w="62" w:type="dxa"/>
              <w:left w:w="62" w:type="dxa"/>
              <w:bottom w:w="62" w:type="dxa"/>
              <w:right w:w="62" w:type="dxa"/>
            </w:tcMar>
          </w:tcPr>
          <w:p w14:paraId="2DE1324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33528B8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e</w:t>
            </w:r>
            <w:r w:rsidRPr="00191C09">
              <w:rPr>
                <w:rFonts w:asciiTheme="minorHAnsi" w:hAnsiTheme="minorHAnsi" w:cstheme="minorHAnsi"/>
                <w:sz w:val="18"/>
                <w:szCs w:val="18"/>
                <w:u w:val="single"/>
              </w:rPr>
              <w:t>CO-verified 7-Day PPA at weeks 4, 8 and 26</w:t>
            </w:r>
          </w:p>
          <w:p w14:paraId="00BFD40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w:t>
            </w:r>
            <w:r>
              <w:rPr>
                <w:rFonts w:asciiTheme="minorHAnsi" w:hAnsiTheme="minorHAnsi" w:cstheme="minorHAnsi"/>
                <w:sz w:val="18"/>
                <w:szCs w:val="18"/>
              </w:rPr>
              <w:t xml:space="preserve"> </w:t>
            </w:r>
            <w:r w:rsidRPr="00191C09">
              <w:rPr>
                <w:rFonts w:asciiTheme="minorHAnsi" w:hAnsiTheme="minorHAnsi" w:cstheme="minorHAnsi"/>
                <w:sz w:val="18"/>
                <w:szCs w:val="18"/>
              </w:rPr>
              <w:t>CI) for White NM vs. Black+White M</w:t>
            </w:r>
          </w:p>
          <w:p w14:paraId="5A35A812" w14:textId="77777777" w:rsidR="007F0AE0" w:rsidRPr="00191C09" w:rsidRDefault="007F0AE0" w:rsidP="00453DE3">
            <w:pPr>
              <w:rPr>
                <w:rFonts w:asciiTheme="minorHAnsi" w:hAnsiTheme="minorHAnsi" w:cstheme="minorHAnsi"/>
                <w:i/>
                <w:sz w:val="18"/>
                <w:szCs w:val="18"/>
              </w:rPr>
            </w:pPr>
          </w:p>
          <w:p w14:paraId="577D95B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 (adjusted for time (4, 8, 26 weeks), and the interaction between NM</w:t>
            </w:r>
            <w:r>
              <w:rPr>
                <w:rFonts w:asciiTheme="minorHAnsi" w:hAnsiTheme="minorHAnsi" w:cstheme="minorHAnsi"/>
                <w:i/>
                <w:sz w:val="18"/>
                <w:szCs w:val="18"/>
              </w:rPr>
              <w:t xml:space="preserve"> </w:t>
            </w:r>
            <w:r w:rsidRPr="00191C09">
              <w:rPr>
                <w:rFonts w:asciiTheme="minorHAnsi" w:hAnsiTheme="minorHAnsi" w:cstheme="minorHAnsi"/>
                <w:i/>
                <w:sz w:val="18"/>
                <w:szCs w:val="18"/>
              </w:rPr>
              <w:t>vs</w:t>
            </w:r>
            <w:r>
              <w:rPr>
                <w:rFonts w:asciiTheme="minorHAnsi" w:hAnsiTheme="minorHAnsi" w:cstheme="minorHAnsi"/>
                <w:i/>
                <w:sz w:val="18"/>
                <w:szCs w:val="18"/>
              </w:rPr>
              <w:t xml:space="preserve"> </w:t>
            </w:r>
            <w:r w:rsidRPr="00191C09">
              <w:rPr>
                <w:rFonts w:asciiTheme="minorHAnsi" w:hAnsiTheme="minorHAnsi" w:cstheme="minorHAnsi"/>
                <w:i/>
                <w:sz w:val="18"/>
                <w:szCs w:val="18"/>
              </w:rPr>
              <w:t>M and time):</w:t>
            </w:r>
          </w:p>
          <w:p w14:paraId="07E5E8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0.72 (0.60 to 0.87)</w:t>
            </w:r>
          </w:p>
          <w:p w14:paraId="1A03E848" w14:textId="77777777" w:rsidR="007F0AE0" w:rsidRPr="00191C09" w:rsidRDefault="007F0AE0" w:rsidP="00453DE3">
            <w:pPr>
              <w:rPr>
                <w:rFonts w:asciiTheme="minorHAnsi" w:hAnsiTheme="minorHAnsi" w:cstheme="minorHAnsi"/>
                <w:sz w:val="18"/>
                <w:szCs w:val="18"/>
              </w:rPr>
            </w:pPr>
          </w:p>
          <w:p w14:paraId="22F2D66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 (Model 1 + adjusted for cessation treatment, i.e. placebo vs. active):</w:t>
            </w:r>
          </w:p>
          <w:p w14:paraId="59188C8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0.71 (0.59 to 0.86)</w:t>
            </w:r>
          </w:p>
          <w:p w14:paraId="1DD4FA95" w14:textId="77777777" w:rsidR="007F0AE0" w:rsidRPr="00191C09" w:rsidRDefault="007F0AE0" w:rsidP="00453DE3">
            <w:pPr>
              <w:rPr>
                <w:rFonts w:asciiTheme="minorHAnsi" w:hAnsiTheme="minorHAnsi" w:cstheme="minorHAnsi"/>
                <w:sz w:val="18"/>
                <w:szCs w:val="18"/>
              </w:rPr>
            </w:pPr>
          </w:p>
          <w:p w14:paraId="0E9DD53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3 (Model 2 + adjusted for education, FTND, living with smoker, and friends smoking):</w:t>
            </w:r>
          </w:p>
          <w:p w14:paraId="5808489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0.80 (0.66 to 0.97)</w:t>
            </w:r>
          </w:p>
          <w:p w14:paraId="50D66F06" w14:textId="77777777" w:rsidR="007F0AE0" w:rsidRPr="00191C09" w:rsidRDefault="007F0AE0" w:rsidP="00453DE3">
            <w:pPr>
              <w:rPr>
                <w:rFonts w:asciiTheme="minorHAnsi" w:hAnsiTheme="minorHAnsi" w:cstheme="minorHAnsi"/>
                <w:sz w:val="18"/>
                <w:szCs w:val="18"/>
              </w:rPr>
            </w:pPr>
          </w:p>
          <w:p w14:paraId="4D6E17A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eCO-verified 7-day PPA at 6 months</w:t>
            </w:r>
            <w:r w:rsidRPr="00191C09">
              <w:rPr>
                <w:rFonts w:asciiTheme="minorHAnsi" w:hAnsiTheme="minorHAnsi" w:cstheme="minorHAnsi"/>
                <w:sz w:val="18"/>
                <w:szCs w:val="18"/>
              </w:rPr>
              <w:t xml:space="preserve"> </w:t>
            </w:r>
          </w:p>
          <w:p w14:paraId="138EB07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w:t>
            </w:r>
            <w:r>
              <w:rPr>
                <w:rFonts w:asciiTheme="minorHAnsi" w:hAnsiTheme="minorHAnsi" w:cstheme="minorHAnsi"/>
                <w:sz w:val="18"/>
                <w:szCs w:val="18"/>
              </w:rPr>
              <w:t xml:space="preserve"> </w:t>
            </w:r>
            <w:r w:rsidRPr="00191C09">
              <w:rPr>
                <w:rFonts w:asciiTheme="minorHAnsi" w:hAnsiTheme="minorHAnsi" w:cstheme="minorHAnsi"/>
                <w:sz w:val="18"/>
                <w:szCs w:val="18"/>
              </w:rPr>
              <w:t>CI) for White NM vs. Black+White M:</w:t>
            </w:r>
          </w:p>
          <w:p w14:paraId="6414D205" w14:textId="77777777" w:rsidR="007F0AE0" w:rsidRPr="00191C09" w:rsidRDefault="007F0AE0" w:rsidP="00453DE3">
            <w:pPr>
              <w:rPr>
                <w:rFonts w:asciiTheme="minorHAnsi" w:hAnsiTheme="minorHAnsi" w:cstheme="minorHAnsi"/>
                <w:i/>
                <w:sz w:val="18"/>
                <w:szCs w:val="18"/>
              </w:rPr>
            </w:pPr>
          </w:p>
          <w:p w14:paraId="0DC9EF4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 (adjusted for time (4, 8, 26 weeks), and the interaction between NMvsM and time):</w:t>
            </w:r>
          </w:p>
          <w:p w14:paraId="16ED01A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0.76 (0.61 to 0.95)</w:t>
            </w:r>
          </w:p>
          <w:p w14:paraId="1D6570D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 (Model 1 + adjusted for cessation treatment, i.e. placebo vs. active):</w:t>
            </w:r>
          </w:p>
          <w:p w14:paraId="57A67D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“Nearly identical to Model 1” (above)</w:t>
            </w:r>
          </w:p>
          <w:p w14:paraId="2922290D" w14:textId="77777777" w:rsidR="007F0AE0" w:rsidRPr="00191C09" w:rsidRDefault="007F0AE0" w:rsidP="00453DE3">
            <w:pPr>
              <w:rPr>
                <w:rFonts w:asciiTheme="minorHAnsi" w:hAnsiTheme="minorHAnsi" w:cstheme="minorHAnsi"/>
                <w:sz w:val="18"/>
                <w:szCs w:val="18"/>
              </w:rPr>
            </w:pPr>
          </w:p>
          <w:p w14:paraId="1E8D9A0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3 (Model 2 + adjusted for education, FTND, living with smoker, and friends smoking):</w:t>
            </w:r>
          </w:p>
          <w:p w14:paraId="395B1B9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0.85 (0.67 to 1.07)</w:t>
            </w:r>
          </w:p>
        </w:tc>
        <w:tc>
          <w:tcPr>
            <w:tcW w:w="2678" w:type="dxa"/>
            <w:shd w:val="clear" w:color="auto" w:fill="auto"/>
            <w:tcMar>
              <w:top w:w="62" w:type="dxa"/>
              <w:left w:w="62" w:type="dxa"/>
              <w:bottom w:w="62" w:type="dxa"/>
              <w:right w:w="62" w:type="dxa"/>
            </w:tcMar>
          </w:tcPr>
          <w:p w14:paraId="773E65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765B044A" w14:textId="77777777" w:rsidTr="00453DE3">
        <w:tc>
          <w:tcPr>
            <w:tcW w:w="1927" w:type="dxa"/>
            <w:shd w:val="clear" w:color="auto" w:fill="auto"/>
            <w:tcMar>
              <w:top w:w="62" w:type="dxa"/>
              <w:left w:w="62" w:type="dxa"/>
              <w:bottom w:w="62" w:type="dxa"/>
              <w:right w:w="62" w:type="dxa"/>
            </w:tcMar>
          </w:tcPr>
          <w:p w14:paraId="6D2B0B8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&lt;EndNote&gt;&lt;Cite&gt;&lt;Author&gt;Stahre&lt;/Author&gt;&lt;Year&gt;2010&lt;/Year&gt;&lt;RecNum&gt;57&lt;/RecNum&gt;&lt;DisplayText&gt;(32)&lt;/DisplayText&gt;&lt;record&gt;&lt;rec-number&gt;57&lt;/rec-number&gt;&lt;foreign-keys&gt;&lt;key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32" w:tooltip="Stahre, 2010 #57" w:history="1">
              <w:r>
                <w:rPr>
                  <w:rFonts w:cstheme="minorHAnsi"/>
                  <w:noProof/>
                  <w:color w:val="000000"/>
                  <w:sz w:val="18"/>
                  <w:szCs w:val="18"/>
                </w:rPr>
                <w:t>32</w:t>
              </w:r>
            </w:hyperlink>
            <w:r>
              <w:rPr>
                <w:rFonts w:cstheme="minorHAnsi"/>
                <w:noProof/>
                <w:color w:val="000000"/>
                <w:sz w:val="18"/>
                <w:szCs w:val="18"/>
              </w:rPr>
              <w:t>)</w:t>
            </w:r>
            <w:r w:rsidRPr="00191C09">
              <w:rPr>
                <w:rFonts w:cstheme="minorHAnsi"/>
                <w:color w:val="000000"/>
                <w:sz w:val="18"/>
                <w:szCs w:val="18"/>
              </w:rPr>
              <w:fldChar w:fldCharType="end"/>
            </w:r>
            <w:r w:rsidRPr="00191C09">
              <w:rPr>
                <w:rFonts w:asciiTheme="minorHAnsi" w:hAnsiTheme="minorHAnsi" w:cstheme="minorHAnsi"/>
                <w:color w:val="000000"/>
                <w:sz w:val="18"/>
                <w:szCs w:val="18"/>
              </w:rPr>
              <w:t xml:space="preserve"> 2010</w:t>
            </w:r>
          </w:p>
          <w:p w14:paraId="2766C67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NHIS-CCS</w:t>
            </w:r>
          </w:p>
          <w:p w14:paraId="2CD782B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3648" w:type="dxa"/>
            <w:shd w:val="clear" w:color="auto" w:fill="auto"/>
            <w:tcMar>
              <w:top w:w="62" w:type="dxa"/>
              <w:left w:w="62" w:type="dxa"/>
              <w:bottom w:w="62" w:type="dxa"/>
              <w:right w:w="62" w:type="dxa"/>
            </w:tcMar>
          </w:tcPr>
          <w:p w14:paraId="62BF748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65E595F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Quit ratio: number of former smokers / summed numbers of current and former smokers</w:t>
            </w:r>
          </w:p>
          <w:p w14:paraId="33B7E0E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Quit ratio</w:t>
            </w:r>
          </w:p>
          <w:p w14:paraId="303CD20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2851CF3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47%</w:t>
            </w:r>
          </w:p>
          <w:p w14:paraId="6586B90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50%</w:t>
            </w:r>
          </w:p>
          <w:p w14:paraId="7C7467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(p=0.01)</w:t>
            </w:r>
          </w:p>
          <w:p w14:paraId="18B8668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7542173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52%</w:t>
            </w:r>
          </w:p>
          <w:p w14:paraId="03809DF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50%</w:t>
            </w:r>
          </w:p>
          <w:p w14:paraId="7838438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21835A2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34%</w:t>
            </w:r>
          </w:p>
          <w:p w14:paraId="47254D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49% </w:t>
            </w:r>
          </w:p>
          <w:p w14:paraId="7D1DD2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(P&lt;0.001)</w:t>
            </w:r>
          </w:p>
          <w:p w14:paraId="7C337AB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Asian-American</w:t>
            </w:r>
          </w:p>
          <w:p w14:paraId="5DF88E3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38%</w:t>
            </w:r>
          </w:p>
          <w:p w14:paraId="23756B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42%</w:t>
            </w:r>
          </w:p>
          <w:p w14:paraId="6A9A1C4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American Indian/Alaska Native</w:t>
            </w:r>
          </w:p>
          <w:p w14:paraId="353BE8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52%</w:t>
            </w:r>
          </w:p>
          <w:p w14:paraId="565610E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NM: 35%</w:t>
            </w:r>
          </w:p>
          <w:p w14:paraId="3ED2CB3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37CB46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40%</w:t>
            </w:r>
          </w:p>
          <w:p w14:paraId="0C4CA7E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45%</w:t>
            </w:r>
          </w:p>
          <w:p w14:paraId="73D28163" w14:textId="77777777" w:rsidR="007F0AE0" w:rsidRPr="00191C09" w:rsidRDefault="007F0AE0" w:rsidP="00453DE3">
            <w:pPr>
              <w:rPr>
                <w:rFonts w:asciiTheme="minorHAnsi" w:hAnsiTheme="minorHAnsi" w:cstheme="minorHAnsi"/>
                <w:sz w:val="18"/>
                <w:szCs w:val="18"/>
              </w:rPr>
            </w:pPr>
          </w:p>
          <w:p w14:paraId="6DBABAC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M (ref=White NM):</w:t>
            </w:r>
          </w:p>
          <w:p w14:paraId="2F9D7D2E"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Black</w:t>
            </w:r>
          </w:p>
          <w:p w14:paraId="47D8096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0.72 (0.53 to 0.97)</w:t>
            </w:r>
          </w:p>
          <w:p w14:paraId="45EE91E2"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American Indian/Alaskan Native</w:t>
            </w:r>
          </w:p>
          <w:p w14:paraId="6C5F6B8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2.00 (0.56 to 7.23)</w:t>
            </w:r>
          </w:p>
          <w:p w14:paraId="23AD37D8"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Asian</w:t>
            </w:r>
          </w:p>
          <w:p w14:paraId="474421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0.74 (0.37 to 1.48)</w:t>
            </w:r>
          </w:p>
          <w:p w14:paraId="1BCACDE5" w14:textId="77777777" w:rsidR="007F0AE0" w:rsidRPr="00191C09" w:rsidRDefault="007F0AE0" w:rsidP="00453DE3">
            <w:pPr>
              <w:rPr>
                <w:rFonts w:asciiTheme="minorHAnsi" w:hAnsiTheme="minorHAnsi" w:cstheme="minorHAnsi"/>
                <w:sz w:val="18"/>
                <w:szCs w:val="18"/>
              </w:rPr>
            </w:pPr>
          </w:p>
        </w:tc>
        <w:tc>
          <w:tcPr>
            <w:tcW w:w="2678" w:type="dxa"/>
            <w:shd w:val="clear" w:color="auto" w:fill="auto"/>
            <w:tcMar>
              <w:top w:w="62" w:type="dxa"/>
              <w:left w:w="62" w:type="dxa"/>
              <w:bottom w:w="62" w:type="dxa"/>
              <w:right w:w="62" w:type="dxa"/>
            </w:tcMar>
          </w:tcPr>
          <w:p w14:paraId="4E498A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3E58DB20" w14:textId="77777777" w:rsidTr="00453DE3">
        <w:tc>
          <w:tcPr>
            <w:tcW w:w="1927" w:type="dxa"/>
            <w:shd w:val="clear" w:color="auto" w:fill="auto"/>
            <w:tcMar>
              <w:top w:w="62" w:type="dxa"/>
              <w:left w:w="62" w:type="dxa"/>
              <w:bottom w:w="62" w:type="dxa"/>
              <w:right w:w="62" w:type="dxa"/>
            </w:tcMar>
          </w:tcPr>
          <w:p w14:paraId="1CC0701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64" w:tooltip="Steinberg, 2011 #50" w:history="1">
              <w:r w:rsidRPr="00342AED">
                <w:rPr>
                  <w:rFonts w:asciiTheme="minorHAnsi" w:hAnsiTheme="minorHAnsi" w:cstheme="minorHAnsi"/>
                  <w:noProof/>
                  <w:color w:val="000000"/>
                  <w:sz w:val="18"/>
                  <w:szCs w:val="18"/>
                </w:rPr>
                <w:t>64</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1D99CB4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018F66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3648" w:type="dxa"/>
            <w:shd w:val="clear" w:color="auto" w:fill="auto"/>
            <w:tcMar>
              <w:top w:w="62" w:type="dxa"/>
              <w:left w:w="62" w:type="dxa"/>
              <w:bottom w:w="62" w:type="dxa"/>
              <w:right w:w="62" w:type="dxa"/>
            </w:tcMar>
          </w:tcPr>
          <w:p w14:paraId="48B0C3E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4059290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eCO-verified 7-day PPA</w:t>
            </w:r>
            <w:r>
              <w:rPr>
                <w:rFonts w:asciiTheme="minorHAnsi" w:hAnsiTheme="minorHAnsi" w:cstheme="minorHAnsi"/>
                <w:sz w:val="18"/>
                <w:szCs w:val="18"/>
              </w:rPr>
              <w:t xml:space="preserve"> </w:t>
            </w:r>
          </w:p>
          <w:p w14:paraId="3787A16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At 6 months </w:t>
            </w:r>
          </w:p>
          <w:p w14:paraId="694888B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w:t>
            </w:r>
          </w:p>
          <w:p w14:paraId="1EB0F4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w:t>
            </w:r>
          </w:p>
          <w:p w14:paraId="058F52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(p=0.06)</w:t>
            </w:r>
          </w:p>
        </w:tc>
        <w:tc>
          <w:tcPr>
            <w:tcW w:w="2678" w:type="dxa"/>
            <w:shd w:val="clear" w:color="auto" w:fill="auto"/>
            <w:tcMar>
              <w:top w:w="62" w:type="dxa"/>
              <w:left w:w="62" w:type="dxa"/>
              <w:bottom w:w="62" w:type="dxa"/>
              <w:right w:w="62" w:type="dxa"/>
            </w:tcMar>
          </w:tcPr>
          <w:p w14:paraId="666EA91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D414966" w14:textId="77777777" w:rsidTr="00453DE3">
        <w:tc>
          <w:tcPr>
            <w:tcW w:w="1927" w:type="dxa"/>
            <w:shd w:val="clear" w:color="auto" w:fill="auto"/>
            <w:tcMar>
              <w:top w:w="62" w:type="dxa"/>
              <w:left w:w="62" w:type="dxa"/>
              <w:bottom w:w="62" w:type="dxa"/>
              <w:right w:w="62" w:type="dxa"/>
            </w:tcMar>
          </w:tcPr>
          <w:p w14:paraId="71DB2E51"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54" w:tooltip="Sulsky, 2014 #15" w:history="1">
              <w:r>
                <w:rPr>
                  <w:rFonts w:cstheme="minorHAnsi"/>
                  <w:noProof/>
                  <w:sz w:val="18"/>
                  <w:szCs w:val="18"/>
                </w:rPr>
                <w:t>54</w:t>
              </w:r>
            </w:hyperlink>
            <w:r>
              <w:rPr>
                <w:rFonts w:cstheme="minorHAnsi"/>
                <w:noProof/>
                <w:sz w:val="18"/>
                <w:szCs w:val="18"/>
              </w:rPr>
              <w:t>)</w:t>
            </w:r>
            <w:r w:rsidRPr="00191C09">
              <w:rPr>
                <w:rFonts w:cstheme="minorHAnsi"/>
                <w:sz w:val="18"/>
                <w:szCs w:val="18"/>
              </w:rPr>
              <w:fldChar w:fldCharType="end"/>
            </w:r>
          </w:p>
          <w:p w14:paraId="008CD58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NHIS, TUS-CPS</w:t>
            </w:r>
          </w:p>
          <w:p w14:paraId="35E7AE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3648" w:type="dxa"/>
            <w:shd w:val="clear" w:color="auto" w:fill="auto"/>
            <w:tcMar>
              <w:top w:w="62" w:type="dxa"/>
              <w:left w:w="62" w:type="dxa"/>
              <w:bottom w:w="62" w:type="dxa"/>
              <w:right w:w="62" w:type="dxa"/>
            </w:tcMar>
          </w:tcPr>
          <w:p w14:paraId="1415894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500" w:type="dxa"/>
            <w:shd w:val="clear" w:color="auto" w:fill="auto"/>
            <w:tcMar>
              <w:top w:w="62" w:type="dxa"/>
              <w:left w:w="62" w:type="dxa"/>
              <w:bottom w:w="62" w:type="dxa"/>
              <w:right w:w="62" w:type="dxa"/>
            </w:tcMar>
          </w:tcPr>
          <w:p w14:paraId="1941140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Results from NHIS data set:</w:t>
            </w:r>
          </w:p>
          <w:p w14:paraId="70AB490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Identifiable cigarette type smoked prior to quitting; having smoked ≥100 cigarettes, but not having smoked during the past year.</w:t>
            </w:r>
          </w:p>
          <w:p w14:paraId="761E94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Smoked M before quitting: 25.2% </w:t>
            </w:r>
          </w:p>
          <w:p w14:paraId="0E32BF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Smoked NM before quitting: 74.8%</w:t>
            </w:r>
          </w:p>
          <w:p w14:paraId="4BE9475F" w14:textId="77777777" w:rsidR="007F0AE0" w:rsidRPr="00191C09" w:rsidRDefault="007F0AE0" w:rsidP="00453DE3">
            <w:pPr>
              <w:rPr>
                <w:rFonts w:asciiTheme="minorHAnsi" w:hAnsiTheme="minorHAnsi" w:cstheme="minorHAnsi"/>
                <w:sz w:val="18"/>
                <w:szCs w:val="18"/>
              </w:rPr>
            </w:pPr>
          </w:p>
          <w:p w14:paraId="4F63F85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Results from TUS-CPS data set:</w:t>
            </w:r>
          </w:p>
          <w:p w14:paraId="493B83A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Identifiable cigarette type smoked prior to quitting; having smoked ≥100 cigarettes, but not having smoked during the past year.</w:t>
            </w:r>
          </w:p>
          <w:p w14:paraId="0B36EAF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Smoked M before quitting: 24.3%</w:t>
            </w:r>
          </w:p>
          <w:p w14:paraId="54E120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Smoked NM before quitting: 75.7%</w:t>
            </w:r>
          </w:p>
          <w:p w14:paraId="5BACC574" w14:textId="77777777" w:rsidR="007F0AE0" w:rsidRPr="00191C09" w:rsidRDefault="007F0AE0" w:rsidP="00453DE3">
            <w:pPr>
              <w:rPr>
                <w:rFonts w:asciiTheme="minorHAnsi" w:hAnsiTheme="minorHAnsi" w:cstheme="minorHAnsi"/>
                <w:sz w:val="18"/>
                <w:szCs w:val="18"/>
              </w:rPr>
            </w:pPr>
          </w:p>
          <w:p w14:paraId="0E1FE99B"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Long-term former smoker vs. regular smoker</w:t>
            </w:r>
            <w:r w:rsidRPr="00F52E88">
              <w:rPr>
                <w:rFonts w:cstheme="minorHAnsi"/>
                <w:sz w:val="18"/>
                <w:szCs w:val="18"/>
                <w:u w:val="single"/>
                <w:vertAlign w:val="superscript"/>
              </w:rPr>
              <w:t>e</w:t>
            </w:r>
            <w:r w:rsidRPr="00191C09">
              <w:rPr>
                <w:rFonts w:asciiTheme="minorHAnsi" w:hAnsiTheme="minorHAnsi" w:cstheme="minorHAnsi"/>
                <w:sz w:val="18"/>
                <w:szCs w:val="18"/>
                <w:u w:val="single"/>
              </w:rPr>
              <w:t>(NHIS):</w:t>
            </w:r>
          </w:p>
          <w:p w14:paraId="79519973"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f</w:t>
            </w:r>
          </w:p>
          <w:p w14:paraId="4A78CF2E"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17B1020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1.07 (0.96 to 1.19)</w:t>
            </w:r>
          </w:p>
          <w:p w14:paraId="7CA7E37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lastRenderedPageBreak/>
              <w:t xml:space="preserve">Model 2: </w:t>
            </w:r>
          </w:p>
          <w:p w14:paraId="4FCD4D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0.98 (0.88 to 1.08)</w:t>
            </w:r>
          </w:p>
          <w:p w14:paraId="1224080A"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g</w:t>
            </w:r>
          </w:p>
          <w:p w14:paraId="0B5532D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5E8D09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1.12 (0.88 to 1.42)</w:t>
            </w:r>
          </w:p>
          <w:p w14:paraId="63BFA13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4997F36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0.56 (0.45 to 0.69)</w:t>
            </w:r>
          </w:p>
          <w:p w14:paraId="65626487"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g</w:t>
            </w:r>
          </w:p>
          <w:p w14:paraId="0AB7774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3B675EF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(0.73 to 1.12)</w:t>
            </w:r>
          </w:p>
          <w:p w14:paraId="07B22B5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5934FEF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0.81 (0.66 to 1.00)</w:t>
            </w:r>
          </w:p>
          <w:p w14:paraId="6125640D" w14:textId="77777777" w:rsidR="007F0AE0" w:rsidRPr="00191C09" w:rsidRDefault="007F0AE0" w:rsidP="00453DE3">
            <w:pPr>
              <w:rPr>
                <w:rFonts w:asciiTheme="minorHAnsi" w:hAnsiTheme="minorHAnsi" w:cstheme="minorHAnsi"/>
                <w:sz w:val="18"/>
                <w:szCs w:val="18"/>
              </w:rPr>
            </w:pPr>
          </w:p>
          <w:p w14:paraId="727C3444" w14:textId="77777777" w:rsidR="007F0AE0" w:rsidRPr="00191C09" w:rsidRDefault="007F0AE0" w:rsidP="00453DE3">
            <w:pPr>
              <w:rPr>
                <w:rFonts w:asciiTheme="minorHAnsi" w:hAnsiTheme="minorHAnsi" w:cstheme="minorHAnsi"/>
                <w:sz w:val="18"/>
                <w:szCs w:val="18"/>
                <w:u w:val="single"/>
              </w:rPr>
            </w:pPr>
            <w:r w:rsidRPr="00F52E88">
              <w:rPr>
                <w:rFonts w:cstheme="minorHAnsi"/>
                <w:sz w:val="18"/>
                <w:szCs w:val="18"/>
                <w:u w:val="single"/>
              </w:rPr>
              <w:t>Long-term former smoker vs. daily smoker</w:t>
            </w:r>
            <w:r w:rsidRPr="00F52E88">
              <w:rPr>
                <w:rFonts w:cstheme="minorHAnsi"/>
                <w:sz w:val="18"/>
                <w:szCs w:val="18"/>
                <w:u w:val="single"/>
                <w:vertAlign w:val="superscript"/>
              </w:rPr>
              <w:t>e</w:t>
            </w:r>
            <w:r w:rsidRPr="00F52E88">
              <w:rPr>
                <w:rFonts w:cstheme="minorHAnsi"/>
                <w:sz w:val="18"/>
                <w:szCs w:val="18"/>
                <w:u w:val="single"/>
              </w:rPr>
              <w:t xml:space="preserve"> (NHIS)</w:t>
            </w:r>
          </w:p>
          <w:p w14:paraId="21EE03F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OR (95% CI) for M (ref=NM)</w:t>
            </w:r>
          </w:p>
          <w:p w14:paraId="431B3741"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f</w:t>
            </w:r>
          </w:p>
          <w:p w14:paraId="0623A39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2048803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0.96 (0.87 to 1.06)</w:t>
            </w:r>
          </w:p>
          <w:p w14:paraId="186AE6EB"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g</w:t>
            </w:r>
          </w:p>
          <w:p w14:paraId="5829764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49AC32E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0.54 (0.44 to 0.68)</w:t>
            </w:r>
          </w:p>
          <w:p w14:paraId="6E2993F8"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g</w:t>
            </w:r>
          </w:p>
          <w:p w14:paraId="4C1E78F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4812AC7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0.89 (0.71 to 1.11)</w:t>
            </w:r>
          </w:p>
          <w:p w14:paraId="0F6F0ED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329873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0.82 (0.66 to 1.02)</w:t>
            </w:r>
          </w:p>
          <w:p w14:paraId="1DA5B73B" w14:textId="77777777" w:rsidR="007F0AE0" w:rsidRPr="00191C09" w:rsidRDefault="007F0AE0" w:rsidP="00453DE3">
            <w:pPr>
              <w:rPr>
                <w:rFonts w:asciiTheme="minorHAnsi" w:hAnsiTheme="minorHAnsi" w:cstheme="minorHAnsi"/>
                <w:sz w:val="18"/>
                <w:szCs w:val="18"/>
              </w:rPr>
            </w:pPr>
          </w:p>
          <w:p w14:paraId="79730681"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Short-term former smoker vs. regular smoker</w:t>
            </w:r>
            <w:r w:rsidRPr="00F52E88">
              <w:rPr>
                <w:rFonts w:cstheme="minorHAnsi"/>
                <w:sz w:val="18"/>
                <w:szCs w:val="18"/>
                <w:u w:val="single"/>
                <w:vertAlign w:val="superscript"/>
              </w:rPr>
              <w:t>e</w:t>
            </w:r>
            <w:r w:rsidRPr="00191C09">
              <w:rPr>
                <w:rFonts w:asciiTheme="minorHAnsi" w:hAnsiTheme="minorHAnsi" w:cstheme="minorHAnsi"/>
                <w:sz w:val="18"/>
                <w:szCs w:val="18"/>
                <w:u w:val="single"/>
              </w:rPr>
              <w:t>(TUS-CPS):</w:t>
            </w:r>
          </w:p>
          <w:p w14:paraId="4CCD8C4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 NM) </w:t>
            </w:r>
          </w:p>
          <w:p w14:paraId="048B851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NH White</w:t>
            </w:r>
          </w:p>
          <w:p w14:paraId="777DA28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29D06FA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(0.84 to 0.96)</w:t>
            </w:r>
          </w:p>
          <w:p w14:paraId="3C58417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w:t>
            </w:r>
          </w:p>
          <w:p w14:paraId="20D37B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(0.85 to 0.96)</w:t>
            </w:r>
          </w:p>
          <w:p w14:paraId="6C42E7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NH Black</w:t>
            </w:r>
          </w:p>
          <w:p w14:paraId="5DBC12D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132C249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0.77 (0.62 to 0.96)</w:t>
            </w:r>
          </w:p>
          <w:p w14:paraId="1F8578B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lastRenderedPageBreak/>
              <w:t>Model 2:</w:t>
            </w:r>
          </w:p>
          <w:p w14:paraId="5E74207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0.71 (0.57 to 0.89)</w:t>
            </w:r>
          </w:p>
          <w:p w14:paraId="280DC9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Other</w:t>
            </w:r>
          </w:p>
          <w:p w14:paraId="33EB7E5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6C59C1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1.15 (0.99 to 1.35)</w:t>
            </w:r>
          </w:p>
          <w:p w14:paraId="4A5CFC9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w:t>
            </w:r>
          </w:p>
          <w:p w14:paraId="6C53BA1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1.13 (0.97 to 1.32)</w:t>
            </w:r>
          </w:p>
          <w:p w14:paraId="631636BA" w14:textId="77777777" w:rsidR="007F0AE0" w:rsidRPr="00191C09" w:rsidRDefault="007F0AE0" w:rsidP="00453DE3">
            <w:pPr>
              <w:rPr>
                <w:rFonts w:asciiTheme="minorHAnsi" w:hAnsiTheme="minorHAnsi" w:cstheme="minorHAnsi"/>
                <w:sz w:val="18"/>
                <w:szCs w:val="18"/>
              </w:rPr>
            </w:pPr>
          </w:p>
          <w:p w14:paraId="663E76E1"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 xml:space="preserve">Short-term former smoker vs. </w:t>
            </w:r>
            <w:r w:rsidRPr="00191C09">
              <w:rPr>
                <w:rFonts w:asciiTheme="minorHAnsi" w:hAnsiTheme="minorHAnsi" w:cstheme="minorHAnsi"/>
                <w:sz w:val="18"/>
                <w:szCs w:val="18"/>
                <w:u w:val="single"/>
              </w:rPr>
              <w:t>daily</w:t>
            </w:r>
            <w:r w:rsidRPr="00F52E88">
              <w:rPr>
                <w:rFonts w:cstheme="minorHAnsi"/>
                <w:sz w:val="18"/>
                <w:szCs w:val="18"/>
                <w:u w:val="single"/>
              </w:rPr>
              <w:t xml:space="preserve"> smoker</w:t>
            </w:r>
            <w:r w:rsidRPr="00F52E88">
              <w:rPr>
                <w:rFonts w:cstheme="minorHAnsi"/>
                <w:sz w:val="18"/>
                <w:szCs w:val="18"/>
                <w:u w:val="single"/>
                <w:vertAlign w:val="superscript"/>
              </w:rPr>
              <w:t>e</w:t>
            </w:r>
            <w:r w:rsidRPr="00191C09">
              <w:rPr>
                <w:rFonts w:asciiTheme="minorHAnsi" w:hAnsiTheme="minorHAnsi" w:cstheme="minorHAnsi"/>
                <w:sz w:val="18"/>
                <w:szCs w:val="18"/>
                <w:u w:val="single"/>
              </w:rPr>
              <w:t>(TUS-CPS):</w:t>
            </w:r>
          </w:p>
          <w:p w14:paraId="056372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 NM) </w:t>
            </w:r>
          </w:p>
          <w:p w14:paraId="532C6D6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NH White</w:t>
            </w:r>
          </w:p>
          <w:p w14:paraId="6A6D8DD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07E6416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(0.84 to 0.96)</w:t>
            </w:r>
          </w:p>
          <w:p w14:paraId="2767C1E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w:t>
            </w:r>
          </w:p>
          <w:p w14:paraId="5287225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(0.85 to 0.96)</w:t>
            </w:r>
          </w:p>
          <w:p w14:paraId="253E73B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NH Black</w:t>
            </w:r>
          </w:p>
          <w:p w14:paraId="67EA588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2453D29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0.79 (0.63 to 0.99)</w:t>
            </w:r>
          </w:p>
          <w:p w14:paraId="3EC3D67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w:t>
            </w:r>
          </w:p>
          <w:p w14:paraId="7A0819C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0.75 (0.60 to 0.94)</w:t>
            </w:r>
          </w:p>
          <w:p w14:paraId="23D1D31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Other</w:t>
            </w:r>
          </w:p>
          <w:p w14:paraId="439CE80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1:</w:t>
            </w:r>
          </w:p>
          <w:p w14:paraId="757F703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1.18 (1.01 to 1.38)</w:t>
            </w:r>
          </w:p>
          <w:p w14:paraId="35002BD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Model 2:</w:t>
            </w:r>
          </w:p>
          <w:p w14:paraId="629DE24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1.16 (0.99 to 1.35)</w:t>
            </w:r>
          </w:p>
          <w:p w14:paraId="5DFF2A44" w14:textId="77777777" w:rsidR="007F0AE0" w:rsidRPr="00191C09" w:rsidRDefault="007F0AE0" w:rsidP="00453DE3">
            <w:pPr>
              <w:rPr>
                <w:rFonts w:asciiTheme="minorHAnsi" w:hAnsiTheme="minorHAnsi" w:cstheme="minorHAnsi"/>
                <w:i/>
                <w:sz w:val="18"/>
                <w:szCs w:val="18"/>
              </w:rPr>
            </w:pPr>
          </w:p>
          <w:p w14:paraId="2105566F"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Short-term former smoker vs. regular smoker</w:t>
            </w:r>
            <w:r w:rsidRPr="00F52E88">
              <w:rPr>
                <w:rFonts w:cstheme="minorHAnsi"/>
                <w:sz w:val="18"/>
                <w:szCs w:val="18"/>
                <w:u w:val="single"/>
                <w:vertAlign w:val="superscript"/>
              </w:rPr>
              <w:t>e</w:t>
            </w:r>
            <w:r w:rsidRPr="00191C09">
              <w:rPr>
                <w:rFonts w:asciiTheme="minorHAnsi" w:hAnsiTheme="minorHAnsi" w:cstheme="minorHAnsi"/>
                <w:sz w:val="18"/>
                <w:szCs w:val="18"/>
                <w:u w:val="single"/>
              </w:rPr>
              <w:t>(NHIS):</w:t>
            </w:r>
          </w:p>
          <w:p w14:paraId="64D1B1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 NM) </w:t>
            </w:r>
          </w:p>
          <w:p w14:paraId="5B83DE94"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p>
          <w:p w14:paraId="6CFEAD1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1.00 (0.82 to 1.21)</w:t>
            </w:r>
          </w:p>
          <w:p w14:paraId="0142C5E4"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p>
          <w:p w14:paraId="79AE656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0.71 (0.45 to 1.11)</w:t>
            </w:r>
          </w:p>
          <w:p w14:paraId="32756615"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g</w:t>
            </w:r>
          </w:p>
          <w:p w14:paraId="5CD9F91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3135A97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0.84 (0.60 to 1.18)</w:t>
            </w:r>
          </w:p>
          <w:p w14:paraId="72B235D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39C807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0.82 (0.59 to 1.15)</w:t>
            </w:r>
          </w:p>
          <w:p w14:paraId="49DFC14D"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lastRenderedPageBreak/>
              <w:t>Short-term former smoker vs. daily smoker</w:t>
            </w:r>
            <w:r w:rsidRPr="00F52E88">
              <w:rPr>
                <w:rFonts w:cstheme="minorHAnsi"/>
                <w:sz w:val="18"/>
                <w:szCs w:val="18"/>
                <w:u w:val="single"/>
                <w:vertAlign w:val="superscript"/>
              </w:rPr>
              <w:t>e</w:t>
            </w:r>
            <w:r w:rsidRPr="00F52E88">
              <w:rPr>
                <w:rFonts w:cstheme="minorHAnsi"/>
                <w:sz w:val="18"/>
                <w:szCs w:val="18"/>
                <w:u w:val="single"/>
              </w:rPr>
              <w:t xml:space="preserve"> (NHIS):</w:t>
            </w:r>
          </w:p>
          <w:p w14:paraId="280776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 NM) </w:t>
            </w:r>
          </w:p>
          <w:p w14:paraId="415BAEF4"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p>
          <w:p w14:paraId="7553952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0.98 (0.81 to 1.19)</w:t>
            </w:r>
          </w:p>
          <w:p w14:paraId="228E53E3"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p>
          <w:p w14:paraId="4934E7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0.70 (0.45 to 1.10)</w:t>
            </w:r>
          </w:p>
          <w:p w14:paraId="0D900742"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g</w:t>
            </w:r>
          </w:p>
          <w:p w14:paraId="6973314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0336B43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0.85 (0.60 to 1.20)</w:t>
            </w:r>
          </w:p>
          <w:p w14:paraId="64AC244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3AF9900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0.83 (0.59 to 1.17)</w:t>
            </w:r>
          </w:p>
          <w:p w14:paraId="1316C578" w14:textId="77777777" w:rsidR="007F0AE0" w:rsidRPr="00191C09" w:rsidRDefault="007F0AE0" w:rsidP="00453DE3">
            <w:pPr>
              <w:rPr>
                <w:rFonts w:asciiTheme="minorHAnsi" w:hAnsiTheme="minorHAnsi" w:cstheme="minorHAnsi"/>
                <w:sz w:val="18"/>
                <w:szCs w:val="18"/>
              </w:rPr>
            </w:pPr>
          </w:p>
          <w:p w14:paraId="6BA2422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Short-term former smoker vs. regular smoker</w:t>
            </w:r>
            <w:r w:rsidRPr="00191C09">
              <w:rPr>
                <w:rFonts w:asciiTheme="minorHAnsi" w:hAnsiTheme="minorHAnsi" w:cstheme="minorHAnsi"/>
                <w:sz w:val="18"/>
                <w:szCs w:val="18"/>
                <w:u w:val="single"/>
                <w:vertAlign w:val="superscript"/>
              </w:rPr>
              <w:t>e</w:t>
            </w:r>
            <w:r w:rsidRPr="00191C09">
              <w:rPr>
                <w:rFonts w:asciiTheme="minorHAnsi" w:hAnsiTheme="minorHAnsi" w:cstheme="minorHAnsi"/>
                <w:sz w:val="18"/>
                <w:szCs w:val="18"/>
                <w:u w:val="single"/>
              </w:rPr>
              <w:t xml:space="preserve"> (TUS-CPS)</w:t>
            </w:r>
          </w:p>
          <w:p w14:paraId="4AD140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58A7BA18"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h</w:t>
            </w:r>
          </w:p>
          <w:p w14:paraId="359B115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18F63D8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0.86 (0.83 to 0.88)</w:t>
            </w:r>
          </w:p>
          <w:p w14:paraId="39A26F75"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p>
          <w:p w14:paraId="279A9D11"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i/>
                <w:sz w:val="18"/>
                <w:szCs w:val="18"/>
              </w:rPr>
              <w:t xml:space="preserve">Model 2: </w:t>
            </w:r>
          </w:p>
          <w:p w14:paraId="71886C8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0.51 (0.46 to 0.56)</w:t>
            </w:r>
          </w:p>
          <w:p w14:paraId="19B8E265"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i</w:t>
            </w:r>
          </w:p>
          <w:p w14:paraId="64D204B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680B0F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0.79 (0.72 to 0.85)</w:t>
            </w:r>
          </w:p>
          <w:p w14:paraId="0B6C33AE" w14:textId="77777777" w:rsidR="007F0AE0" w:rsidRPr="00191C09" w:rsidRDefault="007F0AE0" w:rsidP="00453DE3">
            <w:pPr>
              <w:rPr>
                <w:rFonts w:asciiTheme="minorHAnsi" w:hAnsiTheme="minorHAnsi" w:cstheme="minorHAnsi"/>
                <w:sz w:val="18"/>
                <w:szCs w:val="18"/>
              </w:rPr>
            </w:pPr>
          </w:p>
          <w:p w14:paraId="51075BF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Short-term former smoker vs. daily smoker</w:t>
            </w:r>
            <w:r w:rsidRPr="00191C09">
              <w:rPr>
                <w:rFonts w:asciiTheme="minorHAnsi" w:hAnsiTheme="minorHAnsi" w:cstheme="minorHAnsi"/>
                <w:sz w:val="18"/>
                <w:szCs w:val="18"/>
                <w:u w:val="single"/>
                <w:vertAlign w:val="superscript"/>
              </w:rPr>
              <w:t xml:space="preserve">e </w:t>
            </w:r>
            <w:r w:rsidRPr="00191C09">
              <w:rPr>
                <w:rFonts w:asciiTheme="minorHAnsi" w:hAnsiTheme="minorHAnsi" w:cstheme="minorHAnsi"/>
                <w:sz w:val="18"/>
                <w:szCs w:val="18"/>
                <w:u w:val="single"/>
              </w:rPr>
              <w:t>(TUS-CPS)</w:t>
            </w:r>
          </w:p>
          <w:p w14:paraId="226131E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05C47D2F"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h</w:t>
            </w:r>
          </w:p>
          <w:p w14:paraId="5E0316C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378D3AD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0.86 (0.84 to 0.89)</w:t>
            </w:r>
          </w:p>
          <w:p w14:paraId="40180C13"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i</w:t>
            </w:r>
          </w:p>
          <w:p w14:paraId="7593FBEE"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4934E12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0.50 (0.46 to 0.55)</w:t>
            </w:r>
          </w:p>
          <w:p w14:paraId="0CAE9393"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i</w:t>
            </w:r>
          </w:p>
          <w:p w14:paraId="2060324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2: </w:t>
            </w:r>
          </w:p>
          <w:p w14:paraId="25760A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0.81 (0.75 to 0.88)</w:t>
            </w:r>
          </w:p>
        </w:tc>
        <w:tc>
          <w:tcPr>
            <w:tcW w:w="2678" w:type="dxa"/>
            <w:shd w:val="clear" w:color="auto" w:fill="auto"/>
            <w:tcMar>
              <w:top w:w="62" w:type="dxa"/>
              <w:left w:w="62" w:type="dxa"/>
              <w:bottom w:w="62" w:type="dxa"/>
              <w:right w:w="62" w:type="dxa"/>
            </w:tcMar>
          </w:tcPr>
          <w:p w14:paraId="3C6DD9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174B6F36" w14:textId="77777777" w:rsidTr="00453DE3">
        <w:tc>
          <w:tcPr>
            <w:tcW w:w="1927" w:type="dxa"/>
            <w:shd w:val="clear" w:color="auto" w:fill="auto"/>
            <w:tcMar>
              <w:top w:w="62" w:type="dxa"/>
              <w:left w:w="62" w:type="dxa"/>
              <w:bottom w:w="62" w:type="dxa"/>
              <w:right w:w="62" w:type="dxa"/>
            </w:tcMar>
          </w:tcPr>
          <w:p w14:paraId="2CA9BC33"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lastRenderedPageBreak/>
              <w:fldChar w:fldCharType="begin"/>
            </w:r>
            <w:r>
              <w:rPr>
                <w:rFonts w:cstheme="minorHAnsi"/>
                <w:sz w:val="18"/>
                <w:szCs w:val="18"/>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43" w:tooltip="Thihalolipavan, 2014 #12" w:history="1">
              <w:r>
                <w:rPr>
                  <w:rFonts w:cstheme="minorHAnsi"/>
                  <w:noProof/>
                  <w:sz w:val="18"/>
                  <w:szCs w:val="18"/>
                </w:rPr>
                <w:t>43</w:t>
              </w:r>
            </w:hyperlink>
            <w:r>
              <w:rPr>
                <w:rFonts w:cstheme="minorHAnsi"/>
                <w:noProof/>
                <w:sz w:val="18"/>
                <w:szCs w:val="18"/>
              </w:rPr>
              <w:t>)</w:t>
            </w:r>
            <w:r w:rsidRPr="00191C09">
              <w:rPr>
                <w:rFonts w:cstheme="minorHAnsi"/>
                <w:sz w:val="18"/>
                <w:szCs w:val="18"/>
              </w:rPr>
              <w:fldChar w:fldCharType="end"/>
            </w:r>
          </w:p>
          <w:p w14:paraId="06A5CA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2162890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None</w:t>
            </w:r>
          </w:p>
        </w:tc>
        <w:tc>
          <w:tcPr>
            <w:tcW w:w="3648" w:type="dxa"/>
            <w:shd w:val="clear" w:color="auto" w:fill="auto"/>
            <w:tcMar>
              <w:top w:w="62" w:type="dxa"/>
              <w:left w:w="62" w:type="dxa"/>
              <w:bottom w:w="62" w:type="dxa"/>
              <w:right w:w="62" w:type="dxa"/>
            </w:tcMar>
          </w:tcPr>
          <w:p w14:paraId="5C30520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500" w:type="dxa"/>
            <w:shd w:val="clear" w:color="auto" w:fill="auto"/>
            <w:tcMar>
              <w:top w:w="62" w:type="dxa"/>
              <w:left w:w="62" w:type="dxa"/>
              <w:bottom w:w="62" w:type="dxa"/>
              <w:right w:w="62" w:type="dxa"/>
            </w:tcMar>
          </w:tcPr>
          <w:p w14:paraId="44C780A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Quit rate (definition NR)</w:t>
            </w:r>
          </w:p>
          <w:p w14:paraId="349F63A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3-6 weeks post-baseline</w:t>
            </w:r>
          </w:p>
          <w:p w14:paraId="61BEE77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M: 23.1%</w:t>
            </w:r>
          </w:p>
          <w:p w14:paraId="73C2AC5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26.0%</w:t>
            </w:r>
          </w:p>
          <w:p w14:paraId="0E5AD6A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Unadj PR (95% CI) for M (ref=NM):</w:t>
            </w:r>
          </w:p>
          <w:p w14:paraId="4DE9BC7A" w14:textId="77777777" w:rsidR="007F0AE0" w:rsidRPr="000E6F62"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0.86 (0.81 to 0.92)</w:t>
            </w:r>
          </w:p>
        </w:tc>
        <w:tc>
          <w:tcPr>
            <w:tcW w:w="2678" w:type="dxa"/>
            <w:shd w:val="clear" w:color="auto" w:fill="auto"/>
            <w:tcMar>
              <w:top w:w="62" w:type="dxa"/>
              <w:left w:w="62" w:type="dxa"/>
              <w:bottom w:w="62" w:type="dxa"/>
              <w:right w:w="62" w:type="dxa"/>
            </w:tcMar>
          </w:tcPr>
          <w:p w14:paraId="1AF07F2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22E29E29" w14:textId="77777777" w:rsidTr="00453DE3">
        <w:tc>
          <w:tcPr>
            <w:tcW w:w="1927" w:type="dxa"/>
            <w:tcMar>
              <w:top w:w="62" w:type="dxa"/>
              <w:left w:w="62" w:type="dxa"/>
              <w:bottom w:w="62" w:type="dxa"/>
              <w:right w:w="62" w:type="dxa"/>
            </w:tcMar>
          </w:tcPr>
          <w:p w14:paraId="43F6353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52" w:tooltip="Trinidad, 2010 #58" w:history="1">
              <w:r w:rsidRPr="00342AED">
                <w:rPr>
                  <w:rFonts w:asciiTheme="minorHAnsi" w:hAnsiTheme="minorHAnsi" w:cstheme="minorHAnsi"/>
                  <w:noProof/>
                  <w:color w:val="000000"/>
                  <w:sz w:val="18"/>
                  <w:szCs w:val="18"/>
                </w:rPr>
                <w:t>52</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5765886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6D2FB5E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3648" w:type="dxa"/>
            <w:tcMar>
              <w:top w:w="62" w:type="dxa"/>
              <w:left w:w="62" w:type="dxa"/>
              <w:bottom w:w="62" w:type="dxa"/>
              <w:right w:w="62" w:type="dxa"/>
            </w:tcMar>
          </w:tcPr>
          <w:p w14:paraId="5A6360B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r w:rsidRPr="00191C09" w:rsidDel="004E1063">
              <w:rPr>
                <w:rFonts w:asciiTheme="minorHAnsi" w:hAnsiTheme="minorHAnsi" w:cstheme="minorHAnsi"/>
                <w:sz w:val="18"/>
                <w:szCs w:val="18"/>
              </w:rPr>
              <w:t xml:space="preserve"> </w:t>
            </w:r>
          </w:p>
        </w:tc>
        <w:tc>
          <w:tcPr>
            <w:tcW w:w="4500" w:type="dxa"/>
            <w:tcMar>
              <w:top w:w="62" w:type="dxa"/>
              <w:left w:w="62" w:type="dxa"/>
              <w:bottom w:w="62" w:type="dxa"/>
              <w:right w:w="62" w:type="dxa"/>
            </w:tcMar>
          </w:tcPr>
          <w:p w14:paraId="31827D6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Former smokers: ever smokers who reported not smoking at the time of the survey. </w:t>
            </w:r>
          </w:p>
          <w:p w14:paraId="7611132E" w14:textId="77777777" w:rsidR="007F0AE0" w:rsidRPr="00191C09" w:rsidRDefault="007F0AE0" w:rsidP="00453DE3">
            <w:pPr>
              <w:rPr>
                <w:rFonts w:asciiTheme="minorHAnsi" w:hAnsiTheme="minorHAnsi" w:cstheme="minorHAnsi"/>
                <w:sz w:val="18"/>
                <w:szCs w:val="18"/>
                <w:u w:val="single"/>
              </w:rPr>
            </w:pPr>
          </w:p>
          <w:p w14:paraId="0819D23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Of former smokers quit &lt;6 months</w:t>
            </w:r>
            <w:r w:rsidRPr="00191C09">
              <w:rPr>
                <w:rFonts w:asciiTheme="minorHAnsi" w:hAnsiTheme="minorHAnsi" w:cstheme="minorHAnsi"/>
                <w:sz w:val="18"/>
                <w:szCs w:val="18"/>
              </w:rPr>
              <w:t>:</w:t>
            </w:r>
          </w:p>
          <w:p w14:paraId="61A216E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2255084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6.3% (6.1 to 6.6)</w:t>
            </w:r>
          </w:p>
          <w:p w14:paraId="332BC2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20.0% (19.6 to 20.5)</w:t>
            </w:r>
          </w:p>
          <w:p w14:paraId="30C1E9F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NH White</w:t>
            </w:r>
          </w:p>
          <w:p w14:paraId="1A38602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4.8% (4.6 to 5.0)</w:t>
            </w:r>
          </w:p>
          <w:p w14:paraId="7FCD61F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20.7% (20.2 to 21.2)</w:t>
            </w:r>
          </w:p>
          <w:p w14:paraId="05349B4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4E36869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20.1% (18.2 to 22.0)</w:t>
            </w:r>
          </w:p>
          <w:p w14:paraId="1CD6B38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9.1% (7.7 to 10.5)</w:t>
            </w:r>
          </w:p>
          <w:p w14:paraId="73B276B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Asian-American/Pacific Islander</w:t>
            </w:r>
          </w:p>
          <w:p w14:paraId="208062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8.1% (6.3 to 9.9)</w:t>
            </w:r>
          </w:p>
          <w:p w14:paraId="783D9EF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21.5% (18.2 to 24.8)</w:t>
            </w:r>
          </w:p>
          <w:p w14:paraId="6F07CC8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Hispanic/Latino</w:t>
            </w:r>
          </w:p>
          <w:p w14:paraId="193D775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9.0% (7.8 to 9.0)</w:t>
            </w:r>
          </w:p>
          <w:p w14:paraId="6618E00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21.9% (20.2 to 21.9)</w:t>
            </w:r>
          </w:p>
          <w:p w14:paraId="63587EE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Native American/Alaska Native</w:t>
            </w:r>
          </w:p>
          <w:p w14:paraId="550973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6.4% (2.8 to 6.4)</w:t>
            </w:r>
          </w:p>
          <w:p w14:paraId="66AE6FC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26.8% (20.1 to 26.8)</w:t>
            </w:r>
          </w:p>
          <w:p w14:paraId="4D02E94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Successful smoking cessation/long-term quitting: among former smokers, being abstinent for ≥6 months at the time of the survey</w:t>
            </w:r>
          </w:p>
          <w:p w14:paraId="03BB32C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Of former smokers quit ≥6 months</w:t>
            </w:r>
          </w:p>
          <w:p w14:paraId="3F98307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4C894C0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20.2% (18.7 to 21.6)</w:t>
            </w:r>
          </w:p>
          <w:p w14:paraId="4A379F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56.5% (54.8 to 58.2)</w:t>
            </w:r>
          </w:p>
          <w:p w14:paraId="52F6CEC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NH White</w:t>
            </w:r>
          </w:p>
          <w:p w14:paraId="6168657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16.9% (15.4 to 18.4)</w:t>
            </w:r>
          </w:p>
          <w:p w14:paraId="7D095BA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61.0% (59.0 to 62.9) </w:t>
            </w:r>
          </w:p>
          <w:p w14:paraId="6B0DCBD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0B51DD8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M: 46.8% (40.8 to 52.7)</w:t>
            </w:r>
          </w:p>
          <w:p w14:paraId="5EAC8FE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21.3% (16.4 to 26.2)</w:t>
            </w:r>
          </w:p>
          <w:p w14:paraId="1D1AA26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Asian-American/Pacific Islander</w:t>
            </w:r>
          </w:p>
          <w:p w14:paraId="21D46C4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26.6% (16.9 to 36.2)</w:t>
            </w:r>
          </w:p>
          <w:p w14:paraId="6D4AE87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47.9% (36.7 to 59.0)</w:t>
            </w:r>
          </w:p>
          <w:p w14:paraId="6DC4DCB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Hispanic/Latino</w:t>
            </w:r>
          </w:p>
          <w:p w14:paraId="34536CC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18.7% (14.3 to 18.7)</w:t>
            </w:r>
          </w:p>
          <w:p w14:paraId="7F821A6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56.5% (50.5 to 56.5)</w:t>
            </w:r>
          </w:p>
          <w:p w14:paraId="3D3D215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Native American/Alaska Native</w:t>
            </w:r>
          </w:p>
          <w:p w14:paraId="6D34DAB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9.7% (1.1 to 9.7)</w:t>
            </w:r>
          </w:p>
          <w:p w14:paraId="1FB8D0E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68.3% (53.7 to 68.3)</w:t>
            </w:r>
          </w:p>
        </w:tc>
        <w:tc>
          <w:tcPr>
            <w:tcW w:w="2678" w:type="dxa"/>
            <w:tcMar>
              <w:top w:w="62" w:type="dxa"/>
              <w:left w:w="62" w:type="dxa"/>
              <w:bottom w:w="62" w:type="dxa"/>
              <w:right w:w="62" w:type="dxa"/>
            </w:tcMar>
          </w:tcPr>
          <w:p w14:paraId="103380D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bl>
    <w:p w14:paraId="6ADA4D81"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a</w:t>
      </w:r>
      <w:r w:rsidRPr="00494051">
        <w:rPr>
          <w:rFonts w:cstheme="minorHAnsi"/>
          <w:sz w:val="18"/>
          <w:szCs w:val="18"/>
        </w:rPr>
        <w:t>There appears to be an error in the published data for NM that raises concern about the validity of the statistical comparison between M and NM overall. For M smokers, the longest quit duration was less than 90 days for 56.0% and greater than 90 days for 44.0%. For NM smokers, 46.5% quit for less than 90 days and 68.3% quit for longer (i.e., the total for NM exceeds 100%). The difference between M and NM was reported as significant (p=0.01).</w:t>
      </w:r>
    </w:p>
    <w:p w14:paraId="53DC3A0F"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rPr>
        <w:t xml:space="preserve">Abbreviations: </w:t>
      </w:r>
      <w:r>
        <w:rPr>
          <w:rFonts w:cstheme="minorHAnsi"/>
          <w:sz w:val="18"/>
          <w:szCs w:val="18"/>
        </w:rPr>
        <w:t>e</w:t>
      </w:r>
      <w:r w:rsidRPr="00494051">
        <w:rPr>
          <w:rFonts w:cstheme="minorHAnsi"/>
          <w:sz w:val="18"/>
          <w:szCs w:val="18"/>
        </w:rPr>
        <w:t>CO=</w:t>
      </w:r>
      <w:r>
        <w:rPr>
          <w:rFonts w:cstheme="minorHAnsi"/>
          <w:sz w:val="18"/>
          <w:szCs w:val="18"/>
        </w:rPr>
        <w:t xml:space="preserve">exhaled </w:t>
      </w:r>
      <w:r w:rsidRPr="00494051">
        <w:rPr>
          <w:rFonts w:cstheme="minorHAnsi"/>
          <w:sz w:val="18"/>
          <w:szCs w:val="18"/>
        </w:rPr>
        <w:t>carbon monoxide; cig(s)=cigarette(s); CI=confidence interval; CPD=cigarettes per day; M=menthol; NHIS=National Health Interview Survey; NM=non-menthol; NR=not reported; NYAHS=National Young Adult Health Survey; OR=odds ratio; PPA=point prevalence abstinence; PR=prevalence ratio; ref=reference; TUS-CPS=Tobacco Use Supplement t</w:t>
      </w:r>
      <w:r>
        <w:rPr>
          <w:rFonts w:cstheme="minorHAnsi"/>
          <w:sz w:val="18"/>
          <w:szCs w:val="18"/>
        </w:rPr>
        <w:t>o the Current Population Survey</w:t>
      </w:r>
      <w:r w:rsidRPr="00494051">
        <w:rPr>
          <w:rFonts w:cstheme="minorHAnsi"/>
          <w:sz w:val="18"/>
          <w:szCs w:val="18"/>
        </w:rPr>
        <w:t>; VA=Veterans Health Administration.</w:t>
      </w:r>
    </w:p>
    <w:p w14:paraId="42AC3661" w14:textId="77777777" w:rsidR="007F0AE0" w:rsidRPr="00494051" w:rsidRDefault="007F0AE0" w:rsidP="007F0AE0">
      <w:pPr>
        <w:rPr>
          <w:rFonts w:cstheme="minorHAnsi"/>
          <w:bCs/>
          <w:i/>
          <w:sz w:val="16"/>
          <w:szCs w:val="16"/>
        </w:rPr>
        <w:sectPr w:rsidR="007F0AE0" w:rsidRPr="00494051" w:rsidSect="00A25B9D">
          <w:pgSz w:w="15840" w:h="12240" w:orient="landscape"/>
          <w:pgMar w:top="1440" w:right="1440" w:bottom="1440" w:left="1440" w:header="720" w:footer="720" w:gutter="0"/>
          <w:cols w:space="720"/>
          <w:titlePg/>
          <w:docGrid w:linePitch="360"/>
        </w:sectPr>
      </w:pPr>
    </w:p>
    <w:p w14:paraId="63AEF46A" w14:textId="77777777" w:rsidR="007F0AE0" w:rsidRPr="00494051" w:rsidRDefault="007F0AE0" w:rsidP="007F0AE0">
      <w:pPr>
        <w:pStyle w:val="AppTableNote"/>
        <w:outlineLvl w:val="1"/>
        <w:rPr>
          <w:rFonts w:asciiTheme="minorHAnsi" w:hAnsiTheme="minorHAnsi" w:cstheme="minorHAnsi"/>
          <w:b/>
          <w:sz w:val="22"/>
          <w:szCs w:val="22"/>
        </w:rPr>
      </w:pPr>
      <w:bookmarkStart w:id="23" w:name="Table7_2"/>
      <w:r w:rsidRPr="00494051">
        <w:rPr>
          <w:rFonts w:asciiTheme="minorHAnsi" w:hAnsiTheme="minorHAnsi" w:cstheme="minorHAnsi"/>
          <w:b/>
          <w:sz w:val="22"/>
          <w:szCs w:val="22"/>
        </w:rPr>
        <w:lastRenderedPageBreak/>
        <w:t>Table</w:t>
      </w:r>
      <w:r>
        <w:rPr>
          <w:rFonts w:asciiTheme="minorHAnsi" w:hAnsiTheme="minorHAnsi" w:cstheme="minorHAnsi"/>
          <w:b/>
          <w:sz w:val="22"/>
          <w:szCs w:val="22"/>
        </w:rPr>
        <w:t xml:space="preserve"> 10</w:t>
      </w:r>
      <w:r w:rsidRPr="00494051">
        <w:rPr>
          <w:rFonts w:asciiTheme="minorHAnsi" w:hAnsiTheme="minorHAnsi" w:cstheme="minorHAnsi"/>
          <w:b/>
          <w:sz w:val="22"/>
          <w:szCs w:val="22"/>
        </w:rPr>
        <w:t>-2: Unadjusted Analyses (Change in Smoking Quantity</w:t>
      </w:r>
      <w:r>
        <w:rPr>
          <w:rFonts w:asciiTheme="minorHAnsi" w:hAnsiTheme="minorHAnsi" w:cstheme="minorHAnsi"/>
          <w:b/>
          <w:sz w:val="22"/>
          <w:szCs w:val="22"/>
        </w:rPr>
        <w:t>/</w:t>
      </w:r>
      <w:r w:rsidRPr="00494051">
        <w:rPr>
          <w:rFonts w:asciiTheme="minorHAnsi" w:hAnsiTheme="minorHAnsi" w:cstheme="minorHAnsi"/>
          <w:b/>
          <w:sz w:val="22"/>
          <w:szCs w:val="22"/>
        </w:rPr>
        <w:t xml:space="preserve">Frequency, </w:t>
      </w:r>
      <w:r>
        <w:rPr>
          <w:rFonts w:asciiTheme="minorHAnsi" w:hAnsiTheme="minorHAnsi" w:cstheme="minorHAnsi"/>
          <w:b/>
          <w:sz w:val="22"/>
          <w:szCs w:val="22"/>
        </w:rPr>
        <w:t>Any</w:t>
      </w:r>
      <w:r w:rsidRPr="00494051">
        <w:rPr>
          <w:rFonts w:asciiTheme="minorHAnsi" w:hAnsiTheme="minorHAnsi" w:cstheme="minorHAnsi"/>
          <w:b/>
          <w:sz w:val="22"/>
          <w:szCs w:val="22"/>
        </w:rPr>
        <w:t xml:space="preserve"> Quit Attempt, Number of Quit Attempts per Person)</w:t>
      </w:r>
    </w:p>
    <w:tbl>
      <w:tblPr>
        <w:tblStyle w:val="TableGrid7"/>
        <w:tblW w:w="12895" w:type="dxa"/>
        <w:shd w:val="clear" w:color="auto" w:fill="F2F2F2"/>
        <w:tblLook w:val="04A0" w:firstRow="1" w:lastRow="0" w:firstColumn="1" w:lastColumn="0" w:noHBand="0" w:noVBand="1"/>
      </w:tblPr>
      <w:tblGrid>
        <w:gridCol w:w="2335"/>
        <w:gridCol w:w="2430"/>
        <w:gridCol w:w="4140"/>
        <w:gridCol w:w="3990"/>
      </w:tblGrid>
      <w:tr w:rsidR="007F0AE0" w:rsidRPr="00191C09" w14:paraId="3947480B" w14:textId="77777777" w:rsidTr="00453DE3">
        <w:trPr>
          <w:tblHeader/>
        </w:trPr>
        <w:tc>
          <w:tcPr>
            <w:tcW w:w="2335" w:type="dxa"/>
            <w:shd w:val="clear" w:color="auto" w:fill="44546A"/>
            <w:tcMar>
              <w:top w:w="62" w:type="dxa"/>
              <w:left w:w="62" w:type="dxa"/>
              <w:bottom w:w="62" w:type="dxa"/>
              <w:right w:w="62" w:type="dxa"/>
            </w:tcMar>
          </w:tcPr>
          <w:bookmarkEnd w:id="23"/>
          <w:p w14:paraId="49E363CB"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First Author, Year</w:t>
            </w:r>
          </w:p>
          <w:p w14:paraId="3378420E"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National survey name</w:t>
            </w:r>
          </w:p>
          <w:p w14:paraId="278AEEBA"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Special population</w:t>
            </w:r>
          </w:p>
        </w:tc>
        <w:tc>
          <w:tcPr>
            <w:tcW w:w="2430" w:type="dxa"/>
            <w:shd w:val="clear" w:color="auto" w:fill="44546A"/>
            <w:tcMar>
              <w:top w:w="62" w:type="dxa"/>
              <w:left w:w="62" w:type="dxa"/>
              <w:bottom w:w="62" w:type="dxa"/>
              <w:right w:w="62" w:type="dxa"/>
            </w:tcMar>
          </w:tcPr>
          <w:p w14:paraId="17F50EAB"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Change in smoking quantity</w:t>
            </w:r>
            <w:r>
              <w:rPr>
                <w:rFonts w:asciiTheme="minorHAnsi" w:hAnsiTheme="minorHAnsi" w:cstheme="minorHAnsi"/>
                <w:b/>
                <w:color w:val="FFFFFF"/>
                <w:sz w:val="18"/>
                <w:szCs w:val="18"/>
              </w:rPr>
              <w:t>/</w:t>
            </w:r>
            <w:r w:rsidRPr="00191C09">
              <w:rPr>
                <w:rFonts w:asciiTheme="minorHAnsi" w:hAnsiTheme="minorHAnsi" w:cstheme="minorHAnsi"/>
                <w:b/>
                <w:color w:val="FFFFFF"/>
                <w:sz w:val="18"/>
                <w:szCs w:val="18"/>
              </w:rPr>
              <w:t>frequency</w:t>
            </w:r>
          </w:p>
        </w:tc>
        <w:tc>
          <w:tcPr>
            <w:tcW w:w="4140" w:type="dxa"/>
            <w:shd w:val="clear" w:color="auto" w:fill="44546A"/>
            <w:tcMar>
              <w:top w:w="62" w:type="dxa"/>
              <w:left w:w="62" w:type="dxa"/>
              <w:bottom w:w="62" w:type="dxa"/>
              <w:right w:w="62" w:type="dxa"/>
            </w:tcMar>
          </w:tcPr>
          <w:p w14:paraId="2F407955" w14:textId="77777777" w:rsidR="007F0AE0" w:rsidRPr="00191C09" w:rsidRDefault="007F0AE0" w:rsidP="00453DE3">
            <w:pPr>
              <w:jc w:val="center"/>
              <w:rPr>
                <w:rFonts w:asciiTheme="minorHAnsi" w:hAnsiTheme="minorHAnsi" w:cstheme="minorHAnsi"/>
                <w:b/>
                <w:color w:val="FFFFFF"/>
                <w:sz w:val="18"/>
                <w:szCs w:val="18"/>
              </w:rPr>
            </w:pPr>
            <w:r>
              <w:rPr>
                <w:rFonts w:asciiTheme="minorHAnsi" w:hAnsiTheme="minorHAnsi" w:cstheme="minorHAnsi"/>
                <w:b/>
                <w:color w:val="FFFFFF"/>
                <w:sz w:val="18"/>
                <w:szCs w:val="18"/>
              </w:rPr>
              <w:t>Any quit attempt</w:t>
            </w:r>
          </w:p>
        </w:tc>
        <w:tc>
          <w:tcPr>
            <w:tcW w:w="3990" w:type="dxa"/>
            <w:shd w:val="clear" w:color="auto" w:fill="44546A"/>
            <w:tcMar>
              <w:top w:w="62" w:type="dxa"/>
              <w:left w:w="62" w:type="dxa"/>
              <w:bottom w:w="62" w:type="dxa"/>
              <w:right w:w="62" w:type="dxa"/>
            </w:tcMar>
          </w:tcPr>
          <w:p w14:paraId="577B8918"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Number of quit attempts per person</w:t>
            </w:r>
          </w:p>
        </w:tc>
      </w:tr>
      <w:tr w:rsidR="007F0AE0" w:rsidRPr="00191C09" w14:paraId="13506EF8" w14:textId="77777777" w:rsidTr="00453DE3">
        <w:tc>
          <w:tcPr>
            <w:tcW w:w="2335" w:type="dxa"/>
            <w:shd w:val="clear" w:color="auto" w:fill="auto"/>
            <w:tcMar>
              <w:top w:w="62" w:type="dxa"/>
              <w:left w:w="62" w:type="dxa"/>
              <w:bottom w:w="62" w:type="dxa"/>
              <w:right w:w="62" w:type="dxa"/>
            </w:tcMar>
          </w:tcPr>
          <w:p w14:paraId="7EA39E2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14" w:tooltip="Alexander, 2010 #59" w:history="1">
              <w:r>
                <w:rPr>
                  <w:rFonts w:cstheme="minorHAnsi"/>
                  <w:noProof/>
                  <w:color w:val="000000"/>
                  <w:sz w:val="18"/>
                  <w:szCs w:val="18"/>
                </w:rPr>
                <w:t>14</w:t>
              </w:r>
            </w:hyperlink>
            <w:r>
              <w:rPr>
                <w:rFonts w:cstheme="minorHAnsi"/>
                <w:noProof/>
                <w:color w:val="000000"/>
                <w:sz w:val="18"/>
                <w:szCs w:val="18"/>
              </w:rPr>
              <w:t>)</w:t>
            </w:r>
            <w:r w:rsidRPr="00191C09">
              <w:rPr>
                <w:rFonts w:cstheme="minorHAnsi"/>
                <w:color w:val="000000"/>
                <w:sz w:val="18"/>
                <w:szCs w:val="18"/>
              </w:rPr>
              <w:fldChar w:fldCharType="end"/>
            </w:r>
          </w:p>
          <w:p w14:paraId="65F7BF1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6C6AF61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5E6F287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697151B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“Have you [ever/in the past 12 months] stopped smoking for 1 day or longer because you were trying to quit smoking?”</w:t>
            </w:r>
          </w:p>
          <w:p w14:paraId="3B58176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Ever</w:t>
            </w:r>
          </w:p>
          <w:p w14:paraId="3D864F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70.9%</w:t>
            </w:r>
          </w:p>
          <w:p w14:paraId="64A81BC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69.5%</w:t>
            </w:r>
          </w:p>
          <w:p w14:paraId="203ED6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(p=0.09)</w:t>
            </w:r>
          </w:p>
          <w:p w14:paraId="25ADFBC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Past 12 months</w:t>
            </w:r>
          </w:p>
          <w:p w14:paraId="1EA04F9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55.0%</w:t>
            </w:r>
          </w:p>
          <w:p w14:paraId="071B29D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50.3%</w:t>
            </w:r>
          </w:p>
          <w:p w14:paraId="3820842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(p&lt;0.001)</w:t>
            </w:r>
          </w:p>
        </w:tc>
        <w:tc>
          <w:tcPr>
            <w:tcW w:w="3990" w:type="dxa"/>
            <w:shd w:val="clear" w:color="auto" w:fill="auto"/>
            <w:tcMar>
              <w:top w:w="62" w:type="dxa"/>
              <w:left w:w="62" w:type="dxa"/>
              <w:bottom w:w="62" w:type="dxa"/>
              <w:right w:w="62" w:type="dxa"/>
            </w:tcMar>
          </w:tcPr>
          <w:p w14:paraId="527AB9B6"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sz w:val="18"/>
                <w:szCs w:val="18"/>
              </w:rPr>
              <w:t>"How many times during the past 12 months have you stopped smoking because you were trying to quit?"</w:t>
            </w:r>
          </w:p>
          <w:p w14:paraId="49336A6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4.0 (3.6 to 4.4)</w:t>
            </w:r>
          </w:p>
          <w:p w14:paraId="548527B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3.8 (3.6 to 3.9)</w:t>
            </w:r>
          </w:p>
        </w:tc>
      </w:tr>
      <w:tr w:rsidR="007F0AE0" w:rsidRPr="00191C09" w14:paraId="62F094AB" w14:textId="77777777" w:rsidTr="00453DE3">
        <w:tc>
          <w:tcPr>
            <w:tcW w:w="2335" w:type="dxa"/>
            <w:shd w:val="clear" w:color="auto" w:fill="auto"/>
            <w:tcMar>
              <w:top w:w="62" w:type="dxa"/>
              <w:left w:w="62" w:type="dxa"/>
              <w:bottom w:w="62" w:type="dxa"/>
              <w:right w:w="62" w:type="dxa"/>
            </w:tcMar>
          </w:tcPr>
          <w:p w14:paraId="0FBDE661"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4" w:tooltip="Okuyemi, 2007 #74" w:history="1">
              <w:r>
                <w:rPr>
                  <w:rFonts w:cstheme="minorHAnsi"/>
                  <w:noProof/>
                  <w:color w:val="000000"/>
                  <w:sz w:val="18"/>
                  <w:szCs w:val="18"/>
                </w:rPr>
                <w:t>24</w:t>
              </w:r>
            </w:hyperlink>
            <w:r>
              <w:rPr>
                <w:rFonts w:cstheme="minorHAnsi"/>
                <w:noProof/>
                <w:color w:val="000000"/>
                <w:sz w:val="18"/>
                <w:szCs w:val="18"/>
              </w:rPr>
              <w:t xml:space="preserve">, </w:t>
            </w:r>
            <w:hyperlink w:anchor="_ENREF_67" w:tooltip="Berg, 2010 #102" w:history="1">
              <w:r>
                <w:rPr>
                  <w:rFonts w:cstheme="minorHAnsi"/>
                  <w:noProof/>
                  <w:color w:val="000000"/>
                  <w:sz w:val="18"/>
                  <w:szCs w:val="18"/>
                </w:rPr>
                <w:t>67</w:t>
              </w:r>
            </w:hyperlink>
            <w:r>
              <w:rPr>
                <w:rFonts w:cstheme="minorHAnsi"/>
                <w:noProof/>
                <w:color w:val="000000"/>
                <w:sz w:val="18"/>
                <w:szCs w:val="18"/>
              </w:rPr>
              <w:t>)</w:t>
            </w:r>
            <w:r w:rsidRPr="00191C09">
              <w:rPr>
                <w:rFonts w:cstheme="minorHAnsi"/>
                <w:color w:val="000000"/>
                <w:sz w:val="18"/>
                <w:szCs w:val="18"/>
              </w:rPr>
              <w:fldChar w:fldCharType="end"/>
            </w:r>
          </w:p>
          <w:p w14:paraId="033BD94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A0A471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Black light smokers </w:t>
            </w:r>
          </w:p>
          <w:p w14:paraId="67551059" w14:textId="77777777" w:rsidR="007F0AE0" w:rsidRPr="00191C09" w:rsidRDefault="007F0AE0" w:rsidP="00453DE3">
            <w:pPr>
              <w:rPr>
                <w:rFonts w:asciiTheme="minorHAnsi" w:hAnsiTheme="minorHAnsi" w:cstheme="minorHAnsi"/>
                <w:color w:val="000000"/>
                <w:sz w:val="18"/>
                <w:szCs w:val="18"/>
              </w:rPr>
            </w:pPr>
          </w:p>
        </w:tc>
        <w:tc>
          <w:tcPr>
            <w:tcW w:w="2430" w:type="dxa"/>
            <w:tcMar>
              <w:top w:w="62" w:type="dxa"/>
              <w:left w:w="62" w:type="dxa"/>
              <w:bottom w:w="62" w:type="dxa"/>
              <w:right w:w="62" w:type="dxa"/>
            </w:tcMar>
          </w:tcPr>
          <w:p w14:paraId="45610784"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&lt;EndNote&gt;&lt;Cite&gt;&lt;Author&gt;Berg&lt;/Author&gt;&lt;Year&gt;2010&lt;/Year&gt;&lt;RecNum&gt;102&lt;/RecNum&gt;&lt;DisplayText&gt;(67)&lt;/DisplayText&gt;&lt;record&gt;&lt;rec-number&gt;102&lt;/rec-number&gt;&lt;foreign-keys&gt;&lt;key app="EN" db-id="a2vz2dfp8xrad6exes75zwpiw5rxwa0vwapv" timestamp="0"&gt;102&lt;/key&gt;&lt;/foreign-keys&gt;&lt;ref-type name="Journal Article"&gt;17&lt;/ref-type&gt;&lt;contributors&gt;&lt;authors&gt;&lt;author&gt;Berg, C. J.&lt;/author&gt;&lt;author&gt;Thomas, J. L.&lt;/author&gt;&lt;author&gt;Guo, H.&lt;/author&gt;&lt;author&gt;An, L. C.&lt;/author&gt;&lt;author&gt;Okuyemi, K. S.&lt;/author&gt;&lt;author&gt;Collins, T. C.&lt;/author&gt;&lt;author&gt;Ahluwalia, J. S.&lt;/author&gt;&lt;/authors&gt;&lt;/contributors&gt;&lt;auth-address&gt;Department of Behavioral Sciences and Health Education, Emory University, 1518 Clifton Road NE, Atlanta, GA 30322, USA. carlajberg@gmail.com&lt;/auth-address&gt;&lt;titles&gt;&lt;title&gt;Predictors of smoking reduction among Blacks&lt;/title&gt;&lt;secondary-title&gt;Nicotine Tob Res&lt;/secondary-title&gt;&lt;/titles&gt;&lt;periodical&gt;&lt;full-title&gt;Nicotine Tob Res&lt;/full-title&gt;&lt;/periodical&gt;&lt;pages&gt;423-31&lt;/pages&gt;&lt;volume&gt;12&lt;/volume&gt;&lt;number&gt;4&lt;/number&gt;&lt;keywords&gt;&lt;keyword&gt;African Americans&lt;/keyword&gt;&lt;keyword&gt;Body Mass Index&lt;/keyword&gt;&lt;keyword&gt;Cotinine/blood&lt;/keyword&gt;&lt;keyword&gt;Humans&lt;/keyword&gt;&lt;keyword&gt;Multivariate Analysis&lt;/keyword&gt;&lt;keyword&gt;Placebo Effect&lt;/keyword&gt;&lt;keyword&gt;Smoking/blood/*psychology&lt;/keyword&gt;&lt;keyword&gt;Smoking Cessation/*psychology&lt;/keyword&gt;&lt;keyword&gt;Stress, Psychological/physiopathology&lt;/keyword&gt;&lt;keyword&gt;Surveys and Questionnaires&lt;/keyword&gt;&lt;/keywords&gt;&lt;dates&gt;&lt;year&gt;2010&lt;/year&gt;&lt;pub-dates&gt;&lt;date&gt;Apr&lt;/date&gt;&lt;/pub-dates&gt;&lt;/dates&gt;&lt;isbn&gt;1469-994X (Electronic)&amp;#xD;1462-2203 (Linking)&lt;/isbn&gt;&lt;accession-num&gt;20194521&lt;/accession-num&gt;&lt;urls&gt;&lt;related-urls&gt;&lt;url&gt;http://www.ncbi.nlm.nih.gov/pubmed/20194521&lt;/url&gt;&lt;/related-urls&gt;&lt;/urls&gt;&lt;custom2&gt;PMC2847079&lt;/custom2&gt;&lt;electronic-resource-num&gt;10.1093/ntr/ntq019&lt;/electronic-resource-num&gt;&lt;research-notes&gt;#823&lt;/research-notes&gt;&lt;/record&gt;&lt;/Cite&gt;&lt;/EndNote&gt;</w:instrText>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67" w:tooltip="Berg, 2010 #102" w:history="1">
              <w:r w:rsidRPr="00342AED">
                <w:rPr>
                  <w:rFonts w:asciiTheme="minorHAnsi" w:hAnsiTheme="minorHAnsi" w:cstheme="minorHAnsi"/>
                  <w:noProof/>
                  <w:sz w:val="18"/>
                  <w:szCs w:val="18"/>
                </w:rPr>
                <w:t>67</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366A1CF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Reducer: reduced smoking by ≥50% CPD from baseline to Week 26 but did not quit</w:t>
            </w:r>
            <w:r w:rsidRPr="00191C09">
              <w:rPr>
                <w:rFonts w:asciiTheme="minorHAnsi" w:hAnsiTheme="minorHAnsi" w:cstheme="minorHAnsi"/>
                <w:sz w:val="18"/>
                <w:szCs w:val="18"/>
                <w:u w:val="single"/>
              </w:rPr>
              <w:t xml:space="preserve"> </w:t>
            </w:r>
          </w:p>
          <w:p w14:paraId="1FE6B4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177 (80.8%)</w:t>
            </w:r>
          </w:p>
          <w:p w14:paraId="70AF505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Non-reducer: increased or did not reduce smoking by &gt;50% from baseline to Week 26</w:t>
            </w:r>
          </w:p>
          <w:p w14:paraId="10A998C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187 (83.9%)</w:t>
            </w:r>
          </w:p>
        </w:tc>
        <w:tc>
          <w:tcPr>
            <w:tcW w:w="4140" w:type="dxa"/>
            <w:shd w:val="clear" w:color="auto" w:fill="auto"/>
            <w:tcMar>
              <w:top w:w="62" w:type="dxa"/>
              <w:left w:w="62" w:type="dxa"/>
              <w:bottom w:w="62" w:type="dxa"/>
              <w:right w:w="62" w:type="dxa"/>
            </w:tcMar>
          </w:tcPr>
          <w:p w14:paraId="55570AA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p w14:paraId="07403B8E" w14:textId="77777777" w:rsidR="007F0AE0" w:rsidRPr="00191C09" w:rsidRDefault="007F0AE0" w:rsidP="00453DE3">
            <w:pPr>
              <w:rPr>
                <w:rFonts w:asciiTheme="minorHAnsi" w:hAnsiTheme="minorHAnsi" w:cstheme="minorHAnsi"/>
                <w:sz w:val="18"/>
                <w:szCs w:val="18"/>
                <w:u w:val="single"/>
              </w:rPr>
            </w:pPr>
          </w:p>
        </w:tc>
        <w:tc>
          <w:tcPr>
            <w:tcW w:w="3990" w:type="dxa"/>
            <w:shd w:val="clear" w:color="auto" w:fill="auto"/>
            <w:tcMar>
              <w:top w:w="62" w:type="dxa"/>
              <w:left w:w="62" w:type="dxa"/>
              <w:bottom w:w="62" w:type="dxa"/>
              <w:right w:w="62" w:type="dxa"/>
            </w:tcMar>
          </w:tcPr>
          <w:p w14:paraId="4639615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24-hour quit attempt (Okuyemi, 2007a):</w:t>
            </w:r>
          </w:p>
          <w:p w14:paraId="2259487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In the past year: </w:t>
            </w:r>
          </w:p>
          <w:p w14:paraId="563EA81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3.25 (6.57)</w:t>
            </w:r>
          </w:p>
          <w:p w14:paraId="3CC476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3.07 (6.69)</w:t>
            </w:r>
          </w:p>
          <w:p w14:paraId="57FEBEF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(p=0.78)</w:t>
            </w:r>
          </w:p>
        </w:tc>
      </w:tr>
      <w:tr w:rsidR="007F0AE0" w:rsidRPr="00191C09" w14:paraId="7FD6628F" w14:textId="77777777" w:rsidTr="00453DE3">
        <w:tc>
          <w:tcPr>
            <w:tcW w:w="2335" w:type="dxa"/>
            <w:shd w:val="clear" w:color="auto" w:fill="auto"/>
            <w:tcMar>
              <w:top w:w="62" w:type="dxa"/>
              <w:left w:w="62" w:type="dxa"/>
              <w:bottom w:w="62" w:type="dxa"/>
              <w:right w:w="62" w:type="dxa"/>
            </w:tcMar>
          </w:tcPr>
          <w:p w14:paraId="428451E4"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42" w:tooltip="D'Silva, 2012 #33" w:history="1">
              <w:r>
                <w:rPr>
                  <w:rFonts w:cstheme="minorHAnsi"/>
                  <w:noProof/>
                  <w:color w:val="000000"/>
                  <w:sz w:val="18"/>
                  <w:szCs w:val="18"/>
                </w:rPr>
                <w:t>42</w:t>
              </w:r>
            </w:hyperlink>
            <w:r>
              <w:rPr>
                <w:rFonts w:cstheme="minorHAnsi"/>
                <w:noProof/>
                <w:color w:val="000000"/>
                <w:sz w:val="18"/>
                <w:szCs w:val="18"/>
              </w:rPr>
              <w:t>)</w:t>
            </w:r>
            <w:r w:rsidRPr="00191C09">
              <w:rPr>
                <w:rFonts w:cstheme="minorHAnsi"/>
                <w:color w:val="000000"/>
                <w:sz w:val="18"/>
                <w:szCs w:val="18"/>
              </w:rPr>
              <w:fldChar w:fldCharType="end"/>
            </w:r>
          </w:p>
          <w:p w14:paraId="694675A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4F1BD7F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7A37F75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5018A6B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24-hour abstinence </w:t>
            </w:r>
          </w:p>
          <w:p w14:paraId="5CBF7EE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52.5% (45.4 to 59.5)</w:t>
            </w:r>
          </w:p>
          <w:p w14:paraId="39757E3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55.6% (52.3 to 58.7)</w:t>
            </w:r>
          </w:p>
        </w:tc>
        <w:tc>
          <w:tcPr>
            <w:tcW w:w="3990" w:type="dxa"/>
            <w:shd w:val="clear" w:color="auto" w:fill="auto"/>
            <w:tcMar>
              <w:top w:w="62" w:type="dxa"/>
              <w:left w:w="62" w:type="dxa"/>
              <w:bottom w:w="62" w:type="dxa"/>
              <w:right w:w="62" w:type="dxa"/>
            </w:tcMar>
          </w:tcPr>
          <w:p w14:paraId="6B78440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NR</w:t>
            </w:r>
          </w:p>
        </w:tc>
      </w:tr>
      <w:tr w:rsidR="007F0AE0" w:rsidRPr="00191C09" w14:paraId="01C7EB5C" w14:textId="77777777" w:rsidTr="00453DE3">
        <w:tc>
          <w:tcPr>
            <w:tcW w:w="2335" w:type="dxa"/>
            <w:shd w:val="clear" w:color="auto" w:fill="auto"/>
            <w:tcMar>
              <w:top w:w="62" w:type="dxa"/>
              <w:left w:w="62" w:type="dxa"/>
              <w:bottom w:w="62" w:type="dxa"/>
              <w:right w:w="62" w:type="dxa"/>
            </w:tcMar>
          </w:tcPr>
          <w:p w14:paraId="5E8FF3C5"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18" w:tooltip="Delnevo, 2015 #1" w:history="1">
              <w:r>
                <w:rPr>
                  <w:rFonts w:cstheme="minorHAnsi"/>
                  <w:noProof/>
                  <w:sz w:val="18"/>
                  <w:szCs w:val="18"/>
                </w:rPr>
                <w:t>18</w:t>
              </w:r>
            </w:hyperlink>
            <w:r>
              <w:rPr>
                <w:rFonts w:cstheme="minorHAnsi"/>
                <w:noProof/>
                <w:sz w:val="18"/>
                <w:szCs w:val="18"/>
              </w:rPr>
              <w:t>)</w:t>
            </w:r>
            <w:r w:rsidRPr="00191C09">
              <w:rPr>
                <w:rFonts w:cstheme="minorHAnsi"/>
                <w:sz w:val="18"/>
                <w:szCs w:val="18"/>
              </w:rPr>
              <w:fldChar w:fldCharType="end"/>
            </w:r>
          </w:p>
          <w:p w14:paraId="5387B51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NYAHS</w:t>
            </w:r>
          </w:p>
          <w:p w14:paraId="183B1C1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Young adults</w:t>
            </w:r>
          </w:p>
        </w:tc>
        <w:tc>
          <w:tcPr>
            <w:tcW w:w="2430" w:type="dxa"/>
            <w:tcMar>
              <w:top w:w="62" w:type="dxa"/>
              <w:left w:w="62" w:type="dxa"/>
              <w:bottom w:w="62" w:type="dxa"/>
              <w:right w:w="62" w:type="dxa"/>
            </w:tcMar>
          </w:tcPr>
          <w:p w14:paraId="2EB20F1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Maintained same level</w:t>
            </w:r>
          </w:p>
          <w:p w14:paraId="7FFA235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45.7% (38.0 to 53.6)</w:t>
            </w:r>
          </w:p>
          <w:p w14:paraId="3A2BE5E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52.9% (47.1 to 58.6)</w:t>
            </w:r>
          </w:p>
          <w:p w14:paraId="41209D0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Decreased (from daily to some days)</w:t>
            </w:r>
          </w:p>
          <w:p w14:paraId="1B34C6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5.8% (2.4 to 13.5)</w:t>
            </w:r>
          </w:p>
          <w:p w14:paraId="52B1BAC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4.2% (2.6 to 7.7)</w:t>
            </w:r>
          </w:p>
          <w:p w14:paraId="07566C6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Increased (from some days to daily)</w:t>
            </w:r>
          </w:p>
          <w:p w14:paraId="1989BA0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8.3% (5.2 to 13.1)</w:t>
            </w:r>
          </w:p>
          <w:p w14:paraId="53B1AB9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4.2% (2.7 to 6.5)</w:t>
            </w:r>
          </w:p>
        </w:tc>
        <w:tc>
          <w:tcPr>
            <w:tcW w:w="4140" w:type="dxa"/>
            <w:shd w:val="clear" w:color="auto" w:fill="auto"/>
            <w:tcMar>
              <w:top w:w="62" w:type="dxa"/>
              <w:left w:w="62" w:type="dxa"/>
              <w:bottom w:w="62" w:type="dxa"/>
              <w:right w:w="62" w:type="dxa"/>
            </w:tcMar>
          </w:tcPr>
          <w:p w14:paraId="62111AB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453AF4A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FF2EDEA" w14:textId="77777777" w:rsidTr="00453DE3">
        <w:tc>
          <w:tcPr>
            <w:tcW w:w="2335" w:type="dxa"/>
            <w:shd w:val="clear" w:color="auto" w:fill="auto"/>
            <w:tcMar>
              <w:top w:w="62" w:type="dxa"/>
              <w:left w:w="62" w:type="dxa"/>
              <w:bottom w:w="62" w:type="dxa"/>
              <w:right w:w="62" w:type="dxa"/>
            </w:tcMar>
          </w:tcPr>
          <w:p w14:paraId="6D9CC93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12" w:tooltip="Fagan, 2010 #56" w:history="1">
              <w:r>
                <w:rPr>
                  <w:rFonts w:cstheme="minorHAnsi"/>
                  <w:noProof/>
                  <w:color w:val="000000"/>
                  <w:sz w:val="18"/>
                  <w:szCs w:val="18"/>
                </w:rPr>
                <w:t>12</w:t>
              </w:r>
            </w:hyperlink>
            <w:r>
              <w:rPr>
                <w:rFonts w:cstheme="minorHAnsi"/>
                <w:noProof/>
                <w:color w:val="000000"/>
                <w:sz w:val="18"/>
                <w:szCs w:val="18"/>
              </w:rPr>
              <w:t>)</w:t>
            </w:r>
            <w:r w:rsidRPr="00191C09">
              <w:rPr>
                <w:rFonts w:cstheme="minorHAnsi"/>
                <w:color w:val="000000"/>
                <w:sz w:val="18"/>
                <w:szCs w:val="18"/>
              </w:rPr>
              <w:fldChar w:fldCharType="end"/>
            </w:r>
          </w:p>
          <w:p w14:paraId="32E1186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00731AB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5AD3ACE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059CE1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"How many times during the past 12 months have you stopped smoking for 1 day or longer because you were trying to quit smoking?"</w:t>
            </w:r>
          </w:p>
          <w:p w14:paraId="6E7196F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least one attempt</w:t>
            </w:r>
          </w:p>
          <w:p w14:paraId="16B88DB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33.8%</w:t>
            </w:r>
          </w:p>
          <w:p w14:paraId="412284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31.9%</w:t>
            </w:r>
          </w:p>
        </w:tc>
        <w:tc>
          <w:tcPr>
            <w:tcW w:w="3990" w:type="dxa"/>
            <w:shd w:val="clear" w:color="auto" w:fill="auto"/>
            <w:tcMar>
              <w:top w:w="62" w:type="dxa"/>
              <w:left w:w="62" w:type="dxa"/>
              <w:bottom w:w="62" w:type="dxa"/>
              <w:right w:w="62" w:type="dxa"/>
            </w:tcMar>
          </w:tcPr>
          <w:p w14:paraId="6453FADA"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1-3 Attempts</w:t>
            </w:r>
          </w:p>
          <w:p w14:paraId="04CB787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25.9%</w:t>
            </w:r>
          </w:p>
          <w:p w14:paraId="0CD8CC4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24.9%</w:t>
            </w:r>
          </w:p>
          <w:p w14:paraId="7421032C"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≥4 Attempts</w:t>
            </w:r>
          </w:p>
          <w:p w14:paraId="3183B13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7.9%</w:t>
            </w:r>
          </w:p>
          <w:p w14:paraId="243232C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7.1%</w:t>
            </w:r>
          </w:p>
          <w:p w14:paraId="34D2745A"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Geometric mean </w:t>
            </w:r>
          </w:p>
          <w:p w14:paraId="08C670C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M: 2.23 (2.16 to 2.30) </w:t>
            </w:r>
          </w:p>
          <w:p w14:paraId="3FE1FC4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2.14 (2.10 to 2.18)</w:t>
            </w:r>
          </w:p>
          <w:p w14:paraId="5B9721A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(p&lt;0.05)</w:t>
            </w:r>
          </w:p>
        </w:tc>
      </w:tr>
      <w:tr w:rsidR="007F0AE0" w:rsidRPr="00191C09" w14:paraId="131BF050" w14:textId="77777777" w:rsidTr="00453DE3">
        <w:tc>
          <w:tcPr>
            <w:tcW w:w="2335" w:type="dxa"/>
            <w:shd w:val="clear" w:color="auto" w:fill="auto"/>
            <w:tcMar>
              <w:top w:w="62" w:type="dxa"/>
              <w:left w:w="62" w:type="dxa"/>
              <w:bottom w:w="62" w:type="dxa"/>
              <w:right w:w="62" w:type="dxa"/>
            </w:tcMar>
          </w:tcPr>
          <w:p w14:paraId="359E1994"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25" w:tooltip="Fagan, 2015 #5" w:history="1">
              <w:r>
                <w:rPr>
                  <w:rFonts w:cstheme="minorHAnsi"/>
                  <w:noProof/>
                  <w:sz w:val="18"/>
                  <w:szCs w:val="18"/>
                </w:rPr>
                <w:t>25</w:t>
              </w:r>
            </w:hyperlink>
            <w:r>
              <w:rPr>
                <w:rFonts w:cstheme="minorHAnsi"/>
                <w:noProof/>
                <w:sz w:val="18"/>
                <w:szCs w:val="18"/>
              </w:rPr>
              <w:t>)</w:t>
            </w:r>
            <w:r>
              <w:rPr>
                <w:rFonts w:cstheme="minorHAnsi"/>
                <w:sz w:val="18"/>
                <w:szCs w:val="18"/>
              </w:rPr>
              <w:fldChar w:fldCharType="end"/>
            </w:r>
          </w:p>
          <w:p w14:paraId="0D48080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1F67BB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Young adults</w:t>
            </w:r>
          </w:p>
          <w:p w14:paraId="6992B1A3" w14:textId="77777777" w:rsidR="007F0AE0" w:rsidRPr="00191C09" w:rsidRDefault="007F0AE0" w:rsidP="00453DE3">
            <w:pPr>
              <w:rPr>
                <w:rFonts w:asciiTheme="minorHAnsi" w:hAnsiTheme="minorHAnsi" w:cstheme="minorHAnsi"/>
                <w:sz w:val="18"/>
                <w:szCs w:val="18"/>
              </w:rPr>
            </w:pPr>
          </w:p>
        </w:tc>
        <w:tc>
          <w:tcPr>
            <w:tcW w:w="2430" w:type="dxa"/>
            <w:tcMar>
              <w:top w:w="62" w:type="dxa"/>
              <w:left w:w="62" w:type="dxa"/>
              <w:bottom w:w="62" w:type="dxa"/>
              <w:right w:w="62" w:type="dxa"/>
            </w:tcMar>
          </w:tcPr>
          <w:p w14:paraId="3BB5BAD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45CEABC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 the past 12 months, have you stopped smoking for 1 day or longer because you were trying to quit?”</w:t>
            </w:r>
          </w:p>
          <w:p w14:paraId="24A0653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least one attempt</w:t>
            </w:r>
          </w:p>
          <w:p w14:paraId="385858E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43.3%</w:t>
            </w:r>
          </w:p>
          <w:p w14:paraId="3057994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40.7%</w:t>
            </w:r>
          </w:p>
          <w:p w14:paraId="2B9FAF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p=0.74</w:t>
            </w:r>
          </w:p>
        </w:tc>
        <w:tc>
          <w:tcPr>
            <w:tcW w:w="3990" w:type="dxa"/>
            <w:shd w:val="clear" w:color="auto" w:fill="auto"/>
            <w:tcMar>
              <w:top w:w="62" w:type="dxa"/>
              <w:left w:w="62" w:type="dxa"/>
              <w:bottom w:w="62" w:type="dxa"/>
              <w:right w:w="62" w:type="dxa"/>
            </w:tcMar>
          </w:tcPr>
          <w:p w14:paraId="281CADA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1 Attempt</w:t>
            </w:r>
          </w:p>
          <w:p w14:paraId="6F3D8AB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7.1%</w:t>
            </w:r>
          </w:p>
          <w:p w14:paraId="26FFAC8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18.6%</w:t>
            </w:r>
          </w:p>
          <w:p w14:paraId="3989ADDA" w14:textId="77777777" w:rsidR="007F0AE0" w:rsidRPr="00191C09" w:rsidRDefault="007F0AE0" w:rsidP="00453DE3">
            <w:pPr>
              <w:tabs>
                <w:tab w:val="center" w:pos="972"/>
              </w:tabs>
              <w:rPr>
                <w:rFonts w:asciiTheme="minorHAnsi" w:hAnsiTheme="minorHAnsi" w:cstheme="minorHAnsi"/>
                <w:i/>
                <w:sz w:val="18"/>
                <w:szCs w:val="18"/>
              </w:rPr>
            </w:pPr>
            <w:r w:rsidRPr="00191C09">
              <w:rPr>
                <w:rFonts w:asciiTheme="minorHAnsi" w:hAnsiTheme="minorHAnsi" w:cstheme="minorHAnsi"/>
                <w:sz w:val="18"/>
                <w:szCs w:val="18"/>
                <w:u w:val="single"/>
              </w:rPr>
              <w:t>2-3 Attempts</w:t>
            </w:r>
            <w:r w:rsidRPr="00191C09">
              <w:rPr>
                <w:rFonts w:asciiTheme="minorHAnsi" w:hAnsiTheme="minorHAnsi" w:cstheme="minorHAnsi"/>
                <w:i/>
                <w:sz w:val="18"/>
                <w:szCs w:val="18"/>
              </w:rPr>
              <w:tab/>
            </w:r>
          </w:p>
          <w:p w14:paraId="71DF47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25.2%</w:t>
            </w:r>
          </w:p>
          <w:p w14:paraId="1DCBD79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16.9%</w:t>
            </w:r>
          </w:p>
          <w:p w14:paraId="301B59B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≥4 Attempts</w:t>
            </w:r>
          </w:p>
          <w:p w14:paraId="244D4D0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11.0%</w:t>
            </w:r>
          </w:p>
          <w:p w14:paraId="449091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5.1%</w:t>
            </w:r>
          </w:p>
          <w:p w14:paraId="792ECA8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(Overall measure p=0.05)</w:t>
            </w:r>
          </w:p>
        </w:tc>
      </w:tr>
      <w:tr w:rsidR="007F0AE0" w:rsidRPr="00191C09" w14:paraId="7BF7F0F9" w14:textId="77777777" w:rsidTr="00453DE3">
        <w:tc>
          <w:tcPr>
            <w:tcW w:w="2335" w:type="dxa"/>
            <w:shd w:val="clear" w:color="auto" w:fill="auto"/>
            <w:tcMar>
              <w:top w:w="62" w:type="dxa"/>
              <w:left w:w="62" w:type="dxa"/>
              <w:bottom w:w="62" w:type="dxa"/>
              <w:right w:w="62" w:type="dxa"/>
            </w:tcMar>
          </w:tcPr>
          <w:p w14:paraId="31DEF61E" w14:textId="77777777" w:rsidR="007F0AE0" w:rsidRPr="00191C09" w:rsidRDefault="007F0AE0" w:rsidP="00453DE3">
            <w:pPr>
              <w:rPr>
                <w:rFonts w:asciiTheme="minorHAnsi" w:hAnsiTheme="minorHAnsi" w:cstheme="minorHAnsi"/>
                <w:color w:val="000000"/>
                <w:sz w:val="18"/>
                <w:szCs w:val="18"/>
              </w:rPr>
            </w:pPr>
            <w:r>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26" w:tooltip="Faseru, 2011 #40" w:history="1">
              <w:r>
                <w:rPr>
                  <w:rFonts w:cstheme="minorHAnsi"/>
                  <w:noProof/>
                  <w:color w:val="000000"/>
                  <w:sz w:val="18"/>
                  <w:szCs w:val="18"/>
                </w:rPr>
                <w:t>26</w:t>
              </w:r>
            </w:hyperlink>
            <w:r>
              <w:rPr>
                <w:rFonts w:cstheme="minorHAnsi"/>
                <w:noProof/>
                <w:color w:val="000000"/>
                <w:sz w:val="18"/>
                <w:szCs w:val="18"/>
              </w:rPr>
              <w:t xml:space="preserve">, </w:t>
            </w:r>
            <w:hyperlink w:anchor="_ENREF_27" w:tooltip="Faseru, 2013 #29" w:history="1">
              <w:r>
                <w:rPr>
                  <w:rFonts w:cstheme="minorHAnsi"/>
                  <w:noProof/>
                  <w:color w:val="000000"/>
                  <w:sz w:val="18"/>
                  <w:szCs w:val="18"/>
                </w:rPr>
                <w:t>27</w:t>
              </w:r>
            </w:hyperlink>
            <w:r>
              <w:rPr>
                <w:rFonts w:cstheme="minorHAnsi"/>
                <w:noProof/>
                <w:color w:val="000000"/>
                <w:sz w:val="18"/>
                <w:szCs w:val="18"/>
              </w:rPr>
              <w:t>)</w:t>
            </w:r>
            <w:r>
              <w:rPr>
                <w:rFonts w:cstheme="minorHAnsi"/>
                <w:color w:val="000000"/>
                <w:sz w:val="18"/>
                <w:szCs w:val="18"/>
              </w:rPr>
              <w:fldChar w:fldCharType="end"/>
            </w:r>
          </w:p>
          <w:p w14:paraId="5194BA8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1C5DBB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Black light smokers (&lt;10 CPD)</w:t>
            </w:r>
          </w:p>
        </w:tc>
        <w:tc>
          <w:tcPr>
            <w:tcW w:w="2430" w:type="dxa"/>
            <w:tcMar>
              <w:top w:w="62" w:type="dxa"/>
              <w:left w:w="62" w:type="dxa"/>
              <w:bottom w:w="62" w:type="dxa"/>
              <w:right w:w="62" w:type="dxa"/>
            </w:tcMar>
          </w:tcPr>
          <w:p w14:paraId="2E8BA8B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3ED36FA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506E71D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≥24 hours without smoking at baseline (Faseru, 2011)</w:t>
            </w:r>
          </w:p>
          <w:p w14:paraId="3811423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3.8 (8.2)</w:t>
            </w:r>
          </w:p>
          <w:p w14:paraId="0925B89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3.0 (4.2)</w:t>
            </w:r>
          </w:p>
          <w:p w14:paraId="0726F0F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(p=0.3795)</w:t>
            </w:r>
          </w:p>
        </w:tc>
      </w:tr>
      <w:tr w:rsidR="007F0AE0" w:rsidRPr="00191C09" w14:paraId="2623C2B0" w14:textId="77777777" w:rsidTr="00453DE3">
        <w:tc>
          <w:tcPr>
            <w:tcW w:w="2335" w:type="dxa"/>
            <w:shd w:val="clear" w:color="auto" w:fill="auto"/>
            <w:tcMar>
              <w:top w:w="62" w:type="dxa"/>
              <w:left w:w="62" w:type="dxa"/>
              <w:bottom w:w="62" w:type="dxa"/>
              <w:right w:w="62" w:type="dxa"/>
            </w:tcMar>
          </w:tcPr>
          <w:p w14:paraId="71E48334"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3" w:tooltip="Fu, 2008 #72" w:history="1">
              <w:r>
                <w:rPr>
                  <w:rFonts w:cstheme="minorHAnsi"/>
                  <w:noProof/>
                  <w:color w:val="000000"/>
                  <w:sz w:val="18"/>
                  <w:szCs w:val="18"/>
                </w:rPr>
                <w:t>23</w:t>
              </w:r>
            </w:hyperlink>
            <w:r>
              <w:rPr>
                <w:rFonts w:cstheme="minorHAnsi"/>
                <w:noProof/>
                <w:color w:val="000000"/>
                <w:sz w:val="18"/>
                <w:szCs w:val="18"/>
              </w:rPr>
              <w:t>)</w:t>
            </w:r>
            <w:r w:rsidRPr="00191C09">
              <w:rPr>
                <w:rFonts w:cstheme="minorHAnsi"/>
                <w:color w:val="000000"/>
                <w:sz w:val="18"/>
                <w:szCs w:val="18"/>
              </w:rPr>
              <w:fldChar w:fldCharType="end"/>
            </w:r>
          </w:p>
          <w:p w14:paraId="668A60B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5AE46C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VA patients</w:t>
            </w:r>
          </w:p>
        </w:tc>
        <w:tc>
          <w:tcPr>
            <w:tcW w:w="2430" w:type="dxa"/>
            <w:tcMar>
              <w:top w:w="62" w:type="dxa"/>
              <w:left w:w="62" w:type="dxa"/>
              <w:bottom w:w="62" w:type="dxa"/>
              <w:right w:w="62" w:type="dxa"/>
            </w:tcMar>
          </w:tcPr>
          <w:p w14:paraId="69DEB78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2034AC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1FC337DB"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Number of additional (total) 24-hour quit attempts in past 12 months:</w:t>
            </w:r>
          </w:p>
          <w:p w14:paraId="1F428847"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None or 1 (1 or 2):</w:t>
            </w:r>
          </w:p>
          <w:p w14:paraId="5672DCB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41%</w:t>
            </w:r>
          </w:p>
          <w:p w14:paraId="0F8A38E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44%</w:t>
            </w:r>
          </w:p>
          <w:p w14:paraId="44B63A15"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2 (3) or more:</w:t>
            </w:r>
          </w:p>
          <w:p w14:paraId="1DDEFFA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59%</w:t>
            </w:r>
          </w:p>
          <w:p w14:paraId="0F01D90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56%</w:t>
            </w:r>
          </w:p>
          <w:p w14:paraId="54F06A1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(p=0.332)</w:t>
            </w:r>
          </w:p>
        </w:tc>
      </w:tr>
      <w:tr w:rsidR="007F0AE0" w:rsidRPr="00191C09" w14:paraId="20642E0B" w14:textId="77777777" w:rsidTr="00453DE3">
        <w:tc>
          <w:tcPr>
            <w:tcW w:w="2335" w:type="dxa"/>
            <w:shd w:val="clear" w:color="auto" w:fill="auto"/>
            <w:tcMar>
              <w:top w:w="62" w:type="dxa"/>
              <w:left w:w="62" w:type="dxa"/>
              <w:bottom w:w="62" w:type="dxa"/>
              <w:right w:w="62" w:type="dxa"/>
            </w:tcMar>
          </w:tcPr>
          <w:p w14:paraId="44F09FD8"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7" w:tooltip="Gandhi, 2009 #67" w:history="1">
              <w:r>
                <w:rPr>
                  <w:rFonts w:cstheme="minorHAnsi"/>
                  <w:noProof/>
                  <w:color w:val="000000"/>
                  <w:sz w:val="18"/>
                  <w:szCs w:val="18"/>
                </w:rPr>
                <w:t>47</w:t>
              </w:r>
            </w:hyperlink>
            <w:r>
              <w:rPr>
                <w:rFonts w:cstheme="minorHAnsi"/>
                <w:noProof/>
                <w:color w:val="000000"/>
                <w:sz w:val="18"/>
                <w:szCs w:val="18"/>
              </w:rPr>
              <w:t>)</w:t>
            </w:r>
            <w:r w:rsidRPr="00191C09">
              <w:rPr>
                <w:rFonts w:cstheme="minorHAnsi"/>
                <w:color w:val="000000"/>
                <w:sz w:val="18"/>
                <w:szCs w:val="18"/>
              </w:rPr>
              <w:fldChar w:fldCharType="end"/>
            </w:r>
          </w:p>
          <w:p w14:paraId="5E310D5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None</w:t>
            </w:r>
          </w:p>
          <w:p w14:paraId="1ADA983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4F0DE08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140" w:type="dxa"/>
            <w:shd w:val="clear" w:color="auto" w:fill="auto"/>
            <w:tcMar>
              <w:top w:w="62" w:type="dxa"/>
              <w:left w:w="62" w:type="dxa"/>
              <w:bottom w:w="62" w:type="dxa"/>
              <w:right w:w="62" w:type="dxa"/>
            </w:tcMar>
          </w:tcPr>
          <w:p w14:paraId="626C5D0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Definition of an attempt NR</w:t>
            </w:r>
          </w:p>
          <w:p w14:paraId="7239031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lastRenderedPageBreak/>
              <w:t>At least 1 attempt:</w:t>
            </w:r>
          </w:p>
          <w:p w14:paraId="10399D9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89.4%</w:t>
            </w:r>
          </w:p>
          <w:p w14:paraId="0D5FA84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91.6%</w:t>
            </w:r>
          </w:p>
        </w:tc>
        <w:tc>
          <w:tcPr>
            <w:tcW w:w="3990" w:type="dxa"/>
            <w:shd w:val="clear" w:color="auto" w:fill="auto"/>
            <w:tcMar>
              <w:top w:w="62" w:type="dxa"/>
              <w:left w:w="62" w:type="dxa"/>
              <w:bottom w:w="62" w:type="dxa"/>
              <w:right w:w="62" w:type="dxa"/>
            </w:tcMar>
          </w:tcPr>
          <w:p w14:paraId="29C6D63A"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sz w:val="18"/>
                <w:szCs w:val="18"/>
              </w:rPr>
              <w:lastRenderedPageBreak/>
              <w:t>Definition of an attempt NR</w:t>
            </w:r>
          </w:p>
          <w:p w14:paraId="4C153846"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lastRenderedPageBreak/>
              <w:t>1-5 attempts</w:t>
            </w:r>
          </w:p>
          <w:p w14:paraId="651CC10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70.2%</w:t>
            </w:r>
          </w:p>
          <w:p w14:paraId="1B25FD1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66.8%</w:t>
            </w:r>
          </w:p>
          <w:p w14:paraId="1B6B2324"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6-20 attempts</w:t>
            </w:r>
          </w:p>
          <w:p w14:paraId="782FD00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17.5%</w:t>
            </w:r>
          </w:p>
          <w:p w14:paraId="5D4B8B7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21.1%</w:t>
            </w:r>
          </w:p>
          <w:p w14:paraId="3632D4B6"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&gt;20 attempts</w:t>
            </w:r>
          </w:p>
          <w:p w14:paraId="57171A9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1.7%</w:t>
            </w:r>
          </w:p>
          <w:p w14:paraId="2C63EFD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3.7%</w:t>
            </w:r>
          </w:p>
          <w:p w14:paraId="10F4F4E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(Overall measure p=0.01)</w:t>
            </w:r>
          </w:p>
        </w:tc>
      </w:tr>
      <w:tr w:rsidR="007F0AE0" w:rsidRPr="00191C09" w14:paraId="0FB1CD91" w14:textId="77777777" w:rsidTr="00453DE3">
        <w:tc>
          <w:tcPr>
            <w:tcW w:w="2335" w:type="dxa"/>
            <w:shd w:val="clear" w:color="auto" w:fill="auto"/>
            <w:tcMar>
              <w:top w:w="62" w:type="dxa"/>
              <w:left w:w="62" w:type="dxa"/>
              <w:bottom w:w="62" w:type="dxa"/>
              <w:right w:w="62" w:type="dxa"/>
            </w:tcMar>
          </w:tcPr>
          <w:p w14:paraId="3E471398" w14:textId="77777777" w:rsidR="007F0AE0" w:rsidRPr="00191C09" w:rsidRDefault="007F0AE0" w:rsidP="00453DE3">
            <w:pPr>
              <w:rPr>
                <w:rFonts w:asciiTheme="minorHAnsi" w:hAnsiTheme="minorHAnsi" w:cstheme="minorHAnsi"/>
                <w:sz w:val="18"/>
                <w:szCs w:val="18"/>
              </w:rPr>
            </w:pPr>
            <w:r>
              <w:rPr>
                <w:rFonts w:cstheme="minorHAnsi"/>
                <w:sz w:val="18"/>
                <w:szCs w:val="18"/>
              </w:rPr>
              <w:lastRenderedPageBreak/>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28" w:tooltip="Gubner, 2018 #601" w:history="1">
              <w:r>
                <w:rPr>
                  <w:rFonts w:cstheme="minorHAnsi"/>
                  <w:noProof/>
                  <w:sz w:val="18"/>
                  <w:szCs w:val="18"/>
                </w:rPr>
                <w:t>28</w:t>
              </w:r>
            </w:hyperlink>
            <w:r>
              <w:rPr>
                <w:rFonts w:cstheme="minorHAnsi"/>
                <w:noProof/>
                <w:sz w:val="18"/>
                <w:szCs w:val="18"/>
              </w:rPr>
              <w:t>)</w:t>
            </w:r>
            <w:r>
              <w:rPr>
                <w:rFonts w:cstheme="minorHAnsi"/>
                <w:sz w:val="18"/>
                <w:szCs w:val="18"/>
              </w:rPr>
              <w:fldChar w:fldCharType="end"/>
            </w:r>
          </w:p>
          <w:p w14:paraId="47C77F8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4B73C7D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Individuals with substance use disorders</w:t>
            </w:r>
          </w:p>
        </w:tc>
        <w:tc>
          <w:tcPr>
            <w:tcW w:w="2430" w:type="dxa"/>
            <w:tcMar>
              <w:top w:w="62" w:type="dxa"/>
              <w:left w:w="62" w:type="dxa"/>
              <w:bottom w:w="62" w:type="dxa"/>
              <w:right w:w="62" w:type="dxa"/>
            </w:tcMar>
          </w:tcPr>
          <w:p w14:paraId="33C74C1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Lower CPD reported in menthol (12.7±8.4) versus non-menthol (14.2±8.6) smokers (p=0.008)</w:t>
            </w:r>
          </w:p>
          <w:p w14:paraId="7FBFE4C6" w14:textId="77777777" w:rsidR="007F0AE0" w:rsidRPr="00191C09" w:rsidRDefault="007F0AE0" w:rsidP="00453DE3">
            <w:pPr>
              <w:rPr>
                <w:rFonts w:asciiTheme="minorHAnsi" w:hAnsiTheme="minorHAnsi" w:cstheme="minorHAnsi"/>
                <w:sz w:val="18"/>
                <w:szCs w:val="18"/>
              </w:rPr>
            </w:pPr>
          </w:p>
          <w:p w14:paraId="7FB883E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 difference in the number of smoking days per week between M (6.5±1.3) and NM (6.6±1.2) smokers (p=0.13)</w:t>
            </w:r>
          </w:p>
        </w:tc>
        <w:tc>
          <w:tcPr>
            <w:tcW w:w="4140" w:type="dxa"/>
            <w:shd w:val="clear" w:color="auto" w:fill="auto"/>
            <w:tcMar>
              <w:top w:w="62" w:type="dxa"/>
              <w:left w:w="62" w:type="dxa"/>
              <w:bottom w:w="62" w:type="dxa"/>
              <w:right w:w="62" w:type="dxa"/>
            </w:tcMar>
          </w:tcPr>
          <w:p w14:paraId="64A823A1" w14:textId="77777777" w:rsidR="007F0AE0" w:rsidRPr="00191C09" w:rsidRDefault="007F0AE0" w:rsidP="00453DE3">
            <w:pPr>
              <w:rPr>
                <w:rFonts w:asciiTheme="minorHAnsi" w:hAnsiTheme="minorHAnsi" w:cstheme="minorHAnsi"/>
                <w:sz w:val="18"/>
                <w:szCs w:val="18"/>
                <w:u w:val="single"/>
              </w:rPr>
            </w:pPr>
            <w:r w:rsidRPr="00E974A5">
              <w:rPr>
                <w:rFonts w:asciiTheme="minorHAnsi" w:hAnsiTheme="minorHAnsi" w:cstheme="minorHAnsi"/>
                <w:sz w:val="18"/>
                <w:szCs w:val="18"/>
                <w:u w:val="single"/>
              </w:rPr>
              <w:t>Past-</w:t>
            </w:r>
            <w:r w:rsidRPr="00191C09">
              <w:rPr>
                <w:rFonts w:asciiTheme="minorHAnsi" w:hAnsiTheme="minorHAnsi" w:cstheme="minorHAnsi"/>
                <w:sz w:val="18"/>
                <w:szCs w:val="18"/>
                <w:u w:val="single"/>
              </w:rPr>
              <w:t>year quit attempt:</w:t>
            </w:r>
          </w:p>
          <w:p w14:paraId="216BD0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47.8%</w:t>
            </w:r>
          </w:p>
          <w:p w14:paraId="4019402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44.4%</w:t>
            </w:r>
          </w:p>
          <w:p w14:paraId="23BF630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(p=0.32)</w:t>
            </w:r>
          </w:p>
        </w:tc>
        <w:tc>
          <w:tcPr>
            <w:tcW w:w="3990" w:type="dxa"/>
            <w:shd w:val="clear" w:color="auto" w:fill="auto"/>
            <w:tcMar>
              <w:top w:w="62" w:type="dxa"/>
              <w:left w:w="62" w:type="dxa"/>
              <w:bottom w:w="62" w:type="dxa"/>
              <w:right w:w="62" w:type="dxa"/>
            </w:tcMar>
          </w:tcPr>
          <w:p w14:paraId="0045C56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9B8C436" w14:textId="77777777" w:rsidTr="00453DE3">
        <w:tc>
          <w:tcPr>
            <w:tcW w:w="2335" w:type="dxa"/>
            <w:shd w:val="clear" w:color="auto" w:fill="auto"/>
            <w:tcMar>
              <w:top w:w="62" w:type="dxa"/>
              <w:left w:w="62" w:type="dxa"/>
              <w:bottom w:w="62" w:type="dxa"/>
              <w:right w:w="62" w:type="dxa"/>
            </w:tcMar>
          </w:tcPr>
          <w:p w14:paraId="3327F76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&lt;EndNote&gt;&lt;Cite&gt;&lt;Author&gt;Hersey&lt;/Author&gt;&lt;Year&gt;2006&lt;/Year&gt;&lt;RecNum&gt;80&lt;/RecNum&gt;&lt;DisplayText&gt;(44)&lt;/DisplayText&gt;&lt;record&gt;&lt;rec-number&gt;80&lt;/rec-number&gt;&lt;foreign-keys&gt;&lt;key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4" w:tooltip="Hersey, 2006 #80" w:history="1">
              <w:r>
                <w:rPr>
                  <w:rFonts w:cstheme="minorHAnsi"/>
                  <w:noProof/>
                  <w:color w:val="000000"/>
                  <w:sz w:val="18"/>
                  <w:szCs w:val="18"/>
                </w:rPr>
                <w:t>44</w:t>
              </w:r>
            </w:hyperlink>
            <w:r>
              <w:rPr>
                <w:rFonts w:cstheme="minorHAnsi"/>
                <w:noProof/>
                <w:color w:val="000000"/>
                <w:sz w:val="18"/>
                <w:szCs w:val="18"/>
              </w:rPr>
              <w:t>)</w:t>
            </w:r>
            <w:r w:rsidRPr="00191C09">
              <w:rPr>
                <w:rFonts w:cstheme="minorHAnsi"/>
                <w:color w:val="000000"/>
                <w:sz w:val="18"/>
                <w:szCs w:val="18"/>
              </w:rPr>
              <w:fldChar w:fldCharType="end"/>
            </w:r>
          </w:p>
          <w:p w14:paraId="1F4B672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NYTS</w:t>
            </w:r>
          </w:p>
          <w:p w14:paraId="2AC0C6F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Youth in grades 6-12</w:t>
            </w:r>
          </w:p>
        </w:tc>
        <w:tc>
          <w:tcPr>
            <w:tcW w:w="2430" w:type="dxa"/>
            <w:tcMar>
              <w:top w:w="62" w:type="dxa"/>
              <w:left w:w="62" w:type="dxa"/>
              <w:bottom w:w="62" w:type="dxa"/>
              <w:right w:w="62" w:type="dxa"/>
            </w:tcMar>
          </w:tcPr>
          <w:p w14:paraId="409EBBD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2499F2F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using cessation programs</w:t>
            </w:r>
          </w:p>
          <w:p w14:paraId="410AB3D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School programs</w:t>
            </w:r>
          </w:p>
          <w:p w14:paraId="52A2FFB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7.8%</w:t>
            </w:r>
          </w:p>
          <w:p w14:paraId="52393F4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5.1%</w:t>
            </w:r>
          </w:p>
          <w:p w14:paraId="793CCC1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Community programs</w:t>
            </w:r>
          </w:p>
          <w:p w14:paraId="2C6FB8D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3.9%</w:t>
            </w:r>
          </w:p>
          <w:p w14:paraId="551332C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1.4%</w:t>
            </w:r>
          </w:p>
          <w:p w14:paraId="5C8FBCE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Helpline</w:t>
            </w:r>
          </w:p>
          <w:p w14:paraId="114DF39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2.7%</w:t>
            </w:r>
          </w:p>
          <w:p w14:paraId="7687626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1.4%</w:t>
            </w:r>
          </w:p>
          <w:p w14:paraId="42D765E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Nicotine gum</w:t>
            </w:r>
          </w:p>
          <w:p w14:paraId="5C6E4B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9.7%</w:t>
            </w:r>
          </w:p>
          <w:p w14:paraId="0E46F6E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7.0%</w:t>
            </w:r>
          </w:p>
          <w:p w14:paraId="537A076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Nicotine patch </w:t>
            </w:r>
          </w:p>
          <w:p w14:paraId="0B7AE95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5.7%</w:t>
            </w:r>
          </w:p>
          <w:p w14:paraId="055575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5.2%</w:t>
            </w:r>
          </w:p>
          <w:p w14:paraId="3A8229F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Internet quit site</w:t>
            </w:r>
          </w:p>
          <w:p w14:paraId="2E90F9D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M: 4.9%</w:t>
            </w:r>
          </w:p>
          <w:p w14:paraId="0ACE8D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3.2%</w:t>
            </w:r>
          </w:p>
          <w:p w14:paraId="310E5ED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(p&lt;0.05 for all except for nicotine patch)</w:t>
            </w:r>
          </w:p>
        </w:tc>
        <w:tc>
          <w:tcPr>
            <w:tcW w:w="3990" w:type="dxa"/>
            <w:shd w:val="clear" w:color="auto" w:fill="auto"/>
            <w:tcMar>
              <w:top w:w="62" w:type="dxa"/>
              <w:left w:w="62" w:type="dxa"/>
              <w:bottom w:w="62" w:type="dxa"/>
              <w:right w:w="62" w:type="dxa"/>
            </w:tcMar>
          </w:tcPr>
          <w:p w14:paraId="0F584E1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NR</w:t>
            </w:r>
          </w:p>
        </w:tc>
      </w:tr>
      <w:tr w:rsidR="007F0AE0" w:rsidRPr="00191C09" w14:paraId="249453A9" w14:textId="77777777" w:rsidTr="00453DE3">
        <w:tc>
          <w:tcPr>
            <w:tcW w:w="2335" w:type="dxa"/>
            <w:shd w:val="clear" w:color="auto" w:fill="auto"/>
            <w:tcMar>
              <w:top w:w="62" w:type="dxa"/>
              <w:left w:w="62" w:type="dxa"/>
              <w:bottom w:w="62" w:type="dxa"/>
              <w:right w:w="62" w:type="dxa"/>
            </w:tcMar>
          </w:tcPr>
          <w:p w14:paraId="504C2F1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6" w:tooltip="Hyland, 2010 #100" w:history="1">
              <w:r>
                <w:rPr>
                  <w:rFonts w:cstheme="minorHAnsi"/>
                  <w:noProof/>
                  <w:color w:val="000000"/>
                  <w:sz w:val="18"/>
                  <w:szCs w:val="18"/>
                </w:rPr>
                <w:t>46</w:t>
              </w:r>
            </w:hyperlink>
            <w:r>
              <w:rPr>
                <w:rFonts w:cstheme="minorHAnsi"/>
                <w:noProof/>
                <w:color w:val="000000"/>
                <w:sz w:val="18"/>
                <w:szCs w:val="18"/>
              </w:rPr>
              <w:t xml:space="preserve">, </w:t>
            </w:r>
            <w:hyperlink w:anchor="_ENREF_50" w:tooltip="Hyland, 2002 #87" w:history="1">
              <w:r>
                <w:rPr>
                  <w:rFonts w:cstheme="minorHAnsi"/>
                  <w:noProof/>
                  <w:color w:val="000000"/>
                  <w:sz w:val="18"/>
                  <w:szCs w:val="18"/>
                </w:rPr>
                <w:t>50</w:t>
              </w:r>
            </w:hyperlink>
            <w:r>
              <w:rPr>
                <w:rFonts w:cstheme="minorHAnsi"/>
                <w:noProof/>
                <w:color w:val="000000"/>
                <w:sz w:val="18"/>
                <w:szCs w:val="18"/>
              </w:rPr>
              <w:t>)</w:t>
            </w:r>
            <w:r w:rsidRPr="00191C09">
              <w:rPr>
                <w:rFonts w:cstheme="minorHAnsi"/>
                <w:color w:val="000000"/>
                <w:sz w:val="18"/>
                <w:szCs w:val="18"/>
              </w:rPr>
              <w:fldChar w:fldCharType="end"/>
            </w:r>
          </w:p>
          <w:p w14:paraId="15B89A7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60BB2A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69D0C90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Rates of decreasing CPD by exclusively M/NM smokers 1988-2001 among continuing smokers (Hyland and Rivard, 2010)</w:t>
            </w:r>
          </w:p>
          <w:p w14:paraId="09BD7CD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456A454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38.1%</w:t>
            </w:r>
          </w:p>
          <w:p w14:paraId="18EF949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41.9%</w:t>
            </w:r>
          </w:p>
          <w:p w14:paraId="3A247E1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2505D6E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37.9%</w:t>
            </w:r>
          </w:p>
          <w:p w14:paraId="6C1320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42.1%</w:t>
            </w:r>
          </w:p>
          <w:p w14:paraId="34C4909E"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73ECD65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35.9%</w:t>
            </w:r>
          </w:p>
          <w:p w14:paraId="5FE79262" w14:textId="77777777" w:rsidR="007F0AE0" w:rsidRPr="00017BE4"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51.7%</w:t>
            </w:r>
          </w:p>
        </w:tc>
        <w:tc>
          <w:tcPr>
            <w:tcW w:w="4140" w:type="dxa"/>
            <w:shd w:val="clear" w:color="auto" w:fill="auto"/>
            <w:tcMar>
              <w:top w:w="62" w:type="dxa"/>
              <w:left w:w="62" w:type="dxa"/>
              <w:bottom w:w="62" w:type="dxa"/>
              <w:right w:w="62" w:type="dxa"/>
            </w:tcMar>
          </w:tcPr>
          <w:p w14:paraId="51E79E3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Making a “serious” quit attempt 2001-2005 in exclusively M/NM smokers 1988-2001 (Hyland and Rivard, 2010)</w:t>
            </w:r>
          </w:p>
          <w:p w14:paraId="3DAE151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5A6C4DD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57.5%</w:t>
            </w:r>
          </w:p>
          <w:p w14:paraId="07F3820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60.3%</w:t>
            </w:r>
          </w:p>
          <w:p w14:paraId="23CF4A1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625A132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58.8%</w:t>
            </w:r>
          </w:p>
          <w:p w14:paraId="349D548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61.0%</w:t>
            </w:r>
          </w:p>
          <w:p w14:paraId="12C0699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7AA0196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55.3%</w:t>
            </w:r>
          </w:p>
          <w:p w14:paraId="6AFA6F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62.5%</w:t>
            </w:r>
          </w:p>
        </w:tc>
        <w:tc>
          <w:tcPr>
            <w:tcW w:w="3990" w:type="dxa"/>
            <w:shd w:val="clear" w:color="auto" w:fill="auto"/>
            <w:tcMar>
              <w:top w:w="62" w:type="dxa"/>
              <w:left w:w="62" w:type="dxa"/>
              <w:bottom w:w="62" w:type="dxa"/>
              <w:right w:w="62" w:type="dxa"/>
            </w:tcMar>
          </w:tcPr>
          <w:p w14:paraId="248D18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 smoking M by number of past (pre-1988) quit attempts at baseline (Hyland, ,2002)</w:t>
            </w:r>
          </w:p>
          <w:p w14:paraId="53E6F32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None</w:t>
            </w:r>
          </w:p>
          <w:p w14:paraId="5E0C3FE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23.3% smoked M</w:t>
            </w:r>
          </w:p>
          <w:p w14:paraId="16FCFF2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1 quit attempt</w:t>
            </w:r>
          </w:p>
          <w:p w14:paraId="02D53A6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23.4% smoked M</w:t>
            </w:r>
          </w:p>
          <w:p w14:paraId="492E8D4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≥2 quit attempts</w:t>
            </w:r>
          </w:p>
          <w:p w14:paraId="19EFEE4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27.0% smoked M</w:t>
            </w:r>
          </w:p>
        </w:tc>
      </w:tr>
      <w:tr w:rsidR="007F0AE0" w:rsidRPr="00191C09" w14:paraId="1C179719" w14:textId="77777777" w:rsidTr="00453DE3">
        <w:tc>
          <w:tcPr>
            <w:tcW w:w="2335" w:type="dxa"/>
            <w:shd w:val="clear" w:color="auto" w:fill="auto"/>
            <w:tcMar>
              <w:top w:w="62" w:type="dxa"/>
              <w:left w:w="62" w:type="dxa"/>
              <w:bottom w:w="62" w:type="dxa"/>
              <w:right w:w="62" w:type="dxa"/>
            </w:tcMar>
          </w:tcPr>
          <w:p w14:paraId="695A53A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&lt;EndNote&gt;&lt;Cite&gt;&lt;Author&gt;Jarvik&lt;/Author&gt;&lt;Year&gt;1994&lt;/Year&gt;&lt;RecNum&gt;90&lt;/RecNum&gt;&lt;DisplayText&gt;(51)&lt;/DisplayText&gt;&lt;record&gt;&lt;rec-number&gt;90&lt;/rec-number&gt;&lt;foreign-keys&gt;&lt;key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51" w:tooltip="Jarvik, 1994 #90" w:history="1">
              <w:r>
                <w:rPr>
                  <w:rFonts w:cstheme="minorHAnsi"/>
                  <w:noProof/>
                  <w:color w:val="000000"/>
                  <w:sz w:val="18"/>
                  <w:szCs w:val="18"/>
                </w:rPr>
                <w:t>51</w:t>
              </w:r>
            </w:hyperlink>
            <w:r>
              <w:rPr>
                <w:rFonts w:cstheme="minorHAnsi"/>
                <w:noProof/>
                <w:color w:val="000000"/>
                <w:sz w:val="18"/>
                <w:szCs w:val="18"/>
              </w:rPr>
              <w:t>)</w:t>
            </w:r>
            <w:r w:rsidRPr="00191C09">
              <w:rPr>
                <w:rFonts w:cstheme="minorHAnsi"/>
                <w:color w:val="000000"/>
                <w:sz w:val="18"/>
                <w:szCs w:val="18"/>
              </w:rPr>
              <w:fldChar w:fldCharType="end"/>
            </w:r>
          </w:p>
          <w:p w14:paraId="4947548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081ACD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Men</w:t>
            </w:r>
          </w:p>
        </w:tc>
        <w:tc>
          <w:tcPr>
            <w:tcW w:w="2430" w:type="dxa"/>
            <w:tcMar>
              <w:top w:w="62" w:type="dxa"/>
              <w:left w:w="62" w:type="dxa"/>
              <w:bottom w:w="62" w:type="dxa"/>
              <w:right w:w="62" w:type="dxa"/>
            </w:tcMar>
          </w:tcPr>
          <w:p w14:paraId="19D13F2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0B707CB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756DE94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Quit attempt not defined</w:t>
            </w:r>
          </w:p>
          <w:p w14:paraId="149C00DF"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White</w:t>
            </w:r>
          </w:p>
          <w:p w14:paraId="3FDA330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3.25 (4.57)</w:t>
            </w:r>
          </w:p>
          <w:p w14:paraId="30E40FA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0.50 (0.58)</w:t>
            </w:r>
          </w:p>
          <w:p w14:paraId="38391C10"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Black</w:t>
            </w:r>
          </w:p>
          <w:p w14:paraId="01F6539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0.40 (0.89)</w:t>
            </w:r>
          </w:p>
          <w:p w14:paraId="61F200D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NM: 3.40 (4.16)</w:t>
            </w:r>
          </w:p>
        </w:tc>
      </w:tr>
      <w:tr w:rsidR="007F0AE0" w:rsidRPr="00191C09" w14:paraId="1DF8D4C6" w14:textId="77777777" w:rsidTr="00453DE3">
        <w:tc>
          <w:tcPr>
            <w:tcW w:w="2335" w:type="dxa"/>
            <w:shd w:val="clear" w:color="auto" w:fill="auto"/>
            <w:tcMar>
              <w:top w:w="62" w:type="dxa"/>
              <w:left w:w="62" w:type="dxa"/>
              <w:bottom w:w="62" w:type="dxa"/>
              <w:right w:w="62" w:type="dxa"/>
            </w:tcMar>
          </w:tcPr>
          <w:p w14:paraId="500C53C7"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34" w:tooltip="Kahende, 2011 #43" w:history="1">
              <w:r w:rsidRPr="00342AED">
                <w:rPr>
                  <w:rFonts w:asciiTheme="minorHAnsi" w:hAnsiTheme="minorHAnsi" w:cstheme="minorHAnsi"/>
                  <w:noProof/>
                  <w:color w:val="000000"/>
                  <w:sz w:val="18"/>
                  <w:szCs w:val="18"/>
                </w:rPr>
                <w:t>34</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03F6CDE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2E455A1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359D783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7519FD1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Quit attempt</w:t>
            </w:r>
            <w:r w:rsidRPr="00191C09">
              <w:rPr>
                <w:rFonts w:asciiTheme="minorHAnsi" w:hAnsiTheme="minorHAnsi" w:cstheme="minorHAnsi"/>
                <w:sz w:val="18"/>
                <w:szCs w:val="18"/>
                <w:vertAlign w:val="superscript"/>
              </w:rPr>
              <w:t>a</w:t>
            </w:r>
            <w:r w:rsidRPr="00191C09">
              <w:rPr>
                <w:rFonts w:asciiTheme="minorHAnsi" w:hAnsiTheme="minorHAnsi" w:cstheme="minorHAnsi"/>
                <w:sz w:val="18"/>
                <w:szCs w:val="18"/>
              </w:rPr>
              <w:t xml:space="preserve"> in the past year</w:t>
            </w:r>
            <w:r w:rsidRPr="00191C09">
              <w:rPr>
                <w:rFonts w:asciiTheme="minorHAnsi" w:hAnsiTheme="minorHAnsi" w:cstheme="minorHAnsi"/>
                <w:sz w:val="18"/>
                <w:szCs w:val="18"/>
                <w:u w:val="single"/>
              </w:rPr>
              <w:t xml:space="preserve"> </w:t>
            </w:r>
          </w:p>
          <w:p w14:paraId="010E77A1" w14:textId="77777777" w:rsidR="007F0AE0" w:rsidRPr="00191C09" w:rsidRDefault="007F0AE0" w:rsidP="00453DE3">
            <w:pPr>
              <w:rPr>
                <w:rFonts w:asciiTheme="minorHAnsi" w:hAnsiTheme="minorHAnsi" w:cstheme="minorHAnsi"/>
                <w:sz w:val="18"/>
                <w:szCs w:val="18"/>
                <w:u w:val="single"/>
              </w:rPr>
            </w:pPr>
          </w:p>
          <w:p w14:paraId="2310181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Total sample</w:t>
            </w:r>
          </w:p>
          <w:p w14:paraId="3B799B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44.7% (43.4% to 46.1%)</w:t>
            </w:r>
          </w:p>
          <w:p w14:paraId="435429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44.0% (43.2% to 44.7%)</w:t>
            </w:r>
          </w:p>
          <w:p w14:paraId="0EDAF35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00B6788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41.8% (39.9% to 43.7%)</w:t>
            </w:r>
          </w:p>
          <w:p w14:paraId="733A6253" w14:textId="77777777" w:rsidR="007F0AE0"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43.4% (42.6% to 44.2%</w:t>
            </w:r>
          </w:p>
          <w:p w14:paraId="21DB0C75" w14:textId="77777777" w:rsidR="007F0AE0" w:rsidRPr="0061136F" w:rsidRDefault="007F0AE0" w:rsidP="00453DE3">
            <w:pPr>
              <w:rPr>
                <w:rFonts w:asciiTheme="minorHAnsi" w:hAnsiTheme="minorHAnsi" w:cstheme="minorHAnsi"/>
                <w:sz w:val="18"/>
                <w:szCs w:val="18"/>
                <w:u w:val="single"/>
              </w:rPr>
            </w:pPr>
            <w:r>
              <w:rPr>
                <w:rFonts w:asciiTheme="minorHAnsi" w:hAnsiTheme="minorHAnsi" w:cstheme="minorHAnsi"/>
                <w:sz w:val="18"/>
                <w:szCs w:val="18"/>
                <w:u w:val="single"/>
              </w:rPr>
              <w:t>Black</w:t>
            </w:r>
          </w:p>
          <w:p w14:paraId="6B799EB9" w14:textId="77777777" w:rsidR="007F0AE0" w:rsidRPr="0061136F"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M: 47.2% (44.9% to 49.6%)</w:t>
            </w:r>
          </w:p>
          <w:p w14:paraId="33CAFE38" w14:textId="77777777" w:rsidR="007F0AE0"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NM: 41.2% (36.5% to 46.0%)</w:t>
            </w:r>
          </w:p>
          <w:p w14:paraId="0D876A1C" w14:textId="77777777" w:rsidR="007F0AE0" w:rsidRPr="0061136F" w:rsidRDefault="007F0AE0" w:rsidP="00453DE3">
            <w:pPr>
              <w:rPr>
                <w:rFonts w:asciiTheme="minorHAnsi" w:hAnsiTheme="minorHAnsi" w:cstheme="minorHAnsi"/>
                <w:sz w:val="18"/>
                <w:szCs w:val="18"/>
                <w:u w:val="single"/>
              </w:rPr>
            </w:pPr>
            <w:r>
              <w:rPr>
                <w:rFonts w:asciiTheme="minorHAnsi" w:hAnsiTheme="minorHAnsi" w:cstheme="minorHAnsi"/>
                <w:sz w:val="18"/>
                <w:szCs w:val="18"/>
                <w:u w:val="single"/>
              </w:rPr>
              <w:t>Hispanic</w:t>
            </w:r>
          </w:p>
          <w:p w14:paraId="1EFE7DC1" w14:textId="77777777" w:rsidR="007F0AE0" w:rsidRPr="0061136F" w:rsidRDefault="007F0AE0" w:rsidP="00453DE3">
            <w:pPr>
              <w:rPr>
                <w:rFonts w:asciiTheme="minorHAnsi" w:hAnsiTheme="minorHAnsi" w:cstheme="minorHAnsi"/>
                <w:sz w:val="18"/>
                <w:szCs w:val="18"/>
              </w:rPr>
            </w:pPr>
            <w:r w:rsidRPr="0061136F">
              <w:rPr>
                <w:rFonts w:asciiTheme="minorHAnsi" w:hAnsiTheme="minorHAnsi" w:cstheme="minorHAnsi"/>
                <w:sz w:val="18"/>
                <w:szCs w:val="18"/>
              </w:rPr>
              <w:lastRenderedPageBreak/>
              <w:t>M: 51.7% (47.3% to 56.1%)</w:t>
            </w:r>
          </w:p>
          <w:p w14:paraId="242B16D4" w14:textId="77777777" w:rsidR="007F0AE0"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NM: 47.2% (44.7% to 49.6%)</w:t>
            </w:r>
          </w:p>
          <w:p w14:paraId="241781F5" w14:textId="77777777" w:rsidR="007F0AE0" w:rsidRDefault="007F0AE0" w:rsidP="00453DE3">
            <w:pPr>
              <w:rPr>
                <w:rFonts w:asciiTheme="minorHAnsi" w:hAnsiTheme="minorHAnsi" w:cstheme="minorHAnsi"/>
                <w:sz w:val="18"/>
                <w:szCs w:val="18"/>
                <w:u w:val="single"/>
              </w:rPr>
            </w:pPr>
            <w:r w:rsidRPr="0061136F">
              <w:rPr>
                <w:rFonts w:asciiTheme="minorHAnsi" w:hAnsiTheme="minorHAnsi" w:cstheme="minorHAnsi"/>
                <w:sz w:val="18"/>
                <w:szCs w:val="18"/>
                <w:u w:val="single"/>
              </w:rPr>
              <w:t xml:space="preserve">Asian American/Pacific Islander </w:t>
            </w:r>
          </w:p>
          <w:p w14:paraId="34E15DA9" w14:textId="77777777" w:rsidR="007F0AE0" w:rsidRPr="0061136F"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M: 53.5% (44.8% to 61.9%)</w:t>
            </w:r>
          </w:p>
          <w:p w14:paraId="44D2E513" w14:textId="77777777" w:rsidR="007F0AE0"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NM: 49.2% (44.4% to 54.1%)</w:t>
            </w:r>
          </w:p>
          <w:p w14:paraId="69AAEB15" w14:textId="77777777" w:rsidR="007F0AE0" w:rsidRDefault="007F0AE0" w:rsidP="00453DE3">
            <w:pPr>
              <w:rPr>
                <w:rFonts w:asciiTheme="minorHAnsi" w:hAnsiTheme="minorHAnsi" w:cstheme="minorHAnsi"/>
                <w:sz w:val="18"/>
                <w:szCs w:val="18"/>
                <w:u w:val="single"/>
              </w:rPr>
            </w:pPr>
            <w:r w:rsidRPr="0061136F">
              <w:rPr>
                <w:rFonts w:asciiTheme="minorHAnsi" w:hAnsiTheme="minorHAnsi" w:cstheme="minorHAnsi"/>
                <w:sz w:val="18"/>
                <w:szCs w:val="18"/>
                <w:u w:val="single"/>
              </w:rPr>
              <w:t xml:space="preserve">American Indian/Alaskan native </w:t>
            </w:r>
          </w:p>
          <w:p w14:paraId="5D097505" w14:textId="77777777" w:rsidR="007F0AE0" w:rsidRPr="0061136F"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M: 52.6% (38.9% to 65.9%)</w:t>
            </w:r>
          </w:p>
          <w:p w14:paraId="4EDB2C57" w14:textId="77777777" w:rsidR="007F0AE0"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NM: 47.7% (40.4% to 55.2%)</w:t>
            </w:r>
          </w:p>
          <w:p w14:paraId="4940D22F" w14:textId="77777777" w:rsidR="007F0AE0" w:rsidRDefault="007F0AE0" w:rsidP="00453DE3">
            <w:pPr>
              <w:rPr>
                <w:rFonts w:asciiTheme="minorHAnsi" w:hAnsiTheme="minorHAnsi" w:cstheme="minorHAnsi"/>
                <w:sz w:val="18"/>
                <w:szCs w:val="18"/>
                <w:u w:val="single"/>
              </w:rPr>
            </w:pPr>
            <w:r>
              <w:rPr>
                <w:rFonts w:asciiTheme="minorHAnsi" w:hAnsiTheme="minorHAnsi" w:cstheme="minorHAnsi"/>
                <w:sz w:val="18"/>
                <w:szCs w:val="18"/>
                <w:u w:val="single"/>
              </w:rPr>
              <w:t>Multiple race/ethnicity</w:t>
            </w:r>
          </w:p>
          <w:p w14:paraId="56CC20FA" w14:textId="77777777" w:rsidR="007F0AE0" w:rsidRPr="0061136F"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M: 52.0% (41.9% to 62.0%)</w:t>
            </w:r>
          </w:p>
          <w:p w14:paraId="7019F0BB" w14:textId="77777777" w:rsidR="007F0AE0" w:rsidRDefault="007F0AE0" w:rsidP="00453DE3">
            <w:pPr>
              <w:rPr>
                <w:rFonts w:asciiTheme="minorHAnsi" w:hAnsiTheme="minorHAnsi" w:cstheme="minorHAnsi"/>
                <w:sz w:val="18"/>
                <w:szCs w:val="18"/>
              </w:rPr>
            </w:pPr>
            <w:r w:rsidRPr="0061136F">
              <w:rPr>
                <w:rFonts w:asciiTheme="minorHAnsi" w:hAnsiTheme="minorHAnsi" w:cstheme="minorHAnsi"/>
                <w:sz w:val="18"/>
                <w:szCs w:val="18"/>
              </w:rPr>
              <w:t>NM: 51.9% (47.2% to 56.5%)</w:t>
            </w:r>
          </w:p>
          <w:p w14:paraId="2E3534F0" w14:textId="77777777" w:rsidR="007F0AE0" w:rsidRPr="00191C09" w:rsidRDefault="007F0AE0" w:rsidP="00453DE3">
            <w:pPr>
              <w:rPr>
                <w:rFonts w:asciiTheme="minorHAnsi" w:hAnsiTheme="minorHAnsi" w:cstheme="minorHAnsi"/>
                <w:sz w:val="18"/>
                <w:szCs w:val="18"/>
              </w:rPr>
            </w:pPr>
          </w:p>
          <w:p w14:paraId="4A3CB08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Quit attempt in the past year OR (95% CI)</w:t>
            </w:r>
          </w:p>
          <w:p w14:paraId="154D26F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Direct comparisons within each race/ethnicity were only reported as unadjusted results (ref=White NM):</w:t>
            </w:r>
          </w:p>
          <w:p w14:paraId="4BDD08E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Black </w:t>
            </w:r>
          </w:p>
          <w:p w14:paraId="79AC709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1.22 (1.06 to 1.40)</w:t>
            </w:r>
          </w:p>
          <w:p w14:paraId="6767704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Hispanic </w:t>
            </w:r>
          </w:p>
          <w:p w14:paraId="064B02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1.08 (0.87 to 1.33)</w:t>
            </w:r>
          </w:p>
          <w:p w14:paraId="069F3C8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Asian-American/Pacific Islander</w:t>
            </w:r>
          </w:p>
          <w:p w14:paraId="25E212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1.18 (0.77 to 1.79)</w:t>
            </w:r>
          </w:p>
          <w:p w14:paraId="6CEBFA2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American Indian/Alaska Native</w:t>
            </w:r>
          </w:p>
          <w:p w14:paraId="33E8CBF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1.26 (0.66 to 2.40)</w:t>
            </w:r>
          </w:p>
          <w:p w14:paraId="04E49653"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Multiple races</w:t>
            </w:r>
          </w:p>
          <w:p w14:paraId="5067A35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1.10 (0.69 to 1.75)</w:t>
            </w:r>
          </w:p>
        </w:tc>
        <w:tc>
          <w:tcPr>
            <w:tcW w:w="3990" w:type="dxa"/>
            <w:shd w:val="clear" w:color="auto" w:fill="auto"/>
            <w:tcMar>
              <w:top w:w="62" w:type="dxa"/>
              <w:left w:w="62" w:type="dxa"/>
              <w:bottom w:w="62" w:type="dxa"/>
              <w:right w:w="62" w:type="dxa"/>
            </w:tcMar>
          </w:tcPr>
          <w:p w14:paraId="32F28C3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NR</w:t>
            </w:r>
          </w:p>
        </w:tc>
      </w:tr>
      <w:tr w:rsidR="007F0AE0" w:rsidRPr="00191C09" w14:paraId="403511C5" w14:textId="77777777" w:rsidTr="00453DE3">
        <w:tc>
          <w:tcPr>
            <w:tcW w:w="2335" w:type="dxa"/>
            <w:shd w:val="clear" w:color="auto" w:fill="auto"/>
            <w:tcMar>
              <w:top w:w="62" w:type="dxa"/>
              <w:left w:w="62" w:type="dxa"/>
              <w:bottom w:w="62" w:type="dxa"/>
              <w:right w:w="62" w:type="dxa"/>
            </w:tcMar>
          </w:tcPr>
          <w:p w14:paraId="6E076068"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40" w:tooltip="Kasza, 2014 #16" w:history="1">
              <w:r>
                <w:rPr>
                  <w:rFonts w:cstheme="minorHAnsi"/>
                  <w:noProof/>
                  <w:sz w:val="18"/>
                  <w:szCs w:val="18"/>
                </w:rPr>
                <w:t>40</w:t>
              </w:r>
            </w:hyperlink>
            <w:r>
              <w:rPr>
                <w:rFonts w:cstheme="minorHAnsi"/>
                <w:noProof/>
                <w:sz w:val="18"/>
                <w:szCs w:val="18"/>
              </w:rPr>
              <w:t>)</w:t>
            </w:r>
            <w:r w:rsidRPr="00191C09">
              <w:rPr>
                <w:rFonts w:cstheme="minorHAnsi"/>
                <w:sz w:val="18"/>
                <w:szCs w:val="18"/>
              </w:rPr>
              <w:fldChar w:fldCharType="end"/>
            </w:r>
          </w:p>
          <w:p w14:paraId="2C0A63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ITC-4 (U.S. data only)</w:t>
            </w:r>
          </w:p>
          <w:p w14:paraId="259CD60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2430" w:type="dxa"/>
            <w:tcMar>
              <w:top w:w="62" w:type="dxa"/>
              <w:left w:w="62" w:type="dxa"/>
              <w:bottom w:w="62" w:type="dxa"/>
              <w:right w:w="62" w:type="dxa"/>
            </w:tcMar>
          </w:tcPr>
          <w:p w14:paraId="0CCCA4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21C67B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“Have you made any attempts to stop smoking since we last talked with you?”</w:t>
            </w:r>
          </w:p>
          <w:p w14:paraId="5681886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 of M/NM type switchers who made any attempt </w:t>
            </w:r>
          </w:p>
          <w:p w14:paraId="425BE5F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Among those who switched from NM to M:</w:t>
            </w:r>
          </w:p>
          <w:p w14:paraId="5A91ED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40% made a quit attempt during the switch interval;</w:t>
            </w:r>
          </w:p>
          <w:p w14:paraId="2B5DA13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41% made an attempt during a subsequent interval</w:t>
            </w:r>
          </w:p>
          <w:p w14:paraId="41FF054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Among those who switched from M to NM: </w:t>
            </w:r>
          </w:p>
          <w:p w14:paraId="6F7AAB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39% made a quit attempt during the switch interval; </w:t>
            </w:r>
          </w:p>
          <w:p w14:paraId="501F4DA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42% made an attempt during a subsequent interval</w:t>
            </w:r>
            <w:r w:rsidRPr="00191C09" w:rsidDel="00D9448C">
              <w:rPr>
                <w:rFonts w:asciiTheme="minorHAnsi" w:hAnsiTheme="minorHAnsi" w:cstheme="minorHAnsi"/>
                <w:sz w:val="18"/>
                <w:szCs w:val="18"/>
                <w:u w:val="single"/>
              </w:rPr>
              <w:t xml:space="preserve"> </w:t>
            </w:r>
          </w:p>
        </w:tc>
        <w:tc>
          <w:tcPr>
            <w:tcW w:w="3990" w:type="dxa"/>
            <w:shd w:val="clear" w:color="auto" w:fill="auto"/>
            <w:tcMar>
              <w:top w:w="62" w:type="dxa"/>
              <w:left w:w="62" w:type="dxa"/>
              <w:bottom w:w="62" w:type="dxa"/>
              <w:right w:w="62" w:type="dxa"/>
            </w:tcMar>
          </w:tcPr>
          <w:p w14:paraId="5BF2743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p w14:paraId="7F60D0BE" w14:textId="77777777" w:rsidR="007F0AE0" w:rsidRPr="00191C09" w:rsidRDefault="007F0AE0" w:rsidP="00453DE3">
            <w:pPr>
              <w:rPr>
                <w:rFonts w:asciiTheme="minorHAnsi" w:hAnsiTheme="minorHAnsi" w:cstheme="minorHAnsi"/>
                <w:sz w:val="18"/>
                <w:szCs w:val="18"/>
              </w:rPr>
            </w:pPr>
          </w:p>
        </w:tc>
      </w:tr>
      <w:tr w:rsidR="007F0AE0" w:rsidRPr="00191C09" w14:paraId="6C0250AB" w14:textId="77777777" w:rsidTr="00453DE3">
        <w:tc>
          <w:tcPr>
            <w:tcW w:w="2335" w:type="dxa"/>
            <w:shd w:val="clear" w:color="auto" w:fill="auto"/>
            <w:tcMar>
              <w:top w:w="62" w:type="dxa"/>
              <w:left w:w="62" w:type="dxa"/>
              <w:bottom w:w="62" w:type="dxa"/>
              <w:right w:w="62" w:type="dxa"/>
            </w:tcMar>
          </w:tcPr>
          <w:p w14:paraId="4EF77913"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29" w:tooltip="Keeler, 2017 #660" w:history="1">
              <w:r w:rsidRPr="00342AED">
                <w:rPr>
                  <w:rFonts w:asciiTheme="minorHAnsi" w:hAnsiTheme="minorHAnsi" w:cstheme="minorHAnsi"/>
                  <w:noProof/>
                  <w:sz w:val="18"/>
                  <w:szCs w:val="18"/>
                </w:rPr>
                <w:t>29</w:t>
              </w:r>
            </w:hyperlink>
            <w:r w:rsidRPr="00342AED">
              <w:rPr>
                <w:rFonts w:asciiTheme="minorHAnsi" w:hAnsiTheme="minorHAnsi" w:cstheme="minorHAnsi"/>
                <w:noProof/>
                <w:sz w:val="18"/>
                <w:szCs w:val="18"/>
              </w:rPr>
              <w:t>)</w:t>
            </w:r>
            <w:r>
              <w:rPr>
                <w:rFonts w:cstheme="minorHAnsi"/>
                <w:sz w:val="18"/>
                <w:szCs w:val="18"/>
              </w:rPr>
              <w:fldChar w:fldCharType="end"/>
            </w:r>
          </w:p>
          <w:p w14:paraId="06ECA4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TUS-CPS;</w:t>
            </w:r>
          </w:p>
          <w:p w14:paraId="3F7BDAB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lastRenderedPageBreak/>
              <w:t>None</w:t>
            </w:r>
          </w:p>
        </w:tc>
        <w:tc>
          <w:tcPr>
            <w:tcW w:w="2430" w:type="dxa"/>
            <w:tcMar>
              <w:top w:w="62" w:type="dxa"/>
              <w:left w:w="62" w:type="dxa"/>
              <w:bottom w:w="62" w:type="dxa"/>
              <w:right w:w="62" w:type="dxa"/>
            </w:tcMar>
          </w:tcPr>
          <w:p w14:paraId="0D83655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140" w:type="dxa"/>
            <w:shd w:val="clear" w:color="auto" w:fill="auto"/>
            <w:tcMar>
              <w:top w:w="62" w:type="dxa"/>
              <w:left w:w="62" w:type="dxa"/>
              <w:bottom w:w="62" w:type="dxa"/>
              <w:right w:w="62" w:type="dxa"/>
            </w:tcMar>
          </w:tcPr>
          <w:p w14:paraId="04D2BA6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Past-year quit attempts: </w:t>
            </w:r>
          </w:p>
          <w:p w14:paraId="2345E3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Total sample: M=43.8% (42.9-44.7); NM=40.8% (40.1-41.4)</w:t>
            </w:r>
          </w:p>
          <w:p w14:paraId="4B32968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White: M=40.6% (39.5-71.8); NM=40.2% (39.6-40.9)</w:t>
            </w:r>
          </w:p>
          <w:p w14:paraId="6EC683C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Black: M=48.2% (46.2-50.2); NM=40.3% (37.0-43.7)</w:t>
            </w:r>
          </w:p>
          <w:p w14:paraId="50BA39F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Asian: M=42.5% (35.3-49.9); NM=47.7% (43.2-52.2)</w:t>
            </w:r>
          </w:p>
          <w:p w14:paraId="134F90E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Hispanic: M=48.7% (45.5-51-9); NM=43.7% (41.2-46.1)</w:t>
            </w:r>
          </w:p>
          <w:p w14:paraId="6E75C5C7" w14:textId="77777777" w:rsidR="007F0AE0" w:rsidRPr="00191C09" w:rsidRDefault="007F0AE0" w:rsidP="00453DE3">
            <w:pPr>
              <w:rPr>
                <w:rFonts w:asciiTheme="minorHAnsi" w:hAnsiTheme="minorHAnsi" w:cstheme="minorHAnsi"/>
                <w:sz w:val="18"/>
                <w:szCs w:val="18"/>
              </w:rPr>
            </w:pPr>
          </w:p>
          <w:p w14:paraId="37314C6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Based on interaction term results, Black M smokers were </w:t>
            </w:r>
            <w:r>
              <w:rPr>
                <w:rFonts w:asciiTheme="minorHAnsi" w:hAnsiTheme="minorHAnsi" w:cstheme="minorHAnsi"/>
                <w:sz w:val="18"/>
                <w:szCs w:val="18"/>
              </w:rPr>
              <w:t>statistically significantly</w:t>
            </w:r>
            <w:r w:rsidRPr="00191C09">
              <w:rPr>
                <w:rFonts w:asciiTheme="minorHAnsi" w:hAnsiTheme="minorHAnsi" w:cstheme="minorHAnsi"/>
                <w:sz w:val="18"/>
                <w:szCs w:val="18"/>
              </w:rPr>
              <w:t xml:space="preserve"> more likely to have had past-year quit attempts, compared with non-Black NM smokers:</w:t>
            </w:r>
          </w:p>
          <w:p w14:paraId="794D78B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OR=1.37, 95% CI: 1.15–1.63; p=0.0006</w:t>
            </w:r>
          </w:p>
        </w:tc>
        <w:tc>
          <w:tcPr>
            <w:tcW w:w="3990" w:type="dxa"/>
            <w:shd w:val="clear" w:color="auto" w:fill="auto"/>
            <w:tcMar>
              <w:top w:w="62" w:type="dxa"/>
              <w:left w:w="62" w:type="dxa"/>
              <w:bottom w:w="62" w:type="dxa"/>
              <w:right w:w="62" w:type="dxa"/>
            </w:tcMar>
          </w:tcPr>
          <w:p w14:paraId="2C1CE82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5EBF3D2B" w14:textId="77777777" w:rsidTr="00453DE3">
        <w:tc>
          <w:tcPr>
            <w:tcW w:w="2335" w:type="dxa"/>
            <w:shd w:val="clear" w:color="auto" w:fill="auto"/>
            <w:tcMar>
              <w:top w:w="62" w:type="dxa"/>
              <w:left w:w="62" w:type="dxa"/>
              <w:bottom w:w="62" w:type="dxa"/>
              <w:right w:w="62" w:type="dxa"/>
            </w:tcMar>
          </w:tcPr>
          <w:p w14:paraId="2FDD94A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&lt;EndNote&gt;&lt;Cite&gt;&lt;Author&gt;King&lt;/Author&gt;&lt;Year&gt;2011&lt;/Year&gt;&lt;RecNum&gt;104&lt;/RecNum&gt;&lt;DisplayText&gt;(13)&lt;/DisplayText&gt;&lt;record&gt;&lt;rec-number&gt;104&lt;/rec-number&gt;&lt;foreign-keys&gt;&lt;key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3" w:tooltip="King, 2011 #104" w:history="1">
              <w:r>
                <w:rPr>
                  <w:rFonts w:cstheme="minorHAnsi"/>
                  <w:noProof/>
                  <w:color w:val="000000"/>
                  <w:sz w:val="18"/>
                  <w:szCs w:val="18"/>
                </w:rPr>
                <w:t>13</w:t>
              </w:r>
            </w:hyperlink>
            <w:r>
              <w:rPr>
                <w:rFonts w:cstheme="minorHAnsi"/>
                <w:noProof/>
                <w:color w:val="000000"/>
                <w:sz w:val="18"/>
                <w:szCs w:val="18"/>
              </w:rPr>
              <w:t>)</w:t>
            </w:r>
            <w:r w:rsidRPr="00191C09">
              <w:rPr>
                <w:rFonts w:cstheme="minorHAnsi"/>
                <w:color w:val="000000"/>
                <w:sz w:val="18"/>
                <w:szCs w:val="18"/>
              </w:rPr>
              <w:fldChar w:fldCharType="end"/>
            </w:r>
          </w:p>
          <w:p w14:paraId="629D81B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4F8563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4B38BE2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5AE4D8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185A641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“…menthol users and non-menthol users were comparable in terms of number of prior quit attempts…” (attempt not defined)</w:t>
            </w:r>
          </w:p>
        </w:tc>
      </w:tr>
      <w:tr w:rsidR="007F0AE0" w:rsidRPr="00191C09" w14:paraId="0DACC1FC" w14:textId="77777777" w:rsidTr="00453DE3">
        <w:tc>
          <w:tcPr>
            <w:tcW w:w="2335" w:type="dxa"/>
            <w:shd w:val="clear" w:color="auto" w:fill="auto"/>
            <w:tcMar>
              <w:top w:w="62" w:type="dxa"/>
              <w:left w:w="62" w:type="dxa"/>
              <w:bottom w:w="62" w:type="dxa"/>
              <w:right w:w="62" w:type="dxa"/>
            </w:tcMar>
          </w:tcPr>
          <w:p w14:paraId="699A80E5"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19" w:tooltip="Levy, 2011 #45" w:history="1">
              <w:r w:rsidRPr="00342AED">
                <w:rPr>
                  <w:rFonts w:asciiTheme="minorHAnsi" w:hAnsiTheme="minorHAnsi" w:cstheme="minorHAnsi"/>
                  <w:noProof/>
                  <w:color w:val="000000"/>
                  <w:sz w:val="18"/>
                  <w:szCs w:val="18"/>
                </w:rPr>
                <w:t>19</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674FCF1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7BC7C55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39EBB39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2254847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Quit attempt</w:t>
            </w:r>
            <w:r w:rsidRPr="00191C09">
              <w:rPr>
                <w:rFonts w:asciiTheme="minorHAnsi" w:hAnsiTheme="minorHAnsi" w:cstheme="minorHAnsi"/>
                <w:sz w:val="18"/>
                <w:szCs w:val="18"/>
                <w:vertAlign w:val="superscript"/>
              </w:rPr>
              <w:t>a</w:t>
            </w:r>
            <w:r w:rsidRPr="00191C09">
              <w:rPr>
                <w:rFonts w:asciiTheme="minorHAnsi" w:hAnsiTheme="minorHAnsi" w:cstheme="minorHAnsi"/>
                <w:sz w:val="18"/>
                <w:szCs w:val="18"/>
              </w:rPr>
              <w:t xml:space="preserve"> in the past year</w:t>
            </w:r>
          </w:p>
          <w:p w14:paraId="1F69907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2003</w:t>
            </w:r>
          </w:p>
          <w:p w14:paraId="2FD7B53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40.9%</w:t>
            </w:r>
          </w:p>
          <w:p w14:paraId="014EE6B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39.3%</w:t>
            </w:r>
          </w:p>
          <w:p w14:paraId="4AF643D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2007</w:t>
            </w:r>
          </w:p>
          <w:p w14:paraId="64945F0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41.4%</w:t>
            </w:r>
          </w:p>
          <w:p w14:paraId="2B0E540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38.1%</w:t>
            </w:r>
          </w:p>
        </w:tc>
        <w:tc>
          <w:tcPr>
            <w:tcW w:w="3990" w:type="dxa"/>
            <w:shd w:val="clear" w:color="auto" w:fill="auto"/>
            <w:tcMar>
              <w:top w:w="62" w:type="dxa"/>
              <w:left w:w="62" w:type="dxa"/>
              <w:bottom w:w="62" w:type="dxa"/>
              <w:right w:w="62" w:type="dxa"/>
            </w:tcMar>
          </w:tcPr>
          <w:p w14:paraId="5FBA6B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NR</w:t>
            </w:r>
          </w:p>
        </w:tc>
      </w:tr>
      <w:tr w:rsidR="007F0AE0" w:rsidRPr="00191C09" w14:paraId="53456D18" w14:textId="77777777" w:rsidTr="00453DE3">
        <w:tc>
          <w:tcPr>
            <w:tcW w:w="2335" w:type="dxa"/>
            <w:shd w:val="clear" w:color="auto" w:fill="auto"/>
            <w:tcMar>
              <w:top w:w="62" w:type="dxa"/>
              <w:left w:w="62" w:type="dxa"/>
              <w:bottom w:w="62" w:type="dxa"/>
              <w:right w:w="62" w:type="dxa"/>
            </w:tcMar>
          </w:tcPr>
          <w:p w14:paraId="379A90B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&lt;EndNote&gt;&lt;Cite&gt;&lt;Author&gt;Miller&lt;/Author&gt;&lt;Year&gt;1994&lt;/Year&gt;&lt;RecNum&gt;91&lt;/RecNum&gt;&lt;DisplayText&gt;(16)&lt;/DisplayText&gt;&lt;record&gt;&lt;rec-number&gt;91&lt;/rec-number&gt;&lt;foreign-keys&gt;&lt;key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6" w:tooltip="Miller, 1994 #91" w:history="1">
              <w:r>
                <w:rPr>
                  <w:rFonts w:cstheme="minorHAnsi"/>
                  <w:noProof/>
                  <w:color w:val="000000"/>
                  <w:sz w:val="18"/>
                  <w:szCs w:val="18"/>
                </w:rPr>
                <w:t>16</w:t>
              </w:r>
            </w:hyperlink>
            <w:r>
              <w:rPr>
                <w:rFonts w:cstheme="minorHAnsi"/>
                <w:noProof/>
                <w:color w:val="000000"/>
                <w:sz w:val="18"/>
                <w:szCs w:val="18"/>
              </w:rPr>
              <w:t>)</w:t>
            </w:r>
            <w:r w:rsidRPr="00191C09">
              <w:rPr>
                <w:rFonts w:cstheme="minorHAnsi"/>
                <w:color w:val="000000"/>
                <w:sz w:val="18"/>
                <w:szCs w:val="18"/>
              </w:rPr>
              <w:fldChar w:fldCharType="end"/>
            </w:r>
          </w:p>
          <w:p w14:paraId="3FAF018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7DB006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VA patients receiving inpatient substance abuse treatment</w:t>
            </w:r>
          </w:p>
        </w:tc>
        <w:tc>
          <w:tcPr>
            <w:tcW w:w="2430" w:type="dxa"/>
            <w:tcMar>
              <w:top w:w="62" w:type="dxa"/>
              <w:left w:w="62" w:type="dxa"/>
              <w:bottom w:w="62" w:type="dxa"/>
              <w:right w:w="62" w:type="dxa"/>
            </w:tcMar>
          </w:tcPr>
          <w:p w14:paraId="67AB06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27308D5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0CABE6A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Quit attempt not defined</w:t>
            </w:r>
          </w:p>
          <w:p w14:paraId="39BD560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1.50 (2.07)</w:t>
            </w:r>
          </w:p>
          <w:p w14:paraId="2F9A734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4.16 (4.57)</w:t>
            </w:r>
          </w:p>
        </w:tc>
      </w:tr>
      <w:tr w:rsidR="007F0AE0" w:rsidRPr="00191C09" w14:paraId="004E2C18" w14:textId="77777777" w:rsidTr="00453DE3">
        <w:tc>
          <w:tcPr>
            <w:tcW w:w="2335" w:type="dxa"/>
            <w:shd w:val="clear" w:color="auto" w:fill="auto"/>
            <w:tcMar>
              <w:top w:w="62" w:type="dxa"/>
              <w:left w:w="62" w:type="dxa"/>
              <w:bottom w:w="62" w:type="dxa"/>
              <w:right w:w="62" w:type="dxa"/>
            </w:tcMar>
          </w:tcPr>
          <w:p w14:paraId="297706B0"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&lt;EndNote&gt;&lt;Cite&gt;&lt;Author&gt;O&amp;apos;Connor&lt;/Author&gt;&lt;Year&gt;2012&lt;/Year&gt;&lt;RecNum&gt;36&lt;/RecNum&gt;&lt;DisplayText&gt;(33)&lt;/DisplayText&gt;&lt;record&gt;&lt;rec-number&gt;36&lt;/rec-number&gt;&lt;foreign-keys&gt;&lt;key app="EN" db-id="a2vz2dfp8xrad6exes75zwpiw5rxwa0vwapv" timestamp="0"&gt;36&lt;/key&gt;&lt;/foreign-keys&gt;&lt;ref-type name="Journal Article"&gt;17&lt;/ref-type&gt;&lt;contributors&gt;&lt;authors&gt;&lt;author&gt;O&amp;apos;Connor, R. J.&lt;/author&gt;&lt;author&gt;Bansal-Travers, M.&lt;/author&gt;&lt;author&gt;Carter, L. P.&lt;/author&gt;&lt;author&gt;Cummings, K. M.&lt;/author&gt;&lt;/authors&gt;&lt;/contributors&gt;&lt;auth-address&gt;Department of Health Behavior, Division of Cancer Prevention and Population Sciences, Roswell Park Cancer Institute, Elm and Carlton Streets, Buffalo, NY 14263, USA. richard.oconnor@roswellpark.org&lt;/auth-address&gt;&lt;titles&gt;&lt;title&gt;What would menthol smokers do if menthol in cigarettes were banned? Behavioral intentions and simulated demand&lt;/title&gt;&lt;secondary-title&gt;Addiction&lt;/secondary-title&gt;&lt;/titles&gt;&lt;periodical&gt;&lt;full-title&gt;Addiction&lt;/full-title&gt;&lt;/periodical&gt;&lt;pages&gt;1330-8&lt;/pages&gt;&lt;volume&gt;107&lt;/volume&gt;&lt;number&gt;7&lt;/number&gt;&lt;keywords&gt;&lt;keyword&gt;Adolescent&lt;/keyword&gt;&lt;keyword&gt;Adult&lt;/keyword&gt;&lt;keyword&gt;Aged&lt;/keyword&gt;&lt;keyword&gt;Commerce&lt;/keyword&gt;&lt;keyword&gt;Economics, Behavioral&lt;/keyword&gt;&lt;keyword&gt;Female&lt;/keyword&gt;&lt;keyword&gt;Humans&lt;/keyword&gt;&lt;keyword&gt;*Intention&lt;/keyword&gt;&lt;keyword&gt;Male&lt;/keyword&gt;&lt;keyword&gt;*Menthol&lt;/keyword&gt;&lt;keyword&gt;Middle Aged&lt;/keyword&gt;&lt;keyword&gt;Multivariate Analysis&lt;/keyword&gt;&lt;keyword&gt;Smoking/economics/*legislation &amp;amp; jurisprudence/psychology&lt;/keyword&gt;&lt;keyword&gt;Smoking Cessation/psychology&lt;/keyword&gt;&lt;keyword&gt;United States&lt;/keyword&gt;&lt;keyword&gt;Young Adult&lt;/keyword&gt;&lt;/keywords&gt;&lt;dates&gt;&lt;year&gt;2012&lt;/year&gt;&lt;pub-dates&gt;&lt;date&gt;Jul&lt;/date&gt;&lt;/pub-dates&gt;&lt;/dates&gt;&lt;isbn&gt;1360-0443 (Electronic)&amp;#xD;0965-2140 (Linking)&lt;/isbn&gt;&lt;accession-num&gt;22471735&lt;/accession-num&gt;&lt;urls&gt;&lt;related-urls&gt;&lt;url&gt;http://www.ncbi.nlm.nih.gov/pubmed/22471735&lt;/url&gt;&lt;/related-urls&gt;&lt;/urls&gt;&lt;custom2&gt;PMC3370153&lt;/custom2&gt;&lt;electronic-resource-num&gt;10.1111/j.1360-0443.2012.03822.x&lt;/electronic-resource-num&gt;&lt;research-notes&gt;#189&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33" w:tooltip="O'Connor, 2012 #36" w:history="1">
              <w:r>
                <w:rPr>
                  <w:rFonts w:cstheme="minorHAnsi"/>
                  <w:noProof/>
                  <w:color w:val="000000"/>
                  <w:sz w:val="18"/>
                  <w:szCs w:val="18"/>
                </w:rPr>
                <w:t>33</w:t>
              </w:r>
            </w:hyperlink>
            <w:r>
              <w:rPr>
                <w:rFonts w:cstheme="minorHAnsi"/>
                <w:noProof/>
                <w:color w:val="000000"/>
                <w:sz w:val="18"/>
                <w:szCs w:val="18"/>
              </w:rPr>
              <w:t>)</w:t>
            </w:r>
            <w:r w:rsidRPr="00191C09">
              <w:rPr>
                <w:rFonts w:cstheme="minorHAnsi"/>
                <w:color w:val="000000"/>
                <w:sz w:val="18"/>
                <w:szCs w:val="18"/>
              </w:rPr>
              <w:fldChar w:fldCharType="end"/>
            </w:r>
          </w:p>
          <w:p w14:paraId="5648670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2A5504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 but includes age 14 and up</w:t>
            </w:r>
          </w:p>
        </w:tc>
        <w:tc>
          <w:tcPr>
            <w:tcW w:w="2430" w:type="dxa"/>
            <w:tcMar>
              <w:top w:w="62" w:type="dxa"/>
              <w:left w:w="62" w:type="dxa"/>
              <w:bottom w:w="62" w:type="dxa"/>
              <w:right w:w="62" w:type="dxa"/>
            </w:tcMar>
          </w:tcPr>
          <w:p w14:paraId="0B04D0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52B4987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≥24 hours without smoking</w:t>
            </w:r>
            <w:r w:rsidRPr="00191C09">
              <w:rPr>
                <w:rFonts w:asciiTheme="minorHAnsi" w:hAnsiTheme="minorHAnsi" w:cstheme="minorHAnsi"/>
                <w:sz w:val="18"/>
                <w:szCs w:val="18"/>
                <w:u w:val="single"/>
              </w:rPr>
              <w:t xml:space="preserve"> </w:t>
            </w:r>
          </w:p>
          <w:p w14:paraId="7549AF7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past year</w:t>
            </w:r>
          </w:p>
          <w:p w14:paraId="26DD8F2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64.9%</w:t>
            </w:r>
          </w:p>
          <w:p w14:paraId="1CCA592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64.3%</w:t>
            </w:r>
          </w:p>
          <w:p w14:paraId="19CA58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(p=0.43)</w:t>
            </w:r>
          </w:p>
        </w:tc>
        <w:tc>
          <w:tcPr>
            <w:tcW w:w="3990" w:type="dxa"/>
            <w:shd w:val="clear" w:color="auto" w:fill="auto"/>
            <w:tcMar>
              <w:top w:w="62" w:type="dxa"/>
              <w:left w:w="62" w:type="dxa"/>
              <w:bottom w:w="62" w:type="dxa"/>
              <w:right w:w="62" w:type="dxa"/>
            </w:tcMar>
          </w:tcPr>
          <w:p w14:paraId="02B1F69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NR</w:t>
            </w:r>
          </w:p>
        </w:tc>
      </w:tr>
      <w:tr w:rsidR="007F0AE0" w:rsidRPr="00191C09" w14:paraId="12E79A20" w14:textId="77777777" w:rsidTr="00453DE3">
        <w:tc>
          <w:tcPr>
            <w:tcW w:w="2335" w:type="dxa"/>
            <w:shd w:val="clear" w:color="auto" w:fill="auto"/>
            <w:tcMar>
              <w:top w:w="62" w:type="dxa"/>
              <w:left w:w="62" w:type="dxa"/>
              <w:bottom w:w="62" w:type="dxa"/>
              <w:right w:w="62" w:type="dxa"/>
            </w:tcMar>
          </w:tcPr>
          <w:p w14:paraId="51FE4666"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&lt;EndNote&gt;&lt;Cite&gt;&lt;Author&gt;Okuyemi&lt;/Author&gt;&lt;Year&gt;2004&lt;/Year&gt;&lt;RecNum&gt;81&lt;/RecNum&gt;&lt;DisplayText&gt;(15)&lt;/DisplayText&gt;&lt;record&gt;&lt;rec-number&gt;81&lt;/rec-number&gt;&lt;foreign-keys&gt;&lt;key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5" w:tooltip="Okuyemi, 2004 #81" w:history="1">
              <w:r>
                <w:rPr>
                  <w:rFonts w:cstheme="minorHAnsi"/>
                  <w:noProof/>
                  <w:color w:val="000000"/>
                  <w:sz w:val="18"/>
                  <w:szCs w:val="18"/>
                </w:rPr>
                <w:t>15</w:t>
              </w:r>
            </w:hyperlink>
            <w:r>
              <w:rPr>
                <w:rFonts w:cstheme="minorHAnsi"/>
                <w:noProof/>
                <w:color w:val="000000"/>
                <w:sz w:val="18"/>
                <w:szCs w:val="18"/>
              </w:rPr>
              <w:t>)</w:t>
            </w:r>
            <w:r w:rsidRPr="00191C09">
              <w:rPr>
                <w:rFonts w:cstheme="minorHAnsi"/>
                <w:color w:val="000000"/>
                <w:sz w:val="18"/>
                <w:szCs w:val="18"/>
              </w:rPr>
              <w:fldChar w:fldCharType="end"/>
            </w:r>
          </w:p>
          <w:p w14:paraId="22DF91F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5EE7A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Blacks</w:t>
            </w:r>
          </w:p>
        </w:tc>
        <w:tc>
          <w:tcPr>
            <w:tcW w:w="2430" w:type="dxa"/>
            <w:tcMar>
              <w:top w:w="62" w:type="dxa"/>
              <w:left w:w="62" w:type="dxa"/>
              <w:bottom w:w="62" w:type="dxa"/>
              <w:right w:w="62" w:type="dxa"/>
            </w:tcMar>
          </w:tcPr>
          <w:p w14:paraId="58DBAA6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7E25D0C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0BC6DFC0" w14:textId="77777777" w:rsidR="007F0AE0" w:rsidRPr="00191C09" w:rsidRDefault="007F0AE0" w:rsidP="00453DE3">
            <w:pPr>
              <w:jc w:val="both"/>
              <w:rPr>
                <w:rFonts w:asciiTheme="minorHAnsi" w:hAnsiTheme="minorHAnsi" w:cstheme="minorHAnsi"/>
                <w:sz w:val="18"/>
                <w:szCs w:val="18"/>
              </w:rPr>
            </w:pPr>
            <w:r w:rsidRPr="00191C09">
              <w:rPr>
                <w:rFonts w:asciiTheme="minorHAnsi" w:hAnsiTheme="minorHAnsi" w:cstheme="minorHAnsi"/>
                <w:sz w:val="18"/>
                <w:szCs w:val="18"/>
              </w:rPr>
              <w:t xml:space="preserve"> “Both groups [menthol and non-menthol smokers] did not differ in their lifetime number of quit attempts”</w:t>
            </w:r>
          </w:p>
          <w:p w14:paraId="678275A1" w14:textId="77777777" w:rsidR="007F0AE0" w:rsidRPr="00191C09" w:rsidRDefault="007F0AE0" w:rsidP="00453DE3">
            <w:pPr>
              <w:jc w:val="both"/>
              <w:rPr>
                <w:rFonts w:asciiTheme="minorHAnsi" w:hAnsiTheme="minorHAnsi" w:cstheme="minorHAnsi"/>
                <w:sz w:val="18"/>
                <w:szCs w:val="18"/>
              </w:rPr>
            </w:pPr>
            <w:r w:rsidRPr="00191C09">
              <w:rPr>
                <w:rFonts w:asciiTheme="minorHAnsi" w:hAnsiTheme="minorHAnsi" w:cstheme="minorHAnsi"/>
                <w:sz w:val="18"/>
                <w:szCs w:val="18"/>
              </w:rPr>
              <w:t>Menthol smokers reported more recent quit attempts compared to non-menthol smokers (12 vs. 24 days, respectively;</w:t>
            </w:r>
            <w:r>
              <w:rPr>
                <w:rFonts w:asciiTheme="minorHAnsi" w:hAnsiTheme="minorHAnsi" w:cstheme="minorHAnsi"/>
                <w:sz w:val="18"/>
                <w:szCs w:val="18"/>
              </w:rPr>
              <w:t xml:space="preserve"> </w:t>
            </w:r>
            <w:r w:rsidRPr="00191C09">
              <w:rPr>
                <w:rFonts w:asciiTheme="minorHAnsi" w:hAnsiTheme="minorHAnsi" w:cstheme="minorHAnsi"/>
                <w:sz w:val="18"/>
                <w:szCs w:val="18"/>
              </w:rPr>
              <w:t>p=0.047).</w:t>
            </w:r>
          </w:p>
        </w:tc>
      </w:tr>
      <w:tr w:rsidR="007F0AE0" w:rsidRPr="00191C09" w14:paraId="1DC207A1" w14:textId="77777777" w:rsidTr="00453DE3">
        <w:tc>
          <w:tcPr>
            <w:tcW w:w="2335" w:type="dxa"/>
            <w:shd w:val="clear" w:color="auto" w:fill="auto"/>
            <w:tcMar>
              <w:top w:w="62" w:type="dxa"/>
              <w:left w:w="62" w:type="dxa"/>
              <w:bottom w:w="62" w:type="dxa"/>
              <w:right w:w="62" w:type="dxa"/>
            </w:tcMar>
          </w:tcPr>
          <w:p w14:paraId="5A108209"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Pr>
                <w:rFonts w:cstheme="minorHAnsi"/>
                <w:sz w:val="18"/>
                <w:szCs w:val="18"/>
              </w:rPr>
              <w:fldChar w:fldCharType="separate"/>
            </w:r>
            <w:r w:rsidRPr="00342AED">
              <w:rPr>
                <w:rFonts w:asciiTheme="minorHAnsi" w:hAnsiTheme="minorHAnsi" w:cstheme="minorHAnsi"/>
                <w:noProof/>
                <w:sz w:val="18"/>
                <w:szCs w:val="18"/>
              </w:rPr>
              <w:t>(</w:t>
            </w:r>
            <w:hyperlink w:anchor="_ENREF_31" w:tooltip="Park, 2017 #1103" w:history="1">
              <w:r w:rsidRPr="00342AED">
                <w:rPr>
                  <w:rFonts w:asciiTheme="minorHAnsi" w:hAnsiTheme="minorHAnsi" w:cstheme="minorHAnsi"/>
                  <w:noProof/>
                  <w:sz w:val="18"/>
                  <w:szCs w:val="18"/>
                </w:rPr>
                <w:t>31</w:t>
              </w:r>
            </w:hyperlink>
            <w:r w:rsidRPr="00342AED">
              <w:rPr>
                <w:rFonts w:asciiTheme="minorHAnsi" w:hAnsiTheme="minorHAnsi" w:cstheme="minorHAnsi"/>
                <w:noProof/>
                <w:sz w:val="18"/>
                <w:szCs w:val="18"/>
              </w:rPr>
              <w:t>)</w:t>
            </w:r>
            <w:r>
              <w:rPr>
                <w:rFonts w:cstheme="minorHAnsi"/>
                <w:sz w:val="18"/>
                <w:szCs w:val="18"/>
              </w:rPr>
              <w:fldChar w:fldCharType="end"/>
            </w:r>
          </w:p>
          <w:p w14:paraId="465966E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National Adult</w:t>
            </w:r>
          </w:p>
          <w:p w14:paraId="6ECD07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Tobacco Survey (NATS);</w:t>
            </w:r>
          </w:p>
          <w:p w14:paraId="4AA88EE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2430" w:type="dxa"/>
            <w:tcMar>
              <w:top w:w="62" w:type="dxa"/>
              <w:left w:w="62" w:type="dxa"/>
              <w:bottom w:w="62" w:type="dxa"/>
              <w:right w:w="62" w:type="dxa"/>
            </w:tcMar>
          </w:tcPr>
          <w:p w14:paraId="3F803C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359C92A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Likelihood of past-year quit attempts, M vs NM (ref):</w:t>
            </w:r>
          </w:p>
          <w:p w14:paraId="52B3AA7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OR=1.10, 95% CI</w:t>
            </w:r>
            <w:r>
              <w:rPr>
                <w:rFonts w:asciiTheme="minorHAnsi" w:hAnsiTheme="minorHAnsi" w:cstheme="minorHAnsi"/>
                <w:sz w:val="18"/>
                <w:szCs w:val="18"/>
              </w:rPr>
              <w:t xml:space="preserve">: </w:t>
            </w:r>
            <w:r w:rsidRPr="00191C09">
              <w:rPr>
                <w:rFonts w:asciiTheme="minorHAnsi" w:hAnsiTheme="minorHAnsi" w:cstheme="minorHAnsi"/>
                <w:sz w:val="18"/>
                <w:szCs w:val="18"/>
              </w:rPr>
              <w:t xml:space="preserve">1.01- 1.21, p=.027). </w:t>
            </w:r>
          </w:p>
          <w:p w14:paraId="519FC391" w14:textId="77777777" w:rsidR="007F0AE0" w:rsidRPr="00191C09" w:rsidRDefault="007F0AE0" w:rsidP="00453DE3">
            <w:pPr>
              <w:rPr>
                <w:rFonts w:asciiTheme="minorHAnsi" w:hAnsiTheme="minorHAnsi" w:cstheme="minorHAnsi"/>
                <w:sz w:val="18"/>
                <w:szCs w:val="18"/>
              </w:rPr>
            </w:pPr>
          </w:p>
        </w:tc>
        <w:tc>
          <w:tcPr>
            <w:tcW w:w="3990" w:type="dxa"/>
            <w:shd w:val="clear" w:color="auto" w:fill="auto"/>
            <w:tcMar>
              <w:top w:w="62" w:type="dxa"/>
              <w:left w:w="62" w:type="dxa"/>
              <w:bottom w:w="62" w:type="dxa"/>
              <w:right w:w="62" w:type="dxa"/>
            </w:tcMar>
          </w:tcPr>
          <w:p w14:paraId="791E62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7425C92" w14:textId="77777777" w:rsidTr="00453DE3">
        <w:tc>
          <w:tcPr>
            <w:tcW w:w="2335" w:type="dxa"/>
            <w:shd w:val="clear" w:color="auto" w:fill="auto"/>
            <w:tcMar>
              <w:top w:w="62" w:type="dxa"/>
              <w:left w:w="62" w:type="dxa"/>
              <w:bottom w:w="62" w:type="dxa"/>
              <w:right w:w="62" w:type="dxa"/>
            </w:tcMar>
          </w:tcPr>
          <w:p w14:paraId="37AB7059"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&lt;EndNote&gt;&lt;Cite&gt;&lt;Author&gt;Pearson&lt;/Author&gt;&lt;Year&gt;2011&lt;/Year&gt;&lt;RecNum&gt;39&lt;/RecNum&gt;&lt;DisplayText&gt;(38, 39)&lt;/DisplayText&gt;&lt;record&gt;&lt;rec-number&gt;39&lt;/rec-number&gt;&lt;foreign-keys&gt;&lt;key app="EN" db-id="a2vz2dfp8xrad6exes75zwpiw5rxwa0vwapv" timestamp="0"&gt;39&lt;/key&gt;&lt;/foreign-keys&gt;&lt;ref-type name="Thesis"&gt;32&lt;/ref-type&gt;&lt;contributors&gt;&lt;authors&gt;&lt;author&gt;Pearson, J. L.&lt;/author&gt;&lt;/authors&gt;&lt;tertiary-authors&gt;&lt;author&gt;Abrams, D. B.&lt;/author&gt;&lt;/tertiary-authors&gt;&lt;/contributors&gt;&lt;titles&gt;&lt;title&gt;Public reaction to potential food and drug administration actions under the family smoking prevention and tobacco control act: Regulating e-cigarettes, banning menthol, and reducing cigarette nicotine content&lt;/title&gt;&lt;/titles&gt;&lt;pages&gt;142&lt;/pages&gt;&lt;volume&gt;PhD, Public Health&lt;/volume&gt;&lt;number&gt;3492521&lt;/number&gt;&lt;dates&gt;&lt;year&gt;2011&lt;/year&gt;&lt;/dates&gt;&lt;publisher&gt;Johns Hopkins University&lt;/publisher&gt;&lt;urls&gt;&lt;/urls&gt;&lt;research-notes&gt;#211&lt;/research-notes&gt;&lt;/record&gt;&lt;/Cite&gt;&lt;Cite&gt;&lt;Author&gt;Pearson&lt;/Author&gt;&lt;Year&gt;2012&lt;/Year&gt;&lt;RecNum&gt;34&lt;/RecNum&gt;&lt;record&gt;&lt;rec-number&gt;34&lt;/rec-number&gt;&lt;foreign-keys&gt;&lt;key app="EN" db-id="a2vz2dfp8xrad6exes75zwpiw5rxwa0vwapv" timestamp="0"&gt;34&lt;/key&gt;&lt;/foreign-keys&gt;&lt;ref-type name="Journal Article"&gt;17&lt;/ref-type&gt;&lt;contributors&gt;&lt;authors&gt;&lt;author&gt;Pearson, J. L.&lt;/author&gt;&lt;author&gt;Abrams, D. B.&lt;/author&gt;&lt;author&gt;Niaura, R. S.&lt;/author&gt;&lt;author&gt;Richardson, A.&lt;/author&gt;&lt;author&gt;Vallone, D.&lt;/author&gt;&lt;/authors&gt;&lt;/contributors&gt;&lt;titles&gt;&lt;title&gt;A ban on menthol cigarettes: Impact on public opinion and smokers&amp;apos; intention to quit&lt;/title&gt;&lt;secondary-title&gt;Am J Public Health&lt;/secondary-title&gt;&lt;/titles&gt;&lt;periodical&gt;&lt;full-title&gt;Am J Public Health&lt;/full-title&gt;&lt;/periodical&gt;&lt;pages&gt;e107-e114&lt;/pages&gt;&lt;volume&gt;102&lt;/volume&gt;&lt;number&gt;11&lt;/number&gt;&lt;section&gt;e107&lt;/section&gt;&lt;dates&gt;&lt;year&gt;2012&lt;/year&gt;&lt;/dates&gt;&lt;urls&gt;&lt;/urls&gt;&lt;electronic-resource-num&gt;10.2105/AJPH.2012.300804&lt;/electronic-resource-num&gt;&lt;research-notes&gt;#175&lt;/research-notes&gt;&lt;/record&gt;&lt;/Cite&gt;&lt;/EndNote&gt;</w:instrText>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38" w:tooltip="Pearson, 2011 #39" w:history="1">
              <w:r w:rsidRPr="00342AED">
                <w:rPr>
                  <w:rFonts w:asciiTheme="minorHAnsi" w:hAnsiTheme="minorHAnsi" w:cstheme="minorHAnsi"/>
                  <w:noProof/>
                  <w:sz w:val="18"/>
                  <w:szCs w:val="18"/>
                </w:rPr>
                <w:t>38</w:t>
              </w:r>
            </w:hyperlink>
            <w:r w:rsidRPr="00342AED">
              <w:rPr>
                <w:rFonts w:asciiTheme="minorHAnsi" w:hAnsiTheme="minorHAnsi" w:cstheme="minorHAnsi"/>
                <w:noProof/>
                <w:sz w:val="18"/>
                <w:szCs w:val="18"/>
              </w:rPr>
              <w:t xml:space="preserve">, </w:t>
            </w:r>
            <w:hyperlink w:anchor="_ENREF_39" w:tooltip="Pearson, 2012 #34" w:history="1">
              <w:r w:rsidRPr="00342AED">
                <w:rPr>
                  <w:rFonts w:asciiTheme="minorHAnsi" w:hAnsiTheme="minorHAnsi" w:cstheme="minorHAnsi"/>
                  <w:noProof/>
                  <w:sz w:val="18"/>
                  <w:szCs w:val="18"/>
                </w:rPr>
                <w:t>39</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4701DD6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2D976E7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2430" w:type="dxa"/>
            <w:tcMar>
              <w:top w:w="62" w:type="dxa"/>
              <w:left w:w="62" w:type="dxa"/>
              <w:bottom w:w="62" w:type="dxa"/>
              <w:right w:w="62" w:type="dxa"/>
            </w:tcMar>
          </w:tcPr>
          <w:p w14:paraId="2574BD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0A9564F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Intentionally abstained from smoking for ≥24 hours (Pearson, 2012; Pearson, 2011)</w:t>
            </w:r>
          </w:p>
          <w:p w14:paraId="204EE5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 past 3 months:</w:t>
            </w:r>
          </w:p>
          <w:p w14:paraId="0DD9223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39.8% (33.5% to 46.1%)</w:t>
            </w:r>
          </w:p>
          <w:p w14:paraId="5E01E6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27.0% (23.0% to 31.0%)</w:t>
            </w:r>
          </w:p>
          <w:p w14:paraId="0A0126D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(P&lt;0.001)</w:t>
            </w:r>
          </w:p>
        </w:tc>
        <w:tc>
          <w:tcPr>
            <w:tcW w:w="3990" w:type="dxa"/>
            <w:shd w:val="clear" w:color="auto" w:fill="auto"/>
            <w:tcMar>
              <w:top w:w="62" w:type="dxa"/>
              <w:left w:w="62" w:type="dxa"/>
              <w:bottom w:w="62" w:type="dxa"/>
              <w:right w:w="62" w:type="dxa"/>
            </w:tcMar>
          </w:tcPr>
          <w:p w14:paraId="693CA9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NR</w:t>
            </w:r>
          </w:p>
        </w:tc>
      </w:tr>
      <w:tr w:rsidR="007F0AE0" w:rsidRPr="00191C09" w14:paraId="2E21CCF5" w14:textId="77777777" w:rsidTr="00453DE3">
        <w:tc>
          <w:tcPr>
            <w:tcW w:w="2335" w:type="dxa"/>
            <w:shd w:val="clear" w:color="auto" w:fill="auto"/>
            <w:tcMar>
              <w:top w:w="62" w:type="dxa"/>
              <w:left w:w="62" w:type="dxa"/>
              <w:bottom w:w="62" w:type="dxa"/>
              <w:right w:w="62" w:type="dxa"/>
            </w:tcMar>
          </w:tcPr>
          <w:p w14:paraId="27E623A8" w14:textId="77777777" w:rsidR="007F0AE0" w:rsidRPr="00191C09" w:rsidRDefault="007F0AE0" w:rsidP="00453DE3">
            <w:pPr>
              <w:rPr>
                <w:rFonts w:asciiTheme="minorHAnsi" w:hAnsiTheme="minorHAnsi" w:cstheme="minorHAnsi"/>
                <w:sz w:val="18"/>
                <w:szCs w:val="18"/>
                <w:vertAlign w:val="superscript"/>
              </w:rPr>
            </w:pPr>
            <w:r w:rsidRPr="00191C09">
              <w:rPr>
                <w:rFonts w:cstheme="minorHAnsi"/>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37" w:tooltip="Rath, 2015 #3" w:history="1">
              <w:r w:rsidRPr="00342AED">
                <w:rPr>
                  <w:rFonts w:asciiTheme="minorHAnsi" w:hAnsiTheme="minorHAnsi" w:cstheme="minorHAnsi"/>
                  <w:noProof/>
                  <w:sz w:val="18"/>
                  <w:szCs w:val="18"/>
                </w:rPr>
                <w:t>37</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42F2BCF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LYAC</w:t>
            </w:r>
          </w:p>
          <w:p w14:paraId="7548673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Young adults</w:t>
            </w:r>
          </w:p>
        </w:tc>
        <w:tc>
          <w:tcPr>
            <w:tcW w:w="2430" w:type="dxa"/>
            <w:tcMar>
              <w:top w:w="62" w:type="dxa"/>
              <w:left w:w="62" w:type="dxa"/>
              <w:bottom w:w="62" w:type="dxa"/>
              <w:right w:w="62" w:type="dxa"/>
            </w:tcMar>
          </w:tcPr>
          <w:p w14:paraId="75AD4D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147A669A" w14:textId="77777777" w:rsidR="007F0AE0"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Quit attempt: stopped smoking for 24 hours or longer </w:t>
            </w:r>
            <w:r>
              <w:rPr>
                <w:rFonts w:asciiTheme="minorHAnsi" w:hAnsiTheme="minorHAnsi" w:cstheme="minorHAnsi"/>
                <w:sz w:val="18"/>
                <w:szCs w:val="18"/>
              </w:rPr>
              <w:t>because you were trying to quit</w:t>
            </w:r>
          </w:p>
          <w:p w14:paraId="36BED2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(ref=NM): </w:t>
            </w:r>
          </w:p>
          <w:p w14:paraId="5195A75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Ever quit attempt (ref=never attempted): </w:t>
            </w:r>
          </w:p>
          <w:p w14:paraId="75417B4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1.15 (0.69 to 1.91) </w:t>
            </w:r>
          </w:p>
          <w:p w14:paraId="6C229E31"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Quit attempt in past 6 months (ref=no attempts in past 6 months):</w:t>
            </w:r>
          </w:p>
          <w:p w14:paraId="071BAA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0.69 (0.40 to 1.19)</w:t>
            </w:r>
          </w:p>
        </w:tc>
        <w:tc>
          <w:tcPr>
            <w:tcW w:w="3990" w:type="dxa"/>
            <w:shd w:val="clear" w:color="auto" w:fill="auto"/>
            <w:tcMar>
              <w:top w:w="62" w:type="dxa"/>
              <w:left w:w="62" w:type="dxa"/>
              <w:bottom w:w="62" w:type="dxa"/>
              <w:right w:w="62" w:type="dxa"/>
            </w:tcMar>
          </w:tcPr>
          <w:p w14:paraId="4B699FB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NR</w:t>
            </w:r>
          </w:p>
        </w:tc>
      </w:tr>
      <w:tr w:rsidR="007F0AE0" w:rsidRPr="00191C09" w14:paraId="32950F03" w14:textId="77777777" w:rsidTr="00453DE3">
        <w:tc>
          <w:tcPr>
            <w:tcW w:w="2335" w:type="dxa"/>
            <w:shd w:val="clear" w:color="auto" w:fill="auto"/>
            <w:tcMar>
              <w:top w:w="62" w:type="dxa"/>
              <w:left w:w="62" w:type="dxa"/>
              <w:bottom w:w="62" w:type="dxa"/>
              <w:right w:w="62" w:type="dxa"/>
            </w:tcMar>
          </w:tcPr>
          <w:p w14:paraId="61C0AEC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191C09">
              <w:rPr>
                <w:rFonts w:cstheme="minorHAnsi"/>
                <w:color w:val="000000"/>
                <w:sz w:val="18"/>
                <w:szCs w:val="18"/>
              </w:rPr>
              <w:fldChar w:fldCharType="end"/>
            </w:r>
          </w:p>
          <w:p w14:paraId="37FE68C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6067BA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Pregnant women (Project MOM)</w:t>
            </w:r>
          </w:p>
        </w:tc>
        <w:tc>
          <w:tcPr>
            <w:tcW w:w="2430" w:type="dxa"/>
            <w:tcMar>
              <w:top w:w="62" w:type="dxa"/>
              <w:left w:w="62" w:type="dxa"/>
              <w:bottom w:w="62" w:type="dxa"/>
              <w:right w:w="62" w:type="dxa"/>
            </w:tcMar>
          </w:tcPr>
          <w:p w14:paraId="31C181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Menthol cigarette use was </w:t>
            </w:r>
            <w:r>
              <w:rPr>
                <w:rFonts w:asciiTheme="minorHAnsi" w:hAnsiTheme="minorHAnsi" w:cstheme="minorHAnsi"/>
                <w:sz w:val="18"/>
                <w:szCs w:val="18"/>
              </w:rPr>
              <w:t>statistically significantly</w:t>
            </w:r>
            <w:r w:rsidRPr="00191C09">
              <w:rPr>
                <w:rFonts w:asciiTheme="minorHAnsi" w:hAnsiTheme="minorHAnsi" w:cstheme="minorHAnsi"/>
                <w:sz w:val="18"/>
                <w:szCs w:val="18"/>
              </w:rPr>
              <w:t xml:space="preserve"> associated with the number of CPD (β=-1.91, SE=.96; t=-1.98; p=.05; n=249; effect size=-.25). (</w:t>
            </w:r>
            <w:hyperlink w:anchor="_ENREF_78" w:tooltip="Reitzel, 2011 #107" w:history="1">
              <w:r w:rsidRPr="00191C09">
                <w:rPr>
                  <w:rFonts w:asciiTheme="minorHAnsi" w:hAnsiTheme="minorHAnsi" w:cstheme="minorHAnsi"/>
                  <w:noProof/>
                  <w:color w:val="000000"/>
                  <w:sz w:val="18"/>
                  <w:szCs w:val="18"/>
                </w:rPr>
                <w:t>Reitzel, 2011c</w:t>
              </w:r>
            </w:hyperlink>
            <w:r w:rsidRPr="00191C09">
              <w:rPr>
                <w:rFonts w:asciiTheme="minorHAnsi" w:hAnsiTheme="minorHAnsi" w:cstheme="minorHAnsi"/>
                <w:sz w:val="18"/>
                <w:szCs w:val="18"/>
              </w:rPr>
              <w:t>).</w:t>
            </w:r>
          </w:p>
          <w:p w14:paraId="678232A2" w14:textId="77777777" w:rsidR="007F0AE0" w:rsidRPr="00191C09" w:rsidRDefault="007F0AE0" w:rsidP="00453DE3">
            <w:pPr>
              <w:rPr>
                <w:rFonts w:asciiTheme="minorHAnsi" w:hAnsiTheme="minorHAnsi" w:cstheme="minorHAnsi"/>
                <w:sz w:val="18"/>
                <w:szCs w:val="18"/>
              </w:rPr>
            </w:pPr>
          </w:p>
          <w:p w14:paraId="08DD648B" w14:textId="77777777" w:rsidR="007F0AE0" w:rsidRPr="00017BE4"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Black menthol users smoked </w:t>
            </w:r>
            <w:r>
              <w:rPr>
                <w:rFonts w:asciiTheme="minorHAnsi" w:hAnsiTheme="minorHAnsi" w:cstheme="minorHAnsi"/>
                <w:sz w:val="18"/>
                <w:szCs w:val="18"/>
              </w:rPr>
              <w:t>statistically significantly</w:t>
            </w:r>
            <w:r w:rsidRPr="00191C09">
              <w:rPr>
                <w:rFonts w:asciiTheme="minorHAnsi" w:hAnsiTheme="minorHAnsi" w:cstheme="minorHAnsi"/>
                <w:sz w:val="18"/>
                <w:szCs w:val="18"/>
              </w:rPr>
              <w:t xml:space="preserve"> more CPD than Black non-menthol users: β=3.82, SE=3.77; p=0.02; </w:t>
            </w:r>
            <w:r w:rsidRPr="00191C09">
              <w:rPr>
                <w:rFonts w:asciiTheme="minorHAnsi" w:hAnsiTheme="minorHAnsi" w:cstheme="minorHAnsi"/>
                <w:sz w:val="18"/>
                <w:szCs w:val="18"/>
              </w:rPr>
              <w:lastRenderedPageBreak/>
              <w:t>n=71; effect size=0.67. (</w:t>
            </w:r>
            <w:hyperlink w:anchor="_ENREF_78" w:tooltip="Reitzel, 2011 #107" w:history="1">
              <w:r w:rsidRPr="00191C09">
                <w:rPr>
                  <w:rFonts w:asciiTheme="minorHAnsi" w:hAnsiTheme="minorHAnsi" w:cstheme="minorHAnsi"/>
                  <w:noProof/>
                  <w:color w:val="000000"/>
                  <w:sz w:val="18"/>
                  <w:szCs w:val="18"/>
                </w:rPr>
                <w:t>Reitzel, 2011c</w:t>
              </w:r>
            </w:hyperlink>
            <w:r w:rsidRPr="00191C09">
              <w:rPr>
                <w:rFonts w:asciiTheme="minorHAnsi" w:hAnsiTheme="minorHAnsi" w:cstheme="minorHAnsi"/>
                <w:sz w:val="18"/>
                <w:szCs w:val="18"/>
              </w:rPr>
              <w:t>)</w:t>
            </w:r>
          </w:p>
        </w:tc>
        <w:tc>
          <w:tcPr>
            <w:tcW w:w="4140" w:type="dxa"/>
            <w:shd w:val="clear" w:color="auto" w:fill="auto"/>
            <w:tcMar>
              <w:top w:w="62" w:type="dxa"/>
              <w:left w:w="62" w:type="dxa"/>
              <w:bottom w:w="62" w:type="dxa"/>
              <w:right w:w="62" w:type="dxa"/>
            </w:tcMar>
          </w:tcPr>
          <w:p w14:paraId="3066ED5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3990" w:type="dxa"/>
            <w:shd w:val="clear" w:color="auto" w:fill="auto"/>
            <w:tcMar>
              <w:top w:w="62" w:type="dxa"/>
              <w:left w:w="62" w:type="dxa"/>
              <w:bottom w:w="62" w:type="dxa"/>
              <w:right w:w="62" w:type="dxa"/>
            </w:tcMar>
          </w:tcPr>
          <w:p w14:paraId="77AC931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NR</w:t>
            </w:r>
          </w:p>
        </w:tc>
      </w:tr>
      <w:tr w:rsidR="007F0AE0" w:rsidRPr="00191C09" w14:paraId="6E41A30A" w14:textId="77777777" w:rsidTr="00453DE3">
        <w:tc>
          <w:tcPr>
            <w:tcW w:w="2335" w:type="dxa"/>
            <w:shd w:val="clear" w:color="auto" w:fill="auto"/>
            <w:tcMar>
              <w:top w:w="62" w:type="dxa"/>
              <w:left w:w="62" w:type="dxa"/>
              <w:bottom w:w="62" w:type="dxa"/>
              <w:right w:w="62" w:type="dxa"/>
            </w:tcMar>
          </w:tcPr>
          <w:p w14:paraId="1B6DBE95"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&lt;EndNote&gt;&lt;Cite&gt;&lt;Author&gt;Rosenbloom&lt;/Author&gt;&lt;Year&gt;2012&lt;/Year&gt;&lt;RecNum&gt;32&lt;/RecNum&gt;&lt;DisplayText&gt;(17)&lt;/DisplayText&gt;&lt;record&gt;&lt;rec-number&gt;32&lt;/rec-number&gt;&lt;foreign-keys&gt;&lt;key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17" w:tooltip="Rosenbloom, 2012 #32" w:history="1">
              <w:r>
                <w:rPr>
                  <w:rFonts w:cstheme="minorHAnsi"/>
                  <w:noProof/>
                  <w:color w:val="000000"/>
                  <w:sz w:val="18"/>
                  <w:szCs w:val="18"/>
                </w:rPr>
                <w:t>17</w:t>
              </w:r>
            </w:hyperlink>
            <w:r>
              <w:rPr>
                <w:rFonts w:cstheme="minorHAnsi"/>
                <w:noProof/>
                <w:color w:val="000000"/>
                <w:sz w:val="18"/>
                <w:szCs w:val="18"/>
              </w:rPr>
              <w:t>)</w:t>
            </w:r>
            <w:r w:rsidRPr="00191C09">
              <w:rPr>
                <w:rFonts w:cstheme="minorHAnsi"/>
                <w:color w:val="000000"/>
                <w:sz w:val="18"/>
                <w:szCs w:val="18"/>
              </w:rPr>
              <w:fldChar w:fldCharType="end"/>
            </w:r>
          </w:p>
          <w:p w14:paraId="5C35217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D5182B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Women</w:t>
            </w:r>
          </w:p>
        </w:tc>
        <w:tc>
          <w:tcPr>
            <w:tcW w:w="2430" w:type="dxa"/>
            <w:tcMar>
              <w:top w:w="62" w:type="dxa"/>
              <w:left w:w="62" w:type="dxa"/>
              <w:bottom w:w="62" w:type="dxa"/>
              <w:right w:w="62" w:type="dxa"/>
            </w:tcMar>
          </w:tcPr>
          <w:p w14:paraId="3B10479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7A979D8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258277C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Quit attempt not defined</w:t>
            </w:r>
          </w:p>
          <w:p w14:paraId="193977A4"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Total sample</w:t>
            </w:r>
          </w:p>
          <w:p w14:paraId="4CAF957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3.1 (3.2)</w:t>
            </w:r>
          </w:p>
          <w:p w14:paraId="0705A34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3.3 (3.0)</w:t>
            </w:r>
          </w:p>
          <w:p w14:paraId="7E55218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(p=0.81)</w:t>
            </w:r>
          </w:p>
          <w:p w14:paraId="22F4DA64"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White</w:t>
            </w:r>
          </w:p>
          <w:p w14:paraId="266B02C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 3.2 (3.3)</w:t>
            </w:r>
          </w:p>
          <w:p w14:paraId="7256349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NM: 3.3 (3.0)</w:t>
            </w:r>
          </w:p>
          <w:p w14:paraId="702CED8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(p=0.98)</w:t>
            </w:r>
          </w:p>
          <w:p w14:paraId="06A06DEB"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Black</w:t>
            </w:r>
          </w:p>
          <w:p w14:paraId="53A5942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3.0 (3.1)</w:t>
            </w:r>
          </w:p>
          <w:p w14:paraId="123291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3.0 (3.9)</w:t>
            </w:r>
          </w:p>
          <w:p w14:paraId="38FD736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(p=0.98)</w:t>
            </w:r>
          </w:p>
        </w:tc>
      </w:tr>
      <w:tr w:rsidR="007F0AE0" w:rsidRPr="00191C09" w14:paraId="1355C3F9" w14:textId="77777777" w:rsidTr="00453DE3">
        <w:tc>
          <w:tcPr>
            <w:tcW w:w="2335" w:type="dxa"/>
            <w:shd w:val="clear" w:color="auto" w:fill="auto"/>
            <w:tcMar>
              <w:top w:w="62" w:type="dxa"/>
              <w:left w:w="62" w:type="dxa"/>
              <w:bottom w:w="62" w:type="dxa"/>
              <w:right w:w="62" w:type="dxa"/>
            </w:tcMar>
          </w:tcPr>
          <w:p w14:paraId="6718A84C"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&lt;EndNote&gt;&lt;Cite&gt;&lt;Author&gt;Smith&lt;/Author&gt;&lt;Year&gt;2014&lt;/Year&gt;&lt;RecNum&gt;11&lt;/RecNum&gt;&lt;DisplayText&gt;(45)&lt;/DisplayText&gt;&lt;record&gt;&lt;rec-number&gt;11&lt;/rec-number&gt;&lt;foreign-keys&gt;&lt;key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45" w:tooltip="Smith, 2014 #11" w:history="1">
              <w:r>
                <w:rPr>
                  <w:rFonts w:cstheme="minorHAnsi"/>
                  <w:noProof/>
                  <w:sz w:val="18"/>
                  <w:szCs w:val="18"/>
                </w:rPr>
                <w:t>45</w:t>
              </w:r>
            </w:hyperlink>
            <w:r>
              <w:rPr>
                <w:rFonts w:cstheme="minorHAnsi"/>
                <w:noProof/>
                <w:sz w:val="18"/>
                <w:szCs w:val="18"/>
              </w:rPr>
              <w:t>)</w:t>
            </w:r>
            <w:r w:rsidRPr="00191C09">
              <w:rPr>
                <w:rFonts w:cstheme="minorHAnsi"/>
                <w:sz w:val="18"/>
                <w:szCs w:val="18"/>
              </w:rPr>
              <w:fldChar w:fldCharType="end"/>
            </w:r>
          </w:p>
          <w:p w14:paraId="37FD5A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0D88B9F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430" w:type="dxa"/>
            <w:tcMar>
              <w:top w:w="62" w:type="dxa"/>
              <w:left w:w="62" w:type="dxa"/>
              <w:bottom w:w="62" w:type="dxa"/>
              <w:right w:w="62" w:type="dxa"/>
            </w:tcMar>
          </w:tcPr>
          <w:p w14:paraId="5153A05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103AC8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3990" w:type="dxa"/>
            <w:shd w:val="clear" w:color="auto" w:fill="auto"/>
            <w:tcMar>
              <w:top w:w="62" w:type="dxa"/>
              <w:left w:w="62" w:type="dxa"/>
              <w:bottom w:w="62" w:type="dxa"/>
              <w:right w:w="62" w:type="dxa"/>
            </w:tcMar>
          </w:tcPr>
          <w:p w14:paraId="3A1884A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Quit attempt not defined</w:t>
            </w:r>
            <w:r w:rsidRPr="00191C09">
              <w:rPr>
                <w:rFonts w:asciiTheme="minorHAnsi" w:hAnsiTheme="minorHAnsi" w:cstheme="minorHAnsi"/>
                <w:sz w:val="18"/>
                <w:szCs w:val="18"/>
                <w:u w:val="single"/>
              </w:rPr>
              <w:t xml:space="preserve"> </w:t>
            </w:r>
          </w:p>
          <w:p w14:paraId="59A5681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baseline</w:t>
            </w:r>
          </w:p>
          <w:p w14:paraId="3996EC0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4.9 (8.9)</w:t>
            </w:r>
          </w:p>
          <w:p w14:paraId="6DE9D92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6.1 (9.1)</w:t>
            </w:r>
          </w:p>
          <w:p w14:paraId="3F3C9CB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(p=0.02)</w:t>
            </w:r>
          </w:p>
        </w:tc>
      </w:tr>
      <w:tr w:rsidR="007F0AE0" w:rsidRPr="00191C09" w14:paraId="521A9ACE" w14:textId="77777777" w:rsidTr="00453DE3">
        <w:tc>
          <w:tcPr>
            <w:tcW w:w="2335" w:type="dxa"/>
            <w:shd w:val="clear" w:color="auto" w:fill="auto"/>
            <w:tcMar>
              <w:top w:w="62" w:type="dxa"/>
              <w:left w:w="62" w:type="dxa"/>
              <w:bottom w:w="62" w:type="dxa"/>
              <w:right w:w="62" w:type="dxa"/>
            </w:tcMar>
          </w:tcPr>
          <w:p w14:paraId="5C4BDB9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&lt;EndNote&gt;&lt;Cite&gt;&lt;Author&gt;Stahre&lt;/Author&gt;&lt;Year&gt;2010&lt;/Year&gt;&lt;RecNum&gt;57&lt;/RecNum&gt;&lt;DisplayText&gt;(32)&lt;/DisplayText&gt;&lt;record&gt;&lt;rec-number&gt;57&lt;/rec-number&gt;&lt;foreign-keys&gt;&lt;key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32" w:tooltip="Stahre, 2010 #57" w:history="1">
              <w:r>
                <w:rPr>
                  <w:rFonts w:cstheme="minorHAnsi"/>
                  <w:noProof/>
                  <w:color w:val="000000"/>
                  <w:sz w:val="18"/>
                  <w:szCs w:val="18"/>
                </w:rPr>
                <w:t>32</w:t>
              </w:r>
            </w:hyperlink>
            <w:r>
              <w:rPr>
                <w:rFonts w:cstheme="minorHAnsi"/>
                <w:noProof/>
                <w:color w:val="000000"/>
                <w:sz w:val="18"/>
                <w:szCs w:val="18"/>
              </w:rPr>
              <w:t>)</w:t>
            </w:r>
            <w:r w:rsidRPr="00191C09">
              <w:rPr>
                <w:rFonts w:cstheme="minorHAnsi"/>
                <w:color w:val="000000"/>
                <w:sz w:val="18"/>
                <w:szCs w:val="18"/>
              </w:rPr>
              <w:fldChar w:fldCharType="end"/>
            </w:r>
          </w:p>
          <w:p w14:paraId="6534B35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NHIS-CCS</w:t>
            </w:r>
          </w:p>
          <w:p w14:paraId="31D09E8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2B5F0C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785FC72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Tried to quit smoking in the past 12 months </w:t>
            </w:r>
          </w:p>
          <w:p w14:paraId="0D67826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49%</w:t>
            </w:r>
          </w:p>
          <w:p w14:paraId="57035B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w:t>
            </w:r>
            <w:r>
              <w:rPr>
                <w:rFonts w:asciiTheme="minorHAnsi" w:hAnsiTheme="minorHAnsi" w:cstheme="minorHAnsi"/>
                <w:sz w:val="18"/>
                <w:szCs w:val="18"/>
              </w:rPr>
              <w:t xml:space="preserve"> </w:t>
            </w:r>
            <w:r w:rsidRPr="00191C09">
              <w:rPr>
                <w:rFonts w:asciiTheme="minorHAnsi" w:hAnsiTheme="minorHAnsi" w:cstheme="minorHAnsi"/>
                <w:sz w:val="18"/>
                <w:szCs w:val="18"/>
              </w:rPr>
              <w:t>41%</w:t>
            </w:r>
          </w:p>
        </w:tc>
        <w:tc>
          <w:tcPr>
            <w:tcW w:w="3990" w:type="dxa"/>
            <w:shd w:val="clear" w:color="auto" w:fill="auto"/>
            <w:tcMar>
              <w:top w:w="62" w:type="dxa"/>
              <w:left w:w="62" w:type="dxa"/>
              <w:bottom w:w="62" w:type="dxa"/>
              <w:right w:w="62" w:type="dxa"/>
            </w:tcMar>
          </w:tcPr>
          <w:p w14:paraId="36C8D83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NR</w:t>
            </w:r>
          </w:p>
        </w:tc>
      </w:tr>
      <w:tr w:rsidR="007F0AE0" w:rsidRPr="00191C09" w14:paraId="726C3431" w14:textId="77777777" w:rsidTr="00453DE3">
        <w:tc>
          <w:tcPr>
            <w:tcW w:w="2335" w:type="dxa"/>
            <w:shd w:val="clear" w:color="auto" w:fill="auto"/>
            <w:tcMar>
              <w:top w:w="62" w:type="dxa"/>
              <w:left w:w="62" w:type="dxa"/>
              <w:bottom w:w="62" w:type="dxa"/>
              <w:right w:w="62" w:type="dxa"/>
            </w:tcMar>
          </w:tcPr>
          <w:p w14:paraId="61B1A3DB"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43" w:tooltip="Thihalolipavan, 2014 #12" w:history="1">
              <w:r>
                <w:rPr>
                  <w:rFonts w:cstheme="minorHAnsi"/>
                  <w:noProof/>
                  <w:sz w:val="18"/>
                  <w:szCs w:val="18"/>
                </w:rPr>
                <w:t>43</w:t>
              </w:r>
            </w:hyperlink>
            <w:r>
              <w:rPr>
                <w:rFonts w:cstheme="minorHAnsi"/>
                <w:noProof/>
                <w:sz w:val="18"/>
                <w:szCs w:val="18"/>
              </w:rPr>
              <w:t>)</w:t>
            </w:r>
            <w:r w:rsidRPr="00191C09">
              <w:rPr>
                <w:rFonts w:cstheme="minorHAnsi"/>
                <w:sz w:val="18"/>
                <w:szCs w:val="18"/>
              </w:rPr>
              <w:fldChar w:fldCharType="end"/>
            </w:r>
          </w:p>
          <w:p w14:paraId="76E7EC4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3A60A3A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430" w:type="dxa"/>
            <w:tcMar>
              <w:top w:w="62" w:type="dxa"/>
              <w:left w:w="62" w:type="dxa"/>
              <w:bottom w:w="62" w:type="dxa"/>
              <w:right w:w="62" w:type="dxa"/>
            </w:tcMar>
          </w:tcPr>
          <w:p w14:paraId="287336A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6705721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Use of program-provided quit aid</w:t>
            </w:r>
            <w:r w:rsidRPr="00191C09">
              <w:rPr>
                <w:rFonts w:asciiTheme="minorHAnsi" w:hAnsiTheme="minorHAnsi" w:cstheme="minorHAnsi"/>
                <w:sz w:val="18"/>
                <w:szCs w:val="18"/>
                <w:u w:val="single"/>
              </w:rPr>
              <w:t xml:space="preserve"> </w:t>
            </w:r>
          </w:p>
          <w:p w14:paraId="56F70E7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3-6 weeks post-baseline:</w:t>
            </w:r>
          </w:p>
          <w:p w14:paraId="5EF295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71.8%</w:t>
            </w:r>
          </w:p>
          <w:p w14:paraId="1B5DC75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66.4%</w:t>
            </w:r>
          </w:p>
        </w:tc>
        <w:tc>
          <w:tcPr>
            <w:tcW w:w="3990" w:type="dxa"/>
            <w:shd w:val="clear" w:color="auto" w:fill="auto"/>
            <w:tcMar>
              <w:top w:w="62" w:type="dxa"/>
              <w:left w:w="62" w:type="dxa"/>
              <w:bottom w:w="62" w:type="dxa"/>
              <w:right w:w="62" w:type="dxa"/>
            </w:tcMar>
          </w:tcPr>
          <w:p w14:paraId="77B4E96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NR</w:t>
            </w:r>
          </w:p>
        </w:tc>
      </w:tr>
      <w:tr w:rsidR="007F0AE0" w:rsidRPr="00191C09" w14:paraId="4692C4E5" w14:textId="77777777" w:rsidTr="00453DE3">
        <w:tc>
          <w:tcPr>
            <w:tcW w:w="2335" w:type="dxa"/>
            <w:shd w:val="clear" w:color="auto" w:fill="auto"/>
            <w:tcMar>
              <w:top w:w="62" w:type="dxa"/>
              <w:left w:w="62" w:type="dxa"/>
              <w:bottom w:w="62" w:type="dxa"/>
              <w:right w:w="62" w:type="dxa"/>
            </w:tcMar>
          </w:tcPr>
          <w:p w14:paraId="3C1B3928"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35" w:tooltip="Webb Hooper, 2011 #51" w:history="1">
              <w:r>
                <w:rPr>
                  <w:rFonts w:cstheme="minorHAnsi"/>
                  <w:noProof/>
                  <w:color w:val="000000"/>
                  <w:sz w:val="18"/>
                  <w:szCs w:val="18"/>
                </w:rPr>
                <w:t>35</w:t>
              </w:r>
            </w:hyperlink>
            <w:r>
              <w:rPr>
                <w:rFonts w:cstheme="minorHAnsi"/>
                <w:noProof/>
                <w:color w:val="000000"/>
                <w:sz w:val="18"/>
                <w:szCs w:val="18"/>
              </w:rPr>
              <w:t>)</w:t>
            </w:r>
            <w:r w:rsidRPr="00191C09">
              <w:rPr>
                <w:rFonts w:cstheme="minorHAnsi"/>
                <w:color w:val="000000"/>
                <w:sz w:val="18"/>
                <w:szCs w:val="18"/>
              </w:rPr>
              <w:fldChar w:fldCharType="end"/>
            </w:r>
          </w:p>
          <w:p w14:paraId="7B6C890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BRFSS</w:t>
            </w:r>
          </w:p>
          <w:p w14:paraId="0DD18EB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430" w:type="dxa"/>
            <w:tcMar>
              <w:top w:w="62" w:type="dxa"/>
              <w:left w:w="62" w:type="dxa"/>
              <w:bottom w:w="62" w:type="dxa"/>
              <w:right w:w="62" w:type="dxa"/>
            </w:tcMar>
          </w:tcPr>
          <w:p w14:paraId="3B5BB1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140" w:type="dxa"/>
            <w:shd w:val="clear" w:color="auto" w:fill="auto"/>
            <w:tcMar>
              <w:top w:w="62" w:type="dxa"/>
              <w:left w:w="62" w:type="dxa"/>
              <w:bottom w:w="62" w:type="dxa"/>
              <w:right w:w="62" w:type="dxa"/>
            </w:tcMar>
          </w:tcPr>
          <w:p w14:paraId="47C10AB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"During the past 12 months, have you stopped smoking for 1 day or longer because you were trying to quit smoking?"</w:t>
            </w:r>
            <w:r>
              <w:rPr>
                <w:rFonts w:asciiTheme="minorHAnsi" w:hAnsiTheme="minorHAnsi" w:cstheme="minorHAnsi"/>
                <w:sz w:val="18"/>
                <w:szCs w:val="18"/>
              </w:rPr>
              <w:t xml:space="preserve"> </w:t>
            </w:r>
          </w:p>
          <w:p w14:paraId="53C426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 </w:t>
            </w:r>
            <w:r>
              <w:rPr>
                <w:rFonts w:asciiTheme="minorHAnsi" w:hAnsiTheme="minorHAnsi" w:cstheme="minorHAnsi"/>
                <w:sz w:val="18"/>
                <w:szCs w:val="18"/>
              </w:rPr>
              <w:t>27</w:t>
            </w:r>
            <w:r w:rsidRPr="00191C09">
              <w:rPr>
                <w:rFonts w:asciiTheme="minorHAnsi" w:hAnsiTheme="minorHAnsi" w:cstheme="minorHAnsi"/>
                <w:sz w:val="18"/>
                <w:szCs w:val="18"/>
              </w:rPr>
              <w:t>.3%</w:t>
            </w:r>
          </w:p>
          <w:p w14:paraId="2713716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NM: </w:t>
            </w:r>
            <w:r>
              <w:rPr>
                <w:rFonts w:asciiTheme="minorHAnsi" w:hAnsiTheme="minorHAnsi" w:cstheme="minorHAnsi"/>
                <w:sz w:val="18"/>
                <w:szCs w:val="18"/>
              </w:rPr>
              <w:t>72.7</w:t>
            </w:r>
            <w:r w:rsidRPr="00191C09">
              <w:rPr>
                <w:rFonts w:asciiTheme="minorHAnsi" w:hAnsiTheme="minorHAnsi" w:cstheme="minorHAnsi"/>
                <w:sz w:val="18"/>
                <w:szCs w:val="18"/>
              </w:rPr>
              <w:t>%</w:t>
            </w:r>
          </w:p>
          <w:p w14:paraId="2FF17D9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t>
            </w:r>
            <w:r>
              <w:rPr>
                <w:rFonts w:asciiTheme="minorHAnsi" w:hAnsiTheme="minorHAnsi" w:cstheme="minorHAnsi"/>
                <w:sz w:val="18"/>
                <w:szCs w:val="18"/>
              </w:rPr>
              <w:t xml:space="preserve">between group </w:t>
            </w:r>
            <w:r w:rsidRPr="00191C09">
              <w:rPr>
                <w:rFonts w:asciiTheme="minorHAnsi" w:hAnsiTheme="minorHAnsi" w:cstheme="minorHAnsi"/>
                <w:sz w:val="18"/>
                <w:szCs w:val="18"/>
              </w:rPr>
              <w:t>p=0.10)</w:t>
            </w:r>
          </w:p>
        </w:tc>
        <w:tc>
          <w:tcPr>
            <w:tcW w:w="3990" w:type="dxa"/>
            <w:shd w:val="clear" w:color="auto" w:fill="auto"/>
            <w:tcMar>
              <w:top w:w="62" w:type="dxa"/>
              <w:left w:w="62" w:type="dxa"/>
              <w:bottom w:w="62" w:type="dxa"/>
              <w:right w:w="62" w:type="dxa"/>
            </w:tcMar>
          </w:tcPr>
          <w:p w14:paraId="5E6AE9A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NR</w:t>
            </w:r>
          </w:p>
        </w:tc>
      </w:tr>
    </w:tbl>
    <w:p w14:paraId="0798707E"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lastRenderedPageBreak/>
        <w:t>a</w:t>
      </w:r>
      <w:r w:rsidRPr="00494051">
        <w:rPr>
          <w:rFonts w:cstheme="minorHAnsi"/>
          <w:sz w:val="18"/>
          <w:szCs w:val="18"/>
        </w:rPr>
        <w:t>Current smokers at the time of interview who reported smoking on &lt;12 days in the past 30 days were asked whether they tried to quit smoking completely during the last 12 months. Current smokers at the time of interview who smoked ≥12 days in the past 30 days were asked (1) if they ever stopped smoking for 1 day or longer because they were trying to quit, and, for those who responded “yes,” (2) if they ever stopped smoking for 1 day or longer during the past 12 months because they were trying to quit. Former smokers at time of interview reported the length of time since they completely quit smoking (if the length of time was during the past year they were classified as having a quit attempt during the past year).</w:t>
      </w:r>
    </w:p>
    <w:p w14:paraId="7E204971"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rPr>
        <w:t>Abbreviations: BRFSS=Behavioral Risk Factor Surveillance System; CPD=cigarettes per day; ITC-4=International Tobacco Control Four Country Survey (U.S. data only); LYAC=Legacy Young Adult Cohort; M=menthol; N=number; NM=non-menthol; NR=not reported; NYAHS=National Young Adult Health Survey; OR=odds ratio; ref=reference; TUS-CPS=Tobacco Use Supplement t</w:t>
      </w:r>
      <w:r>
        <w:rPr>
          <w:rFonts w:cstheme="minorHAnsi"/>
          <w:sz w:val="18"/>
          <w:szCs w:val="18"/>
        </w:rPr>
        <w:t>o the Current Population Survey</w:t>
      </w:r>
      <w:r w:rsidRPr="00494051">
        <w:rPr>
          <w:rFonts w:cstheme="minorHAnsi"/>
          <w:sz w:val="18"/>
          <w:szCs w:val="18"/>
        </w:rPr>
        <w:t>; VA=Veterans Health Administration.</w:t>
      </w:r>
    </w:p>
    <w:p w14:paraId="37AE72AE" w14:textId="77777777" w:rsidR="007F0AE0" w:rsidRPr="00494051" w:rsidRDefault="007F0AE0" w:rsidP="007F0AE0">
      <w:pPr>
        <w:pStyle w:val="AppTableNote"/>
        <w:rPr>
          <w:rFonts w:asciiTheme="minorHAnsi" w:hAnsiTheme="minorHAnsi" w:cstheme="minorHAnsi"/>
          <w:b/>
          <w:sz w:val="22"/>
          <w:szCs w:val="22"/>
        </w:rPr>
        <w:sectPr w:rsidR="007F0AE0" w:rsidRPr="00494051" w:rsidSect="00A25B9D">
          <w:pgSz w:w="15840" w:h="12240" w:orient="landscape"/>
          <w:pgMar w:top="1440" w:right="1440" w:bottom="1440" w:left="1440" w:header="720" w:footer="720" w:gutter="0"/>
          <w:cols w:space="720"/>
          <w:titlePg/>
          <w:docGrid w:linePitch="360"/>
        </w:sectPr>
      </w:pPr>
    </w:p>
    <w:p w14:paraId="3A725627" w14:textId="77777777" w:rsidR="007F0AE0" w:rsidRPr="00494051" w:rsidRDefault="007F0AE0" w:rsidP="007F0AE0">
      <w:pPr>
        <w:pStyle w:val="AppTableNote"/>
        <w:outlineLvl w:val="1"/>
        <w:rPr>
          <w:rFonts w:asciiTheme="minorHAnsi" w:hAnsiTheme="minorHAnsi" w:cstheme="minorHAnsi"/>
          <w:b/>
          <w:sz w:val="22"/>
          <w:szCs w:val="22"/>
        </w:rPr>
      </w:pPr>
      <w:bookmarkStart w:id="24" w:name="Table7_3"/>
      <w:r w:rsidRPr="00494051">
        <w:rPr>
          <w:rFonts w:asciiTheme="minorHAnsi" w:hAnsiTheme="minorHAnsi" w:cstheme="minorHAnsi"/>
          <w:b/>
          <w:sz w:val="22"/>
          <w:szCs w:val="22"/>
        </w:rPr>
        <w:lastRenderedPageBreak/>
        <w:t xml:space="preserve">Table </w:t>
      </w:r>
      <w:r>
        <w:rPr>
          <w:rFonts w:asciiTheme="minorHAnsi" w:hAnsiTheme="minorHAnsi" w:cstheme="minorHAnsi"/>
          <w:b/>
          <w:sz w:val="22"/>
          <w:szCs w:val="22"/>
        </w:rPr>
        <w:t>10</w:t>
      </w:r>
      <w:r w:rsidRPr="00494051">
        <w:rPr>
          <w:rFonts w:asciiTheme="minorHAnsi" w:hAnsiTheme="minorHAnsi" w:cstheme="minorHAnsi"/>
          <w:b/>
          <w:sz w:val="22"/>
          <w:szCs w:val="22"/>
        </w:rPr>
        <w:t>-3: Modeled / Adjusted Results</w:t>
      </w:r>
      <w:r>
        <w:rPr>
          <w:rFonts w:asciiTheme="minorHAnsi" w:hAnsiTheme="minorHAnsi" w:cstheme="minorHAnsi"/>
          <w:b/>
          <w:sz w:val="22"/>
          <w:szCs w:val="22"/>
        </w:rPr>
        <w:t xml:space="preserve"> (</w:t>
      </w:r>
      <w:r w:rsidRPr="00494051">
        <w:rPr>
          <w:rFonts w:asciiTheme="minorHAnsi" w:hAnsiTheme="minorHAnsi" w:cstheme="minorHAnsi"/>
          <w:b/>
          <w:sz w:val="22"/>
          <w:szCs w:val="22"/>
        </w:rPr>
        <w:t>Duration of Abstinence, Rate of Abstinence/Quitting, and Return to Smoking/Relapse</w:t>
      </w:r>
      <w:r>
        <w:rPr>
          <w:rFonts w:asciiTheme="minorHAnsi" w:hAnsiTheme="minorHAnsi" w:cstheme="minorHAnsi"/>
          <w:b/>
          <w:sz w:val="22"/>
          <w:szCs w:val="22"/>
        </w:rPr>
        <w:t>)</w:t>
      </w:r>
    </w:p>
    <w:tbl>
      <w:tblPr>
        <w:tblStyle w:val="TableGrid7"/>
        <w:tblW w:w="12895" w:type="dxa"/>
        <w:tblLook w:val="04A0" w:firstRow="1" w:lastRow="0" w:firstColumn="1" w:lastColumn="0" w:noHBand="0" w:noVBand="1"/>
      </w:tblPr>
      <w:tblGrid>
        <w:gridCol w:w="1630"/>
        <w:gridCol w:w="2144"/>
        <w:gridCol w:w="2267"/>
        <w:gridCol w:w="4869"/>
        <w:gridCol w:w="1985"/>
      </w:tblGrid>
      <w:tr w:rsidR="007F0AE0" w:rsidRPr="00191C09" w14:paraId="755C7060" w14:textId="77777777" w:rsidTr="00453DE3">
        <w:trPr>
          <w:trHeight w:val="1061"/>
          <w:tblHeader/>
        </w:trPr>
        <w:tc>
          <w:tcPr>
            <w:tcW w:w="1630" w:type="dxa"/>
            <w:shd w:val="clear" w:color="auto" w:fill="44546A"/>
            <w:tcMar>
              <w:top w:w="62" w:type="dxa"/>
              <w:left w:w="62" w:type="dxa"/>
              <w:bottom w:w="62" w:type="dxa"/>
              <w:right w:w="62" w:type="dxa"/>
            </w:tcMar>
          </w:tcPr>
          <w:bookmarkEnd w:id="24"/>
          <w:p w14:paraId="4F5FE0F2"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First Author, Year</w:t>
            </w:r>
          </w:p>
          <w:p w14:paraId="2C458865"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National survey name</w:t>
            </w:r>
          </w:p>
          <w:p w14:paraId="028E546D"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Special population</w:t>
            </w:r>
          </w:p>
        </w:tc>
        <w:tc>
          <w:tcPr>
            <w:tcW w:w="2144" w:type="dxa"/>
            <w:shd w:val="clear" w:color="auto" w:fill="44546A"/>
            <w:tcMar>
              <w:top w:w="62" w:type="dxa"/>
              <w:left w:w="62" w:type="dxa"/>
              <w:bottom w:w="62" w:type="dxa"/>
              <w:right w:w="62" w:type="dxa"/>
            </w:tcMar>
          </w:tcPr>
          <w:p w14:paraId="294982E3"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Menthol as dependent or independent variable;</w:t>
            </w:r>
          </w:p>
          <w:p w14:paraId="042EF52B"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Model;</w:t>
            </w:r>
          </w:p>
          <w:p w14:paraId="18802DAB"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Covariates</w:t>
            </w:r>
          </w:p>
        </w:tc>
        <w:tc>
          <w:tcPr>
            <w:tcW w:w="2267" w:type="dxa"/>
            <w:shd w:val="clear" w:color="auto" w:fill="44546A"/>
            <w:tcMar>
              <w:top w:w="62" w:type="dxa"/>
              <w:left w:w="62" w:type="dxa"/>
              <w:bottom w:w="62" w:type="dxa"/>
              <w:right w:w="62" w:type="dxa"/>
            </w:tcMar>
          </w:tcPr>
          <w:p w14:paraId="0864B1B2"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Duration of abstinence</w:t>
            </w:r>
          </w:p>
        </w:tc>
        <w:tc>
          <w:tcPr>
            <w:tcW w:w="4869" w:type="dxa"/>
            <w:shd w:val="clear" w:color="auto" w:fill="44546A"/>
            <w:tcMar>
              <w:top w:w="62" w:type="dxa"/>
              <w:left w:w="62" w:type="dxa"/>
              <w:bottom w:w="62" w:type="dxa"/>
              <w:right w:w="62" w:type="dxa"/>
            </w:tcMar>
          </w:tcPr>
          <w:p w14:paraId="1A01B276" w14:textId="77777777" w:rsidR="007F0AE0" w:rsidRPr="00191C09" w:rsidRDefault="007F0AE0" w:rsidP="00453DE3">
            <w:pPr>
              <w:jc w:val="center"/>
              <w:rPr>
                <w:rFonts w:asciiTheme="minorHAnsi" w:hAnsiTheme="minorHAnsi" w:cstheme="minorHAnsi"/>
                <w:b/>
                <w:color w:val="FFFFFF"/>
                <w:sz w:val="18"/>
                <w:szCs w:val="18"/>
              </w:rPr>
            </w:pPr>
            <w:r w:rsidRPr="00191C09">
              <w:rPr>
                <w:rFonts w:asciiTheme="minorHAnsi" w:hAnsiTheme="minorHAnsi" w:cstheme="minorHAnsi"/>
                <w:b/>
                <w:color w:val="FFFFFF"/>
                <w:sz w:val="18"/>
                <w:szCs w:val="18"/>
              </w:rPr>
              <w:t>Rate of abstinence/quitting</w:t>
            </w:r>
          </w:p>
        </w:tc>
        <w:tc>
          <w:tcPr>
            <w:tcW w:w="1985" w:type="dxa"/>
            <w:shd w:val="clear" w:color="auto" w:fill="44546A"/>
            <w:tcMar>
              <w:top w:w="62" w:type="dxa"/>
              <w:left w:w="62" w:type="dxa"/>
              <w:bottom w:w="62" w:type="dxa"/>
              <w:right w:w="62" w:type="dxa"/>
            </w:tcMar>
          </w:tcPr>
          <w:p w14:paraId="4E282691" w14:textId="77777777" w:rsidR="007F0AE0" w:rsidRPr="00191C09" w:rsidRDefault="007F0AE0" w:rsidP="00453DE3">
            <w:pPr>
              <w:jc w:val="center"/>
              <w:rPr>
                <w:rFonts w:asciiTheme="minorHAnsi" w:hAnsiTheme="minorHAnsi" w:cstheme="minorHAnsi"/>
                <w:b/>
                <w:color w:val="FFFFFF"/>
                <w:sz w:val="18"/>
                <w:szCs w:val="18"/>
              </w:rPr>
            </w:pPr>
            <w:r>
              <w:rPr>
                <w:rFonts w:asciiTheme="minorHAnsi" w:hAnsiTheme="minorHAnsi" w:cstheme="minorHAnsi"/>
                <w:b/>
                <w:color w:val="FFFFFF"/>
                <w:sz w:val="18"/>
                <w:szCs w:val="18"/>
              </w:rPr>
              <w:t>Return to smoking</w:t>
            </w:r>
            <w:r w:rsidRPr="00191C09">
              <w:rPr>
                <w:rFonts w:asciiTheme="minorHAnsi" w:hAnsiTheme="minorHAnsi" w:cstheme="minorHAnsi"/>
                <w:b/>
                <w:color w:val="FFFFFF"/>
                <w:sz w:val="18"/>
                <w:szCs w:val="18"/>
              </w:rPr>
              <w:t>/relapse</w:t>
            </w:r>
          </w:p>
        </w:tc>
      </w:tr>
      <w:tr w:rsidR="007F0AE0" w:rsidRPr="00191C09" w14:paraId="271C847F" w14:textId="77777777" w:rsidTr="00453DE3">
        <w:trPr>
          <w:trHeight w:val="1061"/>
        </w:trPr>
        <w:tc>
          <w:tcPr>
            <w:tcW w:w="1630" w:type="dxa"/>
            <w:shd w:val="clear" w:color="auto" w:fill="auto"/>
            <w:tcMar>
              <w:top w:w="62" w:type="dxa"/>
              <w:left w:w="62" w:type="dxa"/>
              <w:bottom w:w="62" w:type="dxa"/>
              <w:right w:w="62" w:type="dxa"/>
            </w:tcMar>
          </w:tcPr>
          <w:p w14:paraId="764FFBB2" w14:textId="77777777" w:rsidR="007F0AE0" w:rsidRPr="00191C09" w:rsidRDefault="007F0AE0" w:rsidP="00453DE3">
            <w:pPr>
              <w:rPr>
                <w:rFonts w:asciiTheme="minorHAnsi" w:hAnsiTheme="minorHAnsi" w:cstheme="minorHAnsi"/>
                <w:color w:val="000000"/>
                <w:sz w:val="18"/>
                <w:szCs w:val="18"/>
              </w:rPr>
            </w:pPr>
            <w:r>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24" w:tooltip="Okuyemi, 2007 #74" w:history="1">
              <w:r>
                <w:rPr>
                  <w:rFonts w:cstheme="minorHAnsi"/>
                  <w:noProof/>
                  <w:color w:val="000000"/>
                  <w:sz w:val="18"/>
                  <w:szCs w:val="18"/>
                </w:rPr>
                <w:t>24</w:t>
              </w:r>
            </w:hyperlink>
            <w:r>
              <w:rPr>
                <w:rFonts w:cstheme="minorHAnsi"/>
                <w:noProof/>
                <w:color w:val="000000"/>
                <w:sz w:val="18"/>
                <w:szCs w:val="18"/>
              </w:rPr>
              <w:t xml:space="preserve">, </w:t>
            </w:r>
            <w:hyperlink w:anchor="_ENREF_67" w:tooltip="Berg, 2010 #102" w:history="1">
              <w:r>
                <w:rPr>
                  <w:rFonts w:cstheme="minorHAnsi"/>
                  <w:noProof/>
                  <w:color w:val="000000"/>
                  <w:sz w:val="18"/>
                  <w:szCs w:val="18"/>
                </w:rPr>
                <w:t>67</w:t>
              </w:r>
            </w:hyperlink>
            <w:r>
              <w:rPr>
                <w:rFonts w:cstheme="minorHAnsi"/>
                <w:noProof/>
                <w:color w:val="000000"/>
                <w:sz w:val="18"/>
                <w:szCs w:val="18"/>
              </w:rPr>
              <w:t>)</w:t>
            </w:r>
            <w:r>
              <w:rPr>
                <w:rFonts w:cstheme="minorHAnsi"/>
                <w:color w:val="000000"/>
                <w:sz w:val="18"/>
                <w:szCs w:val="18"/>
              </w:rPr>
              <w:fldChar w:fldCharType="end"/>
            </w:r>
          </w:p>
          <w:p w14:paraId="7577E05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12E71DA4" w14:textId="77777777" w:rsidR="007F0AE0" w:rsidRPr="00F52E88"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light smokers (≤10 CPD)</w:t>
            </w:r>
          </w:p>
        </w:tc>
        <w:tc>
          <w:tcPr>
            <w:tcW w:w="2144" w:type="dxa"/>
            <w:shd w:val="clear" w:color="auto" w:fill="auto"/>
            <w:tcMar>
              <w:top w:w="62" w:type="dxa"/>
              <w:left w:w="62" w:type="dxa"/>
              <w:bottom w:w="62" w:type="dxa"/>
              <w:right w:w="62" w:type="dxa"/>
            </w:tcMar>
          </w:tcPr>
          <w:p w14:paraId="4768C590"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Independent;</w:t>
            </w:r>
          </w:p>
          <w:p w14:paraId="19700CDE"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Logistic regression;</w:t>
            </w:r>
          </w:p>
          <w:p w14:paraId="7AAA552B"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Drug and counseling treatment assignments, confidence to quit smoking</w:t>
            </w:r>
          </w:p>
          <w:p w14:paraId="73925F7C" w14:textId="77777777" w:rsidR="007F0AE0" w:rsidRPr="00F52E88" w:rsidRDefault="007F0AE0" w:rsidP="00453DE3">
            <w:pPr>
              <w:rPr>
                <w:rFonts w:asciiTheme="minorHAnsi" w:hAnsiTheme="minorHAnsi" w:cstheme="minorHAnsi"/>
                <w:sz w:val="18"/>
                <w:szCs w:val="18"/>
              </w:rPr>
            </w:pPr>
          </w:p>
        </w:tc>
        <w:tc>
          <w:tcPr>
            <w:tcW w:w="2267" w:type="dxa"/>
            <w:shd w:val="clear" w:color="auto" w:fill="auto"/>
            <w:tcMar>
              <w:top w:w="62" w:type="dxa"/>
              <w:left w:w="62" w:type="dxa"/>
              <w:bottom w:w="62" w:type="dxa"/>
              <w:right w:w="62" w:type="dxa"/>
            </w:tcMar>
          </w:tcPr>
          <w:p w14:paraId="516604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51C64323"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sz w:val="18"/>
                <w:szCs w:val="18"/>
              </w:rPr>
              <w:t>Cotinine-verified 7-day PPA: not having smoked even a puff for past 7 days</w:t>
            </w:r>
            <w:r w:rsidRPr="00191C09">
              <w:rPr>
                <w:rFonts w:asciiTheme="minorHAnsi" w:hAnsiTheme="minorHAnsi" w:cstheme="minorHAnsi"/>
                <w:color w:val="000000"/>
                <w:sz w:val="18"/>
                <w:szCs w:val="18"/>
              </w:rPr>
              <w:t xml:space="preserve"> (</w:t>
            </w:r>
            <w:hyperlink w:anchor="_ENREF_68" w:tooltip="Okuyemi, 2007 #74" w:history="1">
              <w:r w:rsidRPr="00191C09">
                <w:rPr>
                  <w:rFonts w:asciiTheme="minorHAnsi" w:hAnsiTheme="minorHAnsi" w:cstheme="minorHAnsi"/>
                  <w:noProof/>
                  <w:color w:val="000000"/>
                  <w:sz w:val="18"/>
                  <w:szCs w:val="18"/>
                </w:rPr>
                <w:t>Okuyemi et al., 2007a</w:t>
              </w:r>
            </w:hyperlink>
            <w:r w:rsidRPr="00191C09">
              <w:rPr>
                <w:rFonts w:asciiTheme="minorHAnsi" w:hAnsiTheme="minorHAnsi" w:cstheme="minorHAnsi"/>
                <w:color w:val="000000"/>
                <w:sz w:val="18"/>
                <w:szCs w:val="18"/>
              </w:rPr>
              <w:t>)</w:t>
            </w:r>
          </w:p>
          <w:p w14:paraId="3E0A83DC"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At 26 weeks</w:t>
            </w:r>
          </w:p>
          <w:p w14:paraId="34716936"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 xml:space="preserve">Age &lt;50 years </w:t>
            </w:r>
          </w:p>
          <w:p w14:paraId="7DDE11B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2.077 (0.944 to 4.569); p=0.069</w:t>
            </w:r>
          </w:p>
          <w:p w14:paraId="4B5B4053"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 xml:space="preserve">Age ≥50 years </w:t>
            </w:r>
          </w:p>
          <w:p w14:paraId="06BF80B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1.676 (0.760 to 3.698); p=0.221</w:t>
            </w:r>
          </w:p>
          <w:p w14:paraId="7BB936F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 significant interaction between categorized age (&lt; 50 versus ≥50) and menthol status on 7-day PPA at week 26 (P=0.93)”</w:t>
            </w:r>
          </w:p>
        </w:tc>
        <w:tc>
          <w:tcPr>
            <w:tcW w:w="1985" w:type="dxa"/>
            <w:shd w:val="clear" w:color="auto" w:fill="auto"/>
            <w:tcMar>
              <w:top w:w="62" w:type="dxa"/>
              <w:left w:w="62" w:type="dxa"/>
              <w:bottom w:w="62" w:type="dxa"/>
              <w:right w:w="62" w:type="dxa"/>
            </w:tcMar>
          </w:tcPr>
          <w:p w14:paraId="0B7F20DD" w14:textId="77777777" w:rsidR="007F0AE0" w:rsidRPr="00191C09" w:rsidRDefault="007F0AE0" w:rsidP="00453DE3">
            <w:pPr>
              <w:rPr>
                <w:rFonts w:asciiTheme="minorHAnsi" w:hAnsiTheme="minorHAnsi" w:cstheme="minorHAnsi"/>
                <w:sz w:val="18"/>
                <w:szCs w:val="18"/>
              </w:rPr>
            </w:pPr>
            <w:r w:rsidRPr="00F52E88">
              <w:rPr>
                <w:rFonts w:cstheme="minorHAnsi"/>
                <w:sz w:val="18"/>
                <w:szCs w:val="18"/>
              </w:rPr>
              <w:t>NR</w:t>
            </w:r>
          </w:p>
        </w:tc>
      </w:tr>
      <w:tr w:rsidR="007F0AE0" w:rsidRPr="00191C09" w14:paraId="40496DCB" w14:textId="77777777" w:rsidTr="00453DE3">
        <w:trPr>
          <w:trHeight w:val="1061"/>
        </w:trPr>
        <w:tc>
          <w:tcPr>
            <w:tcW w:w="1630" w:type="dxa"/>
            <w:shd w:val="clear" w:color="auto" w:fill="auto"/>
            <w:tcMar>
              <w:top w:w="62" w:type="dxa"/>
              <w:left w:w="62" w:type="dxa"/>
              <w:bottom w:w="62" w:type="dxa"/>
              <w:right w:w="62" w:type="dxa"/>
            </w:tcMar>
          </w:tcPr>
          <w:p w14:paraId="0C13B72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191C09">
              <w:rPr>
                <w:rFonts w:cstheme="minorHAnsi"/>
                <w:color w:val="000000"/>
                <w:sz w:val="18"/>
                <w:szCs w:val="18"/>
              </w:rPr>
              <w:fldChar w:fldCharType="end"/>
            </w:r>
          </w:p>
          <w:p w14:paraId="6B673EA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2DB1F1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Aged 40-79 living in southern U.S. states</w:t>
            </w:r>
          </w:p>
        </w:tc>
        <w:tc>
          <w:tcPr>
            <w:tcW w:w="2144" w:type="dxa"/>
            <w:shd w:val="clear" w:color="auto" w:fill="auto"/>
            <w:tcMar>
              <w:top w:w="62" w:type="dxa"/>
              <w:left w:w="62" w:type="dxa"/>
              <w:bottom w:w="62" w:type="dxa"/>
              <w:right w:w="62" w:type="dxa"/>
            </w:tcMar>
          </w:tcPr>
          <w:p w14:paraId="5B44F64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7FA990F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272AEE8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body mass index, annual household income, education, recruitment source, pack-years of smoking</w:t>
            </w:r>
          </w:p>
        </w:tc>
        <w:tc>
          <w:tcPr>
            <w:tcW w:w="2267" w:type="dxa"/>
            <w:shd w:val="clear" w:color="auto" w:fill="auto"/>
            <w:tcMar>
              <w:top w:w="62" w:type="dxa"/>
              <w:left w:w="62" w:type="dxa"/>
              <w:bottom w:w="62" w:type="dxa"/>
              <w:right w:w="62" w:type="dxa"/>
            </w:tcMar>
          </w:tcPr>
          <w:p w14:paraId="350E98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C02003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Former smoker: quit prior to enrollment</w:t>
            </w:r>
          </w:p>
          <w:p w14:paraId="43CE88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OR (95% CI) for M (ref=NM) </w:t>
            </w:r>
          </w:p>
          <w:p w14:paraId="655F5BF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16583F9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1.55 (1.41 to 1.70)</w:t>
            </w:r>
          </w:p>
          <w:p w14:paraId="528C5F6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6E35645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1.03 (0.96 to 1.11)</w:t>
            </w:r>
          </w:p>
          <w:p w14:paraId="11580B1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Quit rate: quitting during follow-up (mean 4.3 years)</w:t>
            </w:r>
          </w:p>
          <w:p w14:paraId="79AF54B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tc>
        <w:tc>
          <w:tcPr>
            <w:tcW w:w="1985" w:type="dxa"/>
            <w:shd w:val="clear" w:color="auto" w:fill="auto"/>
            <w:tcMar>
              <w:top w:w="62" w:type="dxa"/>
              <w:left w:w="62" w:type="dxa"/>
              <w:bottom w:w="62" w:type="dxa"/>
              <w:right w:w="62" w:type="dxa"/>
            </w:tcMar>
          </w:tcPr>
          <w:p w14:paraId="5652C4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6FDECAF" w14:textId="77777777" w:rsidTr="00453DE3">
        <w:trPr>
          <w:trHeight w:val="1061"/>
        </w:trPr>
        <w:tc>
          <w:tcPr>
            <w:tcW w:w="1630" w:type="dxa"/>
            <w:shd w:val="clear" w:color="auto" w:fill="auto"/>
            <w:tcMar>
              <w:top w:w="62" w:type="dxa"/>
              <w:left w:w="62" w:type="dxa"/>
              <w:bottom w:w="62" w:type="dxa"/>
              <w:right w:w="62" w:type="dxa"/>
            </w:tcMar>
          </w:tcPr>
          <w:p w14:paraId="5C05D1EC"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65" w:tooltip="Cropsey, 2009 #66" w:history="1">
              <w:r w:rsidRPr="00342AED">
                <w:rPr>
                  <w:rFonts w:asciiTheme="minorHAnsi" w:hAnsiTheme="minorHAnsi" w:cstheme="minorHAnsi"/>
                  <w:noProof/>
                  <w:color w:val="000000"/>
                  <w:sz w:val="18"/>
                  <w:szCs w:val="18"/>
                </w:rPr>
                <w:t>65</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6653280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1F33272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Female prisoners</w:t>
            </w:r>
          </w:p>
        </w:tc>
        <w:tc>
          <w:tcPr>
            <w:tcW w:w="2144" w:type="dxa"/>
            <w:shd w:val="clear" w:color="auto" w:fill="auto"/>
            <w:tcMar>
              <w:top w:w="62" w:type="dxa"/>
              <w:left w:w="62" w:type="dxa"/>
              <w:bottom w:w="62" w:type="dxa"/>
              <w:right w:w="62" w:type="dxa"/>
            </w:tcMar>
          </w:tcPr>
          <w:p w14:paraId="0870D2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B3F33C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GEE;</w:t>
            </w:r>
          </w:p>
          <w:p w14:paraId="72B302A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race, education, CPD, change in smoking behavior since coming to prison, prior mental health treatment</w:t>
            </w:r>
          </w:p>
        </w:tc>
        <w:tc>
          <w:tcPr>
            <w:tcW w:w="2267" w:type="dxa"/>
            <w:shd w:val="clear" w:color="auto" w:fill="auto"/>
            <w:tcMar>
              <w:top w:w="62" w:type="dxa"/>
              <w:left w:w="62" w:type="dxa"/>
              <w:bottom w:w="62" w:type="dxa"/>
              <w:right w:w="62" w:type="dxa"/>
            </w:tcMar>
          </w:tcPr>
          <w:p w14:paraId="587ACAD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79C571A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eCO-verified 7-day PPA</w:t>
            </w:r>
          </w:p>
          <w:p w14:paraId="26A5E6B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Wald chi-square=1.2</w:t>
            </w:r>
          </w:p>
          <w:p w14:paraId="458FD1AB"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rPr>
              <w:t>(p=0.27)</w:t>
            </w:r>
          </w:p>
        </w:tc>
        <w:tc>
          <w:tcPr>
            <w:tcW w:w="1985" w:type="dxa"/>
            <w:shd w:val="clear" w:color="auto" w:fill="auto"/>
            <w:tcMar>
              <w:top w:w="62" w:type="dxa"/>
              <w:left w:w="62" w:type="dxa"/>
              <w:bottom w:w="62" w:type="dxa"/>
              <w:right w:w="62" w:type="dxa"/>
            </w:tcMar>
          </w:tcPr>
          <w:p w14:paraId="396B5DE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9435C58" w14:textId="77777777" w:rsidTr="00453DE3">
        <w:trPr>
          <w:trHeight w:val="85"/>
        </w:trPr>
        <w:tc>
          <w:tcPr>
            <w:tcW w:w="1630" w:type="dxa"/>
            <w:tcMar>
              <w:top w:w="62" w:type="dxa"/>
              <w:left w:w="62" w:type="dxa"/>
              <w:bottom w:w="62" w:type="dxa"/>
              <w:right w:w="62" w:type="dxa"/>
            </w:tcMar>
          </w:tcPr>
          <w:p w14:paraId="366DF541"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20" w:tooltip="Cubbin, 2010 #53" w:history="1">
              <w:r>
                <w:rPr>
                  <w:rFonts w:cstheme="minorHAnsi"/>
                  <w:noProof/>
                  <w:sz w:val="18"/>
                  <w:szCs w:val="18"/>
                </w:rPr>
                <w:t>20</w:t>
              </w:r>
            </w:hyperlink>
            <w:r>
              <w:rPr>
                <w:rFonts w:cstheme="minorHAnsi"/>
                <w:noProof/>
                <w:sz w:val="18"/>
                <w:szCs w:val="18"/>
              </w:rPr>
              <w:t>)</w:t>
            </w:r>
            <w:r w:rsidRPr="00191C09">
              <w:rPr>
                <w:rFonts w:cstheme="minorHAnsi"/>
                <w:sz w:val="18"/>
                <w:szCs w:val="18"/>
              </w:rPr>
              <w:fldChar w:fldCharType="end"/>
            </w:r>
          </w:p>
          <w:p w14:paraId="336685D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NHIS-CCS</w:t>
            </w:r>
          </w:p>
          <w:p w14:paraId="7F2A8BE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2144" w:type="dxa"/>
            <w:tcMar>
              <w:top w:w="62" w:type="dxa"/>
              <w:left w:w="62" w:type="dxa"/>
              <w:bottom w:w="62" w:type="dxa"/>
              <w:right w:w="62" w:type="dxa"/>
            </w:tcMar>
          </w:tcPr>
          <w:p w14:paraId="1E454F1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3F723A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Prediction estimates;</w:t>
            </w:r>
          </w:p>
          <w:p w14:paraId="1B1FADC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education, income; multiple gender and race stratifications</w:t>
            </w:r>
          </w:p>
        </w:tc>
        <w:tc>
          <w:tcPr>
            <w:tcW w:w="2267" w:type="dxa"/>
            <w:tcMar>
              <w:top w:w="62" w:type="dxa"/>
              <w:left w:w="62" w:type="dxa"/>
              <w:bottom w:w="62" w:type="dxa"/>
              <w:right w:w="62" w:type="dxa"/>
            </w:tcMar>
          </w:tcPr>
          <w:p w14:paraId="2959E17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Time since quitting (years) among former smokers (≥100 lifetime cigs but no current smoking)</w:t>
            </w:r>
          </w:p>
          <w:p w14:paraId="782C55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Comparing duration of abstinence by cigarette type among the 6 demographic groups, there was a </w:t>
            </w:r>
            <w:r w:rsidRPr="00191C09">
              <w:rPr>
                <w:rFonts w:asciiTheme="minorHAnsi" w:hAnsiTheme="minorHAnsi" w:cstheme="minorHAnsi"/>
                <w:sz w:val="18"/>
                <w:szCs w:val="18"/>
              </w:rPr>
              <w:lastRenderedPageBreak/>
              <w:t xml:space="preserve">statistically significant difference only among White women: </w:t>
            </w:r>
          </w:p>
          <w:p w14:paraId="57D7CD5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14.8 years</w:t>
            </w:r>
          </w:p>
          <w:p w14:paraId="0CEE2A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12.5 years</w:t>
            </w:r>
          </w:p>
          <w:p w14:paraId="27E12F7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(P&lt;0.01)</w:t>
            </w:r>
          </w:p>
          <w:p w14:paraId="04E5CBB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For the other interactions, the duration of abstinence was not significant:</w:t>
            </w:r>
          </w:p>
          <w:p w14:paraId="7EC4A76E" w14:textId="77777777" w:rsidR="007F0AE0" w:rsidRPr="00191C09" w:rsidRDefault="007F0AE0" w:rsidP="00453DE3">
            <w:pPr>
              <w:rPr>
                <w:rFonts w:asciiTheme="minorHAnsi" w:hAnsiTheme="minorHAnsi" w:cstheme="minorHAnsi"/>
                <w:sz w:val="18"/>
                <w:szCs w:val="18"/>
              </w:rPr>
            </w:pPr>
          </w:p>
          <w:p w14:paraId="59582E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White men:</w:t>
            </w:r>
          </w:p>
          <w:p w14:paraId="26FCFB5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14.6 years</w:t>
            </w:r>
          </w:p>
          <w:p w14:paraId="5242B80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13.9 years</w:t>
            </w:r>
          </w:p>
          <w:p w14:paraId="6499ED2E" w14:textId="77777777" w:rsidR="007F0AE0" w:rsidRPr="00191C09" w:rsidRDefault="007F0AE0" w:rsidP="00453DE3">
            <w:pPr>
              <w:rPr>
                <w:rFonts w:asciiTheme="minorHAnsi" w:hAnsiTheme="minorHAnsi" w:cstheme="minorHAnsi"/>
                <w:sz w:val="18"/>
                <w:szCs w:val="18"/>
              </w:rPr>
            </w:pPr>
          </w:p>
          <w:p w14:paraId="002CF05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Black women:</w:t>
            </w:r>
          </w:p>
          <w:p w14:paraId="570D831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13.0 years</w:t>
            </w:r>
          </w:p>
          <w:p w14:paraId="3C6ACD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12.2 years</w:t>
            </w:r>
          </w:p>
          <w:p w14:paraId="68565ADB" w14:textId="77777777" w:rsidR="007F0AE0" w:rsidRPr="00191C09" w:rsidRDefault="007F0AE0" w:rsidP="00453DE3">
            <w:pPr>
              <w:rPr>
                <w:rFonts w:asciiTheme="minorHAnsi" w:hAnsiTheme="minorHAnsi" w:cstheme="minorHAnsi"/>
                <w:sz w:val="18"/>
                <w:szCs w:val="18"/>
              </w:rPr>
            </w:pPr>
          </w:p>
          <w:p w14:paraId="53E8621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Black men:</w:t>
            </w:r>
          </w:p>
          <w:p w14:paraId="1508FB9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11.7 years</w:t>
            </w:r>
          </w:p>
          <w:p w14:paraId="14A83F1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10.6 years</w:t>
            </w:r>
          </w:p>
          <w:p w14:paraId="15887B5F" w14:textId="77777777" w:rsidR="007F0AE0" w:rsidRPr="00191C09" w:rsidRDefault="007F0AE0" w:rsidP="00453DE3">
            <w:pPr>
              <w:rPr>
                <w:rFonts w:asciiTheme="minorHAnsi" w:hAnsiTheme="minorHAnsi" w:cstheme="minorHAnsi"/>
                <w:sz w:val="18"/>
                <w:szCs w:val="18"/>
              </w:rPr>
            </w:pPr>
          </w:p>
          <w:p w14:paraId="2FF199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Hispanic Women:</w:t>
            </w:r>
          </w:p>
          <w:p w14:paraId="628FCB8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13.8 years</w:t>
            </w:r>
          </w:p>
          <w:p w14:paraId="418050F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12.2 years</w:t>
            </w:r>
          </w:p>
          <w:p w14:paraId="72ADDEED" w14:textId="77777777" w:rsidR="007F0AE0" w:rsidRPr="00191C09" w:rsidRDefault="007F0AE0" w:rsidP="00453DE3">
            <w:pPr>
              <w:rPr>
                <w:rFonts w:asciiTheme="minorHAnsi" w:hAnsiTheme="minorHAnsi" w:cstheme="minorHAnsi"/>
                <w:sz w:val="18"/>
                <w:szCs w:val="18"/>
              </w:rPr>
            </w:pPr>
          </w:p>
          <w:p w14:paraId="134E1E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Hispanic men:</w:t>
            </w:r>
          </w:p>
          <w:p w14:paraId="3701D19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 14.2 years</w:t>
            </w:r>
          </w:p>
          <w:p w14:paraId="5BD212C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NM: 14.6 years</w:t>
            </w:r>
          </w:p>
        </w:tc>
        <w:tc>
          <w:tcPr>
            <w:tcW w:w="4869" w:type="dxa"/>
            <w:tcMar>
              <w:top w:w="62" w:type="dxa"/>
              <w:left w:w="62" w:type="dxa"/>
              <w:bottom w:w="62" w:type="dxa"/>
              <w:right w:w="62" w:type="dxa"/>
            </w:tcMar>
          </w:tcPr>
          <w:p w14:paraId="25281BD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1985" w:type="dxa"/>
            <w:tcMar>
              <w:top w:w="62" w:type="dxa"/>
              <w:left w:w="62" w:type="dxa"/>
              <w:bottom w:w="62" w:type="dxa"/>
              <w:right w:w="62" w:type="dxa"/>
            </w:tcMar>
          </w:tcPr>
          <w:p w14:paraId="0EC1BB8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5AF06DD" w14:textId="77777777" w:rsidTr="00453DE3">
        <w:trPr>
          <w:trHeight w:val="1061"/>
        </w:trPr>
        <w:tc>
          <w:tcPr>
            <w:tcW w:w="1630" w:type="dxa"/>
            <w:tcMar>
              <w:top w:w="62" w:type="dxa"/>
              <w:left w:w="62" w:type="dxa"/>
              <w:bottom w:w="62" w:type="dxa"/>
              <w:right w:w="62" w:type="dxa"/>
            </w:tcMar>
          </w:tcPr>
          <w:p w14:paraId="683A67F2"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42" w:tooltip="D'Silva, 2012 #33" w:history="1">
              <w:r>
                <w:rPr>
                  <w:rFonts w:cstheme="minorHAnsi"/>
                  <w:noProof/>
                  <w:sz w:val="18"/>
                  <w:szCs w:val="18"/>
                </w:rPr>
                <w:t>42</w:t>
              </w:r>
            </w:hyperlink>
            <w:r>
              <w:rPr>
                <w:rFonts w:cstheme="minorHAnsi"/>
                <w:noProof/>
                <w:sz w:val="18"/>
                <w:szCs w:val="18"/>
              </w:rPr>
              <w:t>)</w:t>
            </w:r>
            <w:r w:rsidRPr="00191C09">
              <w:rPr>
                <w:rFonts w:cstheme="minorHAnsi"/>
                <w:sz w:val="18"/>
                <w:szCs w:val="18"/>
              </w:rPr>
              <w:fldChar w:fldCharType="end"/>
            </w:r>
          </w:p>
          <w:p w14:paraId="23B28FC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144359A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tc>
        <w:tc>
          <w:tcPr>
            <w:tcW w:w="2144" w:type="dxa"/>
            <w:tcMar>
              <w:top w:w="62" w:type="dxa"/>
              <w:left w:w="62" w:type="dxa"/>
              <w:bottom w:w="62" w:type="dxa"/>
              <w:right w:w="62" w:type="dxa"/>
            </w:tcMar>
          </w:tcPr>
          <w:p w14:paraId="76D24B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7C9922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19CAB01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Age, gender, race/ethnicity, education, marital status, CPD, TTFC, mental health status, </w:t>
            </w:r>
            <w:r w:rsidRPr="00191C09">
              <w:rPr>
                <w:rFonts w:asciiTheme="minorHAnsi" w:hAnsiTheme="minorHAnsi" w:cstheme="minorHAnsi"/>
                <w:sz w:val="18"/>
                <w:szCs w:val="18"/>
              </w:rPr>
              <w:lastRenderedPageBreak/>
              <w:t xml:space="preserve">confidence in quitting, and cessation methods </w:t>
            </w:r>
          </w:p>
        </w:tc>
        <w:tc>
          <w:tcPr>
            <w:tcW w:w="2267" w:type="dxa"/>
            <w:tcMar>
              <w:top w:w="62" w:type="dxa"/>
              <w:left w:w="62" w:type="dxa"/>
              <w:bottom w:w="62" w:type="dxa"/>
              <w:right w:w="62" w:type="dxa"/>
            </w:tcMar>
          </w:tcPr>
          <w:p w14:paraId="0FD29CB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869" w:type="dxa"/>
            <w:tcMar>
              <w:top w:w="62" w:type="dxa"/>
              <w:left w:w="62" w:type="dxa"/>
              <w:bottom w:w="62" w:type="dxa"/>
              <w:right w:w="62" w:type="dxa"/>
            </w:tcMar>
          </w:tcPr>
          <w:p w14:paraId="1DD275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30-day PPA: quit for the past 30 days at the 7-month follow-up visit</w:t>
            </w:r>
          </w:p>
          <w:p w14:paraId="2DE97D4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OR (95% CI) for M (ref=NM)</w:t>
            </w:r>
          </w:p>
          <w:p w14:paraId="7178FDB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1.29 (0.77 to 2.15)</w:t>
            </w:r>
          </w:p>
        </w:tc>
        <w:tc>
          <w:tcPr>
            <w:tcW w:w="1985" w:type="dxa"/>
            <w:tcMar>
              <w:top w:w="62" w:type="dxa"/>
              <w:left w:w="62" w:type="dxa"/>
              <w:bottom w:w="62" w:type="dxa"/>
              <w:right w:w="62" w:type="dxa"/>
            </w:tcMar>
          </w:tcPr>
          <w:p w14:paraId="49AB24C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1A288C08" w14:textId="77777777" w:rsidTr="00453DE3">
        <w:trPr>
          <w:trHeight w:val="1061"/>
        </w:trPr>
        <w:tc>
          <w:tcPr>
            <w:tcW w:w="1630" w:type="dxa"/>
            <w:shd w:val="clear" w:color="auto" w:fill="auto"/>
            <w:tcMar>
              <w:top w:w="62" w:type="dxa"/>
              <w:left w:w="62" w:type="dxa"/>
              <w:bottom w:w="62" w:type="dxa"/>
              <w:right w:w="62" w:type="dxa"/>
            </w:tcMar>
          </w:tcPr>
          <w:p w14:paraId="66A72FF0"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57" w:tooltip="Delnevo, 2011 #42" w:history="1">
              <w:r>
                <w:rPr>
                  <w:rFonts w:cstheme="minorHAnsi"/>
                  <w:noProof/>
                  <w:color w:val="000000"/>
                  <w:sz w:val="18"/>
                  <w:szCs w:val="18"/>
                </w:rPr>
                <w:t>57</w:t>
              </w:r>
            </w:hyperlink>
            <w:r>
              <w:rPr>
                <w:rFonts w:cstheme="minorHAnsi"/>
                <w:noProof/>
                <w:color w:val="000000"/>
                <w:sz w:val="18"/>
                <w:szCs w:val="18"/>
              </w:rPr>
              <w:t>)</w:t>
            </w:r>
            <w:r w:rsidRPr="00191C09">
              <w:rPr>
                <w:rFonts w:cstheme="minorHAnsi"/>
                <w:color w:val="000000"/>
                <w:sz w:val="18"/>
                <w:szCs w:val="18"/>
              </w:rPr>
              <w:fldChar w:fldCharType="end"/>
            </w:r>
          </w:p>
          <w:p w14:paraId="36E6FA5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561F4BA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09A704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76F842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3C2DFD6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(overall only), income, education, year, month</w:t>
            </w:r>
          </w:p>
        </w:tc>
        <w:tc>
          <w:tcPr>
            <w:tcW w:w="2267" w:type="dxa"/>
            <w:shd w:val="clear" w:color="auto" w:fill="auto"/>
            <w:tcMar>
              <w:top w:w="62" w:type="dxa"/>
              <w:left w:w="62" w:type="dxa"/>
              <w:bottom w:w="62" w:type="dxa"/>
              <w:right w:w="62" w:type="dxa"/>
            </w:tcMar>
          </w:tcPr>
          <w:p w14:paraId="4B5E15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736FAAF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of being a former smoker (95% CI) for M (ref=NM)</w:t>
            </w:r>
          </w:p>
          <w:p w14:paraId="1DFE5611" w14:textId="77777777" w:rsidR="007F0AE0" w:rsidRPr="00191C09" w:rsidRDefault="007F0AE0" w:rsidP="00453DE3">
            <w:pPr>
              <w:rPr>
                <w:rFonts w:asciiTheme="minorHAnsi" w:hAnsiTheme="minorHAnsi" w:cstheme="minorHAnsi"/>
                <w:sz w:val="18"/>
                <w:szCs w:val="18"/>
                <w:u w:val="single"/>
              </w:rPr>
            </w:pPr>
          </w:p>
          <w:p w14:paraId="413894B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Sample Restriction 1 (Cigarette smokers and former smokers who quit in the past 5 years)</w:t>
            </w:r>
          </w:p>
          <w:p w14:paraId="32AE998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r w:rsidRPr="00191C09">
              <w:rPr>
                <w:rFonts w:asciiTheme="minorHAnsi" w:hAnsiTheme="minorHAnsi" w:cstheme="minorHAnsi"/>
                <w:i/>
                <w:sz w:val="18"/>
                <w:szCs w:val="18"/>
                <w:vertAlign w:val="superscript"/>
              </w:rPr>
              <w:t>a</w:t>
            </w:r>
            <w:r w:rsidRPr="00191C09">
              <w:rPr>
                <w:rFonts w:asciiTheme="minorHAnsi" w:hAnsiTheme="minorHAnsi" w:cstheme="minorHAnsi"/>
                <w:i/>
                <w:sz w:val="18"/>
                <w:szCs w:val="18"/>
              </w:rPr>
              <w:t>:</w:t>
            </w:r>
          </w:p>
          <w:p w14:paraId="6F43E65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0.914 (0.868 to 0.961)</w:t>
            </w:r>
          </w:p>
          <w:p w14:paraId="1AE7A65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43E432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0.928 (0.877 to 0.982)</w:t>
            </w:r>
          </w:p>
          <w:p w14:paraId="24796BC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1292D2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0.810 (0.670 to 0.979)</w:t>
            </w:r>
          </w:p>
          <w:p w14:paraId="03B5116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546A2C2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0.936 (0.793 to 1.105)</w:t>
            </w:r>
          </w:p>
          <w:p w14:paraId="082DD9A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Mexican:</w:t>
            </w:r>
          </w:p>
          <w:p w14:paraId="62036F3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1.288 (0.999 to 1.661)</w:t>
            </w:r>
          </w:p>
          <w:p w14:paraId="38CEC73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Puerto Rican:</w:t>
            </w:r>
          </w:p>
          <w:p w14:paraId="6FBD0C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0.569 (0.371 to 0.874)</w:t>
            </w:r>
          </w:p>
          <w:p w14:paraId="429578F2" w14:textId="77777777" w:rsidR="007F0AE0" w:rsidRPr="00191C09" w:rsidRDefault="007F0AE0" w:rsidP="00453DE3">
            <w:pPr>
              <w:rPr>
                <w:rFonts w:asciiTheme="minorHAnsi" w:hAnsiTheme="minorHAnsi" w:cstheme="minorHAnsi"/>
                <w:sz w:val="18"/>
                <w:szCs w:val="18"/>
              </w:rPr>
            </w:pPr>
          </w:p>
          <w:p w14:paraId="7B4DABD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Sample Restriction 2 (Cigarette smokers and former smokers who quit in the past 5 years who do not currently use other tobacco products):</w:t>
            </w:r>
          </w:p>
          <w:p w14:paraId="6DC70FD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r w:rsidRPr="00191C09">
              <w:rPr>
                <w:rFonts w:asciiTheme="minorHAnsi" w:hAnsiTheme="minorHAnsi" w:cstheme="minorHAnsi"/>
                <w:i/>
                <w:sz w:val="18"/>
                <w:szCs w:val="18"/>
                <w:vertAlign w:val="superscript"/>
              </w:rPr>
              <w:t>a</w:t>
            </w:r>
            <w:r w:rsidRPr="00191C09">
              <w:rPr>
                <w:rFonts w:asciiTheme="minorHAnsi" w:hAnsiTheme="minorHAnsi" w:cstheme="minorHAnsi"/>
                <w:i/>
                <w:sz w:val="18"/>
                <w:szCs w:val="18"/>
              </w:rPr>
              <w:t>:</w:t>
            </w:r>
          </w:p>
          <w:p w14:paraId="08B824F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0.923 (0.876 to 0.973)</w:t>
            </w:r>
          </w:p>
          <w:p w14:paraId="1B6FF56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3126FF3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0.943 (0.891 to 0.999)</w:t>
            </w:r>
          </w:p>
          <w:p w14:paraId="40197F54"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2D3682A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0.781 (0.640 to 0.952)</w:t>
            </w:r>
          </w:p>
          <w:p w14:paraId="1F3ED89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490730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0.958 (0.810 to 1.113)</w:t>
            </w:r>
          </w:p>
          <w:p w14:paraId="33E4572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Mexican:</w:t>
            </w:r>
          </w:p>
          <w:p w14:paraId="59F09D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1.338 (1.039 to 1.722)</w:t>
            </w:r>
          </w:p>
          <w:p w14:paraId="7EDEEC1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lastRenderedPageBreak/>
              <w:t>Puerto Rican:</w:t>
            </w:r>
          </w:p>
          <w:p w14:paraId="4914F9B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0.630 (0.403 to 0.984)</w:t>
            </w:r>
          </w:p>
          <w:p w14:paraId="44BBB72B" w14:textId="77777777" w:rsidR="007F0AE0" w:rsidRPr="00191C09" w:rsidRDefault="007F0AE0" w:rsidP="00453DE3">
            <w:pPr>
              <w:rPr>
                <w:rFonts w:asciiTheme="minorHAnsi" w:hAnsiTheme="minorHAnsi" w:cstheme="minorHAnsi"/>
                <w:sz w:val="18"/>
                <w:szCs w:val="18"/>
                <w:u w:val="single"/>
              </w:rPr>
            </w:pPr>
          </w:p>
          <w:p w14:paraId="706ECB7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Sample Restriction 3 (Cigarette smokers and former smokers who quit in the past 5 years who have made a quit attempt):</w:t>
            </w:r>
          </w:p>
          <w:p w14:paraId="658105D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r w:rsidRPr="00191C09">
              <w:rPr>
                <w:rFonts w:asciiTheme="minorHAnsi" w:hAnsiTheme="minorHAnsi" w:cstheme="minorHAnsi"/>
                <w:i/>
                <w:sz w:val="18"/>
                <w:szCs w:val="18"/>
                <w:vertAlign w:val="superscript"/>
              </w:rPr>
              <w:t>a</w:t>
            </w:r>
            <w:r w:rsidRPr="00191C09">
              <w:rPr>
                <w:rFonts w:asciiTheme="minorHAnsi" w:hAnsiTheme="minorHAnsi" w:cstheme="minorHAnsi"/>
                <w:i/>
                <w:sz w:val="18"/>
                <w:szCs w:val="18"/>
              </w:rPr>
              <w:t>:</w:t>
            </w:r>
          </w:p>
          <w:p w14:paraId="21CB34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0.902 (0.855 to 0.953)</w:t>
            </w:r>
          </w:p>
          <w:p w14:paraId="0BA1295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40BC96A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0.937 (0.882 to 0.994)</w:t>
            </w:r>
          </w:p>
          <w:p w14:paraId="1DEC2B2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08416B7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0.716 (0.585 to 0.875)</w:t>
            </w:r>
          </w:p>
          <w:p w14:paraId="50C563D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3F9409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0.881 (0.733 to 1.059)</w:t>
            </w:r>
          </w:p>
          <w:p w14:paraId="2D337D1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Mexican:</w:t>
            </w:r>
          </w:p>
          <w:p w14:paraId="2B51E47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1.302 (0.978 to 1.733)</w:t>
            </w:r>
          </w:p>
          <w:p w14:paraId="7FB5B92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Puerto Rican:</w:t>
            </w:r>
          </w:p>
          <w:p w14:paraId="798C57B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0.541 (0.344 to 0.849)</w:t>
            </w:r>
          </w:p>
          <w:p w14:paraId="180F00BF" w14:textId="77777777" w:rsidR="007F0AE0" w:rsidRPr="00191C09" w:rsidRDefault="007F0AE0" w:rsidP="00453DE3">
            <w:pPr>
              <w:rPr>
                <w:rFonts w:asciiTheme="minorHAnsi" w:hAnsiTheme="minorHAnsi" w:cstheme="minorHAnsi"/>
                <w:sz w:val="18"/>
                <w:szCs w:val="18"/>
                <w:u w:val="single"/>
              </w:rPr>
            </w:pPr>
          </w:p>
          <w:p w14:paraId="129C687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Sample Restriction 4 (Cigarette smokers and former smokers who quit in the past 5 years who have made a quit attempt and do not currently use other tobacco products):</w:t>
            </w:r>
          </w:p>
          <w:p w14:paraId="155F94B7"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r w:rsidRPr="00191C09">
              <w:rPr>
                <w:rFonts w:asciiTheme="minorHAnsi" w:hAnsiTheme="minorHAnsi" w:cstheme="minorHAnsi"/>
                <w:i/>
                <w:sz w:val="18"/>
                <w:szCs w:val="18"/>
                <w:vertAlign w:val="superscript"/>
              </w:rPr>
              <w:t>a</w:t>
            </w:r>
            <w:r w:rsidRPr="00191C09">
              <w:rPr>
                <w:rFonts w:asciiTheme="minorHAnsi" w:hAnsiTheme="minorHAnsi" w:cstheme="minorHAnsi"/>
                <w:i/>
                <w:sz w:val="18"/>
                <w:szCs w:val="18"/>
              </w:rPr>
              <w:t>:</w:t>
            </w:r>
          </w:p>
          <w:p w14:paraId="0ED8E5E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0.911 (0.862 to 0.964))</w:t>
            </w:r>
          </w:p>
          <w:p w14:paraId="31F8BC5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2E5D2A6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0.952 (0.897 to 1.011)</w:t>
            </w:r>
          </w:p>
          <w:p w14:paraId="47303CA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2093DC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0.684 (0.555 to 0.844)</w:t>
            </w:r>
          </w:p>
          <w:p w14:paraId="6377B66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029CDF3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0.901 (0.749 to 1.084)</w:t>
            </w:r>
          </w:p>
          <w:p w14:paraId="572B0B8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Mexican:</w:t>
            </w:r>
          </w:p>
          <w:p w14:paraId="2965304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1.349 (1.016 to 1.790)</w:t>
            </w:r>
          </w:p>
          <w:p w14:paraId="29F8F6AC"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Puerto Rican:</w:t>
            </w:r>
          </w:p>
          <w:p w14:paraId="4F1BDBC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0.590 (0.368 to 0.947)</w:t>
            </w:r>
          </w:p>
          <w:p w14:paraId="7ACB6371" w14:textId="77777777" w:rsidR="007F0AE0" w:rsidRPr="00191C09" w:rsidRDefault="007F0AE0" w:rsidP="00453DE3">
            <w:pPr>
              <w:rPr>
                <w:rFonts w:asciiTheme="minorHAnsi" w:hAnsiTheme="minorHAnsi" w:cstheme="minorHAnsi"/>
                <w:sz w:val="18"/>
                <w:szCs w:val="18"/>
                <w:u w:val="single"/>
              </w:rPr>
            </w:pPr>
          </w:p>
          <w:p w14:paraId="67B2D37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Sample Restriction 5 (past-year smokers)*</w:t>
            </w:r>
          </w:p>
          <w:p w14:paraId="52669DBF"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r w:rsidRPr="00191C09">
              <w:rPr>
                <w:rFonts w:asciiTheme="minorHAnsi" w:hAnsiTheme="minorHAnsi" w:cstheme="minorHAnsi"/>
                <w:i/>
                <w:sz w:val="18"/>
                <w:szCs w:val="18"/>
                <w:vertAlign w:val="superscript"/>
              </w:rPr>
              <w:t>a</w:t>
            </w:r>
            <w:r w:rsidRPr="00191C09">
              <w:rPr>
                <w:rFonts w:asciiTheme="minorHAnsi" w:hAnsiTheme="minorHAnsi" w:cstheme="minorHAnsi"/>
                <w:i/>
                <w:sz w:val="18"/>
                <w:szCs w:val="18"/>
              </w:rPr>
              <w:t>:</w:t>
            </w:r>
          </w:p>
          <w:p w14:paraId="45BE805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0.922 (0.847 to 1.004)</w:t>
            </w:r>
          </w:p>
          <w:p w14:paraId="384EDFF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44F3472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0.982 (0.894 to 1.079)</w:t>
            </w:r>
          </w:p>
          <w:p w14:paraId="43FD41AA"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5CCED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0.740 (0.558 to 0.981)</w:t>
            </w:r>
          </w:p>
          <w:p w14:paraId="01CC940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20581C0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0.725 (0.543 to 0.969)</w:t>
            </w:r>
          </w:p>
          <w:p w14:paraId="6F38DF1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Mexican:</w:t>
            </w:r>
          </w:p>
          <w:p w14:paraId="73D340F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1.200 (0.778 to 1.852)</w:t>
            </w:r>
          </w:p>
          <w:p w14:paraId="0A6FDB7D"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Puerto Rican:</w:t>
            </w:r>
          </w:p>
          <w:p w14:paraId="0043ED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0.421 (0.209 to 0.851)</w:t>
            </w:r>
          </w:p>
          <w:p w14:paraId="49089AD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*Additional adjustment for past-year cigarette tax increase</w:t>
            </w:r>
          </w:p>
        </w:tc>
        <w:tc>
          <w:tcPr>
            <w:tcW w:w="1985" w:type="dxa"/>
            <w:shd w:val="clear" w:color="auto" w:fill="auto"/>
            <w:tcMar>
              <w:top w:w="62" w:type="dxa"/>
              <w:left w:w="62" w:type="dxa"/>
              <w:bottom w:w="62" w:type="dxa"/>
              <w:right w:w="62" w:type="dxa"/>
            </w:tcMar>
          </w:tcPr>
          <w:p w14:paraId="6A27F6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773F489B" w14:textId="77777777" w:rsidTr="00453DE3">
        <w:trPr>
          <w:trHeight w:val="1061"/>
        </w:trPr>
        <w:tc>
          <w:tcPr>
            <w:tcW w:w="1630" w:type="dxa"/>
            <w:shd w:val="clear" w:color="auto" w:fill="auto"/>
            <w:tcMar>
              <w:top w:w="62" w:type="dxa"/>
              <w:left w:w="62" w:type="dxa"/>
              <w:bottom w:w="62" w:type="dxa"/>
              <w:right w:w="62" w:type="dxa"/>
            </w:tcMar>
          </w:tcPr>
          <w:p w14:paraId="2090C83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6" w:tooltip="Faseru, 2011 #40" w:history="1">
              <w:r>
                <w:rPr>
                  <w:rFonts w:cstheme="minorHAnsi"/>
                  <w:noProof/>
                  <w:color w:val="000000"/>
                  <w:sz w:val="18"/>
                  <w:szCs w:val="18"/>
                </w:rPr>
                <w:t>26</w:t>
              </w:r>
            </w:hyperlink>
            <w:r>
              <w:rPr>
                <w:rFonts w:cstheme="minorHAnsi"/>
                <w:noProof/>
                <w:color w:val="000000"/>
                <w:sz w:val="18"/>
                <w:szCs w:val="18"/>
              </w:rPr>
              <w:t xml:space="preserve">, </w:t>
            </w:r>
            <w:hyperlink w:anchor="_ENREF_27" w:tooltip="Faseru, 2013 #29" w:history="1">
              <w:r>
                <w:rPr>
                  <w:rFonts w:cstheme="minorHAnsi"/>
                  <w:noProof/>
                  <w:color w:val="000000"/>
                  <w:sz w:val="18"/>
                  <w:szCs w:val="18"/>
                </w:rPr>
                <w:t>27</w:t>
              </w:r>
            </w:hyperlink>
            <w:r>
              <w:rPr>
                <w:rFonts w:cstheme="minorHAnsi"/>
                <w:noProof/>
                <w:color w:val="000000"/>
                <w:sz w:val="18"/>
                <w:szCs w:val="18"/>
              </w:rPr>
              <w:t>)</w:t>
            </w:r>
            <w:r w:rsidRPr="00191C09">
              <w:rPr>
                <w:rFonts w:cstheme="minorHAnsi"/>
                <w:color w:val="000000"/>
                <w:sz w:val="18"/>
                <w:szCs w:val="18"/>
              </w:rPr>
              <w:fldChar w:fldCharType="end"/>
            </w:r>
          </w:p>
          <w:p w14:paraId="6D5E312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191C94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 light smokers (≤10 CPD)</w:t>
            </w:r>
          </w:p>
        </w:tc>
        <w:tc>
          <w:tcPr>
            <w:tcW w:w="2144" w:type="dxa"/>
            <w:shd w:val="clear" w:color="auto" w:fill="auto"/>
            <w:tcMar>
              <w:top w:w="62" w:type="dxa"/>
              <w:left w:w="62" w:type="dxa"/>
              <w:bottom w:w="62" w:type="dxa"/>
              <w:right w:w="62" w:type="dxa"/>
            </w:tcMar>
          </w:tcPr>
          <w:p w14:paraId="60E4076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26FCED5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502AAE5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cessation intervention, visit attendance, blood cotinine, years smoked </w:t>
            </w:r>
          </w:p>
        </w:tc>
        <w:tc>
          <w:tcPr>
            <w:tcW w:w="2267" w:type="dxa"/>
            <w:shd w:val="clear" w:color="auto" w:fill="auto"/>
            <w:tcMar>
              <w:top w:w="62" w:type="dxa"/>
              <w:left w:w="62" w:type="dxa"/>
              <w:bottom w:w="62" w:type="dxa"/>
              <w:right w:w="62" w:type="dxa"/>
            </w:tcMar>
          </w:tcPr>
          <w:p w14:paraId="106E801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7A33E4D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Cotinine-verified 7-day PPA (Faseru, 2013)</w:t>
            </w:r>
          </w:p>
          <w:p w14:paraId="33DDFB3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NM (ref=M)</w:t>
            </w:r>
          </w:p>
          <w:p w14:paraId="65FA7BE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At end of 7-week cessation intervention (bupropion vs. placebo):</w:t>
            </w:r>
          </w:p>
          <w:p w14:paraId="5570962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1.84 (1.01 to 3.36)</w:t>
            </w:r>
          </w:p>
        </w:tc>
        <w:tc>
          <w:tcPr>
            <w:tcW w:w="1985" w:type="dxa"/>
            <w:shd w:val="clear" w:color="auto" w:fill="auto"/>
            <w:tcMar>
              <w:top w:w="62" w:type="dxa"/>
              <w:left w:w="62" w:type="dxa"/>
              <w:bottom w:w="62" w:type="dxa"/>
              <w:right w:w="62" w:type="dxa"/>
            </w:tcMar>
          </w:tcPr>
          <w:p w14:paraId="5B3E11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445E677" w14:textId="77777777" w:rsidTr="00453DE3">
        <w:trPr>
          <w:trHeight w:val="1061"/>
        </w:trPr>
        <w:tc>
          <w:tcPr>
            <w:tcW w:w="1630" w:type="dxa"/>
            <w:shd w:val="clear" w:color="auto" w:fill="auto"/>
            <w:tcMar>
              <w:top w:w="62" w:type="dxa"/>
              <w:left w:w="62" w:type="dxa"/>
              <w:bottom w:w="62" w:type="dxa"/>
              <w:right w:w="62" w:type="dxa"/>
            </w:tcMar>
          </w:tcPr>
          <w:p w14:paraId="51D16AE7"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66" w:tooltip="Foulds, 2006 #95" w:history="1">
              <w:r w:rsidRPr="00342AED">
                <w:rPr>
                  <w:rFonts w:asciiTheme="minorHAnsi" w:hAnsiTheme="minorHAnsi" w:cstheme="minorHAnsi"/>
                  <w:noProof/>
                  <w:color w:val="000000"/>
                  <w:sz w:val="18"/>
                  <w:szCs w:val="18"/>
                </w:rPr>
                <w:t>66</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69FEFED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7683D05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None, but includes ages 14 and older</w:t>
            </w:r>
          </w:p>
        </w:tc>
        <w:tc>
          <w:tcPr>
            <w:tcW w:w="2144" w:type="dxa"/>
            <w:shd w:val="clear" w:color="auto" w:fill="auto"/>
            <w:tcMar>
              <w:top w:w="62" w:type="dxa"/>
              <w:left w:w="62" w:type="dxa"/>
              <w:bottom w:w="62" w:type="dxa"/>
              <w:right w:w="62" w:type="dxa"/>
            </w:tcMar>
          </w:tcPr>
          <w:p w14:paraId="39DD00C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E72FA4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4BF7590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at baseline, education, employment, TTFC, baseline stage of change, number of contacts with cessation clinic</w:t>
            </w:r>
          </w:p>
        </w:tc>
        <w:tc>
          <w:tcPr>
            <w:tcW w:w="2267" w:type="dxa"/>
            <w:shd w:val="clear" w:color="auto" w:fill="auto"/>
            <w:tcMar>
              <w:top w:w="62" w:type="dxa"/>
              <w:left w:w="62" w:type="dxa"/>
              <w:bottom w:w="62" w:type="dxa"/>
              <w:right w:w="62" w:type="dxa"/>
            </w:tcMar>
          </w:tcPr>
          <w:p w14:paraId="6B1FD52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3F4066E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7-day PPA</w:t>
            </w:r>
          </w:p>
          <w:p w14:paraId="24B84E9D"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At 4 weeks</w:t>
            </w:r>
          </w:p>
          <w:p w14:paraId="4DAC945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NM (ref=M)</w:t>
            </w:r>
          </w:p>
          <w:p w14:paraId="70C35CA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1.36 (1.0 to 1.86)</w:t>
            </w:r>
          </w:p>
          <w:p w14:paraId="11C6D32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(p=0.053)</w:t>
            </w:r>
          </w:p>
        </w:tc>
        <w:tc>
          <w:tcPr>
            <w:tcW w:w="1985" w:type="dxa"/>
            <w:shd w:val="clear" w:color="auto" w:fill="auto"/>
            <w:tcMar>
              <w:top w:w="62" w:type="dxa"/>
              <w:left w:w="62" w:type="dxa"/>
              <w:bottom w:w="62" w:type="dxa"/>
              <w:right w:w="62" w:type="dxa"/>
            </w:tcMar>
          </w:tcPr>
          <w:p w14:paraId="139F608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BFBD565" w14:textId="77777777" w:rsidTr="00453DE3">
        <w:trPr>
          <w:trHeight w:val="1061"/>
        </w:trPr>
        <w:tc>
          <w:tcPr>
            <w:tcW w:w="1630" w:type="dxa"/>
            <w:shd w:val="clear" w:color="auto" w:fill="auto"/>
            <w:tcMar>
              <w:top w:w="62" w:type="dxa"/>
              <w:left w:w="62" w:type="dxa"/>
              <w:bottom w:w="62" w:type="dxa"/>
              <w:right w:w="62" w:type="dxa"/>
            </w:tcMar>
          </w:tcPr>
          <w:p w14:paraId="68A7468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23" w:tooltip="Fu, 2008 #72" w:history="1">
              <w:r>
                <w:rPr>
                  <w:rFonts w:cstheme="minorHAnsi"/>
                  <w:noProof/>
                  <w:color w:val="000000"/>
                  <w:sz w:val="18"/>
                  <w:szCs w:val="18"/>
                </w:rPr>
                <w:t>23</w:t>
              </w:r>
            </w:hyperlink>
            <w:r>
              <w:rPr>
                <w:rFonts w:cstheme="minorHAnsi"/>
                <w:noProof/>
                <w:color w:val="000000"/>
                <w:sz w:val="18"/>
                <w:szCs w:val="18"/>
              </w:rPr>
              <w:t>)</w:t>
            </w:r>
            <w:r w:rsidRPr="00191C09">
              <w:rPr>
                <w:rFonts w:cstheme="minorHAnsi"/>
                <w:color w:val="000000"/>
                <w:sz w:val="18"/>
                <w:szCs w:val="18"/>
              </w:rPr>
              <w:fldChar w:fldCharType="end"/>
            </w:r>
          </w:p>
          <w:p w14:paraId="7448DCE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A4FE83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VA patients</w:t>
            </w:r>
          </w:p>
        </w:tc>
        <w:tc>
          <w:tcPr>
            <w:tcW w:w="2144" w:type="dxa"/>
            <w:shd w:val="clear" w:color="auto" w:fill="auto"/>
            <w:tcMar>
              <w:top w:w="62" w:type="dxa"/>
              <w:left w:w="62" w:type="dxa"/>
              <w:bottom w:w="62" w:type="dxa"/>
              <w:right w:w="62" w:type="dxa"/>
            </w:tcMar>
          </w:tcPr>
          <w:p w14:paraId="568CF6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78DC48C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35E00EC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Intervention vs. usual care, age, gender, race, TTFC, history of smoking-related cancer, history of substance use disorder, additional quit attempts in past 12 months</w:t>
            </w:r>
          </w:p>
        </w:tc>
        <w:tc>
          <w:tcPr>
            <w:tcW w:w="2267" w:type="dxa"/>
            <w:shd w:val="clear" w:color="auto" w:fill="auto"/>
            <w:tcMar>
              <w:top w:w="62" w:type="dxa"/>
              <w:left w:w="62" w:type="dxa"/>
              <w:bottom w:w="62" w:type="dxa"/>
              <w:right w:w="62" w:type="dxa"/>
            </w:tcMar>
          </w:tcPr>
          <w:p w14:paraId="6FA382B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6EDB916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Self-reported 7-day PPA</w:t>
            </w:r>
          </w:p>
          <w:p w14:paraId="7867241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M (ref=NM)</w:t>
            </w:r>
            <w:r>
              <w:rPr>
                <w:rFonts w:asciiTheme="minorHAnsi" w:hAnsiTheme="minorHAnsi" w:cstheme="minorHAnsi"/>
                <w:color w:val="000000"/>
                <w:sz w:val="18"/>
                <w:szCs w:val="18"/>
              </w:rPr>
              <w:t xml:space="preserve"> </w:t>
            </w:r>
          </w:p>
          <w:p w14:paraId="27DF8AC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1.31 (0.95 to 1.82)</w:t>
            </w:r>
          </w:p>
        </w:tc>
        <w:tc>
          <w:tcPr>
            <w:tcW w:w="1985" w:type="dxa"/>
            <w:shd w:val="clear" w:color="auto" w:fill="auto"/>
            <w:tcMar>
              <w:top w:w="62" w:type="dxa"/>
              <w:left w:w="62" w:type="dxa"/>
              <w:bottom w:w="62" w:type="dxa"/>
              <w:right w:w="62" w:type="dxa"/>
            </w:tcMar>
          </w:tcPr>
          <w:p w14:paraId="45DCA03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FA9FF3A" w14:textId="77777777" w:rsidTr="00453DE3">
        <w:trPr>
          <w:trHeight w:val="1061"/>
        </w:trPr>
        <w:tc>
          <w:tcPr>
            <w:tcW w:w="1630" w:type="dxa"/>
            <w:shd w:val="clear" w:color="auto" w:fill="auto"/>
            <w:tcMar>
              <w:top w:w="62" w:type="dxa"/>
              <w:left w:w="62" w:type="dxa"/>
              <w:bottom w:w="62" w:type="dxa"/>
              <w:right w:w="62" w:type="dxa"/>
            </w:tcMar>
          </w:tcPr>
          <w:p w14:paraId="473654FD"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7" w:tooltip="Gandhi, 2009 #67" w:history="1">
              <w:r>
                <w:rPr>
                  <w:rFonts w:cstheme="minorHAnsi"/>
                  <w:noProof/>
                  <w:color w:val="000000"/>
                  <w:sz w:val="18"/>
                  <w:szCs w:val="18"/>
                </w:rPr>
                <w:t>47</w:t>
              </w:r>
            </w:hyperlink>
            <w:r>
              <w:rPr>
                <w:rFonts w:cstheme="minorHAnsi"/>
                <w:noProof/>
                <w:color w:val="000000"/>
                <w:sz w:val="18"/>
                <w:szCs w:val="18"/>
              </w:rPr>
              <w:t>)</w:t>
            </w:r>
            <w:r w:rsidRPr="00191C09">
              <w:rPr>
                <w:rFonts w:cstheme="minorHAnsi"/>
                <w:color w:val="000000"/>
                <w:sz w:val="18"/>
                <w:szCs w:val="18"/>
              </w:rPr>
              <w:fldChar w:fldCharType="end"/>
            </w:r>
          </w:p>
          <w:p w14:paraId="0A674AD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7AE3D1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326B982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4B87AA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1446A0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Age, gender, education, employment, presence of a disease caused or aggravated by smoking, health insurance, CPD, age smoked for first time, awaken at night to smoke, TTFC, previous quit attempts </w:t>
            </w:r>
          </w:p>
        </w:tc>
        <w:tc>
          <w:tcPr>
            <w:tcW w:w="2267" w:type="dxa"/>
            <w:shd w:val="clear" w:color="auto" w:fill="auto"/>
            <w:tcMar>
              <w:top w:w="62" w:type="dxa"/>
              <w:left w:w="62" w:type="dxa"/>
              <w:bottom w:w="62" w:type="dxa"/>
              <w:right w:w="62" w:type="dxa"/>
            </w:tcMar>
          </w:tcPr>
          <w:p w14:paraId="748B18E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1747D05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Self-reported 7-day PPA</w:t>
            </w:r>
          </w:p>
          <w:p w14:paraId="3910022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M (ref=NM)</w:t>
            </w:r>
          </w:p>
          <w:p w14:paraId="362F71A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At 4 weeks</w:t>
            </w:r>
          </w:p>
          <w:p w14:paraId="5526F0B3"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White</w:t>
            </w:r>
          </w:p>
          <w:p w14:paraId="51ECDA3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0.96 (0.72 to 1.20)</w:t>
            </w:r>
          </w:p>
          <w:p w14:paraId="067D66DA"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Black</w:t>
            </w:r>
          </w:p>
          <w:p w14:paraId="13DF630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0.32 (0.16 to 0.62)</w:t>
            </w:r>
          </w:p>
          <w:p w14:paraId="7BE604D6"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Hispanic</w:t>
            </w:r>
          </w:p>
          <w:p w14:paraId="4254800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0.43 (0.1 to 0.9)</w:t>
            </w:r>
          </w:p>
          <w:p w14:paraId="3EC050CE"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At 6 months</w:t>
            </w:r>
          </w:p>
          <w:p w14:paraId="72E8B484"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White</w:t>
            </w:r>
          </w:p>
          <w:p w14:paraId="6462294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1.0 (0.8 to 1.4)</w:t>
            </w:r>
          </w:p>
          <w:p w14:paraId="24D79132"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Black</w:t>
            </w:r>
          </w:p>
          <w:p w14:paraId="7CE9E84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0.48 (0.25 to 0.9)</w:t>
            </w:r>
          </w:p>
          <w:p w14:paraId="3481DA91"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Hispanic</w:t>
            </w:r>
          </w:p>
          <w:p w14:paraId="74AACB9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0.64 (0.2 to 1.80)</w:t>
            </w:r>
          </w:p>
        </w:tc>
        <w:tc>
          <w:tcPr>
            <w:tcW w:w="1985" w:type="dxa"/>
            <w:shd w:val="clear" w:color="auto" w:fill="auto"/>
            <w:tcMar>
              <w:top w:w="62" w:type="dxa"/>
              <w:left w:w="62" w:type="dxa"/>
              <w:bottom w:w="62" w:type="dxa"/>
              <w:right w:w="62" w:type="dxa"/>
            </w:tcMar>
          </w:tcPr>
          <w:p w14:paraId="5751FED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C40B260" w14:textId="77777777" w:rsidTr="00453DE3">
        <w:trPr>
          <w:trHeight w:val="1061"/>
        </w:trPr>
        <w:tc>
          <w:tcPr>
            <w:tcW w:w="1630" w:type="dxa"/>
            <w:shd w:val="clear" w:color="auto" w:fill="auto"/>
            <w:tcMar>
              <w:top w:w="62" w:type="dxa"/>
              <w:left w:w="62" w:type="dxa"/>
              <w:bottom w:w="62" w:type="dxa"/>
              <w:right w:w="62" w:type="dxa"/>
            </w:tcMar>
          </w:tcPr>
          <w:p w14:paraId="37B149B5"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59" w:tooltip="Gundersen, 2009 #65" w:history="1">
              <w:r>
                <w:rPr>
                  <w:rFonts w:cstheme="minorHAnsi"/>
                  <w:noProof/>
                  <w:color w:val="000000"/>
                  <w:sz w:val="18"/>
                  <w:szCs w:val="18"/>
                </w:rPr>
                <w:t>59</w:t>
              </w:r>
            </w:hyperlink>
            <w:r>
              <w:rPr>
                <w:rFonts w:cstheme="minorHAnsi"/>
                <w:noProof/>
                <w:color w:val="000000"/>
                <w:sz w:val="18"/>
                <w:szCs w:val="18"/>
              </w:rPr>
              <w:t>)</w:t>
            </w:r>
            <w:r w:rsidRPr="00191C09">
              <w:rPr>
                <w:rFonts w:cstheme="minorHAnsi"/>
                <w:color w:val="000000"/>
                <w:sz w:val="18"/>
                <w:szCs w:val="18"/>
              </w:rPr>
              <w:fldChar w:fldCharType="end"/>
            </w:r>
          </w:p>
          <w:p w14:paraId="2765857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NHIS-CCS</w:t>
            </w:r>
          </w:p>
          <w:p w14:paraId="7CBED2F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3FB1382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0CC4474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60F0169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 (total sample only), education, U.S. census region, perceived risk of cancer, CPD</w:t>
            </w:r>
          </w:p>
        </w:tc>
        <w:tc>
          <w:tcPr>
            <w:tcW w:w="2267" w:type="dxa"/>
            <w:shd w:val="clear" w:color="auto" w:fill="auto"/>
            <w:tcMar>
              <w:top w:w="62" w:type="dxa"/>
              <w:left w:w="62" w:type="dxa"/>
              <w:bottom w:w="62" w:type="dxa"/>
              <w:right w:w="62" w:type="dxa"/>
            </w:tcMar>
          </w:tcPr>
          <w:p w14:paraId="75A03D0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1F51438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Former smoker: </w:t>
            </w:r>
            <w:r w:rsidRPr="00191C09">
              <w:rPr>
                <w:rFonts w:asciiTheme="minorHAnsi" w:hAnsiTheme="minorHAnsi" w:cstheme="minorHAnsi"/>
                <w:sz w:val="18"/>
                <w:szCs w:val="18"/>
              </w:rPr>
              <w:t>having smoked 100 cigarettes in a lifetime and now smoking “not at all”</w:t>
            </w:r>
            <w:r w:rsidRPr="00191C09">
              <w:rPr>
                <w:rFonts w:asciiTheme="minorHAnsi" w:hAnsiTheme="minorHAnsi" w:cstheme="minorHAnsi"/>
                <w:color w:val="000000"/>
                <w:sz w:val="18"/>
                <w:szCs w:val="18"/>
              </w:rPr>
              <w:t xml:space="preserve"> </w:t>
            </w:r>
          </w:p>
          <w:p w14:paraId="0B97745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M (ref=NM)</w:t>
            </w:r>
          </w:p>
          <w:p w14:paraId="4C563A1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Total sample</w:t>
            </w:r>
          </w:p>
          <w:p w14:paraId="22FE749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1.05 (0.92 to 1.21); p=0.47</w:t>
            </w:r>
          </w:p>
          <w:p w14:paraId="16CAC914"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White: </w:t>
            </w:r>
          </w:p>
          <w:p w14:paraId="7C90B50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1.17 (1.00 to 1.36); p&lt;0.05</w:t>
            </w:r>
          </w:p>
          <w:p w14:paraId="567E4A5A"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Black: </w:t>
            </w:r>
          </w:p>
          <w:p w14:paraId="45F7332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0.78 (0.56 to 1.09); p=0.15</w:t>
            </w:r>
          </w:p>
          <w:p w14:paraId="3771BAC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Hispanic: </w:t>
            </w:r>
          </w:p>
          <w:p w14:paraId="21164D5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0.61 (0.39 to 0.97); p=0.04</w:t>
            </w:r>
          </w:p>
          <w:p w14:paraId="6FA0CFAD"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 xml:space="preserve">Non-White (combined Black and Hispanic): </w:t>
            </w:r>
          </w:p>
          <w:p w14:paraId="074C02F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0.55 (0.43 to 0.71); p&lt;0.01</w:t>
            </w:r>
          </w:p>
        </w:tc>
        <w:tc>
          <w:tcPr>
            <w:tcW w:w="1985" w:type="dxa"/>
            <w:shd w:val="clear" w:color="auto" w:fill="auto"/>
            <w:tcMar>
              <w:top w:w="62" w:type="dxa"/>
              <w:left w:w="62" w:type="dxa"/>
              <w:bottom w:w="62" w:type="dxa"/>
              <w:right w:w="62" w:type="dxa"/>
            </w:tcMar>
          </w:tcPr>
          <w:p w14:paraId="0A1B16A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E7D0860" w14:textId="77777777" w:rsidTr="00453DE3">
        <w:trPr>
          <w:trHeight w:val="1061"/>
        </w:trPr>
        <w:tc>
          <w:tcPr>
            <w:tcW w:w="1630" w:type="dxa"/>
            <w:shd w:val="clear" w:color="auto" w:fill="auto"/>
            <w:tcMar>
              <w:top w:w="62" w:type="dxa"/>
              <w:left w:w="62" w:type="dxa"/>
              <w:bottom w:w="62" w:type="dxa"/>
              <w:right w:w="62" w:type="dxa"/>
            </w:tcMar>
          </w:tcPr>
          <w:p w14:paraId="6907DF12" w14:textId="77777777" w:rsidR="007F0AE0" w:rsidRPr="00191C09" w:rsidRDefault="007F0AE0" w:rsidP="00453DE3">
            <w:pPr>
              <w:rPr>
                <w:rFonts w:asciiTheme="minorHAnsi" w:hAnsiTheme="minorHAnsi" w:cstheme="minorHAnsi"/>
                <w:color w:val="000000"/>
                <w:sz w:val="18"/>
                <w:szCs w:val="18"/>
              </w:rPr>
            </w:pPr>
            <w:r>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48" w:tooltip="Harris, 2004 #82" w:history="1">
              <w:r>
                <w:rPr>
                  <w:rFonts w:cstheme="minorHAnsi"/>
                  <w:noProof/>
                  <w:color w:val="000000"/>
                  <w:sz w:val="18"/>
                  <w:szCs w:val="18"/>
                </w:rPr>
                <w:t>48</w:t>
              </w:r>
            </w:hyperlink>
            <w:r>
              <w:rPr>
                <w:rFonts w:cstheme="minorHAnsi"/>
                <w:noProof/>
                <w:color w:val="000000"/>
                <w:sz w:val="18"/>
                <w:szCs w:val="18"/>
              </w:rPr>
              <w:t xml:space="preserve">, </w:t>
            </w:r>
            <w:hyperlink w:anchor="_ENREF_49" w:tooltip="Okuyemi, 2003 #85" w:history="1">
              <w:r>
                <w:rPr>
                  <w:rFonts w:cstheme="minorHAnsi"/>
                  <w:noProof/>
                  <w:color w:val="000000"/>
                  <w:sz w:val="18"/>
                  <w:szCs w:val="18"/>
                </w:rPr>
                <w:t>49</w:t>
              </w:r>
            </w:hyperlink>
            <w:r>
              <w:rPr>
                <w:rFonts w:cstheme="minorHAnsi"/>
                <w:noProof/>
                <w:color w:val="000000"/>
                <w:sz w:val="18"/>
                <w:szCs w:val="18"/>
              </w:rPr>
              <w:t>)</w:t>
            </w:r>
            <w:r>
              <w:rPr>
                <w:rFonts w:cstheme="minorHAnsi"/>
                <w:color w:val="000000"/>
                <w:sz w:val="18"/>
                <w:szCs w:val="18"/>
              </w:rPr>
              <w:fldChar w:fldCharType="end"/>
            </w:r>
          </w:p>
          <w:p w14:paraId="6E05995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7D89CB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Blacks </w:t>
            </w:r>
          </w:p>
        </w:tc>
        <w:tc>
          <w:tcPr>
            <w:tcW w:w="2144" w:type="dxa"/>
            <w:shd w:val="clear" w:color="auto" w:fill="auto"/>
            <w:tcMar>
              <w:top w:w="62" w:type="dxa"/>
              <w:left w:w="62" w:type="dxa"/>
              <w:bottom w:w="62" w:type="dxa"/>
              <w:right w:w="62" w:type="dxa"/>
            </w:tcMar>
          </w:tcPr>
          <w:p w14:paraId="7C00C09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43E85B5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4404B20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Treatment arm and "the other baseline variables" (appear to be gender, </w:t>
            </w:r>
            <w:r w:rsidRPr="00191C09">
              <w:rPr>
                <w:rFonts w:asciiTheme="minorHAnsi" w:hAnsiTheme="minorHAnsi" w:cstheme="minorHAnsi"/>
                <w:sz w:val="18"/>
                <w:szCs w:val="18"/>
              </w:rPr>
              <w:lastRenderedPageBreak/>
              <w:t>income, education, employment, CPD, FTND, TTFC, taste/satisfaction, cotinine, eCO)</w:t>
            </w:r>
          </w:p>
        </w:tc>
        <w:tc>
          <w:tcPr>
            <w:tcW w:w="2267" w:type="dxa"/>
            <w:shd w:val="clear" w:color="auto" w:fill="auto"/>
            <w:tcMar>
              <w:top w:w="62" w:type="dxa"/>
              <w:left w:w="62" w:type="dxa"/>
              <w:bottom w:w="62" w:type="dxa"/>
              <w:right w:w="62" w:type="dxa"/>
            </w:tcMar>
          </w:tcPr>
          <w:p w14:paraId="032DC0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869" w:type="dxa"/>
            <w:shd w:val="clear" w:color="auto" w:fill="auto"/>
            <w:tcMar>
              <w:top w:w="62" w:type="dxa"/>
              <w:left w:w="62" w:type="dxa"/>
              <w:bottom w:w="62" w:type="dxa"/>
              <w:right w:w="62" w:type="dxa"/>
            </w:tcMar>
          </w:tcPr>
          <w:p w14:paraId="0D37586A"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7-day PPA (Okuyemi, 2003)</w:t>
            </w:r>
          </w:p>
          <w:p w14:paraId="1F47997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NM (ref=M);</w:t>
            </w:r>
          </w:p>
          <w:p w14:paraId="18D6B16E"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At 6 weeks:</w:t>
            </w:r>
          </w:p>
          <w:p w14:paraId="7F617953"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Age &lt;50 years</w:t>
            </w:r>
          </w:p>
          <w:p w14:paraId="59785BB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2.02 (1.03 to 3.95)</w:t>
            </w:r>
          </w:p>
          <w:p w14:paraId="7963C675"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lastRenderedPageBreak/>
              <w:t>Age ≥50 years</w:t>
            </w:r>
          </w:p>
          <w:p w14:paraId="03C1792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“Not significant”</w:t>
            </w:r>
          </w:p>
        </w:tc>
        <w:tc>
          <w:tcPr>
            <w:tcW w:w="1985" w:type="dxa"/>
            <w:shd w:val="clear" w:color="auto" w:fill="auto"/>
            <w:tcMar>
              <w:top w:w="62" w:type="dxa"/>
              <w:left w:w="62" w:type="dxa"/>
              <w:bottom w:w="62" w:type="dxa"/>
              <w:right w:w="62" w:type="dxa"/>
            </w:tcMar>
          </w:tcPr>
          <w:p w14:paraId="3052AB2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5B67A6E7" w14:textId="77777777" w:rsidTr="00453DE3">
        <w:trPr>
          <w:trHeight w:val="1061"/>
        </w:trPr>
        <w:tc>
          <w:tcPr>
            <w:tcW w:w="1630" w:type="dxa"/>
            <w:shd w:val="clear" w:color="auto" w:fill="auto"/>
            <w:tcMar>
              <w:top w:w="62" w:type="dxa"/>
              <w:left w:w="62" w:type="dxa"/>
              <w:bottom w:w="62" w:type="dxa"/>
              <w:right w:w="62" w:type="dxa"/>
            </w:tcMar>
          </w:tcPr>
          <w:p w14:paraId="4DB74BD3"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6" w:tooltip="Hyland, 2010 #100" w:history="1">
              <w:r>
                <w:rPr>
                  <w:rFonts w:cstheme="minorHAnsi"/>
                  <w:noProof/>
                  <w:color w:val="000000"/>
                  <w:sz w:val="18"/>
                  <w:szCs w:val="18"/>
                </w:rPr>
                <w:t>46</w:t>
              </w:r>
            </w:hyperlink>
            <w:r>
              <w:rPr>
                <w:rFonts w:cstheme="minorHAnsi"/>
                <w:noProof/>
                <w:color w:val="000000"/>
                <w:sz w:val="18"/>
                <w:szCs w:val="18"/>
              </w:rPr>
              <w:t xml:space="preserve">, </w:t>
            </w:r>
            <w:hyperlink w:anchor="_ENREF_50" w:tooltip="Hyland, 2002 #87" w:history="1">
              <w:r>
                <w:rPr>
                  <w:rFonts w:cstheme="minorHAnsi"/>
                  <w:noProof/>
                  <w:color w:val="000000"/>
                  <w:sz w:val="18"/>
                  <w:szCs w:val="18"/>
                </w:rPr>
                <w:t>50</w:t>
              </w:r>
            </w:hyperlink>
            <w:r>
              <w:rPr>
                <w:rFonts w:cstheme="minorHAnsi"/>
                <w:noProof/>
                <w:color w:val="000000"/>
                <w:sz w:val="18"/>
                <w:szCs w:val="18"/>
              </w:rPr>
              <w:t>)</w:t>
            </w:r>
            <w:r w:rsidRPr="00191C09">
              <w:rPr>
                <w:rFonts w:cstheme="minorHAnsi"/>
                <w:color w:val="000000"/>
                <w:sz w:val="18"/>
                <w:szCs w:val="18"/>
              </w:rPr>
              <w:fldChar w:fldCharType="end"/>
            </w:r>
          </w:p>
          <w:p w14:paraId="0BE4CEB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63DB465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6E26DEE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Varied by outcome;</w:t>
            </w:r>
          </w:p>
          <w:p w14:paraId="64425FE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61669B1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(total sample only), education, frequency of alcohol use, CPD, TTFC, age started smoking, desire to quit, past attempts to quit, use of non-cig tobacco product, other smokers in the house, desire to quit</w:t>
            </w:r>
          </w:p>
        </w:tc>
        <w:tc>
          <w:tcPr>
            <w:tcW w:w="2267" w:type="dxa"/>
            <w:shd w:val="clear" w:color="auto" w:fill="auto"/>
            <w:tcMar>
              <w:top w:w="62" w:type="dxa"/>
              <w:left w:w="62" w:type="dxa"/>
              <w:bottom w:w="62" w:type="dxa"/>
              <w:right w:w="62" w:type="dxa"/>
            </w:tcMar>
          </w:tcPr>
          <w:p w14:paraId="385921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4E62D736"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Quit rate: “No” response to “Do you smoke now?” and “Have you smoked any cigarettes in the last 6 months?”</w:t>
            </w:r>
          </w:p>
          <w:p w14:paraId="40E723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RR (95% CI) for M (ref=NM)</w:t>
            </w:r>
          </w:p>
          <w:p w14:paraId="7E426EB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1993 for exclusively M/NM smokers at baseline (1988 (Hyland 2002)</w:t>
            </w:r>
          </w:p>
          <w:p w14:paraId="559EDE6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Total sample</w:t>
            </w:r>
          </w:p>
          <w:p w14:paraId="4AC66FE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1.00 (0.90 to 1.11)</w:t>
            </w:r>
          </w:p>
          <w:p w14:paraId="39BEE481"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White</w:t>
            </w:r>
          </w:p>
          <w:p w14:paraId="6B50F39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0.94 (0.83 to 1.05)</w:t>
            </w:r>
          </w:p>
          <w:p w14:paraId="1B9CDF3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Black</w:t>
            </w:r>
          </w:p>
          <w:p w14:paraId="6C2B024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1.04 (0.73 to 1.47)</w:t>
            </w:r>
          </w:p>
          <w:p w14:paraId="4903A02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Hispanic</w:t>
            </w:r>
          </w:p>
          <w:p w14:paraId="2B23FF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1.22 (0.80 to 1.87)</w:t>
            </w:r>
          </w:p>
          <w:p w14:paraId="1F049A4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2005 for exclusively M/NM smokers 1988-2001; OR (95% CI) for M (ref=NM) (Hyland and Rivard, 2010)</w:t>
            </w:r>
          </w:p>
          <w:p w14:paraId="0E9FC068"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Total sample</w:t>
            </w:r>
          </w:p>
          <w:p w14:paraId="21A5201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0.84 (0.61 to 1.15)</w:t>
            </w:r>
          </w:p>
          <w:p w14:paraId="56CDB334"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White</w:t>
            </w:r>
          </w:p>
          <w:p w14:paraId="2C60B45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0.79 (0.56 to 1.11)</w:t>
            </w:r>
          </w:p>
          <w:p w14:paraId="14F387BC"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In 2005 for exclusively M/NM smokers 1988-2001, with past quit attempts: OR (95% CI) for M (ref=NM) (Hyland and Rivard, 2010)</w:t>
            </w:r>
          </w:p>
          <w:p w14:paraId="5DAB031F"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Total sample</w:t>
            </w:r>
          </w:p>
          <w:p w14:paraId="04A3B59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1.03 (0.71 to 1.48)</w:t>
            </w:r>
          </w:p>
          <w:p w14:paraId="17797ECE"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i/>
                <w:color w:val="000000"/>
                <w:sz w:val="18"/>
                <w:szCs w:val="18"/>
              </w:rPr>
              <w:t>White</w:t>
            </w:r>
          </w:p>
          <w:p w14:paraId="2B02535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0.96 (0.65 to 1.41)</w:t>
            </w:r>
          </w:p>
        </w:tc>
        <w:tc>
          <w:tcPr>
            <w:tcW w:w="1985" w:type="dxa"/>
            <w:shd w:val="clear" w:color="auto" w:fill="auto"/>
            <w:tcMar>
              <w:top w:w="62" w:type="dxa"/>
              <w:left w:w="62" w:type="dxa"/>
              <w:bottom w:w="62" w:type="dxa"/>
              <w:right w:w="62" w:type="dxa"/>
            </w:tcMar>
          </w:tcPr>
          <w:p w14:paraId="13450F4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C3B2463" w14:textId="77777777" w:rsidTr="00453DE3">
        <w:trPr>
          <w:trHeight w:val="1061"/>
        </w:trPr>
        <w:tc>
          <w:tcPr>
            <w:tcW w:w="1630" w:type="dxa"/>
            <w:shd w:val="clear" w:color="auto" w:fill="auto"/>
            <w:tcMar>
              <w:top w:w="62" w:type="dxa"/>
              <w:left w:w="62" w:type="dxa"/>
              <w:bottom w:w="62" w:type="dxa"/>
              <w:right w:w="62" w:type="dxa"/>
            </w:tcMar>
          </w:tcPr>
          <w:p w14:paraId="327AC7C8"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29" w:tooltip="Keeler, 2017 #660" w:history="1">
              <w:r w:rsidRPr="00342AED">
                <w:rPr>
                  <w:rFonts w:asciiTheme="minorHAnsi" w:hAnsiTheme="minorHAnsi" w:cstheme="minorHAnsi"/>
                  <w:noProof/>
                  <w:sz w:val="18"/>
                  <w:szCs w:val="18"/>
                </w:rPr>
                <w:t>29</w:t>
              </w:r>
            </w:hyperlink>
            <w:r w:rsidRPr="00342AED">
              <w:rPr>
                <w:rFonts w:asciiTheme="minorHAnsi" w:hAnsiTheme="minorHAnsi" w:cstheme="minorHAnsi"/>
                <w:noProof/>
                <w:sz w:val="18"/>
                <w:szCs w:val="18"/>
              </w:rPr>
              <w:t>)</w:t>
            </w:r>
            <w:r>
              <w:rPr>
                <w:rFonts w:cstheme="minorHAnsi"/>
                <w:sz w:val="18"/>
                <w:szCs w:val="18"/>
              </w:rPr>
              <w:fldChar w:fldCharType="end"/>
            </w:r>
          </w:p>
          <w:p w14:paraId="2B4F11A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TUS-CPS;</w:t>
            </w:r>
          </w:p>
          <w:p w14:paraId="1365373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2D051DD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3857870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10E490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Gender, age, education, family income, marital status, census region of </w:t>
            </w:r>
            <w:r w:rsidRPr="00191C09">
              <w:rPr>
                <w:rFonts w:asciiTheme="minorHAnsi" w:hAnsiTheme="minorHAnsi" w:cstheme="minorHAnsi"/>
                <w:sz w:val="18"/>
                <w:szCs w:val="18"/>
              </w:rPr>
              <w:lastRenderedPageBreak/>
              <w:t>residence, and survey year (2006/2007, and 2010/2011).</w:t>
            </w:r>
          </w:p>
        </w:tc>
        <w:tc>
          <w:tcPr>
            <w:tcW w:w="2267" w:type="dxa"/>
            <w:shd w:val="clear" w:color="auto" w:fill="auto"/>
            <w:tcMar>
              <w:top w:w="62" w:type="dxa"/>
              <w:left w:w="62" w:type="dxa"/>
              <w:bottom w:w="62" w:type="dxa"/>
              <w:right w:w="62" w:type="dxa"/>
            </w:tcMar>
          </w:tcPr>
          <w:p w14:paraId="2B783C5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869" w:type="dxa"/>
            <w:shd w:val="clear" w:color="auto" w:fill="auto"/>
            <w:tcMar>
              <w:top w:w="62" w:type="dxa"/>
              <w:left w:w="62" w:type="dxa"/>
              <w:bottom w:w="62" w:type="dxa"/>
              <w:right w:w="62" w:type="dxa"/>
            </w:tcMar>
          </w:tcPr>
          <w:p w14:paraId="3EB0813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w:t>
            </w:r>
            <w:r w:rsidRPr="00191C09">
              <w:rPr>
                <w:rFonts w:asciiTheme="minorHAnsi" w:hAnsiTheme="minorHAnsi" w:cstheme="minorHAnsi"/>
                <w:color w:val="000000"/>
                <w:sz w:val="18"/>
                <w:szCs w:val="18"/>
              </w:rPr>
              <w:t>o difference in rate of abstinence (≥3 months) between M and NM smokers:</w:t>
            </w:r>
          </w:p>
          <w:p w14:paraId="145B0FF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OR=0.92 95% CI: 0.83–1.03; p=0.1470</w:t>
            </w:r>
          </w:p>
          <w:p w14:paraId="0480A53E" w14:textId="77777777" w:rsidR="007F0AE0" w:rsidRPr="00191C09" w:rsidRDefault="007F0AE0" w:rsidP="00453DE3">
            <w:pPr>
              <w:rPr>
                <w:rFonts w:asciiTheme="minorHAnsi" w:hAnsiTheme="minorHAnsi" w:cstheme="minorHAnsi"/>
                <w:color w:val="000000"/>
                <w:sz w:val="18"/>
                <w:szCs w:val="18"/>
              </w:rPr>
            </w:pPr>
          </w:p>
          <w:p w14:paraId="564FF09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 xml:space="preserve">Among </w:t>
            </w:r>
            <w:r>
              <w:rPr>
                <w:rFonts w:asciiTheme="minorHAnsi" w:hAnsiTheme="minorHAnsi" w:cstheme="minorHAnsi"/>
                <w:color w:val="000000"/>
                <w:sz w:val="18"/>
                <w:szCs w:val="18"/>
              </w:rPr>
              <w:t>B</w:t>
            </w:r>
            <w:r w:rsidRPr="00191C09">
              <w:rPr>
                <w:rFonts w:asciiTheme="minorHAnsi" w:hAnsiTheme="minorHAnsi" w:cstheme="minorHAnsi"/>
                <w:color w:val="000000"/>
                <w:sz w:val="18"/>
                <w:szCs w:val="18"/>
              </w:rPr>
              <w:t>lack smokers, no difference in odds cessation ((≥3 months) between M and NM smokers:</w:t>
            </w:r>
          </w:p>
          <w:p w14:paraId="53CD01F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OR=1.03, 95% CI: 0.73–1.44; p=0.8630</w:t>
            </w:r>
          </w:p>
          <w:p w14:paraId="7AD0E393" w14:textId="77777777" w:rsidR="007F0AE0" w:rsidRPr="00191C09" w:rsidRDefault="007F0AE0" w:rsidP="00453DE3">
            <w:pPr>
              <w:rPr>
                <w:rFonts w:asciiTheme="minorHAnsi" w:hAnsiTheme="minorHAnsi" w:cstheme="minorHAnsi"/>
                <w:color w:val="000000"/>
                <w:sz w:val="18"/>
                <w:szCs w:val="18"/>
              </w:rPr>
            </w:pPr>
          </w:p>
          <w:p w14:paraId="3AB77AD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Among </w:t>
            </w:r>
            <w:r>
              <w:rPr>
                <w:rFonts w:asciiTheme="minorHAnsi" w:hAnsiTheme="minorHAnsi" w:cstheme="minorHAnsi"/>
                <w:color w:val="000000"/>
                <w:sz w:val="18"/>
                <w:szCs w:val="18"/>
              </w:rPr>
              <w:t>W</w:t>
            </w:r>
            <w:r w:rsidRPr="00191C09">
              <w:rPr>
                <w:rFonts w:asciiTheme="minorHAnsi" w:hAnsiTheme="minorHAnsi" w:cstheme="minorHAnsi"/>
                <w:color w:val="000000"/>
                <w:sz w:val="18"/>
                <w:szCs w:val="18"/>
              </w:rPr>
              <w:t>hite smokers, no difference in odds cessation ((≥3 months) between M and NM smokers:</w:t>
            </w:r>
          </w:p>
          <w:p w14:paraId="2BF1188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OR=0.94, 95% CI: 0.84–1.06; p=0.3190</w:t>
            </w:r>
          </w:p>
          <w:p w14:paraId="5B4694E9" w14:textId="77777777" w:rsidR="007F0AE0" w:rsidRPr="00191C09" w:rsidRDefault="007F0AE0" w:rsidP="00453DE3">
            <w:pPr>
              <w:rPr>
                <w:rFonts w:asciiTheme="minorHAnsi" w:hAnsiTheme="minorHAnsi" w:cstheme="minorHAnsi"/>
                <w:color w:val="000000"/>
                <w:sz w:val="18"/>
                <w:szCs w:val="18"/>
              </w:rPr>
            </w:pPr>
          </w:p>
          <w:p w14:paraId="3DCB8C6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Among Asian smokers, no difference in odds cessation ((≥3 months) between M and NM smokers:</w:t>
            </w:r>
          </w:p>
          <w:p w14:paraId="44D547F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OR=0.98, 95% CI: 0.44–2.19; p=0.9540</w:t>
            </w:r>
          </w:p>
          <w:p w14:paraId="4537C48C" w14:textId="77777777" w:rsidR="007F0AE0" w:rsidRPr="00191C09" w:rsidRDefault="007F0AE0" w:rsidP="00453DE3">
            <w:pPr>
              <w:rPr>
                <w:rFonts w:asciiTheme="minorHAnsi" w:hAnsiTheme="minorHAnsi" w:cstheme="minorHAnsi"/>
                <w:color w:val="000000"/>
                <w:sz w:val="18"/>
                <w:szCs w:val="18"/>
              </w:rPr>
            </w:pPr>
          </w:p>
          <w:p w14:paraId="077C109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Among Hispanic smokers, no difference in odds cessation ((≥3 months) </w:t>
            </w:r>
            <w:r w:rsidRPr="00191C09">
              <w:rPr>
                <w:rFonts w:asciiTheme="minorHAnsi" w:hAnsiTheme="minorHAnsi" w:cstheme="minorHAnsi"/>
                <w:sz w:val="18"/>
                <w:szCs w:val="18"/>
              </w:rPr>
              <w:t xml:space="preserve">between </w:t>
            </w:r>
            <w:r w:rsidRPr="00191C09">
              <w:rPr>
                <w:rFonts w:asciiTheme="minorHAnsi" w:hAnsiTheme="minorHAnsi" w:cstheme="minorHAnsi"/>
                <w:color w:val="000000"/>
                <w:sz w:val="18"/>
                <w:szCs w:val="18"/>
              </w:rPr>
              <w:t>M and NM smokers</w:t>
            </w:r>
            <w:r w:rsidRPr="00191C09">
              <w:rPr>
                <w:rFonts w:asciiTheme="minorHAnsi" w:hAnsiTheme="minorHAnsi" w:cstheme="minorHAnsi"/>
                <w:sz w:val="18"/>
                <w:szCs w:val="18"/>
              </w:rPr>
              <w:t>:</w:t>
            </w:r>
          </w:p>
          <w:p w14:paraId="3D945F1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OR=0.88, 95% CI: 0.60–1.28; p=0.4980</w:t>
            </w:r>
          </w:p>
        </w:tc>
        <w:tc>
          <w:tcPr>
            <w:tcW w:w="1985" w:type="dxa"/>
            <w:shd w:val="clear" w:color="auto" w:fill="auto"/>
            <w:tcMar>
              <w:top w:w="62" w:type="dxa"/>
              <w:left w:w="62" w:type="dxa"/>
              <w:bottom w:w="62" w:type="dxa"/>
              <w:right w:w="62" w:type="dxa"/>
            </w:tcMar>
          </w:tcPr>
          <w:p w14:paraId="0011F6F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20DA5A05" w14:textId="77777777" w:rsidTr="00453DE3">
        <w:trPr>
          <w:trHeight w:val="1061"/>
        </w:trPr>
        <w:tc>
          <w:tcPr>
            <w:tcW w:w="1630" w:type="dxa"/>
            <w:shd w:val="clear" w:color="auto" w:fill="auto"/>
            <w:tcMar>
              <w:top w:w="62" w:type="dxa"/>
              <w:left w:w="62" w:type="dxa"/>
              <w:bottom w:w="62" w:type="dxa"/>
              <w:right w:w="62" w:type="dxa"/>
            </w:tcMar>
          </w:tcPr>
          <w:p w14:paraId="13EFC395"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30" w:tooltip="Keeler, 2018 #537" w:history="1">
              <w:r w:rsidRPr="00342AED">
                <w:rPr>
                  <w:rFonts w:asciiTheme="minorHAnsi" w:hAnsiTheme="minorHAnsi" w:cstheme="minorHAnsi"/>
                  <w:noProof/>
                  <w:sz w:val="18"/>
                  <w:szCs w:val="18"/>
                </w:rPr>
                <w:t>30</w:t>
              </w:r>
            </w:hyperlink>
            <w:r w:rsidRPr="00342AED">
              <w:rPr>
                <w:rFonts w:asciiTheme="minorHAnsi" w:hAnsiTheme="minorHAnsi" w:cstheme="minorHAnsi"/>
                <w:noProof/>
                <w:sz w:val="18"/>
                <w:szCs w:val="18"/>
              </w:rPr>
              <w:t>)</w:t>
            </w:r>
            <w:r>
              <w:rPr>
                <w:rFonts w:cstheme="minorHAnsi"/>
                <w:sz w:val="18"/>
                <w:szCs w:val="18"/>
              </w:rPr>
              <w:fldChar w:fldCharType="end"/>
            </w:r>
          </w:p>
          <w:p w14:paraId="702EF58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TUS-CPS;</w:t>
            </w:r>
          </w:p>
          <w:p w14:paraId="548E4A6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 xml:space="preserve">Subsamples of African-American and </w:t>
            </w:r>
            <w:r>
              <w:rPr>
                <w:rFonts w:asciiTheme="minorHAnsi" w:hAnsiTheme="minorHAnsi" w:cstheme="minorHAnsi"/>
                <w:sz w:val="18"/>
                <w:szCs w:val="18"/>
              </w:rPr>
              <w:t>W</w:t>
            </w:r>
            <w:r w:rsidRPr="00191C09">
              <w:rPr>
                <w:rFonts w:asciiTheme="minorHAnsi" w:hAnsiTheme="minorHAnsi" w:cstheme="minorHAnsi"/>
                <w:sz w:val="18"/>
                <w:szCs w:val="18"/>
              </w:rPr>
              <w:t>hite respondents, respectively.</w:t>
            </w:r>
          </w:p>
        </w:tc>
        <w:tc>
          <w:tcPr>
            <w:tcW w:w="2144" w:type="dxa"/>
            <w:shd w:val="clear" w:color="auto" w:fill="auto"/>
            <w:tcMar>
              <w:top w:w="62" w:type="dxa"/>
              <w:left w:w="62" w:type="dxa"/>
              <w:bottom w:w="62" w:type="dxa"/>
              <w:right w:w="62" w:type="dxa"/>
            </w:tcMar>
          </w:tcPr>
          <w:p w14:paraId="71C9561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53F98AA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2749D74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Gender, age, education, family income, marital status, smoking intensity, menthol use status, how soon to smoke the first cigarette after awakening, and survey year (2006–2007 and 2010–2011).</w:t>
            </w:r>
          </w:p>
        </w:tc>
        <w:tc>
          <w:tcPr>
            <w:tcW w:w="2267" w:type="dxa"/>
            <w:shd w:val="clear" w:color="auto" w:fill="auto"/>
            <w:tcMar>
              <w:top w:w="62" w:type="dxa"/>
              <w:left w:w="62" w:type="dxa"/>
              <w:bottom w:w="62" w:type="dxa"/>
              <w:right w:w="62" w:type="dxa"/>
            </w:tcMar>
          </w:tcPr>
          <w:p w14:paraId="56D5979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5B2638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Among </w:t>
            </w:r>
            <w:r>
              <w:rPr>
                <w:rFonts w:asciiTheme="minorHAnsi" w:hAnsiTheme="minorHAnsi" w:cstheme="minorHAnsi"/>
                <w:sz w:val="18"/>
                <w:szCs w:val="18"/>
              </w:rPr>
              <w:t>B</w:t>
            </w:r>
            <w:r w:rsidRPr="00191C09">
              <w:rPr>
                <w:rFonts w:asciiTheme="minorHAnsi" w:hAnsiTheme="minorHAnsi" w:cstheme="minorHAnsi"/>
                <w:sz w:val="18"/>
                <w:szCs w:val="18"/>
              </w:rPr>
              <w:t xml:space="preserve">lack smokers, successful cessation (≥3 months) did not differ between menthol and non-menthol smokers: </w:t>
            </w:r>
          </w:p>
          <w:p w14:paraId="644F97F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M=5.1% vs. NM=5.6%; OR=1.01 (0.70-1.45); p=NS</w:t>
            </w:r>
          </w:p>
          <w:p w14:paraId="5C86E8C7" w14:textId="77777777" w:rsidR="007F0AE0" w:rsidRPr="00191C09" w:rsidRDefault="007F0AE0" w:rsidP="00453DE3">
            <w:pPr>
              <w:rPr>
                <w:rFonts w:asciiTheme="minorHAnsi" w:hAnsiTheme="minorHAnsi" w:cstheme="minorHAnsi"/>
                <w:sz w:val="18"/>
                <w:szCs w:val="18"/>
              </w:rPr>
            </w:pPr>
          </w:p>
          <w:p w14:paraId="3E9CFDA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Among </w:t>
            </w:r>
            <w:r>
              <w:rPr>
                <w:rFonts w:asciiTheme="minorHAnsi" w:hAnsiTheme="minorHAnsi" w:cstheme="minorHAnsi"/>
                <w:sz w:val="18"/>
                <w:szCs w:val="18"/>
              </w:rPr>
              <w:t>W</w:t>
            </w:r>
            <w:r w:rsidRPr="00191C09">
              <w:rPr>
                <w:rFonts w:asciiTheme="minorHAnsi" w:hAnsiTheme="minorHAnsi" w:cstheme="minorHAnsi"/>
                <w:sz w:val="18"/>
                <w:szCs w:val="18"/>
              </w:rPr>
              <w:t xml:space="preserve">hite smokers, successful cessation (≥3 months) did not differ between menthol and non-menthol smokers: </w:t>
            </w:r>
          </w:p>
          <w:p w14:paraId="27BB9D9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M=5.8% vs. NM=6.2%; OR=0.94 (0.84-1.07); p=NS</w:t>
            </w:r>
          </w:p>
        </w:tc>
        <w:tc>
          <w:tcPr>
            <w:tcW w:w="1985" w:type="dxa"/>
            <w:shd w:val="clear" w:color="auto" w:fill="auto"/>
            <w:tcMar>
              <w:top w:w="62" w:type="dxa"/>
              <w:left w:w="62" w:type="dxa"/>
              <w:bottom w:w="62" w:type="dxa"/>
              <w:right w:w="62" w:type="dxa"/>
            </w:tcMar>
          </w:tcPr>
          <w:p w14:paraId="6399DDA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7CEC143" w14:textId="77777777" w:rsidTr="00453DE3">
        <w:trPr>
          <w:trHeight w:val="1061"/>
        </w:trPr>
        <w:tc>
          <w:tcPr>
            <w:tcW w:w="1630" w:type="dxa"/>
            <w:shd w:val="clear" w:color="auto" w:fill="auto"/>
            <w:tcMar>
              <w:top w:w="62" w:type="dxa"/>
              <w:left w:w="62" w:type="dxa"/>
              <w:bottom w:w="62" w:type="dxa"/>
              <w:right w:w="62" w:type="dxa"/>
            </w:tcMar>
          </w:tcPr>
          <w:p w14:paraId="73BC2451"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19" w:tooltip="Levy, 2011 #45" w:history="1">
              <w:r w:rsidRPr="00342AED">
                <w:rPr>
                  <w:rFonts w:asciiTheme="minorHAnsi" w:hAnsiTheme="minorHAnsi" w:cstheme="minorHAnsi"/>
                  <w:noProof/>
                  <w:color w:val="000000"/>
                  <w:sz w:val="18"/>
                  <w:szCs w:val="18"/>
                </w:rPr>
                <w:t>19</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13CA219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TUS-CPS</w:t>
            </w:r>
          </w:p>
          <w:p w14:paraId="4C77D34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2BF05B4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3EEB680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Multiple logistic regression;</w:t>
            </w:r>
          </w:p>
          <w:p w14:paraId="680279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marital status, education, family income, indicator if income &gt;$175000, state smoke-free policies, survey wave</w:t>
            </w:r>
            <w:r w:rsidRPr="00191C09">
              <w:rPr>
                <w:rFonts w:asciiTheme="minorHAnsi" w:hAnsiTheme="minorHAnsi" w:cstheme="minorHAnsi"/>
                <w:sz w:val="18"/>
                <w:szCs w:val="18"/>
                <w:vertAlign w:val="superscript"/>
              </w:rPr>
              <w:t>b</w:t>
            </w:r>
          </w:p>
        </w:tc>
        <w:tc>
          <w:tcPr>
            <w:tcW w:w="2267" w:type="dxa"/>
            <w:shd w:val="clear" w:color="auto" w:fill="auto"/>
            <w:tcMar>
              <w:top w:w="62" w:type="dxa"/>
              <w:left w:w="62" w:type="dxa"/>
              <w:bottom w:w="62" w:type="dxa"/>
              <w:right w:w="62" w:type="dxa"/>
            </w:tcMar>
          </w:tcPr>
          <w:p w14:paraId="4209B1E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Among all former smokers (≥100 lifetime cigarettes but not currently smoking)</w:t>
            </w:r>
          </w:p>
          <w:p w14:paraId="08FBDC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41459560" w14:textId="77777777" w:rsidR="007F0AE0" w:rsidRPr="00191C09" w:rsidRDefault="007F0AE0" w:rsidP="00453DE3">
            <w:pPr>
              <w:rPr>
                <w:rFonts w:asciiTheme="minorHAnsi" w:hAnsiTheme="minorHAnsi" w:cstheme="minorHAnsi"/>
                <w:sz w:val="18"/>
                <w:szCs w:val="18"/>
                <w:u w:val="single"/>
              </w:rPr>
            </w:pPr>
            <w:r>
              <w:rPr>
                <w:rFonts w:asciiTheme="minorHAnsi" w:hAnsiTheme="minorHAnsi" w:cstheme="minorHAnsi"/>
                <w:sz w:val="18"/>
                <w:szCs w:val="18"/>
                <w:u w:val="single"/>
              </w:rPr>
              <w:t>Quit ≥</w:t>
            </w:r>
            <w:r w:rsidRPr="00191C09">
              <w:rPr>
                <w:rFonts w:asciiTheme="minorHAnsi" w:hAnsiTheme="minorHAnsi" w:cstheme="minorHAnsi"/>
                <w:sz w:val="18"/>
                <w:szCs w:val="18"/>
                <w:u w:val="single"/>
              </w:rPr>
              <w:t>3 months and ≤1 year at interview:</w:t>
            </w:r>
          </w:p>
          <w:p w14:paraId="25805D0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0.97 (0.96 to 0.97)</w:t>
            </w:r>
          </w:p>
          <w:p w14:paraId="487E2851" w14:textId="77777777" w:rsidR="007F0AE0" w:rsidRPr="00191C09" w:rsidRDefault="007F0AE0" w:rsidP="00453DE3">
            <w:pPr>
              <w:rPr>
                <w:rFonts w:asciiTheme="minorHAnsi" w:hAnsiTheme="minorHAnsi" w:cstheme="minorHAnsi"/>
                <w:sz w:val="18"/>
                <w:szCs w:val="18"/>
                <w:u w:val="single"/>
              </w:rPr>
            </w:pPr>
            <w:r>
              <w:rPr>
                <w:rFonts w:asciiTheme="minorHAnsi" w:hAnsiTheme="minorHAnsi" w:cstheme="minorHAnsi"/>
                <w:sz w:val="18"/>
                <w:szCs w:val="18"/>
                <w:u w:val="single"/>
              </w:rPr>
              <w:t>Quit ≥</w:t>
            </w:r>
            <w:r w:rsidRPr="00191C09">
              <w:rPr>
                <w:rFonts w:asciiTheme="minorHAnsi" w:hAnsiTheme="minorHAnsi" w:cstheme="minorHAnsi"/>
                <w:sz w:val="18"/>
                <w:szCs w:val="18"/>
                <w:u w:val="single"/>
              </w:rPr>
              <w:t xml:space="preserve">3 months and ≤5 years at interview: </w:t>
            </w:r>
          </w:p>
          <w:p w14:paraId="2ADD838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0.94 (0.94 to 0.94)</w:t>
            </w:r>
          </w:p>
        </w:tc>
        <w:tc>
          <w:tcPr>
            <w:tcW w:w="4869" w:type="dxa"/>
            <w:shd w:val="clear" w:color="auto" w:fill="auto"/>
            <w:tcMar>
              <w:top w:w="62" w:type="dxa"/>
              <w:left w:w="62" w:type="dxa"/>
              <w:bottom w:w="62" w:type="dxa"/>
              <w:right w:w="62" w:type="dxa"/>
            </w:tcMar>
          </w:tcPr>
          <w:p w14:paraId="0F0C365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1985" w:type="dxa"/>
            <w:shd w:val="clear" w:color="auto" w:fill="auto"/>
            <w:tcMar>
              <w:top w:w="62" w:type="dxa"/>
              <w:left w:w="62" w:type="dxa"/>
              <w:bottom w:w="62" w:type="dxa"/>
              <w:right w:w="62" w:type="dxa"/>
            </w:tcMar>
          </w:tcPr>
          <w:p w14:paraId="628DDFC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0D40CAFA" w14:textId="77777777" w:rsidTr="00453DE3">
        <w:trPr>
          <w:trHeight w:val="1061"/>
        </w:trPr>
        <w:tc>
          <w:tcPr>
            <w:tcW w:w="1630" w:type="dxa"/>
            <w:shd w:val="clear" w:color="auto" w:fill="auto"/>
            <w:tcMar>
              <w:top w:w="62" w:type="dxa"/>
              <w:left w:w="62" w:type="dxa"/>
              <w:bottom w:w="62" w:type="dxa"/>
              <w:right w:w="62" w:type="dxa"/>
            </w:tcMar>
          </w:tcPr>
          <w:p w14:paraId="51D91DBA"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53" w:tooltip="Lewis, 2014 #17" w:history="1">
              <w:r w:rsidRPr="00342AED">
                <w:rPr>
                  <w:rFonts w:asciiTheme="minorHAnsi" w:hAnsiTheme="minorHAnsi" w:cstheme="minorHAnsi"/>
                  <w:noProof/>
                  <w:sz w:val="18"/>
                  <w:szCs w:val="18"/>
                </w:rPr>
                <w:t>53</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1156421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3533085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01D38EC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2C184ED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Hazard ratio (Cox);</w:t>
            </w:r>
          </w:p>
          <w:p w14:paraId="3B9567F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income, recency, nicotine intake, cig quality preference, price+tax, anti-smoking advertising, smoke-free policies</w:t>
            </w:r>
          </w:p>
        </w:tc>
        <w:tc>
          <w:tcPr>
            <w:tcW w:w="2267" w:type="dxa"/>
            <w:shd w:val="clear" w:color="auto" w:fill="auto"/>
            <w:tcMar>
              <w:top w:w="62" w:type="dxa"/>
              <w:left w:w="62" w:type="dxa"/>
              <w:bottom w:w="62" w:type="dxa"/>
              <w:right w:w="62" w:type="dxa"/>
            </w:tcMar>
          </w:tcPr>
          <w:p w14:paraId="6DC1979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36E14C2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Former smoker: did not purchase a pack of cigarettes for ≥1 year</w:t>
            </w:r>
          </w:p>
          <w:p w14:paraId="7C344FC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HR (95% CI) for M (ref= NM)</w:t>
            </w:r>
          </w:p>
          <w:p w14:paraId="7DE4B78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0.79 (0.64 to 0.99)</w:t>
            </w:r>
          </w:p>
        </w:tc>
        <w:tc>
          <w:tcPr>
            <w:tcW w:w="1985" w:type="dxa"/>
            <w:shd w:val="clear" w:color="auto" w:fill="auto"/>
            <w:tcMar>
              <w:top w:w="62" w:type="dxa"/>
              <w:left w:w="62" w:type="dxa"/>
              <w:bottom w:w="62" w:type="dxa"/>
              <w:right w:w="62" w:type="dxa"/>
            </w:tcMar>
          </w:tcPr>
          <w:p w14:paraId="4A612E7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5382BAD" w14:textId="77777777" w:rsidTr="00453DE3">
        <w:trPr>
          <w:trHeight w:val="1061"/>
        </w:trPr>
        <w:tc>
          <w:tcPr>
            <w:tcW w:w="1630" w:type="dxa"/>
            <w:shd w:val="clear" w:color="auto" w:fill="auto"/>
            <w:tcMar>
              <w:top w:w="62" w:type="dxa"/>
              <w:left w:w="62" w:type="dxa"/>
              <w:bottom w:w="62" w:type="dxa"/>
              <w:right w:w="62" w:type="dxa"/>
            </w:tcMar>
          </w:tcPr>
          <w:p w14:paraId="09B78555" w14:textId="77777777" w:rsidR="007F0AE0" w:rsidRPr="00191C09"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74" w:tooltip="Muench, 2017 #700" w:history="1">
              <w:r w:rsidRPr="00342AED">
                <w:rPr>
                  <w:rFonts w:asciiTheme="minorHAnsi" w:hAnsiTheme="minorHAnsi" w:cstheme="minorHAnsi"/>
                  <w:noProof/>
                  <w:sz w:val="18"/>
                  <w:szCs w:val="18"/>
                </w:rPr>
                <w:t>74</w:t>
              </w:r>
            </w:hyperlink>
            <w:r w:rsidRPr="00342AED">
              <w:rPr>
                <w:rFonts w:asciiTheme="minorHAnsi" w:hAnsiTheme="minorHAnsi" w:cstheme="minorHAnsi"/>
                <w:noProof/>
                <w:sz w:val="18"/>
                <w:szCs w:val="18"/>
              </w:rPr>
              <w:t>)</w:t>
            </w:r>
            <w:r>
              <w:rPr>
                <w:rFonts w:cstheme="minorHAnsi"/>
                <w:sz w:val="18"/>
                <w:szCs w:val="18"/>
              </w:rPr>
              <w:fldChar w:fldCharType="end"/>
            </w:r>
          </w:p>
          <w:p w14:paraId="6082BD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12A558B8"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6C49363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4FB22F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Binary logistic regression, proportional hazards regression</w:t>
            </w:r>
          </w:p>
          <w:p w14:paraId="01D259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income, education level, and race/ethnicity.</w:t>
            </w:r>
          </w:p>
        </w:tc>
        <w:tc>
          <w:tcPr>
            <w:tcW w:w="2267" w:type="dxa"/>
            <w:shd w:val="clear" w:color="auto" w:fill="auto"/>
            <w:tcMar>
              <w:top w:w="62" w:type="dxa"/>
              <w:left w:w="62" w:type="dxa"/>
              <w:bottom w:w="62" w:type="dxa"/>
              <w:right w:w="62" w:type="dxa"/>
            </w:tcMar>
          </w:tcPr>
          <w:p w14:paraId="7DB56D0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342525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1985" w:type="dxa"/>
            <w:shd w:val="clear" w:color="auto" w:fill="auto"/>
            <w:tcMar>
              <w:top w:w="62" w:type="dxa"/>
              <w:left w:w="62" w:type="dxa"/>
              <w:bottom w:w="62" w:type="dxa"/>
              <w:right w:w="62" w:type="dxa"/>
            </w:tcMar>
          </w:tcPr>
          <w:p w14:paraId="101F5C6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 preference for menthol cigarettes was associated with greater lapse risk:</w:t>
            </w:r>
          </w:p>
          <w:p w14:paraId="1E29D49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OR=3.474, p&lt;0.05</w:t>
            </w:r>
          </w:p>
          <w:p w14:paraId="45CE26AF" w14:textId="77777777" w:rsidR="007F0AE0" w:rsidRPr="00191C09" w:rsidRDefault="007F0AE0" w:rsidP="00453DE3">
            <w:pPr>
              <w:rPr>
                <w:rFonts w:asciiTheme="minorHAnsi" w:hAnsiTheme="minorHAnsi" w:cstheme="minorHAnsi"/>
                <w:sz w:val="18"/>
                <w:szCs w:val="18"/>
              </w:rPr>
            </w:pPr>
          </w:p>
          <w:p w14:paraId="10AEE2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Menthol preference is associated with a </w:t>
            </w:r>
            <w:r>
              <w:rPr>
                <w:rFonts w:asciiTheme="minorHAnsi" w:hAnsiTheme="minorHAnsi" w:cstheme="minorHAnsi"/>
                <w:sz w:val="18"/>
                <w:szCs w:val="18"/>
              </w:rPr>
              <w:t>statistically significant</w:t>
            </w:r>
            <w:r w:rsidRPr="00191C09">
              <w:rPr>
                <w:rFonts w:asciiTheme="minorHAnsi" w:hAnsiTheme="minorHAnsi" w:cstheme="minorHAnsi"/>
                <w:sz w:val="18"/>
                <w:szCs w:val="18"/>
              </w:rPr>
              <w:t xml:space="preserve"> higher risk of lapsing within the first 48 hours of abstinence, compared with those who are non-menthol users:</w:t>
            </w:r>
          </w:p>
          <w:p w14:paraId="202FCF8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HR=2.798, Wald statistic=2.79 (p=0.48)</w:t>
            </w:r>
          </w:p>
        </w:tc>
      </w:tr>
      <w:tr w:rsidR="007F0AE0" w:rsidRPr="00191C09" w14:paraId="33C90A82" w14:textId="77777777" w:rsidTr="00453DE3">
        <w:trPr>
          <w:trHeight w:val="1061"/>
        </w:trPr>
        <w:tc>
          <w:tcPr>
            <w:tcW w:w="1630" w:type="dxa"/>
            <w:shd w:val="clear" w:color="auto" w:fill="auto"/>
            <w:tcMar>
              <w:top w:w="62" w:type="dxa"/>
              <w:left w:w="62" w:type="dxa"/>
              <w:bottom w:w="62" w:type="dxa"/>
              <w:right w:w="62" w:type="dxa"/>
            </w:tcMar>
          </w:tcPr>
          <w:p w14:paraId="36F0854F"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&lt;EndNote&gt;&lt;Cite&gt;&lt;Author&gt;Muscat&lt;/Author&gt;&lt;Year&gt;2002&lt;/Year&gt;&lt;RecNum&gt;86&lt;/RecNum&gt;&lt;DisplayText&gt;(55)&lt;/DisplayText&gt;&lt;record&gt;&lt;rec-number&gt;86&lt;/rec-number&gt;&lt;foreign-keys&gt;&lt;key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55" w:tooltip="Muscat, 2002 #86" w:history="1">
              <w:r>
                <w:rPr>
                  <w:rFonts w:cstheme="minorHAnsi"/>
                  <w:noProof/>
                  <w:color w:val="000000"/>
                  <w:sz w:val="18"/>
                  <w:szCs w:val="18"/>
                </w:rPr>
                <w:t>55</w:t>
              </w:r>
            </w:hyperlink>
            <w:r>
              <w:rPr>
                <w:rFonts w:cstheme="minorHAnsi"/>
                <w:noProof/>
                <w:color w:val="000000"/>
                <w:sz w:val="18"/>
                <w:szCs w:val="18"/>
              </w:rPr>
              <w:t>)</w:t>
            </w:r>
            <w:r w:rsidRPr="00191C09">
              <w:rPr>
                <w:rFonts w:cstheme="minorHAnsi"/>
                <w:color w:val="000000"/>
                <w:sz w:val="18"/>
                <w:szCs w:val="18"/>
              </w:rPr>
              <w:fldChar w:fldCharType="end"/>
            </w:r>
          </w:p>
          <w:p w14:paraId="4436EC0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A09E1E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Cancer patients and non-cancer controls</w:t>
            </w:r>
          </w:p>
        </w:tc>
        <w:tc>
          <w:tcPr>
            <w:tcW w:w="2144" w:type="dxa"/>
            <w:shd w:val="clear" w:color="auto" w:fill="auto"/>
            <w:tcMar>
              <w:top w:w="62" w:type="dxa"/>
              <w:left w:w="62" w:type="dxa"/>
              <w:bottom w:w="62" w:type="dxa"/>
              <w:right w:w="62" w:type="dxa"/>
            </w:tcMar>
          </w:tcPr>
          <w:p w14:paraId="382CED9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2EA4291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6AC9A37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education, case-control status, years of smoking, CPD</w:t>
            </w:r>
          </w:p>
        </w:tc>
        <w:tc>
          <w:tcPr>
            <w:tcW w:w="2267" w:type="dxa"/>
            <w:shd w:val="clear" w:color="auto" w:fill="auto"/>
            <w:tcMar>
              <w:top w:w="62" w:type="dxa"/>
              <w:left w:w="62" w:type="dxa"/>
              <w:bottom w:w="62" w:type="dxa"/>
              <w:right w:w="62" w:type="dxa"/>
            </w:tcMar>
          </w:tcPr>
          <w:p w14:paraId="5490B79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4EE0E278"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rPr>
              <w:t>Current smoking (vs. former smoker):</w:t>
            </w:r>
          </w:p>
          <w:p w14:paraId="245CE6AB" w14:textId="77777777" w:rsidR="007F0AE0" w:rsidRPr="00191C09" w:rsidRDefault="007F0AE0" w:rsidP="00453DE3">
            <w:pPr>
              <w:rPr>
                <w:rFonts w:asciiTheme="minorHAnsi" w:hAnsiTheme="minorHAnsi" w:cstheme="minorHAnsi"/>
                <w:i/>
                <w:color w:val="000000"/>
                <w:sz w:val="18"/>
                <w:szCs w:val="18"/>
              </w:rPr>
            </w:pPr>
            <w:r w:rsidRPr="00191C09">
              <w:rPr>
                <w:rFonts w:asciiTheme="minorHAnsi" w:hAnsiTheme="minorHAnsi" w:cstheme="minorHAnsi"/>
                <w:color w:val="000000"/>
                <w:sz w:val="18"/>
                <w:szCs w:val="18"/>
              </w:rPr>
              <w:t>Prevalence OR (95% CI) for M (ref=NM)</w:t>
            </w:r>
            <w:r w:rsidRPr="00191C09">
              <w:rPr>
                <w:rFonts w:asciiTheme="minorHAnsi" w:hAnsiTheme="minorHAnsi" w:cstheme="minorHAnsi"/>
                <w:color w:val="000000"/>
                <w:sz w:val="18"/>
                <w:szCs w:val="18"/>
              </w:rPr>
              <w:br/>
            </w:r>
            <w:r w:rsidRPr="00191C09">
              <w:rPr>
                <w:rFonts w:asciiTheme="minorHAnsi" w:hAnsiTheme="minorHAnsi" w:cstheme="minorHAnsi"/>
                <w:color w:val="000000"/>
                <w:sz w:val="18"/>
                <w:szCs w:val="18"/>
                <w:u w:val="single"/>
              </w:rPr>
              <w:t>White</w:t>
            </w:r>
          </w:p>
          <w:p w14:paraId="1B09F62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1.1 (1.0 to 1.3)</w:t>
            </w:r>
          </w:p>
          <w:p w14:paraId="683418D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Black</w:t>
            </w:r>
          </w:p>
          <w:p w14:paraId="31A8F90C"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1.1 (0.8 to 1.4)</w:t>
            </w:r>
          </w:p>
          <w:p w14:paraId="3A67032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Menthol β (SE) total sample</w:t>
            </w:r>
          </w:p>
          <w:p w14:paraId="1CF08EB7"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color w:val="000000"/>
                <w:sz w:val="18"/>
                <w:szCs w:val="18"/>
              </w:rPr>
              <w:t>0.11; (0.06)</w:t>
            </w:r>
          </w:p>
        </w:tc>
        <w:tc>
          <w:tcPr>
            <w:tcW w:w="1985" w:type="dxa"/>
            <w:shd w:val="clear" w:color="auto" w:fill="auto"/>
            <w:tcMar>
              <w:top w:w="62" w:type="dxa"/>
              <w:left w:w="62" w:type="dxa"/>
              <w:bottom w:w="62" w:type="dxa"/>
              <w:right w:w="62" w:type="dxa"/>
            </w:tcMar>
          </w:tcPr>
          <w:p w14:paraId="539FC80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7CBA82C4" w14:textId="77777777" w:rsidTr="00453DE3">
        <w:trPr>
          <w:trHeight w:val="1061"/>
        </w:trPr>
        <w:tc>
          <w:tcPr>
            <w:tcW w:w="1630" w:type="dxa"/>
            <w:shd w:val="clear" w:color="auto" w:fill="auto"/>
            <w:tcMar>
              <w:top w:w="62" w:type="dxa"/>
              <w:left w:w="62" w:type="dxa"/>
              <w:bottom w:w="62" w:type="dxa"/>
              <w:right w:w="62" w:type="dxa"/>
            </w:tcMar>
          </w:tcPr>
          <w:p w14:paraId="42A4FAE3"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&lt;EndNote&gt;&lt;Cite&gt;&lt;Author&gt;Nonnemaker&lt;/Author&gt;&lt;Year&gt;2012&lt;/Year&gt;&lt;RecNum&gt;31&lt;/RecNum&gt;&lt;DisplayText&gt;(61)&lt;/DisplayText&gt;&lt;record&gt;&lt;rec-number&gt;31&lt;/rec-number&gt;&lt;foreign-keys&gt;&lt;key app="EN" db-id="a2vz2dfp8xrad6exes75zwpiw5rxwa0vwapv" timestamp="0"&gt;31&lt;/key&gt;&lt;/foreign-keys&gt;&lt;ref-type name="Journal Article"&gt;17&lt;/ref-type&gt;&lt;contributors&gt;&lt;authors&gt;&lt;author&gt;Nonnemaker, J.&lt;/author&gt;&lt;author&gt;Hersey, J.&lt;/author&gt;&lt;author&gt;Homsi, G.&lt;/author&gt;&lt;author&gt;Busey, A.&lt;/author&gt;&lt;author&gt;Allen, J.&lt;/author&gt;&lt;author&gt;Vallone, D.&lt;/author&gt;&lt;/authors&gt;&lt;/contributors&gt;&lt;auth-address&gt;RTI International, Research Triangle Park, NC 27709-2194, USA. jnonnemaker@rti.org&lt;/auth-address&gt;&lt;titles&gt;&lt;title&gt;Initiation with menthol cigarettes and youth smoking uptake&lt;/title&gt;&lt;secondary-title&gt;Addiction&lt;/secondary-title&gt;&lt;/titles&gt;&lt;periodical&gt;&lt;full-title&gt;Addiction&lt;/full-title&gt;&lt;/periodical&gt;&lt;pages&gt;171-8&lt;/pages&gt;&lt;volume&gt;108&lt;/volume&gt;&lt;number&gt;1&lt;/number&gt;&lt;keywords&gt;&lt;keyword&gt;Adolescent&lt;/keyword&gt;&lt;keyword&gt;Age Distribution&lt;/keyword&gt;&lt;keyword&gt;Child&lt;/keyword&gt;&lt;keyword&gt;Female&lt;/keyword&gt;&lt;keyword&gt;Flavoring Agents/*adverse effects&lt;/keyword&gt;&lt;keyword&gt;Humans&lt;/keyword&gt;&lt;keyword&gt;Longitudinal Studies&lt;/keyword&gt;&lt;keyword&gt;Male&lt;/keyword&gt;&lt;keyword&gt;Menthol/*adverse effects&lt;/keyword&gt;&lt;keyword&gt;Risk Factors&lt;/keyword&gt;&lt;keyword&gt;Sex Distribution&lt;/keyword&gt;&lt;keyword&gt;Smoking/*adverse effects&lt;/keyword&gt;&lt;keyword&gt;Smoking Cessation/psychology/statistics &amp;amp; numerical data&lt;/keyword&gt;&lt;keyword&gt;Tobacco Products/*adverse effects&lt;/keyword&gt;&lt;keyword&gt;Tobacco Use Disorder/*etiology&lt;/keyword&gt;&lt;keyword&gt;United States&lt;/keyword&gt;&lt;/keywords&gt;&lt;dates&gt;&lt;year&gt;2012&lt;/year&gt;&lt;pub-dates&gt;&lt;date&gt;Jan&lt;/date&gt;&lt;/pub-dates&gt;&lt;/dates&gt;&lt;isbn&gt;1360-0443 (Electronic)&amp;#xD;0965-2140 (Linking)&lt;/isbn&gt;&lt;accession-num&gt;22862154&lt;/accession-num&gt;&lt;urls&gt;&lt;related-urls&gt;&lt;url&gt;http://www.ncbi.nlm.nih.gov/pubmed/22862154&lt;/url&gt;&lt;/related-urls&gt;&lt;/urls&gt;&lt;electronic-resource-num&gt;10.1111/j.1360-0443.2012.04045.x&lt;/electronic-resource-num&gt;&lt;research-notes&gt;#160&lt;/research-notes&gt;&lt;/record&gt;&lt;/Cite&gt;&lt;/EndNote&gt;</w:instrText>
            </w:r>
            <w:r w:rsidRPr="00191C09">
              <w:rPr>
                <w:rFonts w:cstheme="minorHAnsi"/>
                <w:sz w:val="18"/>
                <w:szCs w:val="18"/>
              </w:rPr>
              <w:fldChar w:fldCharType="separate"/>
            </w:r>
            <w:r w:rsidRPr="00342AED">
              <w:rPr>
                <w:rFonts w:asciiTheme="minorHAnsi" w:hAnsiTheme="minorHAnsi" w:cstheme="minorHAnsi"/>
                <w:noProof/>
                <w:sz w:val="18"/>
                <w:szCs w:val="18"/>
              </w:rPr>
              <w:t>(</w:t>
            </w:r>
            <w:hyperlink w:anchor="_ENREF_61" w:tooltip="Nonnemaker, 2012 #31" w:history="1">
              <w:r w:rsidRPr="00342AED">
                <w:rPr>
                  <w:rFonts w:asciiTheme="minorHAnsi" w:hAnsiTheme="minorHAnsi" w:cstheme="minorHAnsi"/>
                  <w:noProof/>
                  <w:sz w:val="18"/>
                  <w:szCs w:val="18"/>
                </w:rPr>
                <w:t>61</w:t>
              </w:r>
            </w:hyperlink>
            <w:r w:rsidRPr="00342AED">
              <w:rPr>
                <w:rFonts w:asciiTheme="minorHAnsi" w:hAnsiTheme="minorHAnsi" w:cstheme="minorHAnsi"/>
                <w:noProof/>
                <w:sz w:val="18"/>
                <w:szCs w:val="18"/>
              </w:rPr>
              <w:t>)</w:t>
            </w:r>
            <w:r w:rsidRPr="00191C09">
              <w:rPr>
                <w:rFonts w:cstheme="minorHAnsi"/>
                <w:sz w:val="18"/>
                <w:szCs w:val="18"/>
              </w:rPr>
              <w:fldChar w:fldCharType="end"/>
            </w:r>
          </w:p>
          <w:p w14:paraId="4E39B24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ALLTURS</w:t>
            </w:r>
          </w:p>
          <w:p w14:paraId="16782EA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Youth</w:t>
            </w:r>
          </w:p>
        </w:tc>
        <w:tc>
          <w:tcPr>
            <w:tcW w:w="2144" w:type="dxa"/>
            <w:shd w:val="clear" w:color="auto" w:fill="auto"/>
            <w:tcMar>
              <w:top w:w="62" w:type="dxa"/>
              <w:left w:w="62" w:type="dxa"/>
              <w:bottom w:w="62" w:type="dxa"/>
              <w:right w:w="62" w:type="dxa"/>
            </w:tcMar>
          </w:tcPr>
          <w:p w14:paraId="1BA2514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3D14C26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Competing risk survival analysis;</w:t>
            </w:r>
          </w:p>
          <w:p w14:paraId="60727FF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w:t>
            </w:r>
          </w:p>
        </w:tc>
        <w:tc>
          <w:tcPr>
            <w:tcW w:w="2267" w:type="dxa"/>
            <w:shd w:val="clear" w:color="auto" w:fill="auto"/>
            <w:tcMar>
              <w:top w:w="62" w:type="dxa"/>
              <w:left w:w="62" w:type="dxa"/>
              <w:bottom w:w="62" w:type="dxa"/>
              <w:right w:w="62" w:type="dxa"/>
            </w:tcMar>
          </w:tcPr>
          <w:p w14:paraId="23A440C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6F5623E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Quit rate: transition from non-established smoking to non-smoking</w:t>
            </w:r>
            <w:r w:rsidRPr="00191C09">
              <w:rPr>
                <w:rFonts w:asciiTheme="minorHAnsi" w:hAnsiTheme="minorHAnsi" w:cstheme="minorHAnsi"/>
                <w:sz w:val="18"/>
                <w:szCs w:val="18"/>
                <w:vertAlign w:val="superscript"/>
              </w:rPr>
              <w:t xml:space="preserve">c </w:t>
            </w:r>
            <w:r w:rsidRPr="00191C09">
              <w:rPr>
                <w:rFonts w:asciiTheme="minorHAnsi" w:hAnsiTheme="minorHAnsi" w:cstheme="minorHAnsi"/>
                <w:sz w:val="18"/>
                <w:szCs w:val="18"/>
              </w:rPr>
              <w:t>for those who initiated with M:</w:t>
            </w:r>
          </w:p>
          <w:p w14:paraId="56AB45C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 NM)</w:t>
            </w:r>
          </w:p>
          <w:p w14:paraId="03A1CC60"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1.18 (0.78 to 1.80)</w:t>
            </w:r>
          </w:p>
        </w:tc>
        <w:tc>
          <w:tcPr>
            <w:tcW w:w="1985" w:type="dxa"/>
            <w:shd w:val="clear" w:color="auto" w:fill="auto"/>
            <w:tcMar>
              <w:top w:w="62" w:type="dxa"/>
              <w:left w:w="62" w:type="dxa"/>
              <w:bottom w:w="62" w:type="dxa"/>
              <w:right w:w="62" w:type="dxa"/>
            </w:tcMar>
          </w:tcPr>
          <w:p w14:paraId="712A3ED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CE089CF" w14:textId="77777777" w:rsidTr="00453DE3">
        <w:trPr>
          <w:trHeight w:val="1061"/>
        </w:trPr>
        <w:tc>
          <w:tcPr>
            <w:tcW w:w="1630" w:type="dxa"/>
            <w:tcMar>
              <w:top w:w="62" w:type="dxa"/>
              <w:left w:w="62" w:type="dxa"/>
              <w:bottom w:w="62" w:type="dxa"/>
              <w:right w:w="62" w:type="dxa"/>
            </w:tcMar>
          </w:tcPr>
          <w:p w14:paraId="1A379B5B"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191C09">
              <w:rPr>
                <w:rFonts w:cstheme="minorHAnsi"/>
                <w:color w:val="000000"/>
                <w:sz w:val="18"/>
                <w:szCs w:val="18"/>
              </w:rPr>
              <w:fldChar w:fldCharType="end"/>
            </w:r>
          </w:p>
          <w:p w14:paraId="624FB92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77F688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Young adults</w:t>
            </w:r>
          </w:p>
        </w:tc>
        <w:tc>
          <w:tcPr>
            <w:tcW w:w="2144" w:type="dxa"/>
            <w:tcMar>
              <w:top w:w="62" w:type="dxa"/>
              <w:left w:w="62" w:type="dxa"/>
              <w:bottom w:w="62" w:type="dxa"/>
              <w:right w:w="62" w:type="dxa"/>
            </w:tcMar>
          </w:tcPr>
          <w:p w14:paraId="5DDB09C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3713946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For cross-sectional outcomes: related-measures logistic models;</w:t>
            </w:r>
          </w:p>
          <w:p w14:paraId="0530FD3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For longitudinal outcomes: logistic regression with 1 observation per participant;</w:t>
            </w:r>
          </w:p>
          <w:p w14:paraId="436F4A5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social factors (educational level, marital status, employment, health insurance status), CPD at baseline</w:t>
            </w:r>
            <w:r w:rsidRPr="00191C09">
              <w:rPr>
                <w:rFonts w:asciiTheme="minorHAnsi" w:hAnsiTheme="minorHAnsi" w:cstheme="minorHAnsi"/>
                <w:sz w:val="18"/>
                <w:szCs w:val="18"/>
                <w:vertAlign w:val="superscript"/>
              </w:rPr>
              <w:t>d</w:t>
            </w:r>
          </w:p>
        </w:tc>
        <w:tc>
          <w:tcPr>
            <w:tcW w:w="2267" w:type="dxa"/>
            <w:tcMar>
              <w:top w:w="62" w:type="dxa"/>
              <w:left w:w="62" w:type="dxa"/>
              <w:bottom w:w="62" w:type="dxa"/>
              <w:right w:w="62" w:type="dxa"/>
            </w:tcMar>
          </w:tcPr>
          <w:p w14:paraId="1F832B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619028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Quit rate: "not currently smoking" at any examination </w:t>
            </w:r>
          </w:p>
          <w:p w14:paraId="0881A69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OR (95% CI) for M (ref=NM)</w:t>
            </w:r>
          </w:p>
          <w:p w14:paraId="70E1C520"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Total sample</w:t>
            </w:r>
          </w:p>
          <w:p w14:paraId="205452A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0.90 (0.68 to 1.19)</w:t>
            </w:r>
          </w:p>
          <w:p w14:paraId="5DF31459"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Participants with recent quit attempt</w:t>
            </w:r>
          </w:p>
          <w:p w14:paraId="5160921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1.00 (0.71 to 1.42)</w:t>
            </w:r>
          </w:p>
          <w:p w14:paraId="00D07A0F" w14:textId="77777777" w:rsidR="007F0AE0" w:rsidRPr="00191C09" w:rsidRDefault="007F0AE0" w:rsidP="00453DE3">
            <w:pPr>
              <w:rPr>
                <w:rFonts w:asciiTheme="minorHAnsi" w:hAnsiTheme="minorHAnsi" w:cstheme="minorHAnsi"/>
                <w:color w:val="000000"/>
                <w:sz w:val="18"/>
                <w:szCs w:val="18"/>
              </w:rPr>
            </w:pPr>
          </w:p>
          <w:p w14:paraId="58E749CB"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u w:val="single"/>
              </w:rPr>
              <w:t>Rate of "sustained smoking cessation" (no current smoking at the past 2 examinations)</w:t>
            </w:r>
          </w:p>
          <w:p w14:paraId="3C06E15D" w14:textId="77777777" w:rsidR="007F0AE0" w:rsidRPr="00191C09" w:rsidRDefault="007F0AE0" w:rsidP="00453DE3">
            <w:pPr>
              <w:rPr>
                <w:rFonts w:asciiTheme="minorHAnsi" w:hAnsiTheme="minorHAnsi" w:cstheme="minorHAnsi"/>
                <w:color w:val="000000"/>
                <w:sz w:val="18"/>
                <w:szCs w:val="18"/>
              </w:rPr>
            </w:pPr>
          </w:p>
          <w:p w14:paraId="6F00924F"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rPr>
              <w:t>OR (95% CI) for M (ref=NM)</w:t>
            </w:r>
            <w:r>
              <w:rPr>
                <w:rFonts w:asciiTheme="minorHAnsi" w:hAnsiTheme="minorHAnsi" w:cstheme="minorHAnsi"/>
                <w:color w:val="000000"/>
                <w:sz w:val="18"/>
                <w:szCs w:val="18"/>
              </w:rPr>
              <w:t xml:space="preserve"> </w:t>
            </w:r>
          </w:p>
          <w:p w14:paraId="03F9E5A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0.71 (0.49 to 1.02)</w:t>
            </w:r>
          </w:p>
          <w:p w14:paraId="24EAE798" w14:textId="77777777" w:rsidR="007F0AE0" w:rsidRPr="00191C09" w:rsidRDefault="007F0AE0" w:rsidP="00453DE3">
            <w:pPr>
              <w:rPr>
                <w:rFonts w:asciiTheme="minorHAnsi" w:hAnsiTheme="minorHAnsi" w:cstheme="minorHAnsi"/>
                <w:color w:val="000000"/>
                <w:sz w:val="18"/>
                <w:szCs w:val="18"/>
              </w:rPr>
            </w:pPr>
          </w:p>
          <w:p w14:paraId="62C37C19" w14:textId="77777777" w:rsidR="007F0AE0" w:rsidRPr="00191C09" w:rsidRDefault="007F0AE0" w:rsidP="00453DE3">
            <w:pPr>
              <w:rPr>
                <w:rFonts w:asciiTheme="minorHAnsi" w:hAnsiTheme="minorHAnsi" w:cstheme="minorHAnsi"/>
                <w:sz w:val="18"/>
                <w:szCs w:val="18"/>
              </w:rPr>
            </w:pPr>
          </w:p>
        </w:tc>
        <w:tc>
          <w:tcPr>
            <w:tcW w:w="1985" w:type="dxa"/>
            <w:tcMar>
              <w:top w:w="62" w:type="dxa"/>
              <w:left w:w="62" w:type="dxa"/>
              <w:bottom w:w="62" w:type="dxa"/>
              <w:right w:w="62" w:type="dxa"/>
            </w:tcMar>
          </w:tcPr>
          <w:p w14:paraId="007CA8A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Documented relapse: baseline smokers who reported no current smoking at a subsequent examination but reported current smoking at the final examination</w:t>
            </w:r>
          </w:p>
          <w:p w14:paraId="495F7CF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6F48F4B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1.89 (1.17 to 3.05)</w:t>
            </w:r>
          </w:p>
        </w:tc>
      </w:tr>
      <w:tr w:rsidR="007F0AE0" w:rsidRPr="00191C09" w14:paraId="2B574F53" w14:textId="77777777" w:rsidTr="00453DE3">
        <w:trPr>
          <w:trHeight w:val="1061"/>
        </w:trPr>
        <w:tc>
          <w:tcPr>
            <w:tcW w:w="1630" w:type="dxa"/>
            <w:shd w:val="clear" w:color="auto" w:fill="auto"/>
            <w:tcMar>
              <w:top w:w="62" w:type="dxa"/>
              <w:left w:w="62" w:type="dxa"/>
              <w:bottom w:w="62" w:type="dxa"/>
              <w:right w:w="62" w:type="dxa"/>
            </w:tcMar>
          </w:tcPr>
          <w:p w14:paraId="2D13C41C"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&lt;EndNote&gt;&lt;Cite&gt;&lt;Author&gt;Reitzel&lt;/Author&gt;&lt;Year&gt;2011&lt;/Year&gt;&lt;RecNum&gt;106&lt;/RecNum&gt;&lt;DisplayText&gt;(70)&lt;/DisplayText&gt;&lt;record&gt;&lt;rec-number&gt;106&lt;/rec-number&gt;&lt;foreign-keys&gt;&lt;key app="EN" db-id="a2vz2dfp8xrad6exes75zwpiw5rxwa0vwapv" timestamp="0"&gt;106&lt;/key&gt;&lt;/foreign-keys&gt;&lt;ref-type name="Unpublished Work"&gt;34&lt;/ref-type&gt;&lt;contributors&gt;&lt;authors&gt;&lt;author&gt;Reitzel, L. R.&lt;/author&gt;&lt;/authors&gt;&lt;/contributors&gt;&lt;titles&gt;&lt;title&gt;Menthol cigarettes, tobacco dependence, and smoking cessation: Project BREAK FREE final report&lt;/title&gt;&lt;/titles&gt;&lt;dates&gt;&lt;year&gt;2011&lt;/year&gt;&lt;/dates&gt;&lt;publisher&gt;The University of Texas, MD Anderson Cancer Center&lt;/publisher&gt;&lt;urls&gt;&lt;/urls&gt;&lt;research-notes&gt;#838&lt;/research-notes&gt;&lt;/record&gt;&lt;/Cite&gt;&lt;/EndNote&gt;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70" w:tooltip="Reitzel, 2011 #106" w:history="1">
              <w:r>
                <w:rPr>
                  <w:rFonts w:cstheme="minorHAnsi"/>
                  <w:noProof/>
                  <w:color w:val="000000"/>
                  <w:sz w:val="18"/>
                  <w:szCs w:val="18"/>
                </w:rPr>
                <w:t>70</w:t>
              </w:r>
            </w:hyperlink>
            <w:r>
              <w:rPr>
                <w:rFonts w:cstheme="minorHAnsi"/>
                <w:noProof/>
                <w:color w:val="000000"/>
                <w:sz w:val="18"/>
                <w:szCs w:val="18"/>
              </w:rPr>
              <w:t>)</w:t>
            </w:r>
            <w:r w:rsidRPr="00191C09">
              <w:rPr>
                <w:rFonts w:cstheme="minorHAnsi"/>
                <w:color w:val="000000"/>
                <w:sz w:val="18"/>
                <w:szCs w:val="18"/>
              </w:rPr>
              <w:fldChar w:fldCharType="end"/>
            </w:r>
          </w:p>
          <w:p w14:paraId="6A572DF3"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2D8AC3E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Blacks</w:t>
            </w:r>
          </w:p>
        </w:tc>
        <w:tc>
          <w:tcPr>
            <w:tcW w:w="2144" w:type="dxa"/>
            <w:shd w:val="clear" w:color="auto" w:fill="auto"/>
            <w:tcMar>
              <w:top w:w="62" w:type="dxa"/>
              <w:left w:w="62" w:type="dxa"/>
              <w:bottom w:w="62" w:type="dxa"/>
              <w:right w:w="62" w:type="dxa"/>
            </w:tcMar>
          </w:tcPr>
          <w:p w14:paraId="3F8B569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5F8552C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CR logit;</w:t>
            </w:r>
          </w:p>
          <w:p w14:paraId="18C6063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Age, gender, partner status, income, employment status, educational achievement, </w:t>
            </w:r>
            <w:r w:rsidRPr="00191C09">
              <w:rPr>
                <w:rFonts w:asciiTheme="minorHAnsi" w:hAnsiTheme="minorHAnsi" w:cstheme="minorHAnsi"/>
                <w:sz w:val="18"/>
                <w:szCs w:val="18"/>
              </w:rPr>
              <w:lastRenderedPageBreak/>
              <w:t xml:space="preserve">time, treatment group, CPD, TTFC </w:t>
            </w:r>
          </w:p>
        </w:tc>
        <w:tc>
          <w:tcPr>
            <w:tcW w:w="2267" w:type="dxa"/>
            <w:shd w:val="clear" w:color="auto" w:fill="auto"/>
            <w:tcMar>
              <w:top w:w="62" w:type="dxa"/>
              <w:left w:w="62" w:type="dxa"/>
              <w:bottom w:w="62" w:type="dxa"/>
              <w:right w:w="62" w:type="dxa"/>
            </w:tcMar>
          </w:tcPr>
          <w:p w14:paraId="7FE96F5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c>
          <w:tcPr>
            <w:tcW w:w="4869" w:type="dxa"/>
            <w:shd w:val="clear" w:color="auto" w:fill="auto"/>
            <w:tcMar>
              <w:top w:w="62" w:type="dxa"/>
              <w:left w:w="62" w:type="dxa"/>
              <w:bottom w:w="62" w:type="dxa"/>
              <w:right w:w="62" w:type="dxa"/>
            </w:tcMar>
          </w:tcPr>
          <w:p w14:paraId="3960D351" w14:textId="77777777" w:rsidR="007F0AE0" w:rsidRPr="00191C09" w:rsidRDefault="007F0AE0" w:rsidP="00453DE3">
            <w:pPr>
              <w:rPr>
                <w:rFonts w:asciiTheme="minorHAnsi" w:hAnsiTheme="minorHAnsi" w:cstheme="minorHAnsi"/>
                <w:color w:val="000000"/>
                <w:sz w:val="18"/>
                <w:szCs w:val="18"/>
                <w:u w:val="single"/>
              </w:rPr>
            </w:pPr>
            <w:r w:rsidRPr="00191C09">
              <w:rPr>
                <w:rFonts w:asciiTheme="minorHAnsi" w:hAnsiTheme="minorHAnsi" w:cstheme="minorHAnsi"/>
                <w:color w:val="000000"/>
                <w:sz w:val="18"/>
                <w:szCs w:val="18"/>
              </w:rPr>
              <w:t>Prolonged abstinence: no smoking (not even a puff) since the quit date, verified by eCO &lt;10 ppm or, in a few cases where participants were unable to attend more distal study visits, a mailed saliva cotinine &lt;20 ng/ml, assessed at 3 days, 10 days, 31 days, and 26 weeks post-quit:</w:t>
            </w:r>
          </w:p>
          <w:p w14:paraId="5297902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Menthol β (SE);</w:t>
            </w:r>
          </w:p>
          <w:p w14:paraId="1B83390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lastRenderedPageBreak/>
              <w:t>0.33 (0.32)</w:t>
            </w:r>
          </w:p>
          <w:p w14:paraId="142FDF9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(p=0.30)</w:t>
            </w:r>
          </w:p>
        </w:tc>
        <w:tc>
          <w:tcPr>
            <w:tcW w:w="1985" w:type="dxa"/>
            <w:shd w:val="clear" w:color="auto" w:fill="auto"/>
            <w:tcMar>
              <w:top w:w="62" w:type="dxa"/>
              <w:left w:w="62" w:type="dxa"/>
              <w:bottom w:w="62" w:type="dxa"/>
              <w:right w:w="62" w:type="dxa"/>
            </w:tcMar>
          </w:tcPr>
          <w:p w14:paraId="0BA09A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33A2873A" w14:textId="77777777" w:rsidTr="00453DE3">
        <w:trPr>
          <w:trHeight w:val="1061"/>
        </w:trPr>
        <w:tc>
          <w:tcPr>
            <w:tcW w:w="1630" w:type="dxa"/>
            <w:shd w:val="clear" w:color="auto" w:fill="auto"/>
            <w:tcMar>
              <w:top w:w="62" w:type="dxa"/>
              <w:left w:w="62" w:type="dxa"/>
              <w:bottom w:w="62" w:type="dxa"/>
              <w:right w:w="62" w:type="dxa"/>
            </w:tcMar>
          </w:tcPr>
          <w:p w14:paraId="4F8AED08"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&lt;EndNote&gt;&lt;Cite&gt;&lt;Author&gt;Reitzel&lt;/Author&gt;&lt;Year&gt;2011&lt;/Year&gt;&lt;RecNum&gt;105&lt;/RecNum&gt;&lt;DisplayText&gt;(69)&lt;/DisplayText&gt;&lt;record&gt;&lt;rec-number&gt;105&lt;/rec-number&gt;&lt;foreign-keys&gt;&lt;key app="EN" db-id="a2vz2dfp8xrad6exes75zwpiw5rxwa0vwapv" timestamp="0"&gt;105&lt;/key&gt;&lt;/foreign-keys&gt;&lt;ref-type name="Unpublished Work"&gt;34&lt;/ref-type&gt;&lt;contributors&gt;&lt;authors&gt;&lt;author&gt;Reitzel, L. R.&lt;/author&gt;&lt;/authors&gt;&lt;/contributors&gt;&lt;titles&gt;&lt;title&gt;Menthol cigarettes, tobacco dependence, and smoking cessation: Project CARE final report&lt;/title&gt;&lt;/titles&gt;&lt;dates&gt;&lt;year&gt;2011&lt;/year&gt;&lt;/dates&gt;&lt;publisher&gt;University of Texas, MD Anderson Cancer Center&lt;/publisher&gt;&lt;urls&gt;&lt;/urls&gt;&lt;research-notes&gt;#837&lt;/research-notes&gt;&lt;/record&gt;&lt;/Cite&gt;&lt;/EndNote&gt;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69" w:tooltip="Reitzel, 2011 #105" w:history="1">
              <w:r>
                <w:rPr>
                  <w:rFonts w:cstheme="minorHAnsi"/>
                  <w:noProof/>
                  <w:color w:val="000000"/>
                  <w:sz w:val="18"/>
                  <w:szCs w:val="18"/>
                </w:rPr>
                <w:t>69</w:t>
              </w:r>
            </w:hyperlink>
            <w:r>
              <w:rPr>
                <w:rFonts w:cstheme="minorHAnsi"/>
                <w:noProof/>
                <w:color w:val="000000"/>
                <w:sz w:val="18"/>
                <w:szCs w:val="18"/>
              </w:rPr>
              <w:t>)</w:t>
            </w:r>
            <w:r w:rsidRPr="00191C09">
              <w:rPr>
                <w:rFonts w:cstheme="minorHAnsi"/>
                <w:color w:val="000000"/>
                <w:sz w:val="18"/>
                <w:szCs w:val="18"/>
              </w:rPr>
              <w:fldChar w:fldCharType="end"/>
            </w:r>
          </w:p>
          <w:p w14:paraId="1FB4297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5DA89B9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2865E16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783DA7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CR logit;</w:t>
            </w:r>
          </w:p>
          <w:p w14:paraId="486109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race/ethnicity, partner status, annual household income, employment status, educational achievement, time, CPD, TTFC</w:t>
            </w:r>
          </w:p>
        </w:tc>
        <w:tc>
          <w:tcPr>
            <w:tcW w:w="2267" w:type="dxa"/>
            <w:shd w:val="clear" w:color="auto" w:fill="auto"/>
            <w:tcMar>
              <w:top w:w="62" w:type="dxa"/>
              <w:left w:w="62" w:type="dxa"/>
              <w:bottom w:w="62" w:type="dxa"/>
              <w:right w:w="62" w:type="dxa"/>
            </w:tcMar>
          </w:tcPr>
          <w:p w14:paraId="4DA63C2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7D5E6F9E"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Prolonged abstinence: no smoking (not even a puff) since the quit date and biochemical confirmation at 1, 2, 4, and 26 weeks post-quit (eCO &lt;10 ppm):</w:t>
            </w:r>
          </w:p>
          <w:p w14:paraId="2AECFD3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Menthol β (SE);</w:t>
            </w:r>
          </w:p>
          <w:p w14:paraId="60BB8B9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0.05 (0.25) </w:t>
            </w:r>
          </w:p>
          <w:p w14:paraId="15E6DA7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(p=0.84)</w:t>
            </w:r>
          </w:p>
        </w:tc>
        <w:tc>
          <w:tcPr>
            <w:tcW w:w="1985" w:type="dxa"/>
            <w:shd w:val="clear" w:color="auto" w:fill="auto"/>
            <w:tcMar>
              <w:top w:w="62" w:type="dxa"/>
              <w:left w:w="62" w:type="dxa"/>
              <w:bottom w:w="62" w:type="dxa"/>
              <w:right w:w="62" w:type="dxa"/>
            </w:tcMar>
          </w:tcPr>
          <w:p w14:paraId="5457494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372A9976" w14:textId="77777777" w:rsidTr="00453DE3">
        <w:trPr>
          <w:trHeight w:val="1061"/>
        </w:trPr>
        <w:tc>
          <w:tcPr>
            <w:tcW w:w="1630" w:type="dxa"/>
            <w:shd w:val="clear" w:color="auto" w:fill="auto"/>
            <w:tcMar>
              <w:top w:w="62" w:type="dxa"/>
              <w:left w:w="62" w:type="dxa"/>
              <w:bottom w:w="62" w:type="dxa"/>
              <w:right w:w="62" w:type="dxa"/>
            </w:tcMar>
          </w:tcPr>
          <w:p w14:paraId="7D2A8785"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191C09">
              <w:rPr>
                <w:rFonts w:cstheme="minorHAnsi"/>
                <w:color w:val="000000"/>
                <w:sz w:val="18"/>
                <w:szCs w:val="18"/>
              </w:rPr>
              <w:fldChar w:fldCharType="end"/>
            </w:r>
          </w:p>
          <w:p w14:paraId="639DF62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3DF8DAF5"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Pregnant women</w:t>
            </w:r>
          </w:p>
        </w:tc>
        <w:tc>
          <w:tcPr>
            <w:tcW w:w="2144" w:type="dxa"/>
            <w:shd w:val="clear" w:color="auto" w:fill="auto"/>
            <w:tcMar>
              <w:top w:w="62" w:type="dxa"/>
              <w:left w:w="62" w:type="dxa"/>
              <w:bottom w:w="62" w:type="dxa"/>
              <w:right w:w="62" w:type="dxa"/>
            </w:tcMar>
          </w:tcPr>
          <w:p w14:paraId="0EF4C9F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5FF4BDD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CR logit</w:t>
            </w:r>
          </w:p>
          <w:p w14:paraId="4B244C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Model 2: age, race/ethnicity, partner status, income, educational achievement, time, treatment group, CPD, TTFC</w:t>
            </w:r>
          </w:p>
        </w:tc>
        <w:tc>
          <w:tcPr>
            <w:tcW w:w="2267" w:type="dxa"/>
            <w:shd w:val="clear" w:color="auto" w:fill="auto"/>
            <w:tcMar>
              <w:top w:w="62" w:type="dxa"/>
              <w:left w:w="62" w:type="dxa"/>
              <w:bottom w:w="62" w:type="dxa"/>
              <w:right w:w="62" w:type="dxa"/>
            </w:tcMar>
          </w:tcPr>
          <w:p w14:paraId="4A878D15"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4D3C3518"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sz w:val="18"/>
                <w:szCs w:val="18"/>
              </w:rPr>
              <w:t>Prolonged abstinence: no smoking (not even a puff) since the delivery date and biochemical confirmation at 8 and 26 weeks postpartum (eCO</w:t>
            </w:r>
            <w:r>
              <w:rPr>
                <w:rFonts w:asciiTheme="minorHAnsi" w:hAnsiTheme="minorHAnsi" w:cstheme="minorHAnsi"/>
                <w:sz w:val="18"/>
                <w:szCs w:val="18"/>
              </w:rPr>
              <w:t xml:space="preserve"> &lt;10 ppm and/or cotinine &lt;</w:t>
            </w:r>
            <w:r w:rsidRPr="00191C09">
              <w:rPr>
                <w:rFonts w:asciiTheme="minorHAnsi" w:hAnsiTheme="minorHAnsi" w:cstheme="minorHAnsi"/>
                <w:sz w:val="18"/>
                <w:szCs w:val="18"/>
              </w:rPr>
              <w:t>20 ng/ml) (Reitzel, 2011; Reitzel 2011c)</w:t>
            </w:r>
          </w:p>
          <w:p w14:paraId="19CDCB17"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Menthol cigarette use did not </w:t>
            </w:r>
            <w:r>
              <w:rPr>
                <w:rFonts w:asciiTheme="minorHAnsi" w:hAnsiTheme="minorHAnsi" w:cstheme="minorHAnsi"/>
                <w:color w:val="000000"/>
                <w:sz w:val="18"/>
                <w:szCs w:val="18"/>
              </w:rPr>
              <w:t>statistically significantly</w:t>
            </w:r>
            <w:r w:rsidRPr="00191C09">
              <w:rPr>
                <w:rFonts w:asciiTheme="minorHAnsi" w:hAnsiTheme="minorHAnsi" w:cstheme="minorHAnsi"/>
                <w:color w:val="000000"/>
                <w:sz w:val="18"/>
                <w:szCs w:val="18"/>
              </w:rPr>
              <w:t xml:space="preserve"> predict continuous abstinence from smoking through 26 weeks postpartum: β=−0.32, SE=0.30; p=0.29; n=297 (</w:t>
            </w:r>
            <w:hyperlink w:anchor="_ENREF_81" w:tooltip="Reitzel, 2011 #41" w:history="1">
              <w:r w:rsidRPr="00191C09">
                <w:rPr>
                  <w:rFonts w:asciiTheme="minorHAnsi" w:hAnsiTheme="minorHAnsi" w:cstheme="minorHAnsi"/>
                  <w:noProof/>
                  <w:color w:val="000000"/>
                  <w:sz w:val="18"/>
                  <w:szCs w:val="18"/>
                </w:rPr>
                <w:t>Reitzel et al., 2011</w:t>
              </w:r>
            </w:hyperlink>
            <w:r w:rsidRPr="00191C09">
              <w:rPr>
                <w:rFonts w:asciiTheme="minorHAnsi" w:hAnsiTheme="minorHAnsi" w:cstheme="minorHAnsi"/>
                <w:color w:val="000000"/>
                <w:sz w:val="18"/>
                <w:szCs w:val="18"/>
              </w:rPr>
              <w:t>)</w:t>
            </w:r>
          </w:p>
          <w:p w14:paraId="06F4DE0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White menthol users were less likely to maintain continuous abstinence through post-quit week 26 than White non-menthol users: β=-1.62, SE=0.76; p=0.03; n=108, OR=0.19 (0.04-0.89). </w:t>
            </w:r>
            <w:r w:rsidRPr="00191C09">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191C09">
              <w:rPr>
                <w:rFonts w:cstheme="minorHAnsi"/>
                <w:color w:val="000000"/>
                <w:sz w:val="18"/>
                <w:szCs w:val="18"/>
              </w:rPr>
              <w:fldChar w:fldCharType="end"/>
            </w:r>
          </w:p>
          <w:p w14:paraId="7AF5FCD1"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 significant difference in continuous abstinence between menthol and non-menthol use was found among Black women (b=−1.12, SE=.64; c2=3.06; p=.08; n=96) nor Latina women (b=.46, SE=.50; c2=.86; p=.35; n=93) (</w:t>
            </w:r>
            <w:hyperlink w:anchor="_ENREF_81" w:tooltip="Reitzel, 2011 #41" w:history="1">
              <w:r w:rsidRPr="00191C09">
                <w:rPr>
                  <w:rFonts w:asciiTheme="minorHAnsi" w:hAnsiTheme="minorHAnsi" w:cstheme="minorHAnsi"/>
                  <w:noProof/>
                  <w:color w:val="000000"/>
                  <w:sz w:val="18"/>
                  <w:szCs w:val="18"/>
                </w:rPr>
                <w:t>Reitzel et al., 2011</w:t>
              </w:r>
            </w:hyperlink>
            <w:r w:rsidRPr="00191C09">
              <w:rPr>
                <w:rFonts w:asciiTheme="minorHAnsi" w:hAnsiTheme="minorHAnsi" w:cstheme="minorHAnsi"/>
                <w:color w:val="000000"/>
                <w:sz w:val="18"/>
                <w:szCs w:val="18"/>
              </w:rPr>
              <w:t>).</w:t>
            </w:r>
          </w:p>
        </w:tc>
        <w:tc>
          <w:tcPr>
            <w:tcW w:w="1985" w:type="dxa"/>
            <w:shd w:val="clear" w:color="auto" w:fill="auto"/>
            <w:tcMar>
              <w:top w:w="62" w:type="dxa"/>
              <w:left w:w="62" w:type="dxa"/>
              <w:bottom w:w="62" w:type="dxa"/>
              <w:right w:w="62" w:type="dxa"/>
            </w:tcMar>
          </w:tcPr>
          <w:p w14:paraId="49F0D51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4F6C4E58" w14:textId="77777777" w:rsidTr="00453DE3">
        <w:trPr>
          <w:trHeight w:val="1061"/>
        </w:trPr>
        <w:tc>
          <w:tcPr>
            <w:tcW w:w="1630" w:type="dxa"/>
            <w:shd w:val="clear" w:color="auto" w:fill="auto"/>
            <w:tcMar>
              <w:top w:w="62" w:type="dxa"/>
              <w:left w:w="62" w:type="dxa"/>
              <w:bottom w:w="62" w:type="dxa"/>
              <w:right w:w="62" w:type="dxa"/>
            </w:tcMar>
          </w:tcPr>
          <w:p w14:paraId="784E04C1"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lastRenderedPageBreak/>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191C09">
              <w:rPr>
                <w:rFonts w:cstheme="minorHAnsi"/>
                <w:sz w:val="18"/>
                <w:szCs w:val="18"/>
              </w:rPr>
              <w:fldChar w:fldCharType="separate"/>
            </w:r>
            <w:r>
              <w:rPr>
                <w:rFonts w:cstheme="minorHAnsi"/>
                <w:noProof/>
                <w:sz w:val="18"/>
                <w:szCs w:val="18"/>
              </w:rPr>
              <w:t>(</w:t>
            </w:r>
            <w:hyperlink w:anchor="_ENREF_68" w:tooltip="Reitzel, 2013 #28" w:history="1">
              <w:r>
                <w:rPr>
                  <w:rFonts w:cstheme="minorHAnsi"/>
                  <w:noProof/>
                  <w:sz w:val="18"/>
                  <w:szCs w:val="18"/>
                </w:rPr>
                <w:t>68</w:t>
              </w:r>
            </w:hyperlink>
            <w:r>
              <w:rPr>
                <w:rFonts w:cstheme="minorHAnsi"/>
                <w:noProof/>
                <w:sz w:val="18"/>
                <w:szCs w:val="18"/>
              </w:rPr>
              <w:t>)</w:t>
            </w:r>
            <w:r w:rsidRPr="00191C09">
              <w:rPr>
                <w:rFonts w:cstheme="minorHAnsi"/>
                <w:sz w:val="18"/>
                <w:szCs w:val="18"/>
              </w:rPr>
              <w:fldChar w:fldCharType="end"/>
            </w:r>
          </w:p>
          <w:p w14:paraId="641945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388BC379"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64D6C47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1E3CA67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CR logit;</w:t>
            </w:r>
          </w:p>
          <w:p w14:paraId="17CBA9E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 partner status, income, educational level, employment status, stage</w:t>
            </w:r>
          </w:p>
        </w:tc>
        <w:tc>
          <w:tcPr>
            <w:tcW w:w="2267" w:type="dxa"/>
            <w:shd w:val="clear" w:color="auto" w:fill="auto"/>
            <w:tcMar>
              <w:top w:w="62" w:type="dxa"/>
              <w:left w:w="62" w:type="dxa"/>
              <w:bottom w:w="62" w:type="dxa"/>
              <w:right w:w="62" w:type="dxa"/>
            </w:tcMar>
          </w:tcPr>
          <w:p w14:paraId="7B42E2D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5005CBC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color w:val="000000"/>
                <w:sz w:val="18"/>
                <w:szCs w:val="18"/>
              </w:rPr>
              <w:t>Prolonged abstinence: no smoking (not even a puff) since the quit date</w:t>
            </w:r>
            <w:r w:rsidRPr="00191C09">
              <w:rPr>
                <w:rFonts w:asciiTheme="minorHAnsi" w:hAnsiTheme="minorHAnsi" w:cstheme="minorHAnsi"/>
                <w:sz w:val="18"/>
                <w:szCs w:val="18"/>
              </w:rPr>
              <w:t xml:space="preserve"> and eCO &lt;10ppm</w:t>
            </w:r>
          </w:p>
          <w:p w14:paraId="096700B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Menthol β (SE)</w:t>
            </w:r>
          </w:p>
          <w:p w14:paraId="4F9400A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Full sample</w:t>
            </w:r>
          </w:p>
          <w:p w14:paraId="7BEA67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-0.31 (0.40); (p=0.44)</w:t>
            </w:r>
          </w:p>
          <w:p w14:paraId="6A9E035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4AF2D37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-1.56 (0.79); (p=0.05) </w:t>
            </w:r>
          </w:p>
          <w:p w14:paraId="60A7FC5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2788433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0.54 (0.55); (p=0.33)</w:t>
            </w:r>
          </w:p>
          <w:p w14:paraId="3188466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7-day PPA through post quit week 3</w:t>
            </w:r>
          </w:p>
          <w:p w14:paraId="54012BE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Menthol β (SE)</w:t>
            </w:r>
          </w:p>
          <w:p w14:paraId="4BFDA132"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White</w:t>
            </w:r>
          </w:p>
          <w:p w14:paraId="5C1DCD0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-1.90 (0.82); (p=0.02)</w:t>
            </w:r>
          </w:p>
          <w:p w14:paraId="7E50A6B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7719AF3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1.00 (0.67); (p=0.11)</w:t>
            </w:r>
          </w:p>
        </w:tc>
        <w:tc>
          <w:tcPr>
            <w:tcW w:w="1985" w:type="dxa"/>
            <w:shd w:val="clear" w:color="auto" w:fill="auto"/>
            <w:tcMar>
              <w:top w:w="62" w:type="dxa"/>
              <w:left w:w="62" w:type="dxa"/>
              <w:bottom w:w="62" w:type="dxa"/>
              <w:right w:w="62" w:type="dxa"/>
            </w:tcMar>
          </w:tcPr>
          <w:p w14:paraId="2F64F73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571C204A" w14:textId="77777777" w:rsidTr="00453DE3">
        <w:trPr>
          <w:trHeight w:val="1061"/>
        </w:trPr>
        <w:tc>
          <w:tcPr>
            <w:tcW w:w="1630" w:type="dxa"/>
            <w:shd w:val="clear" w:color="auto" w:fill="auto"/>
            <w:tcMar>
              <w:top w:w="62" w:type="dxa"/>
              <w:left w:w="62" w:type="dxa"/>
              <w:bottom w:w="62" w:type="dxa"/>
              <w:right w:w="62" w:type="dxa"/>
            </w:tcMar>
          </w:tcPr>
          <w:p w14:paraId="0906789D" w14:textId="77777777" w:rsidR="007F0AE0" w:rsidRPr="00191C09" w:rsidRDefault="007F0AE0" w:rsidP="00453DE3">
            <w:pPr>
              <w:rPr>
                <w:rFonts w:asciiTheme="minorHAnsi" w:hAnsiTheme="minorHAnsi" w:cstheme="minorHAnsi"/>
                <w:sz w:val="18"/>
                <w:szCs w:val="18"/>
              </w:rPr>
            </w:pPr>
            <w:r w:rsidRPr="00191C09">
              <w:rPr>
                <w:rFonts w:cstheme="minorHAnsi"/>
                <w:sz w:val="18"/>
                <w:szCs w:val="18"/>
              </w:rPr>
              <w:fldChar w:fldCharType="begin"/>
            </w:r>
            <w:r>
              <w:rPr>
                <w:rFonts w:cstheme="minorHAnsi"/>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191C09">
              <w:rPr>
                <w:rFonts w:cstheme="minorHAnsi"/>
                <w:sz w:val="18"/>
                <w:szCs w:val="18"/>
              </w:rPr>
              <w:fldChar w:fldCharType="separate"/>
            </w:r>
            <w:r>
              <w:rPr>
                <w:rFonts w:cstheme="minorHAnsi"/>
                <w:noProof/>
                <w:sz w:val="18"/>
                <w:szCs w:val="18"/>
              </w:rPr>
              <w:t>(</w:t>
            </w:r>
            <w:hyperlink w:anchor="_ENREF_62" w:tooltip="Rojewski, 2014 #22" w:history="1">
              <w:r>
                <w:rPr>
                  <w:rFonts w:cstheme="minorHAnsi"/>
                  <w:noProof/>
                  <w:sz w:val="18"/>
                  <w:szCs w:val="18"/>
                </w:rPr>
                <w:t>62</w:t>
              </w:r>
            </w:hyperlink>
            <w:r>
              <w:rPr>
                <w:rFonts w:cstheme="minorHAnsi"/>
                <w:noProof/>
                <w:sz w:val="18"/>
                <w:szCs w:val="18"/>
              </w:rPr>
              <w:t>)</w:t>
            </w:r>
            <w:r w:rsidRPr="00191C09">
              <w:rPr>
                <w:rFonts w:cstheme="minorHAnsi"/>
                <w:sz w:val="18"/>
                <w:szCs w:val="18"/>
              </w:rPr>
              <w:fldChar w:fldCharType="end"/>
            </w:r>
          </w:p>
          <w:p w14:paraId="584DCF1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3C0D833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6D6F85C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6A6B46D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30892DD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w:t>
            </w:r>
          </w:p>
        </w:tc>
        <w:tc>
          <w:tcPr>
            <w:tcW w:w="2267" w:type="dxa"/>
            <w:shd w:val="clear" w:color="auto" w:fill="auto"/>
            <w:tcMar>
              <w:top w:w="62" w:type="dxa"/>
              <w:left w:w="62" w:type="dxa"/>
              <w:bottom w:w="62" w:type="dxa"/>
              <w:right w:w="62" w:type="dxa"/>
            </w:tcMar>
          </w:tcPr>
          <w:p w14:paraId="19AFC65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75853B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eCO-verified 7-day PPA</w:t>
            </w:r>
          </w:p>
          <w:p w14:paraId="62906D1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CI) for NM (ref=M)</w:t>
            </w:r>
          </w:p>
          <w:p w14:paraId="59B614D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week 14</w:t>
            </w:r>
          </w:p>
          <w:p w14:paraId="394AAE9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2.40 (1.04 to 5.55)</w:t>
            </w:r>
          </w:p>
          <w:p w14:paraId="01187D9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week 26</w:t>
            </w:r>
          </w:p>
          <w:p w14:paraId="2397068A"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2.47 (1.04 to 5.90)</w:t>
            </w:r>
          </w:p>
        </w:tc>
        <w:tc>
          <w:tcPr>
            <w:tcW w:w="1985" w:type="dxa"/>
            <w:shd w:val="clear" w:color="auto" w:fill="auto"/>
            <w:tcMar>
              <w:top w:w="62" w:type="dxa"/>
              <w:left w:w="62" w:type="dxa"/>
              <w:bottom w:w="62" w:type="dxa"/>
              <w:right w:w="62" w:type="dxa"/>
            </w:tcMar>
          </w:tcPr>
          <w:p w14:paraId="73E2993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002031C" w14:textId="77777777" w:rsidTr="00453DE3">
        <w:trPr>
          <w:trHeight w:val="1061"/>
        </w:trPr>
        <w:tc>
          <w:tcPr>
            <w:tcW w:w="1630" w:type="dxa"/>
            <w:shd w:val="clear" w:color="auto" w:fill="auto"/>
            <w:tcMar>
              <w:top w:w="62" w:type="dxa"/>
              <w:left w:w="62" w:type="dxa"/>
              <w:bottom w:w="62" w:type="dxa"/>
              <w:right w:w="62" w:type="dxa"/>
            </w:tcMar>
          </w:tcPr>
          <w:p w14:paraId="6D0FA88C"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64" w:tooltip="Steinberg, 2011 #50" w:history="1">
              <w:r w:rsidRPr="00342AED">
                <w:rPr>
                  <w:rFonts w:asciiTheme="minorHAnsi" w:hAnsiTheme="minorHAnsi" w:cstheme="minorHAnsi"/>
                  <w:noProof/>
                  <w:color w:val="000000"/>
                  <w:sz w:val="18"/>
                  <w:szCs w:val="18"/>
                </w:rPr>
                <w:t>64</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0CC1F1C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p w14:paraId="07644C5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None</w:t>
            </w:r>
          </w:p>
        </w:tc>
        <w:tc>
          <w:tcPr>
            <w:tcW w:w="2144" w:type="dxa"/>
            <w:shd w:val="clear" w:color="auto" w:fill="auto"/>
            <w:tcMar>
              <w:top w:w="62" w:type="dxa"/>
              <w:left w:w="62" w:type="dxa"/>
              <w:bottom w:w="62" w:type="dxa"/>
              <w:right w:w="62" w:type="dxa"/>
            </w:tcMar>
          </w:tcPr>
          <w:p w14:paraId="2DD237B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74AF6C1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08D1E88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 marital status, education, employment, CPD, TTFC, night smoking</w:t>
            </w:r>
          </w:p>
        </w:tc>
        <w:tc>
          <w:tcPr>
            <w:tcW w:w="2267" w:type="dxa"/>
            <w:shd w:val="clear" w:color="auto" w:fill="auto"/>
            <w:tcMar>
              <w:top w:w="62" w:type="dxa"/>
              <w:left w:w="62" w:type="dxa"/>
              <w:bottom w:w="62" w:type="dxa"/>
              <w:right w:w="62" w:type="dxa"/>
            </w:tcMar>
          </w:tcPr>
          <w:p w14:paraId="77D22B6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54D8F12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eCO-verified 7-day PPA</w:t>
            </w:r>
            <w:r>
              <w:rPr>
                <w:rFonts w:asciiTheme="minorHAnsi" w:hAnsiTheme="minorHAnsi" w:cstheme="minorHAnsi"/>
                <w:sz w:val="18"/>
                <w:szCs w:val="18"/>
              </w:rPr>
              <w:t xml:space="preserve"> </w:t>
            </w:r>
          </w:p>
          <w:p w14:paraId="21A754A2"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 xml:space="preserve">OR (95% CI) for M (ref=NM) </w:t>
            </w:r>
          </w:p>
          <w:p w14:paraId="2B6695E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 xml:space="preserve">At 6 months </w:t>
            </w:r>
          </w:p>
          <w:p w14:paraId="1992A57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color w:val="000000"/>
                <w:sz w:val="18"/>
                <w:szCs w:val="18"/>
              </w:rPr>
              <w:t>1.02 (0.66-1.58)</w:t>
            </w:r>
          </w:p>
        </w:tc>
        <w:tc>
          <w:tcPr>
            <w:tcW w:w="1985" w:type="dxa"/>
            <w:shd w:val="clear" w:color="auto" w:fill="auto"/>
            <w:tcMar>
              <w:top w:w="62" w:type="dxa"/>
              <w:left w:w="62" w:type="dxa"/>
              <w:bottom w:w="62" w:type="dxa"/>
              <w:right w:w="62" w:type="dxa"/>
            </w:tcMar>
          </w:tcPr>
          <w:p w14:paraId="29E20C6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6E551B67" w14:textId="77777777" w:rsidTr="00453DE3">
        <w:trPr>
          <w:trHeight w:val="1061"/>
        </w:trPr>
        <w:tc>
          <w:tcPr>
            <w:tcW w:w="1630" w:type="dxa"/>
            <w:shd w:val="clear" w:color="auto" w:fill="auto"/>
            <w:tcMar>
              <w:top w:w="62" w:type="dxa"/>
              <w:left w:w="62" w:type="dxa"/>
              <w:bottom w:w="62" w:type="dxa"/>
              <w:right w:w="62" w:type="dxa"/>
            </w:tcMar>
          </w:tcPr>
          <w:p w14:paraId="483E3E82" w14:textId="77777777" w:rsidR="007F0AE0" w:rsidRPr="00191C09" w:rsidRDefault="007F0AE0" w:rsidP="00453DE3">
            <w:pPr>
              <w:rPr>
                <w:rFonts w:asciiTheme="minorHAnsi" w:hAnsiTheme="minorHAnsi" w:cstheme="minorHAnsi"/>
                <w:sz w:val="18"/>
                <w:szCs w:val="18"/>
              </w:rPr>
            </w:pPr>
            <w:r w:rsidRPr="00191C09">
              <w:rPr>
                <w:rFonts w:cstheme="minorHAnsi"/>
                <w:color w:val="000000"/>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54" w:tooltip="Sulsky, 2014 #15" w:history="1">
              <w:r>
                <w:rPr>
                  <w:rFonts w:cstheme="minorHAnsi"/>
                  <w:noProof/>
                  <w:color w:val="000000"/>
                  <w:sz w:val="18"/>
                  <w:szCs w:val="18"/>
                </w:rPr>
                <w:t>54</w:t>
              </w:r>
            </w:hyperlink>
            <w:r>
              <w:rPr>
                <w:rFonts w:cstheme="minorHAnsi"/>
                <w:noProof/>
                <w:color w:val="000000"/>
                <w:sz w:val="18"/>
                <w:szCs w:val="18"/>
              </w:rPr>
              <w:t>)</w:t>
            </w:r>
            <w:r w:rsidRPr="00191C09">
              <w:rPr>
                <w:rFonts w:cstheme="minorHAnsi"/>
                <w:color w:val="000000"/>
                <w:sz w:val="18"/>
                <w:szCs w:val="18"/>
              </w:rPr>
              <w:fldChar w:fldCharType="end"/>
            </w:r>
          </w:p>
          <w:p w14:paraId="16F0EC4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NHIS, TUS-CPS</w:t>
            </w:r>
          </w:p>
          <w:p w14:paraId="33A60F1B"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049E3D1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4599D99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3A3C7D7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Varied by model; see footnotes</w:t>
            </w:r>
          </w:p>
        </w:tc>
        <w:tc>
          <w:tcPr>
            <w:tcW w:w="2267" w:type="dxa"/>
            <w:shd w:val="clear" w:color="auto" w:fill="auto"/>
            <w:tcMar>
              <w:top w:w="62" w:type="dxa"/>
              <w:left w:w="62" w:type="dxa"/>
              <w:bottom w:w="62" w:type="dxa"/>
              <w:right w:w="62" w:type="dxa"/>
            </w:tcMar>
          </w:tcPr>
          <w:p w14:paraId="3DA55C3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BCFE06F"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Long-term former smoker vs. daily smoker</w:t>
            </w:r>
            <w:r w:rsidRPr="00F52E88">
              <w:rPr>
                <w:rFonts w:cstheme="minorHAnsi"/>
                <w:sz w:val="18"/>
                <w:szCs w:val="18"/>
                <w:u w:val="single"/>
                <w:vertAlign w:val="superscript"/>
              </w:rPr>
              <w:t>e</w:t>
            </w:r>
            <w:r w:rsidRPr="00F52E88">
              <w:rPr>
                <w:rFonts w:cstheme="minorHAnsi"/>
                <w:sz w:val="18"/>
                <w:szCs w:val="18"/>
                <w:u w:val="single"/>
              </w:rPr>
              <w:t xml:space="preserve"> (NHIS)</w:t>
            </w:r>
          </w:p>
          <w:p w14:paraId="40E1C11D"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OR (95% CI) for M (ref=NM)</w:t>
            </w:r>
          </w:p>
          <w:p w14:paraId="2FBA579E"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f</w:t>
            </w:r>
          </w:p>
          <w:p w14:paraId="1AC0195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56983F3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1.06 (0.95 to 1.18)</w:t>
            </w:r>
          </w:p>
          <w:p w14:paraId="29BE3EC8"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g</w:t>
            </w:r>
          </w:p>
          <w:p w14:paraId="027B46AB"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4E52B09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1.04 (0.82 to 1.33)</w:t>
            </w:r>
          </w:p>
          <w:p w14:paraId="554D599D" w14:textId="77777777" w:rsidR="007F0AE0" w:rsidRPr="00191C09" w:rsidRDefault="007F0AE0" w:rsidP="00453DE3">
            <w:pPr>
              <w:rPr>
                <w:rFonts w:asciiTheme="minorHAnsi" w:hAnsiTheme="minorHAnsi" w:cstheme="minorHAnsi"/>
                <w:sz w:val="18"/>
                <w:szCs w:val="18"/>
              </w:rPr>
            </w:pPr>
          </w:p>
          <w:p w14:paraId="1373B4D4"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Short-term former smoker vs. regular smoker</w:t>
            </w:r>
            <w:r w:rsidRPr="00191C09">
              <w:rPr>
                <w:rFonts w:asciiTheme="minorHAnsi" w:hAnsiTheme="minorHAnsi" w:cstheme="minorHAnsi"/>
                <w:sz w:val="18"/>
                <w:szCs w:val="18"/>
                <w:u w:val="single"/>
                <w:vertAlign w:val="superscript"/>
              </w:rPr>
              <w:t>e</w:t>
            </w:r>
            <w:r w:rsidRPr="00191C09">
              <w:rPr>
                <w:rFonts w:asciiTheme="minorHAnsi" w:hAnsiTheme="minorHAnsi" w:cstheme="minorHAnsi"/>
                <w:sz w:val="18"/>
                <w:szCs w:val="18"/>
                <w:u w:val="single"/>
              </w:rPr>
              <w:t xml:space="preserve"> (TUS-CPS)</w:t>
            </w:r>
          </w:p>
          <w:p w14:paraId="58ECE5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133AEF48"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h</w:t>
            </w:r>
          </w:p>
          <w:p w14:paraId="56FA6623"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5F2D236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0.97 (0.94 to 1.00)</w:t>
            </w:r>
          </w:p>
          <w:p w14:paraId="61B42CB0"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i</w:t>
            </w:r>
          </w:p>
          <w:p w14:paraId="582348F5"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5CB2C3D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0.87 (0.80 to 0.95)</w:t>
            </w:r>
          </w:p>
          <w:p w14:paraId="51109521"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i</w:t>
            </w:r>
          </w:p>
          <w:p w14:paraId="0435F466"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24EDA5A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0.99 (0.91 to 1.08)</w:t>
            </w:r>
          </w:p>
          <w:p w14:paraId="4BF7CA49"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Short-term former smoker vs. daily smoker</w:t>
            </w:r>
            <w:r w:rsidRPr="00191C09">
              <w:rPr>
                <w:rFonts w:asciiTheme="minorHAnsi" w:hAnsiTheme="minorHAnsi" w:cstheme="minorHAnsi"/>
                <w:sz w:val="18"/>
                <w:szCs w:val="18"/>
                <w:vertAlign w:val="superscript"/>
              </w:rPr>
              <w:t xml:space="preserve">e </w:t>
            </w:r>
            <w:r w:rsidRPr="00191C09">
              <w:rPr>
                <w:rFonts w:asciiTheme="minorHAnsi" w:hAnsiTheme="minorHAnsi" w:cstheme="minorHAnsi"/>
                <w:sz w:val="18"/>
                <w:szCs w:val="18"/>
                <w:u w:val="single"/>
              </w:rPr>
              <w:t>(TUS-CPS)</w:t>
            </w:r>
          </w:p>
          <w:p w14:paraId="7C18203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4498EC0B"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White</w:t>
            </w:r>
            <w:r w:rsidRPr="00191C09">
              <w:rPr>
                <w:rFonts w:asciiTheme="minorHAnsi" w:hAnsiTheme="minorHAnsi" w:cstheme="minorHAnsi"/>
                <w:sz w:val="18"/>
                <w:szCs w:val="18"/>
                <w:u w:val="single"/>
                <w:vertAlign w:val="superscript"/>
              </w:rPr>
              <w:t>h</w:t>
            </w:r>
          </w:p>
          <w:p w14:paraId="39A44AD2"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6ED738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0.98 (0.95 to 1.01)</w:t>
            </w:r>
          </w:p>
          <w:p w14:paraId="51A14007"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NH Black</w:t>
            </w:r>
            <w:r w:rsidRPr="00191C09">
              <w:rPr>
                <w:rFonts w:asciiTheme="minorHAnsi" w:hAnsiTheme="minorHAnsi" w:cstheme="minorHAnsi"/>
                <w:sz w:val="18"/>
                <w:szCs w:val="18"/>
                <w:u w:val="single"/>
                <w:vertAlign w:val="superscript"/>
              </w:rPr>
              <w:t>i</w:t>
            </w:r>
          </w:p>
          <w:p w14:paraId="32223F69"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66E76414"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0.89 (0.81 to 0.98)</w:t>
            </w:r>
          </w:p>
          <w:p w14:paraId="55F7314D" w14:textId="77777777" w:rsidR="007F0AE0" w:rsidRPr="00191C09" w:rsidRDefault="007F0AE0" w:rsidP="00453DE3">
            <w:pPr>
              <w:rPr>
                <w:rFonts w:asciiTheme="minorHAnsi" w:hAnsiTheme="minorHAnsi" w:cstheme="minorHAnsi"/>
                <w:sz w:val="18"/>
                <w:szCs w:val="18"/>
                <w:u w:val="single"/>
                <w:vertAlign w:val="superscript"/>
              </w:rPr>
            </w:pPr>
            <w:r w:rsidRPr="00191C09">
              <w:rPr>
                <w:rFonts w:asciiTheme="minorHAnsi" w:hAnsiTheme="minorHAnsi" w:cstheme="minorHAnsi"/>
                <w:sz w:val="18"/>
                <w:szCs w:val="18"/>
                <w:u w:val="single"/>
              </w:rPr>
              <w:t>Other race/ethnicity</w:t>
            </w:r>
            <w:r w:rsidRPr="00191C09">
              <w:rPr>
                <w:rFonts w:asciiTheme="minorHAnsi" w:hAnsiTheme="minorHAnsi" w:cstheme="minorHAnsi"/>
                <w:sz w:val="18"/>
                <w:szCs w:val="18"/>
                <w:u w:val="single"/>
                <w:vertAlign w:val="superscript"/>
              </w:rPr>
              <w:t>i</w:t>
            </w:r>
          </w:p>
          <w:p w14:paraId="072B2F3E"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1: </w:t>
            </w:r>
          </w:p>
          <w:p w14:paraId="1EC00FF4"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1.00 (0.92 to 1.09)</w:t>
            </w:r>
          </w:p>
        </w:tc>
        <w:tc>
          <w:tcPr>
            <w:tcW w:w="1985" w:type="dxa"/>
            <w:shd w:val="clear" w:color="auto" w:fill="auto"/>
            <w:tcMar>
              <w:top w:w="62" w:type="dxa"/>
              <w:left w:w="62" w:type="dxa"/>
              <w:bottom w:w="62" w:type="dxa"/>
              <w:right w:w="62" w:type="dxa"/>
            </w:tcMar>
          </w:tcPr>
          <w:p w14:paraId="4930C07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lastRenderedPageBreak/>
              <w:t>NR</w:t>
            </w:r>
          </w:p>
        </w:tc>
      </w:tr>
      <w:tr w:rsidR="007F0AE0" w:rsidRPr="00191C09" w14:paraId="69F635B9" w14:textId="77777777" w:rsidTr="00453DE3">
        <w:trPr>
          <w:trHeight w:val="1061"/>
        </w:trPr>
        <w:tc>
          <w:tcPr>
            <w:tcW w:w="1630" w:type="dxa"/>
            <w:shd w:val="clear" w:color="auto" w:fill="auto"/>
            <w:tcMar>
              <w:top w:w="62" w:type="dxa"/>
              <w:left w:w="62" w:type="dxa"/>
              <w:bottom w:w="62" w:type="dxa"/>
              <w:right w:w="62" w:type="dxa"/>
            </w:tcMar>
          </w:tcPr>
          <w:p w14:paraId="52092DC3"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r>
            <w:r>
              <w:rPr>
                <w:rFonts w:cstheme="minorHAnsi"/>
                <w:color w:val="000000"/>
                <w:sz w:val="18"/>
                <w:szCs w:val="18"/>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191C09">
              <w:rPr>
                <w:rFonts w:cstheme="minorHAnsi"/>
                <w:color w:val="000000"/>
                <w:sz w:val="18"/>
                <w:szCs w:val="18"/>
              </w:rPr>
              <w:fldChar w:fldCharType="separate"/>
            </w:r>
            <w:r>
              <w:rPr>
                <w:rFonts w:cstheme="minorHAnsi"/>
                <w:noProof/>
                <w:color w:val="000000"/>
                <w:sz w:val="18"/>
                <w:szCs w:val="18"/>
              </w:rPr>
              <w:t>(</w:t>
            </w:r>
            <w:hyperlink w:anchor="_ENREF_43" w:tooltip="Thihalolipavan, 2014 #12" w:history="1">
              <w:r>
                <w:rPr>
                  <w:rFonts w:cstheme="minorHAnsi"/>
                  <w:noProof/>
                  <w:color w:val="000000"/>
                  <w:sz w:val="18"/>
                  <w:szCs w:val="18"/>
                </w:rPr>
                <w:t>43</w:t>
              </w:r>
            </w:hyperlink>
            <w:r>
              <w:rPr>
                <w:rFonts w:cstheme="minorHAnsi"/>
                <w:noProof/>
                <w:color w:val="000000"/>
                <w:sz w:val="18"/>
                <w:szCs w:val="18"/>
              </w:rPr>
              <w:t>)</w:t>
            </w:r>
            <w:r w:rsidRPr="00191C09">
              <w:rPr>
                <w:rFonts w:cstheme="minorHAnsi"/>
                <w:color w:val="000000"/>
                <w:sz w:val="18"/>
                <w:szCs w:val="18"/>
              </w:rPr>
              <w:fldChar w:fldCharType="end"/>
            </w:r>
          </w:p>
          <w:p w14:paraId="452D68A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7A15C90D"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30CF02D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10ADBDF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Poisson regression;</w:t>
            </w:r>
          </w:p>
          <w:p w14:paraId="745D72D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Model 1: Age, gender, race/ethnicity, education, income, Medicaid status, CPD</w:t>
            </w:r>
          </w:p>
          <w:p w14:paraId="400C62B9"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Model 2: Model 1 plus previous quit attempt status</w:t>
            </w:r>
          </w:p>
        </w:tc>
        <w:tc>
          <w:tcPr>
            <w:tcW w:w="2267" w:type="dxa"/>
            <w:shd w:val="clear" w:color="auto" w:fill="auto"/>
            <w:tcMar>
              <w:top w:w="62" w:type="dxa"/>
              <w:left w:w="62" w:type="dxa"/>
              <w:bottom w:w="62" w:type="dxa"/>
              <w:right w:w="62" w:type="dxa"/>
            </w:tcMar>
          </w:tcPr>
          <w:p w14:paraId="3634365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C15670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Quit rate (definition NR)</w:t>
            </w:r>
          </w:p>
          <w:p w14:paraId="2C1D11B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PR (95% CI) for M (ref=NM)</w:t>
            </w:r>
          </w:p>
          <w:p w14:paraId="723E55FA"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At 3-6 weeks post-baseline:</w:t>
            </w:r>
          </w:p>
          <w:p w14:paraId="5C753B4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w:t>
            </w:r>
            <w:r>
              <w:rPr>
                <w:rFonts w:asciiTheme="minorHAnsi" w:hAnsiTheme="minorHAnsi" w:cstheme="minorHAnsi"/>
                <w:i/>
                <w:sz w:val="18"/>
                <w:szCs w:val="18"/>
              </w:rPr>
              <w:t>3</w:t>
            </w:r>
            <w:r w:rsidRPr="00191C09">
              <w:rPr>
                <w:rFonts w:asciiTheme="minorHAnsi" w:hAnsiTheme="minorHAnsi" w:cstheme="minorHAnsi"/>
                <w:i/>
                <w:sz w:val="18"/>
                <w:szCs w:val="18"/>
              </w:rPr>
              <w:t xml:space="preserve">: </w:t>
            </w:r>
          </w:p>
          <w:p w14:paraId="186EE1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0.90 (0.83 to 0.97)</w:t>
            </w:r>
          </w:p>
          <w:p w14:paraId="70D12170" w14:textId="77777777" w:rsidR="007F0AE0" w:rsidRPr="00191C09" w:rsidRDefault="007F0AE0" w:rsidP="00453DE3">
            <w:pPr>
              <w:rPr>
                <w:rFonts w:asciiTheme="minorHAnsi" w:hAnsiTheme="minorHAnsi" w:cstheme="minorHAnsi"/>
                <w:i/>
                <w:sz w:val="18"/>
                <w:szCs w:val="18"/>
              </w:rPr>
            </w:pPr>
            <w:r w:rsidRPr="00191C09">
              <w:rPr>
                <w:rFonts w:asciiTheme="minorHAnsi" w:hAnsiTheme="minorHAnsi" w:cstheme="minorHAnsi"/>
                <w:i/>
                <w:sz w:val="18"/>
                <w:szCs w:val="18"/>
              </w:rPr>
              <w:t xml:space="preserve">Model </w:t>
            </w:r>
            <w:r>
              <w:rPr>
                <w:rFonts w:asciiTheme="minorHAnsi" w:hAnsiTheme="minorHAnsi" w:cstheme="minorHAnsi"/>
                <w:i/>
                <w:sz w:val="18"/>
                <w:szCs w:val="18"/>
              </w:rPr>
              <w:t>4</w:t>
            </w:r>
            <w:r w:rsidRPr="00191C09">
              <w:rPr>
                <w:rFonts w:asciiTheme="minorHAnsi" w:hAnsiTheme="minorHAnsi" w:cstheme="minorHAnsi"/>
                <w:i/>
                <w:sz w:val="18"/>
                <w:szCs w:val="18"/>
              </w:rPr>
              <w:t xml:space="preserve">: </w:t>
            </w:r>
          </w:p>
          <w:p w14:paraId="21FCBFBF"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0.90 (0.83 to 0.97)</w:t>
            </w:r>
          </w:p>
        </w:tc>
        <w:tc>
          <w:tcPr>
            <w:tcW w:w="1985" w:type="dxa"/>
            <w:shd w:val="clear" w:color="auto" w:fill="auto"/>
            <w:tcMar>
              <w:top w:w="62" w:type="dxa"/>
              <w:left w:w="62" w:type="dxa"/>
              <w:bottom w:w="62" w:type="dxa"/>
              <w:right w:w="62" w:type="dxa"/>
            </w:tcMar>
          </w:tcPr>
          <w:p w14:paraId="7854D82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0E0CDB8E" w14:textId="77777777" w:rsidTr="00453DE3">
        <w:trPr>
          <w:trHeight w:val="1061"/>
        </w:trPr>
        <w:tc>
          <w:tcPr>
            <w:tcW w:w="1630" w:type="dxa"/>
            <w:shd w:val="clear" w:color="auto" w:fill="auto"/>
            <w:tcMar>
              <w:top w:w="62" w:type="dxa"/>
              <w:left w:w="62" w:type="dxa"/>
              <w:bottom w:w="62" w:type="dxa"/>
              <w:right w:w="62" w:type="dxa"/>
            </w:tcMar>
          </w:tcPr>
          <w:p w14:paraId="2577F252"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191C09">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52" w:tooltip="Trinidad, 2010 #58" w:history="1">
              <w:r w:rsidRPr="00342AED">
                <w:rPr>
                  <w:rFonts w:asciiTheme="minorHAnsi" w:hAnsiTheme="minorHAnsi" w:cstheme="minorHAnsi"/>
                  <w:noProof/>
                  <w:color w:val="000000"/>
                  <w:sz w:val="18"/>
                  <w:szCs w:val="18"/>
                </w:rPr>
                <w:t>52</w:t>
              </w:r>
            </w:hyperlink>
            <w:r w:rsidRPr="00342AED">
              <w:rPr>
                <w:rFonts w:asciiTheme="minorHAnsi" w:hAnsiTheme="minorHAnsi" w:cstheme="minorHAnsi"/>
                <w:noProof/>
                <w:color w:val="000000"/>
                <w:sz w:val="18"/>
                <w:szCs w:val="18"/>
              </w:rPr>
              <w:t>)</w:t>
            </w:r>
            <w:r w:rsidRPr="00191C09">
              <w:rPr>
                <w:rFonts w:cstheme="minorHAnsi"/>
                <w:color w:val="000000"/>
                <w:sz w:val="18"/>
                <w:szCs w:val="18"/>
              </w:rPr>
              <w:fldChar w:fldCharType="end"/>
            </w:r>
          </w:p>
          <w:p w14:paraId="0597EDC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TUS-CPS</w:t>
            </w:r>
          </w:p>
          <w:p w14:paraId="308A0220"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None</w:t>
            </w:r>
          </w:p>
        </w:tc>
        <w:tc>
          <w:tcPr>
            <w:tcW w:w="2144" w:type="dxa"/>
            <w:shd w:val="clear" w:color="auto" w:fill="auto"/>
            <w:tcMar>
              <w:top w:w="62" w:type="dxa"/>
              <w:left w:w="62" w:type="dxa"/>
              <w:bottom w:w="62" w:type="dxa"/>
              <w:right w:w="62" w:type="dxa"/>
            </w:tcMar>
          </w:tcPr>
          <w:p w14:paraId="398051C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Independent;</w:t>
            </w:r>
          </w:p>
          <w:p w14:paraId="0ACD2193"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Logistic regression;</w:t>
            </w:r>
          </w:p>
          <w:p w14:paraId="7A8DAA5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education, current use of other tobacco products</w:t>
            </w:r>
          </w:p>
          <w:p w14:paraId="27CBBBD2" w14:textId="77777777" w:rsidR="007F0AE0" w:rsidRPr="00191C09" w:rsidRDefault="007F0AE0" w:rsidP="00453DE3">
            <w:pPr>
              <w:rPr>
                <w:rFonts w:asciiTheme="minorHAnsi" w:hAnsiTheme="minorHAnsi" w:cstheme="minorHAnsi"/>
                <w:sz w:val="18"/>
                <w:szCs w:val="18"/>
              </w:rPr>
            </w:pPr>
          </w:p>
          <w:p w14:paraId="4DF12B66" w14:textId="77777777" w:rsidR="007F0AE0" w:rsidRPr="00191C09" w:rsidRDefault="007F0AE0" w:rsidP="00453DE3">
            <w:pPr>
              <w:rPr>
                <w:rFonts w:asciiTheme="minorHAnsi" w:hAnsiTheme="minorHAnsi" w:cstheme="minorHAnsi"/>
                <w:sz w:val="18"/>
                <w:szCs w:val="18"/>
              </w:rPr>
            </w:pPr>
          </w:p>
        </w:tc>
        <w:tc>
          <w:tcPr>
            <w:tcW w:w="2267" w:type="dxa"/>
            <w:shd w:val="clear" w:color="auto" w:fill="auto"/>
            <w:tcMar>
              <w:top w:w="62" w:type="dxa"/>
              <w:left w:w="62" w:type="dxa"/>
              <w:bottom w:w="62" w:type="dxa"/>
              <w:right w:w="62" w:type="dxa"/>
            </w:tcMar>
          </w:tcPr>
          <w:p w14:paraId="381AC62A"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7631187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Successful quitting ≥6 months among former smokers</w:t>
            </w:r>
          </w:p>
          <w:p w14:paraId="54856E71"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OR (95% CI) for M (ref=NM)</w:t>
            </w:r>
          </w:p>
          <w:p w14:paraId="1DEAC8C8"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NH White</w:t>
            </w:r>
          </w:p>
          <w:p w14:paraId="5325716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0.28 (0.25 to 0.33)</w:t>
            </w:r>
          </w:p>
          <w:p w14:paraId="5E7D5B75"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Black</w:t>
            </w:r>
          </w:p>
          <w:p w14:paraId="0A2A70D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0.23 (0.17 to 0.31) </w:t>
            </w:r>
          </w:p>
          <w:p w14:paraId="1936EF8C"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Asian-Americans/Pacific Islander</w:t>
            </w:r>
          </w:p>
          <w:p w14:paraId="6B909DB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0.22 (0.11 to 0.45)</w:t>
            </w:r>
          </w:p>
          <w:p w14:paraId="260000E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u w:val="single"/>
              </w:rPr>
              <w:t>Native American/Alaskan Native</w:t>
            </w:r>
          </w:p>
          <w:p w14:paraId="692F5C08"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0.49, (0.14, 1.71)</w:t>
            </w:r>
          </w:p>
          <w:p w14:paraId="58EA8EF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Hispanic/Latino</w:t>
            </w:r>
          </w:p>
          <w:p w14:paraId="397CC2A6" w14:textId="77777777" w:rsidR="007F0AE0" w:rsidRPr="00191C09" w:rsidRDefault="007F0AE0" w:rsidP="00453DE3">
            <w:pPr>
              <w:rPr>
                <w:rFonts w:asciiTheme="minorHAnsi" w:hAnsiTheme="minorHAnsi" w:cstheme="minorHAnsi"/>
                <w:color w:val="000000"/>
                <w:sz w:val="18"/>
                <w:szCs w:val="18"/>
              </w:rPr>
            </w:pPr>
            <w:r w:rsidRPr="00191C09">
              <w:rPr>
                <w:rFonts w:asciiTheme="minorHAnsi" w:hAnsiTheme="minorHAnsi" w:cstheme="minorHAnsi"/>
                <w:sz w:val="18"/>
                <w:szCs w:val="18"/>
              </w:rPr>
              <w:t>0.48 (0.34 to 0.69)</w:t>
            </w:r>
          </w:p>
        </w:tc>
        <w:tc>
          <w:tcPr>
            <w:tcW w:w="1985" w:type="dxa"/>
            <w:shd w:val="clear" w:color="auto" w:fill="auto"/>
            <w:tcMar>
              <w:top w:w="62" w:type="dxa"/>
              <w:left w:w="62" w:type="dxa"/>
              <w:bottom w:w="62" w:type="dxa"/>
              <w:right w:w="62" w:type="dxa"/>
            </w:tcMar>
          </w:tcPr>
          <w:p w14:paraId="0244375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r w:rsidR="007F0AE0" w:rsidRPr="00191C09" w14:paraId="1AE55EAE" w14:textId="77777777" w:rsidTr="00453DE3">
        <w:trPr>
          <w:trHeight w:val="1061"/>
        </w:trPr>
        <w:tc>
          <w:tcPr>
            <w:tcW w:w="1630" w:type="dxa"/>
            <w:shd w:val="clear" w:color="auto" w:fill="auto"/>
            <w:tcMar>
              <w:top w:w="62" w:type="dxa"/>
              <w:left w:w="62" w:type="dxa"/>
              <w:bottom w:w="62" w:type="dxa"/>
              <w:right w:w="62" w:type="dxa"/>
            </w:tcMar>
          </w:tcPr>
          <w:p w14:paraId="1E4F983A" w14:textId="77777777" w:rsidR="007F0AE0" w:rsidRPr="00191C09" w:rsidRDefault="007F0AE0" w:rsidP="00453DE3">
            <w:pPr>
              <w:rPr>
                <w:rFonts w:asciiTheme="minorHAnsi" w:hAnsiTheme="minorHAnsi" w:cstheme="minorHAnsi"/>
                <w:color w:val="000000"/>
                <w:sz w:val="18"/>
                <w:szCs w:val="18"/>
              </w:rPr>
            </w:pPr>
            <w:r w:rsidRPr="00191C09">
              <w:rPr>
                <w:rFonts w:cstheme="minorHAnsi"/>
                <w:color w:val="000000"/>
                <w:sz w:val="18"/>
                <w:szCs w:val="18"/>
              </w:rPr>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191C09">
              <w:rPr>
                <w:rFonts w:cstheme="minorHAnsi"/>
                <w:color w:val="000000"/>
                <w:sz w:val="18"/>
                <w:szCs w:val="18"/>
              </w:rPr>
              <w:fldChar w:fldCharType="separate"/>
            </w:r>
            <w:r>
              <w:rPr>
                <w:rFonts w:cstheme="minorHAnsi"/>
                <w:noProof/>
                <w:color w:val="000000"/>
                <w:sz w:val="18"/>
                <w:szCs w:val="18"/>
              </w:rPr>
              <w:t>(</w:t>
            </w:r>
            <w:hyperlink w:anchor="_ENREF_63" w:tooltip="Winhusen, 2013 #287" w:history="1">
              <w:r>
                <w:rPr>
                  <w:rFonts w:cstheme="minorHAnsi"/>
                  <w:noProof/>
                  <w:color w:val="000000"/>
                  <w:sz w:val="18"/>
                  <w:szCs w:val="18"/>
                </w:rPr>
                <w:t>63</w:t>
              </w:r>
            </w:hyperlink>
            <w:r>
              <w:rPr>
                <w:rFonts w:cstheme="minorHAnsi"/>
                <w:noProof/>
                <w:color w:val="000000"/>
                <w:sz w:val="18"/>
                <w:szCs w:val="18"/>
              </w:rPr>
              <w:t>)</w:t>
            </w:r>
            <w:r w:rsidRPr="00191C09">
              <w:rPr>
                <w:rFonts w:cstheme="minorHAnsi"/>
                <w:color w:val="000000"/>
                <w:sz w:val="18"/>
                <w:szCs w:val="18"/>
              </w:rPr>
              <w:fldChar w:fldCharType="end"/>
            </w:r>
          </w:p>
          <w:p w14:paraId="6E8FB80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None</w:t>
            </w:r>
          </w:p>
          <w:p w14:paraId="1A946912"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Cocaine or methamphetamine addicted smokers</w:t>
            </w:r>
          </w:p>
        </w:tc>
        <w:tc>
          <w:tcPr>
            <w:tcW w:w="2144" w:type="dxa"/>
            <w:shd w:val="clear" w:color="auto" w:fill="auto"/>
            <w:tcMar>
              <w:top w:w="62" w:type="dxa"/>
              <w:left w:w="62" w:type="dxa"/>
              <w:bottom w:w="62" w:type="dxa"/>
              <w:right w:w="62" w:type="dxa"/>
            </w:tcMar>
          </w:tcPr>
          <w:p w14:paraId="4A8FA0BE"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Independent; </w:t>
            </w:r>
          </w:p>
          <w:p w14:paraId="031684A0"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 xml:space="preserve">Logistic regression; </w:t>
            </w:r>
          </w:p>
          <w:p w14:paraId="11EA9B4F"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Age, gender, race, stimulant-positive urine drug screen, stimulant use-route, FTND, duration of time as a smoker, CPD</w:t>
            </w:r>
          </w:p>
        </w:tc>
        <w:tc>
          <w:tcPr>
            <w:tcW w:w="2267" w:type="dxa"/>
            <w:shd w:val="clear" w:color="auto" w:fill="auto"/>
            <w:tcMar>
              <w:top w:w="62" w:type="dxa"/>
              <w:left w:w="62" w:type="dxa"/>
              <w:bottom w:w="62" w:type="dxa"/>
              <w:right w:w="62" w:type="dxa"/>
            </w:tcMar>
          </w:tcPr>
          <w:p w14:paraId="7054ED7B"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c>
          <w:tcPr>
            <w:tcW w:w="4869" w:type="dxa"/>
            <w:shd w:val="clear" w:color="auto" w:fill="auto"/>
            <w:tcMar>
              <w:top w:w="62" w:type="dxa"/>
              <w:left w:w="62" w:type="dxa"/>
              <w:bottom w:w="62" w:type="dxa"/>
              <w:right w:w="62" w:type="dxa"/>
            </w:tcMar>
          </w:tcPr>
          <w:p w14:paraId="052778FB"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rPr>
              <w:t>7-day PPA (at week 10)</w:t>
            </w:r>
          </w:p>
          <w:p w14:paraId="5658DADF"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Cocaine-dependent</w:t>
            </w:r>
          </w:p>
          <w:p w14:paraId="29D184DD"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p=0.81</w:t>
            </w:r>
          </w:p>
          <w:p w14:paraId="65E2E2AE" w14:textId="77777777" w:rsidR="007F0AE0" w:rsidRPr="00191C09" w:rsidRDefault="007F0AE0" w:rsidP="00453DE3">
            <w:pPr>
              <w:rPr>
                <w:rFonts w:asciiTheme="minorHAnsi" w:hAnsiTheme="minorHAnsi" w:cstheme="minorHAnsi"/>
                <w:sz w:val="18"/>
                <w:szCs w:val="18"/>
                <w:u w:val="single"/>
              </w:rPr>
            </w:pPr>
            <w:r w:rsidRPr="00191C09">
              <w:rPr>
                <w:rFonts w:asciiTheme="minorHAnsi" w:hAnsiTheme="minorHAnsi" w:cstheme="minorHAnsi"/>
                <w:sz w:val="18"/>
                <w:szCs w:val="18"/>
                <w:u w:val="single"/>
              </w:rPr>
              <w:t>Methamphetamine-dependent</w:t>
            </w:r>
          </w:p>
          <w:p w14:paraId="4C1F2997"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p=0.9</w:t>
            </w:r>
          </w:p>
        </w:tc>
        <w:tc>
          <w:tcPr>
            <w:tcW w:w="1985" w:type="dxa"/>
            <w:shd w:val="clear" w:color="auto" w:fill="auto"/>
            <w:tcMar>
              <w:top w:w="62" w:type="dxa"/>
              <w:left w:w="62" w:type="dxa"/>
              <w:bottom w:w="62" w:type="dxa"/>
              <w:right w:w="62" w:type="dxa"/>
            </w:tcMar>
          </w:tcPr>
          <w:p w14:paraId="628B73C6" w14:textId="77777777" w:rsidR="007F0AE0" w:rsidRPr="00191C09" w:rsidRDefault="007F0AE0" w:rsidP="00453DE3">
            <w:pPr>
              <w:rPr>
                <w:rFonts w:asciiTheme="minorHAnsi" w:hAnsiTheme="minorHAnsi" w:cstheme="minorHAnsi"/>
                <w:sz w:val="18"/>
                <w:szCs w:val="18"/>
              </w:rPr>
            </w:pPr>
            <w:r w:rsidRPr="00191C09">
              <w:rPr>
                <w:rFonts w:asciiTheme="minorHAnsi" w:hAnsiTheme="minorHAnsi" w:cstheme="minorHAnsi"/>
                <w:sz w:val="18"/>
                <w:szCs w:val="18"/>
              </w:rPr>
              <w:t>NR</w:t>
            </w:r>
          </w:p>
        </w:tc>
      </w:tr>
    </w:tbl>
    <w:p w14:paraId="6C6DF454"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a</w:t>
      </w:r>
      <w:r w:rsidRPr="00494051">
        <w:rPr>
          <w:rFonts w:cstheme="minorHAnsi"/>
          <w:sz w:val="18"/>
          <w:szCs w:val="18"/>
        </w:rPr>
        <w:t>Former smokers who quit within the past 5 years and all current smokers (regardless of quit attempt history). Results were also reported for more restrictive populations (e.g., those with past quit attempts, those who do not use other tobacco products); results were similar to those presented here.</w:t>
      </w:r>
    </w:p>
    <w:p w14:paraId="5143206B"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b</w:t>
      </w:r>
      <w:r w:rsidRPr="00494051">
        <w:rPr>
          <w:rFonts w:cstheme="minorHAnsi"/>
          <w:sz w:val="18"/>
          <w:szCs w:val="18"/>
        </w:rPr>
        <w:t>Results were also reported from a model that contained CPD and TTFC; results were similar.</w:t>
      </w:r>
    </w:p>
    <w:p w14:paraId="173F83E9"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 xml:space="preserve">c </w:t>
      </w:r>
      <w:r w:rsidRPr="00494051">
        <w:rPr>
          <w:rFonts w:cstheme="minorHAnsi"/>
          <w:sz w:val="18"/>
          <w:szCs w:val="18"/>
        </w:rPr>
        <w:t>Established smoking was defined in each wave as smoked ≥100 lifetime cigarettes and smoked on 20–30 of the past 30 days.</w:t>
      </w:r>
      <w:r w:rsidRPr="00494051" w:rsidDel="00212110">
        <w:rPr>
          <w:rFonts w:cstheme="minorHAnsi"/>
          <w:sz w:val="18"/>
          <w:szCs w:val="18"/>
        </w:rPr>
        <w:t xml:space="preserve"> </w:t>
      </w:r>
    </w:p>
    <w:p w14:paraId="7AB44FB7"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d</w:t>
      </w:r>
      <w:r w:rsidRPr="00494051">
        <w:rPr>
          <w:rFonts w:cstheme="minorHAnsi"/>
          <w:sz w:val="18"/>
          <w:szCs w:val="18"/>
        </w:rPr>
        <w:t>Results were reported also from models with fewer covariates; results were similar.</w:t>
      </w:r>
    </w:p>
    <w:p w14:paraId="72632A05"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e</w:t>
      </w:r>
      <w:r w:rsidRPr="00494051">
        <w:rPr>
          <w:rFonts w:cstheme="minorHAnsi"/>
          <w:sz w:val="18"/>
          <w:szCs w:val="18"/>
        </w:rPr>
        <w:t>Former smoker: ≥100 lifetime cigarettes but no smoking within the past year. Short-term former smoker: ≥100 lifetime cigarettes and abstained from smoking for 1-3 years. Long-term former smoker: ≥100 lifetime cigarettes but no smoking during the past year; duration of quitting ranged from 1 to &gt;70 years, and average duration of quitting was 18 years. Regular smoker: ≥100 lifetime cigarettes and smoked on ≥10 days during the past month.</w:t>
      </w:r>
    </w:p>
    <w:p w14:paraId="614FFC79"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f</w:t>
      </w:r>
      <w:r w:rsidRPr="00494051">
        <w:rPr>
          <w:rFonts w:cstheme="minorHAnsi"/>
          <w:sz w:val="18"/>
          <w:szCs w:val="18"/>
        </w:rPr>
        <w:t>Model 1 adjusted for CPD and current age; model 2 adjusted for CPD and duration of smoking</w:t>
      </w:r>
    </w:p>
    <w:p w14:paraId="54959522"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g</w:t>
      </w:r>
      <w:r w:rsidRPr="00494051">
        <w:rPr>
          <w:rFonts w:cstheme="minorHAnsi"/>
          <w:sz w:val="18"/>
          <w:szCs w:val="18"/>
        </w:rPr>
        <w:t>Model 1 adjusted for CPD, initiation age, and current age; model 2 adjusted for CPD, initiation age, and duration of smoking</w:t>
      </w:r>
    </w:p>
    <w:p w14:paraId="098717C4"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h</w:t>
      </w:r>
      <w:r w:rsidRPr="00494051">
        <w:rPr>
          <w:rFonts w:cstheme="minorHAnsi"/>
          <w:sz w:val="18"/>
          <w:szCs w:val="18"/>
        </w:rPr>
        <w:t>Model 1 adjusted for age and HSI; model 2 adjusted for current age and night waking to smoke.</w:t>
      </w:r>
    </w:p>
    <w:p w14:paraId="1EA76896"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lastRenderedPageBreak/>
        <w:t>i</w:t>
      </w:r>
      <w:r w:rsidRPr="00494051">
        <w:rPr>
          <w:rFonts w:cstheme="minorHAnsi"/>
          <w:sz w:val="18"/>
          <w:szCs w:val="18"/>
        </w:rPr>
        <w:t>Model 1 adjusted for HSI; model 2 adjusted for night waking to smoke.</w:t>
      </w:r>
    </w:p>
    <w:p w14:paraId="176406AE"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rPr>
        <w:t xml:space="preserve">Abbreviations: ALLTURS=American Legacy Longitudinal Tobacco Use Reduction Study; cig=cigarette; CI=confidence interval; </w:t>
      </w:r>
      <w:r>
        <w:rPr>
          <w:rFonts w:cstheme="minorHAnsi"/>
          <w:sz w:val="18"/>
          <w:szCs w:val="18"/>
        </w:rPr>
        <w:t>e</w:t>
      </w:r>
      <w:r w:rsidRPr="00494051">
        <w:rPr>
          <w:rFonts w:cstheme="minorHAnsi"/>
          <w:sz w:val="18"/>
          <w:szCs w:val="18"/>
        </w:rPr>
        <w:t>CO=</w:t>
      </w:r>
      <w:r>
        <w:rPr>
          <w:rFonts w:cstheme="minorHAnsi"/>
          <w:sz w:val="18"/>
          <w:szCs w:val="18"/>
        </w:rPr>
        <w:t xml:space="preserve">exhaled </w:t>
      </w:r>
      <w:r w:rsidRPr="00494051">
        <w:rPr>
          <w:rFonts w:cstheme="minorHAnsi"/>
          <w:sz w:val="18"/>
          <w:szCs w:val="18"/>
        </w:rPr>
        <w:t>carbon monoxide; CPD=cigarettes per day; CR=continuation ratio; FTND=Fagerström Test for Nicotine Dependence; GEE=generalized estimating equation; HR=Hazard Ratio; M=menthol; NH=non-Hispanic; NHIS=National Health Interview Survey; NH=non-Hispanic; NHIS-CCS=National Health Interview Survey Cancer Control Supplement; NM=non-menthol; NR=not reported; OR=odds ratio; PPA=point prevalence abstinence; PR=prevalence ratio; ref=reference; SE=standard error; TTFC=time to first cigarette of the day; TUS-CPS=Tobacco Use Supplement to the Current Population Survey; VA=Veterans Health Administration.</w:t>
      </w:r>
      <w:r>
        <w:rPr>
          <w:rFonts w:cstheme="minorHAnsi"/>
          <w:sz w:val="18"/>
          <w:szCs w:val="18"/>
        </w:rPr>
        <w:t xml:space="preserve"> </w:t>
      </w:r>
    </w:p>
    <w:p w14:paraId="7360FFEC" w14:textId="77777777" w:rsidR="007F0AE0" w:rsidRPr="00494051" w:rsidRDefault="007F0AE0" w:rsidP="007F0AE0">
      <w:pPr>
        <w:pStyle w:val="AppTableNote"/>
        <w:rPr>
          <w:rFonts w:asciiTheme="minorHAnsi" w:hAnsiTheme="minorHAnsi" w:cstheme="minorHAnsi"/>
          <w:b/>
          <w:sz w:val="22"/>
          <w:szCs w:val="22"/>
        </w:rPr>
        <w:sectPr w:rsidR="007F0AE0" w:rsidRPr="00494051" w:rsidSect="00A25B9D">
          <w:pgSz w:w="15840" w:h="12240" w:orient="landscape"/>
          <w:pgMar w:top="1440" w:right="1440" w:bottom="1440" w:left="1440" w:header="720" w:footer="720" w:gutter="0"/>
          <w:cols w:space="720"/>
          <w:titlePg/>
          <w:docGrid w:linePitch="360"/>
        </w:sectPr>
      </w:pPr>
    </w:p>
    <w:p w14:paraId="6B470235" w14:textId="77777777" w:rsidR="007F0AE0" w:rsidRPr="00494051" w:rsidRDefault="007F0AE0" w:rsidP="007F0AE0">
      <w:pPr>
        <w:pStyle w:val="AppTableNote"/>
        <w:outlineLvl w:val="1"/>
        <w:rPr>
          <w:rFonts w:asciiTheme="minorHAnsi" w:hAnsiTheme="minorHAnsi" w:cstheme="minorHAnsi"/>
          <w:b/>
          <w:sz w:val="22"/>
          <w:szCs w:val="22"/>
        </w:rPr>
      </w:pPr>
      <w:bookmarkStart w:id="25" w:name="Table7_4"/>
      <w:r w:rsidRPr="00494051">
        <w:rPr>
          <w:rFonts w:asciiTheme="minorHAnsi" w:hAnsiTheme="minorHAnsi" w:cstheme="minorHAnsi"/>
          <w:b/>
          <w:sz w:val="22"/>
          <w:szCs w:val="22"/>
        </w:rPr>
        <w:lastRenderedPageBreak/>
        <w:t xml:space="preserve">Table </w:t>
      </w:r>
      <w:r>
        <w:rPr>
          <w:rFonts w:asciiTheme="minorHAnsi" w:hAnsiTheme="minorHAnsi" w:cstheme="minorHAnsi"/>
          <w:b/>
          <w:sz w:val="22"/>
          <w:szCs w:val="22"/>
        </w:rPr>
        <w:t>10</w:t>
      </w:r>
      <w:r w:rsidRPr="00494051">
        <w:rPr>
          <w:rFonts w:asciiTheme="minorHAnsi" w:hAnsiTheme="minorHAnsi" w:cstheme="minorHAnsi"/>
          <w:b/>
          <w:sz w:val="22"/>
          <w:szCs w:val="22"/>
        </w:rPr>
        <w:t>-4: Modeled / Adjusted Results</w:t>
      </w:r>
      <w:r>
        <w:rPr>
          <w:rFonts w:asciiTheme="minorHAnsi" w:hAnsiTheme="minorHAnsi" w:cstheme="minorHAnsi"/>
          <w:b/>
          <w:sz w:val="22"/>
          <w:szCs w:val="22"/>
        </w:rPr>
        <w:t xml:space="preserve"> (</w:t>
      </w:r>
      <w:r w:rsidRPr="00494051">
        <w:rPr>
          <w:rFonts w:asciiTheme="minorHAnsi" w:hAnsiTheme="minorHAnsi" w:cstheme="minorHAnsi"/>
          <w:b/>
          <w:sz w:val="22"/>
          <w:szCs w:val="22"/>
        </w:rPr>
        <w:t>Change in Smoking Quantity</w:t>
      </w:r>
      <w:r>
        <w:rPr>
          <w:rFonts w:asciiTheme="minorHAnsi" w:hAnsiTheme="minorHAnsi" w:cstheme="minorHAnsi"/>
          <w:b/>
          <w:sz w:val="22"/>
          <w:szCs w:val="22"/>
        </w:rPr>
        <w:t>/</w:t>
      </w:r>
      <w:r w:rsidRPr="00494051">
        <w:rPr>
          <w:rFonts w:asciiTheme="minorHAnsi" w:hAnsiTheme="minorHAnsi" w:cstheme="minorHAnsi"/>
          <w:b/>
          <w:sz w:val="22"/>
          <w:szCs w:val="22"/>
        </w:rPr>
        <w:t xml:space="preserve">Frequency, </w:t>
      </w:r>
      <w:r>
        <w:rPr>
          <w:rFonts w:asciiTheme="minorHAnsi" w:hAnsiTheme="minorHAnsi" w:cstheme="minorHAnsi"/>
          <w:b/>
          <w:sz w:val="22"/>
          <w:szCs w:val="22"/>
        </w:rPr>
        <w:t>Any</w:t>
      </w:r>
      <w:r w:rsidRPr="00494051">
        <w:rPr>
          <w:rFonts w:asciiTheme="minorHAnsi" w:hAnsiTheme="minorHAnsi" w:cstheme="minorHAnsi"/>
          <w:b/>
          <w:sz w:val="22"/>
          <w:szCs w:val="22"/>
        </w:rPr>
        <w:t xml:space="preserve"> Quit Attempt, Number of Quit Attempts per Person)</w:t>
      </w:r>
    </w:p>
    <w:tbl>
      <w:tblPr>
        <w:tblStyle w:val="TableGrid7"/>
        <w:tblW w:w="12895" w:type="dxa"/>
        <w:shd w:val="clear" w:color="auto" w:fill="F2F2F2"/>
        <w:tblLook w:val="04A0" w:firstRow="1" w:lastRow="0" w:firstColumn="1" w:lastColumn="0" w:noHBand="0" w:noVBand="1"/>
      </w:tblPr>
      <w:tblGrid>
        <w:gridCol w:w="1777"/>
        <w:gridCol w:w="2632"/>
        <w:gridCol w:w="2246"/>
        <w:gridCol w:w="3330"/>
        <w:gridCol w:w="2910"/>
      </w:tblGrid>
      <w:tr w:rsidR="007F0AE0" w:rsidRPr="00494051" w14:paraId="13EC4C2E" w14:textId="77777777" w:rsidTr="00453DE3">
        <w:trPr>
          <w:tblHeader/>
        </w:trPr>
        <w:tc>
          <w:tcPr>
            <w:tcW w:w="1777" w:type="dxa"/>
            <w:shd w:val="clear" w:color="auto" w:fill="44546A"/>
            <w:tcMar>
              <w:top w:w="62" w:type="dxa"/>
              <w:left w:w="62" w:type="dxa"/>
              <w:bottom w:w="62" w:type="dxa"/>
              <w:right w:w="62" w:type="dxa"/>
            </w:tcMar>
            <w:vAlign w:val="center"/>
          </w:tcPr>
          <w:p w14:paraId="1E2CA6AA" w14:textId="77777777" w:rsidR="007F0AE0" w:rsidRPr="00494051" w:rsidRDefault="007F0AE0" w:rsidP="00453DE3">
            <w:pPr>
              <w:jc w:val="center"/>
              <w:rPr>
                <w:rFonts w:asciiTheme="minorHAnsi" w:hAnsiTheme="minorHAnsi" w:cstheme="minorHAnsi"/>
                <w:b/>
                <w:color w:val="FFFFFF"/>
                <w:sz w:val="18"/>
                <w:szCs w:val="18"/>
              </w:rPr>
            </w:pPr>
            <w:bookmarkStart w:id="26" w:name="_Toc458358696"/>
            <w:bookmarkEnd w:id="25"/>
            <w:r w:rsidRPr="00494051">
              <w:rPr>
                <w:rFonts w:asciiTheme="minorHAnsi" w:hAnsiTheme="minorHAnsi" w:cstheme="minorHAnsi"/>
                <w:b/>
                <w:color w:val="FFFFFF"/>
                <w:sz w:val="18"/>
                <w:szCs w:val="18"/>
              </w:rPr>
              <w:t>First Author, Year</w:t>
            </w:r>
          </w:p>
          <w:p w14:paraId="32028187"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 xml:space="preserve">National survey name </w:t>
            </w:r>
          </w:p>
          <w:p w14:paraId="252FF39B"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Special population</w:t>
            </w:r>
          </w:p>
        </w:tc>
        <w:tc>
          <w:tcPr>
            <w:tcW w:w="2632" w:type="dxa"/>
            <w:shd w:val="clear" w:color="auto" w:fill="44546A"/>
            <w:tcMar>
              <w:top w:w="62" w:type="dxa"/>
              <w:left w:w="62" w:type="dxa"/>
              <w:bottom w:w="62" w:type="dxa"/>
              <w:right w:w="62" w:type="dxa"/>
            </w:tcMar>
            <w:vAlign w:val="center"/>
          </w:tcPr>
          <w:p w14:paraId="3BA159CD"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Menthol as dependent or independent variable;</w:t>
            </w:r>
          </w:p>
          <w:p w14:paraId="37FED4CE"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Model;</w:t>
            </w:r>
          </w:p>
          <w:p w14:paraId="4636B9AE"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Covariates</w:t>
            </w:r>
          </w:p>
        </w:tc>
        <w:tc>
          <w:tcPr>
            <w:tcW w:w="2246" w:type="dxa"/>
            <w:shd w:val="clear" w:color="auto" w:fill="44546A"/>
            <w:tcMar>
              <w:top w:w="62" w:type="dxa"/>
              <w:left w:w="62" w:type="dxa"/>
              <w:bottom w:w="62" w:type="dxa"/>
              <w:right w:w="62" w:type="dxa"/>
            </w:tcMar>
            <w:vAlign w:val="center"/>
          </w:tcPr>
          <w:p w14:paraId="3C7E0FB1"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Change in smoking quantity</w:t>
            </w:r>
            <w:r>
              <w:rPr>
                <w:rFonts w:asciiTheme="minorHAnsi" w:hAnsiTheme="minorHAnsi" w:cstheme="minorHAnsi"/>
                <w:b/>
                <w:color w:val="FFFFFF"/>
                <w:sz w:val="18"/>
                <w:szCs w:val="18"/>
              </w:rPr>
              <w:t>/</w:t>
            </w:r>
            <w:r w:rsidRPr="00494051">
              <w:rPr>
                <w:rFonts w:asciiTheme="minorHAnsi" w:hAnsiTheme="minorHAnsi" w:cstheme="minorHAnsi"/>
                <w:b/>
                <w:color w:val="FFFFFF"/>
                <w:sz w:val="18"/>
                <w:szCs w:val="18"/>
              </w:rPr>
              <w:t>frequency</w:t>
            </w:r>
          </w:p>
        </w:tc>
        <w:tc>
          <w:tcPr>
            <w:tcW w:w="3330" w:type="dxa"/>
            <w:shd w:val="clear" w:color="auto" w:fill="44546A"/>
            <w:tcMar>
              <w:top w:w="62" w:type="dxa"/>
              <w:left w:w="62" w:type="dxa"/>
              <w:bottom w:w="62" w:type="dxa"/>
              <w:right w:w="62" w:type="dxa"/>
            </w:tcMar>
            <w:vAlign w:val="center"/>
          </w:tcPr>
          <w:p w14:paraId="4B2CDE14" w14:textId="77777777" w:rsidR="007F0AE0" w:rsidRPr="00494051" w:rsidRDefault="007F0AE0" w:rsidP="00453DE3">
            <w:pPr>
              <w:jc w:val="center"/>
              <w:rPr>
                <w:rFonts w:asciiTheme="minorHAnsi" w:hAnsiTheme="minorHAnsi" w:cstheme="minorHAnsi"/>
                <w:b/>
                <w:color w:val="FFFFFF"/>
                <w:sz w:val="18"/>
                <w:szCs w:val="18"/>
              </w:rPr>
            </w:pPr>
            <w:r>
              <w:rPr>
                <w:rFonts w:asciiTheme="minorHAnsi" w:hAnsiTheme="minorHAnsi" w:cstheme="minorHAnsi"/>
                <w:b/>
                <w:color w:val="FFFFFF"/>
                <w:sz w:val="18"/>
                <w:szCs w:val="18"/>
              </w:rPr>
              <w:t>Any</w:t>
            </w:r>
            <w:r w:rsidRPr="00494051">
              <w:rPr>
                <w:rFonts w:asciiTheme="minorHAnsi" w:hAnsiTheme="minorHAnsi" w:cstheme="minorHAnsi"/>
                <w:b/>
                <w:color w:val="FFFFFF"/>
                <w:sz w:val="18"/>
                <w:szCs w:val="18"/>
              </w:rPr>
              <w:t xml:space="preserve"> quit attempt</w:t>
            </w:r>
          </w:p>
        </w:tc>
        <w:tc>
          <w:tcPr>
            <w:tcW w:w="2910" w:type="dxa"/>
            <w:shd w:val="clear" w:color="auto" w:fill="44546A"/>
            <w:tcMar>
              <w:top w:w="62" w:type="dxa"/>
              <w:left w:w="62" w:type="dxa"/>
              <w:bottom w:w="62" w:type="dxa"/>
              <w:right w:w="62" w:type="dxa"/>
            </w:tcMar>
            <w:vAlign w:val="center"/>
          </w:tcPr>
          <w:p w14:paraId="13508ADF" w14:textId="77777777" w:rsidR="007F0AE0" w:rsidRPr="00494051" w:rsidRDefault="007F0AE0" w:rsidP="00453DE3">
            <w:pPr>
              <w:jc w:val="center"/>
              <w:rPr>
                <w:rFonts w:asciiTheme="minorHAnsi" w:hAnsiTheme="minorHAnsi" w:cstheme="minorHAnsi"/>
                <w:b/>
                <w:color w:val="FFFFFF"/>
                <w:sz w:val="18"/>
                <w:szCs w:val="18"/>
              </w:rPr>
            </w:pPr>
            <w:r w:rsidRPr="00494051">
              <w:rPr>
                <w:rFonts w:asciiTheme="minorHAnsi" w:hAnsiTheme="minorHAnsi" w:cstheme="minorHAnsi"/>
                <w:b/>
                <w:color w:val="FFFFFF"/>
                <w:sz w:val="18"/>
                <w:szCs w:val="18"/>
              </w:rPr>
              <w:t>Number of quit attempts per person</w:t>
            </w:r>
          </w:p>
        </w:tc>
      </w:tr>
      <w:tr w:rsidR="007F0AE0" w:rsidRPr="00494051" w14:paraId="088F66D4" w14:textId="77777777" w:rsidTr="00453DE3">
        <w:tc>
          <w:tcPr>
            <w:tcW w:w="1777" w:type="dxa"/>
            <w:shd w:val="clear" w:color="auto" w:fill="auto"/>
            <w:tcMar>
              <w:top w:w="62" w:type="dxa"/>
              <w:left w:w="62" w:type="dxa"/>
              <w:bottom w:w="62" w:type="dxa"/>
              <w:right w:w="62" w:type="dxa"/>
            </w:tcMar>
          </w:tcPr>
          <w:p w14:paraId="6B3338E8"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14" w:tooltip="Alexander, 2010 #59" w:history="1">
              <w:r>
                <w:rPr>
                  <w:rFonts w:cstheme="minorHAnsi"/>
                  <w:noProof/>
                  <w:color w:val="000000"/>
                  <w:sz w:val="18"/>
                  <w:szCs w:val="18"/>
                </w:rPr>
                <w:t>14</w:t>
              </w:r>
            </w:hyperlink>
            <w:r>
              <w:rPr>
                <w:rFonts w:cstheme="minorHAnsi"/>
                <w:noProof/>
                <w:color w:val="000000"/>
                <w:sz w:val="18"/>
                <w:szCs w:val="18"/>
              </w:rPr>
              <w:t>)</w:t>
            </w:r>
            <w:r w:rsidRPr="00494051">
              <w:rPr>
                <w:rFonts w:cstheme="minorHAnsi"/>
                <w:color w:val="000000"/>
                <w:sz w:val="18"/>
                <w:szCs w:val="18"/>
              </w:rPr>
              <w:fldChar w:fldCharType="end"/>
            </w:r>
          </w:p>
          <w:p w14:paraId="271AFEF7"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TUS-CPS</w:t>
            </w:r>
          </w:p>
          <w:p w14:paraId="51B405BF"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024D5D3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6CFCA40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Multiple logistic regression;</w:t>
            </w:r>
          </w:p>
          <w:p w14:paraId="332D4CC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race, education, occupation, income, U.S. region, workplace smoking policies and restrictions</w:t>
            </w:r>
          </w:p>
        </w:tc>
        <w:tc>
          <w:tcPr>
            <w:tcW w:w="2246" w:type="dxa"/>
            <w:tcMar>
              <w:top w:w="62" w:type="dxa"/>
              <w:left w:w="62" w:type="dxa"/>
              <w:bottom w:w="62" w:type="dxa"/>
              <w:right w:w="62" w:type="dxa"/>
            </w:tcMar>
          </w:tcPr>
          <w:p w14:paraId="6BE6591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7EF56E9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Stopped smoking for ≥1 day</w:t>
            </w:r>
          </w:p>
          <w:p w14:paraId="289FCA5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OR (95% CI) for M (NM is ref): </w:t>
            </w:r>
          </w:p>
          <w:p w14:paraId="1522CD8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0.98 (0.83 to 1.15)</w:t>
            </w:r>
          </w:p>
        </w:tc>
        <w:tc>
          <w:tcPr>
            <w:tcW w:w="2910" w:type="dxa"/>
            <w:shd w:val="clear" w:color="auto" w:fill="auto"/>
            <w:tcMar>
              <w:top w:w="62" w:type="dxa"/>
              <w:left w:w="62" w:type="dxa"/>
              <w:bottom w:w="62" w:type="dxa"/>
              <w:right w:w="62" w:type="dxa"/>
            </w:tcMar>
          </w:tcPr>
          <w:p w14:paraId="73330D3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2C521DA7" w14:textId="77777777" w:rsidTr="00453DE3">
        <w:tc>
          <w:tcPr>
            <w:tcW w:w="1777" w:type="dxa"/>
            <w:shd w:val="clear" w:color="auto" w:fill="auto"/>
            <w:tcMar>
              <w:top w:w="62" w:type="dxa"/>
              <w:left w:w="62" w:type="dxa"/>
              <w:bottom w:w="62" w:type="dxa"/>
              <w:right w:w="62" w:type="dxa"/>
            </w:tcMar>
          </w:tcPr>
          <w:p w14:paraId="00689721"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20" w:tooltip="Cubbin, 2010 #53" w:history="1">
              <w:r>
                <w:rPr>
                  <w:rFonts w:cstheme="minorHAnsi"/>
                  <w:noProof/>
                  <w:color w:val="000000"/>
                  <w:sz w:val="18"/>
                  <w:szCs w:val="18"/>
                </w:rPr>
                <w:t>20</w:t>
              </w:r>
            </w:hyperlink>
            <w:r>
              <w:rPr>
                <w:rFonts w:cstheme="minorHAnsi"/>
                <w:noProof/>
                <w:color w:val="000000"/>
                <w:sz w:val="18"/>
                <w:szCs w:val="18"/>
              </w:rPr>
              <w:t>)</w:t>
            </w:r>
            <w:r w:rsidRPr="00494051">
              <w:rPr>
                <w:rFonts w:cstheme="minorHAnsi"/>
                <w:color w:val="000000"/>
                <w:sz w:val="18"/>
                <w:szCs w:val="18"/>
              </w:rPr>
              <w:fldChar w:fldCharType="end"/>
            </w:r>
          </w:p>
          <w:p w14:paraId="477A84BC"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NHIS-CCS</w:t>
            </w:r>
          </w:p>
          <w:p w14:paraId="4242FF88"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1F51E77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Prediction estimates;</w:t>
            </w:r>
          </w:p>
          <w:p w14:paraId="242978A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education, income; multiple gender and race stratifications</w:t>
            </w:r>
          </w:p>
        </w:tc>
        <w:tc>
          <w:tcPr>
            <w:tcW w:w="2246" w:type="dxa"/>
            <w:tcMar>
              <w:top w:w="62" w:type="dxa"/>
              <w:left w:w="62" w:type="dxa"/>
              <w:bottom w:w="62" w:type="dxa"/>
              <w:right w:w="62" w:type="dxa"/>
            </w:tcMar>
          </w:tcPr>
          <w:p w14:paraId="66066FE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1FFF53C6"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Past-year quit attempts</w:t>
            </w:r>
          </w:p>
          <w:p w14:paraId="213D938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There were no statistically significant differences by race/ethnicity, gender or M/NM cigarette type:</w:t>
            </w:r>
          </w:p>
          <w:p w14:paraId="52511ED2" w14:textId="77777777" w:rsidR="007F0AE0" w:rsidRPr="00494051" w:rsidRDefault="007F0AE0" w:rsidP="00453DE3">
            <w:pPr>
              <w:rPr>
                <w:rFonts w:asciiTheme="minorHAnsi" w:hAnsiTheme="minorHAnsi" w:cstheme="minorHAnsi"/>
                <w:sz w:val="18"/>
                <w:szCs w:val="18"/>
              </w:rPr>
            </w:pPr>
          </w:p>
          <w:p w14:paraId="0D183F66"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Black women</w:t>
            </w:r>
          </w:p>
          <w:p w14:paraId="7644EF1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49.9%</w:t>
            </w:r>
          </w:p>
          <w:p w14:paraId="4D961B2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39.7%</w:t>
            </w:r>
          </w:p>
          <w:p w14:paraId="129D8011" w14:textId="77777777" w:rsidR="007F0AE0" w:rsidRPr="00494051" w:rsidRDefault="007F0AE0" w:rsidP="00453DE3">
            <w:pPr>
              <w:rPr>
                <w:rFonts w:asciiTheme="minorHAnsi" w:hAnsiTheme="minorHAnsi" w:cstheme="minorHAnsi"/>
                <w:sz w:val="18"/>
                <w:szCs w:val="18"/>
              </w:rPr>
            </w:pPr>
          </w:p>
          <w:p w14:paraId="3F46C32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Black men</w:t>
            </w:r>
          </w:p>
          <w:p w14:paraId="18BA554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48.6%</w:t>
            </w:r>
          </w:p>
          <w:p w14:paraId="3F65C2D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37.6%</w:t>
            </w:r>
          </w:p>
          <w:p w14:paraId="3DF12B64" w14:textId="77777777" w:rsidR="007F0AE0" w:rsidRPr="00494051" w:rsidRDefault="007F0AE0" w:rsidP="00453DE3">
            <w:pPr>
              <w:rPr>
                <w:rFonts w:asciiTheme="minorHAnsi" w:hAnsiTheme="minorHAnsi" w:cstheme="minorHAnsi"/>
                <w:sz w:val="18"/>
                <w:szCs w:val="18"/>
              </w:rPr>
            </w:pPr>
          </w:p>
          <w:p w14:paraId="681A816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Hispanic women</w:t>
            </w:r>
          </w:p>
          <w:p w14:paraId="5BE24F36"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46.7%</w:t>
            </w:r>
          </w:p>
          <w:p w14:paraId="1405B6D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42.5%</w:t>
            </w:r>
          </w:p>
          <w:p w14:paraId="3A432E7E" w14:textId="77777777" w:rsidR="007F0AE0" w:rsidRPr="00494051" w:rsidRDefault="007F0AE0" w:rsidP="00453DE3">
            <w:pPr>
              <w:rPr>
                <w:rFonts w:asciiTheme="minorHAnsi" w:hAnsiTheme="minorHAnsi" w:cstheme="minorHAnsi"/>
                <w:sz w:val="18"/>
                <w:szCs w:val="18"/>
              </w:rPr>
            </w:pPr>
          </w:p>
          <w:p w14:paraId="3E5B64F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Hispanic men:</w:t>
            </w:r>
          </w:p>
          <w:p w14:paraId="533C9B9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57.9%</w:t>
            </w:r>
          </w:p>
          <w:p w14:paraId="5728C29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38.4%</w:t>
            </w:r>
          </w:p>
          <w:p w14:paraId="51BF2966" w14:textId="77777777" w:rsidR="007F0AE0" w:rsidRPr="00494051" w:rsidRDefault="007F0AE0" w:rsidP="00453DE3">
            <w:pPr>
              <w:rPr>
                <w:rFonts w:asciiTheme="minorHAnsi" w:hAnsiTheme="minorHAnsi" w:cstheme="minorHAnsi"/>
                <w:sz w:val="18"/>
                <w:szCs w:val="18"/>
              </w:rPr>
            </w:pPr>
          </w:p>
          <w:p w14:paraId="2DA40D8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White women</w:t>
            </w:r>
          </w:p>
          <w:p w14:paraId="09A7442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43.2%</w:t>
            </w:r>
          </w:p>
          <w:p w14:paraId="70EED67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39.8%</w:t>
            </w:r>
          </w:p>
          <w:p w14:paraId="15A6CA48" w14:textId="77777777" w:rsidR="007F0AE0" w:rsidRPr="00494051" w:rsidRDefault="007F0AE0" w:rsidP="00453DE3">
            <w:pPr>
              <w:rPr>
                <w:rFonts w:asciiTheme="minorHAnsi" w:hAnsiTheme="minorHAnsi" w:cstheme="minorHAnsi"/>
                <w:sz w:val="18"/>
                <w:szCs w:val="18"/>
              </w:rPr>
            </w:pPr>
          </w:p>
          <w:p w14:paraId="3AAAFC6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White men</w:t>
            </w:r>
          </w:p>
          <w:p w14:paraId="4CA1E9D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 40.7%</w:t>
            </w:r>
          </w:p>
          <w:p w14:paraId="7A95931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NM: 36.8%</w:t>
            </w:r>
          </w:p>
        </w:tc>
        <w:tc>
          <w:tcPr>
            <w:tcW w:w="2910" w:type="dxa"/>
            <w:shd w:val="clear" w:color="auto" w:fill="auto"/>
            <w:tcMar>
              <w:top w:w="62" w:type="dxa"/>
              <w:left w:w="62" w:type="dxa"/>
              <w:bottom w:w="62" w:type="dxa"/>
              <w:right w:w="62" w:type="dxa"/>
            </w:tcMar>
          </w:tcPr>
          <w:p w14:paraId="573877A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49AAE927" w14:textId="77777777" w:rsidTr="00453DE3">
        <w:tc>
          <w:tcPr>
            <w:tcW w:w="1777" w:type="dxa"/>
            <w:shd w:val="clear" w:color="auto" w:fill="auto"/>
            <w:tcMar>
              <w:top w:w="62" w:type="dxa"/>
              <w:left w:w="62" w:type="dxa"/>
              <w:bottom w:w="62" w:type="dxa"/>
              <w:right w:w="62" w:type="dxa"/>
            </w:tcMar>
          </w:tcPr>
          <w:p w14:paraId="6548520D"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lastRenderedPageBreak/>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36" w:tooltip="Fagan, 2007 #94" w:history="1">
              <w:r w:rsidRPr="00342AED">
                <w:rPr>
                  <w:rFonts w:asciiTheme="minorHAnsi" w:hAnsiTheme="minorHAnsi" w:cstheme="minorHAnsi"/>
                  <w:noProof/>
                  <w:color w:val="000000"/>
                  <w:sz w:val="18"/>
                  <w:szCs w:val="18"/>
                </w:rPr>
                <w:t>36</w:t>
              </w:r>
            </w:hyperlink>
            <w:r w:rsidRPr="00342AED">
              <w:rPr>
                <w:rFonts w:asciiTheme="minorHAnsi" w:hAnsiTheme="minorHAnsi" w:cstheme="minorHAnsi"/>
                <w:noProof/>
                <w:color w:val="000000"/>
                <w:sz w:val="18"/>
                <w:szCs w:val="18"/>
              </w:rPr>
              <w:t>)</w:t>
            </w:r>
            <w:r w:rsidRPr="00494051">
              <w:rPr>
                <w:rFonts w:cstheme="minorHAnsi"/>
                <w:color w:val="000000"/>
                <w:sz w:val="18"/>
                <w:szCs w:val="18"/>
              </w:rPr>
              <w:fldChar w:fldCharType="end"/>
            </w:r>
          </w:p>
          <w:p w14:paraId="2280BA61"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TUS-CPS</w:t>
            </w:r>
          </w:p>
          <w:p w14:paraId="3F7AE62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color w:val="000000"/>
                <w:sz w:val="18"/>
                <w:szCs w:val="18"/>
              </w:rPr>
              <w:t>Young adults</w:t>
            </w:r>
          </w:p>
        </w:tc>
        <w:tc>
          <w:tcPr>
            <w:tcW w:w="2632" w:type="dxa"/>
            <w:shd w:val="clear" w:color="auto" w:fill="auto"/>
            <w:tcMar>
              <w:top w:w="62" w:type="dxa"/>
              <w:left w:w="62" w:type="dxa"/>
              <w:bottom w:w="62" w:type="dxa"/>
              <w:right w:w="62" w:type="dxa"/>
            </w:tcMar>
          </w:tcPr>
          <w:p w14:paraId="68DCCBA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797E6D5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Logistic regression;</w:t>
            </w:r>
          </w:p>
          <w:p w14:paraId="02354CA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and independent variables in the bivariate models with P &lt;0.25 (specific variables NR explicitly but appear to be age, gender, ethnicity, employment, age of smoking onset, CPD, TTFC)</w:t>
            </w:r>
          </w:p>
        </w:tc>
        <w:tc>
          <w:tcPr>
            <w:tcW w:w="2246" w:type="dxa"/>
            <w:tcMar>
              <w:top w:w="62" w:type="dxa"/>
              <w:left w:w="62" w:type="dxa"/>
              <w:bottom w:w="62" w:type="dxa"/>
              <w:right w:w="62" w:type="dxa"/>
            </w:tcMar>
          </w:tcPr>
          <w:p w14:paraId="51CA05A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4E48660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Stopping smoking “for 1 day or longer [in the past year]:</w:t>
            </w:r>
          </w:p>
          <w:p w14:paraId="4A7E595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 (95% CI) for M (ref=NM):</w:t>
            </w:r>
          </w:p>
          <w:p w14:paraId="6C36D0D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u w:val="single"/>
              </w:rPr>
              <w:t>All current smokers</w:t>
            </w:r>
            <w:r w:rsidRPr="00494051">
              <w:rPr>
                <w:rFonts w:asciiTheme="minorHAnsi" w:hAnsiTheme="minorHAnsi" w:cstheme="minorHAnsi"/>
                <w:sz w:val="18"/>
                <w:szCs w:val="18"/>
              </w:rPr>
              <w:t xml:space="preserve"> </w:t>
            </w:r>
          </w:p>
          <w:p w14:paraId="0DF6F80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1.00 (0.89 to 1.16)</w:t>
            </w:r>
          </w:p>
          <w:p w14:paraId="56965DFD"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Daily smokers</w:t>
            </w:r>
          </w:p>
          <w:p w14:paraId="61A0A24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1.00 (0.85 to 1.18)</w:t>
            </w:r>
          </w:p>
          <w:p w14:paraId="6A7D6E4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u w:val="single"/>
              </w:rPr>
              <w:t>Non-daily smokers</w:t>
            </w:r>
            <w:r w:rsidRPr="00494051">
              <w:rPr>
                <w:rFonts w:asciiTheme="minorHAnsi" w:hAnsiTheme="minorHAnsi" w:cstheme="minorHAnsi"/>
                <w:sz w:val="18"/>
                <w:szCs w:val="18"/>
              </w:rPr>
              <w:t xml:space="preserve"> </w:t>
            </w:r>
          </w:p>
          <w:p w14:paraId="68FD863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0.93 (0.62 to 1.41)</w:t>
            </w:r>
          </w:p>
          <w:p w14:paraId="6113E58B" w14:textId="77777777" w:rsidR="007F0AE0" w:rsidRPr="00494051" w:rsidRDefault="007F0AE0" w:rsidP="00453DE3">
            <w:pPr>
              <w:rPr>
                <w:rFonts w:asciiTheme="minorHAnsi" w:hAnsiTheme="minorHAnsi" w:cstheme="minorHAnsi"/>
                <w:sz w:val="18"/>
                <w:szCs w:val="18"/>
              </w:rPr>
            </w:pPr>
          </w:p>
          <w:p w14:paraId="5359EA5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Stopping smoking “for 1 day or longer [in the past year] because you were trying to quit”: </w:t>
            </w:r>
          </w:p>
          <w:p w14:paraId="3B8044E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u w:val="single"/>
              </w:rPr>
              <w:t>Non-daily smokers</w:t>
            </w:r>
            <w:r w:rsidRPr="00494051">
              <w:rPr>
                <w:rFonts w:asciiTheme="minorHAnsi" w:hAnsiTheme="minorHAnsi" w:cstheme="minorHAnsi"/>
                <w:sz w:val="18"/>
                <w:szCs w:val="18"/>
              </w:rPr>
              <w:t xml:space="preserve"> </w:t>
            </w:r>
          </w:p>
          <w:p w14:paraId="42E0335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1.35 (0.60 to 3.03)</w:t>
            </w:r>
          </w:p>
        </w:tc>
        <w:tc>
          <w:tcPr>
            <w:tcW w:w="2910" w:type="dxa"/>
            <w:shd w:val="clear" w:color="auto" w:fill="auto"/>
            <w:tcMar>
              <w:top w:w="62" w:type="dxa"/>
              <w:left w:w="62" w:type="dxa"/>
              <w:bottom w:w="62" w:type="dxa"/>
              <w:right w:w="62" w:type="dxa"/>
            </w:tcMar>
          </w:tcPr>
          <w:p w14:paraId="2E1DD61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31C68B57" w14:textId="77777777" w:rsidTr="00453DE3">
        <w:tc>
          <w:tcPr>
            <w:tcW w:w="1777" w:type="dxa"/>
            <w:shd w:val="clear" w:color="auto" w:fill="auto"/>
            <w:tcMar>
              <w:top w:w="62" w:type="dxa"/>
              <w:left w:w="62" w:type="dxa"/>
              <w:bottom w:w="62" w:type="dxa"/>
              <w:right w:w="62" w:type="dxa"/>
            </w:tcMar>
          </w:tcPr>
          <w:p w14:paraId="3CBF4ADE" w14:textId="77777777" w:rsidR="007F0AE0" w:rsidRPr="00494051"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Pr>
                <w:rFonts w:cstheme="minorHAnsi"/>
                <w:noProof/>
                <w:sz w:val="18"/>
                <w:szCs w:val="18"/>
              </w:rPr>
              <w:t>(</w:t>
            </w:r>
            <w:hyperlink w:anchor="_ENREF_28" w:tooltip="Gubner, 2018 #601" w:history="1">
              <w:r>
                <w:rPr>
                  <w:rFonts w:cstheme="minorHAnsi"/>
                  <w:noProof/>
                  <w:sz w:val="18"/>
                  <w:szCs w:val="18"/>
                </w:rPr>
                <w:t>28</w:t>
              </w:r>
            </w:hyperlink>
            <w:r>
              <w:rPr>
                <w:rFonts w:cstheme="minorHAnsi"/>
                <w:noProof/>
                <w:sz w:val="18"/>
                <w:szCs w:val="18"/>
              </w:rPr>
              <w:t>)</w:t>
            </w:r>
            <w:r>
              <w:rPr>
                <w:rFonts w:cstheme="minorHAnsi"/>
                <w:sz w:val="18"/>
                <w:szCs w:val="18"/>
              </w:rPr>
              <w:fldChar w:fldCharType="end"/>
            </w:r>
          </w:p>
          <w:p w14:paraId="11A80E5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None;</w:t>
            </w:r>
          </w:p>
          <w:p w14:paraId="773B552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Individuals with substance use disorders</w:t>
            </w:r>
          </w:p>
        </w:tc>
        <w:tc>
          <w:tcPr>
            <w:tcW w:w="2632" w:type="dxa"/>
            <w:shd w:val="clear" w:color="auto" w:fill="auto"/>
            <w:tcMar>
              <w:top w:w="62" w:type="dxa"/>
              <w:left w:w="62" w:type="dxa"/>
              <w:bottom w:w="62" w:type="dxa"/>
              <w:right w:w="62" w:type="dxa"/>
            </w:tcMar>
          </w:tcPr>
          <w:p w14:paraId="3A3EBDC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1403DBB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Logistic regression;</w:t>
            </w:r>
          </w:p>
          <w:p w14:paraId="731062C0" w14:textId="77777777" w:rsidR="007F0AE0" w:rsidRPr="00494051" w:rsidRDefault="007F0AE0" w:rsidP="00453DE3">
            <w:pPr>
              <w:autoSpaceDE w:val="0"/>
              <w:autoSpaceDN w:val="0"/>
              <w:adjustRightInd w:val="0"/>
              <w:rPr>
                <w:rFonts w:asciiTheme="minorHAnsi" w:hAnsiTheme="minorHAnsi" w:cstheme="minorHAnsi"/>
                <w:sz w:val="16"/>
                <w:szCs w:val="16"/>
              </w:rPr>
            </w:pPr>
            <w:r>
              <w:rPr>
                <w:rFonts w:asciiTheme="minorHAnsi" w:hAnsiTheme="minorHAnsi" w:cstheme="minorHAnsi"/>
                <w:sz w:val="18"/>
                <w:szCs w:val="18"/>
              </w:rPr>
              <w:t>A</w:t>
            </w:r>
            <w:r w:rsidRPr="00494051">
              <w:rPr>
                <w:rFonts w:asciiTheme="minorHAnsi" w:hAnsiTheme="minorHAnsi" w:cstheme="minorHAnsi"/>
                <w:sz w:val="18"/>
                <w:szCs w:val="18"/>
              </w:rPr>
              <w:t xml:space="preserve">ge, sex, race/ethnicity, education, primary drug, general health, days with poor mental health, </w:t>
            </w:r>
            <w:r>
              <w:rPr>
                <w:rFonts w:asciiTheme="minorHAnsi" w:hAnsiTheme="minorHAnsi" w:cstheme="minorHAnsi"/>
                <w:sz w:val="18"/>
                <w:szCs w:val="18"/>
              </w:rPr>
              <w:t>CPD</w:t>
            </w:r>
            <w:r w:rsidRPr="00494051">
              <w:rPr>
                <w:rFonts w:asciiTheme="minorHAnsi" w:hAnsiTheme="minorHAnsi" w:cstheme="minorHAnsi"/>
                <w:sz w:val="18"/>
                <w:szCs w:val="18"/>
              </w:rPr>
              <w:t>, and interest in getting help to quit smoking.</w:t>
            </w:r>
          </w:p>
        </w:tc>
        <w:tc>
          <w:tcPr>
            <w:tcW w:w="2246" w:type="dxa"/>
            <w:tcMar>
              <w:top w:w="62" w:type="dxa"/>
              <w:left w:w="62" w:type="dxa"/>
              <w:bottom w:w="62" w:type="dxa"/>
              <w:right w:w="62" w:type="dxa"/>
            </w:tcMar>
          </w:tcPr>
          <w:p w14:paraId="56A9623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 difference</w:t>
            </w:r>
            <w:r>
              <w:rPr>
                <w:rFonts w:asciiTheme="minorHAnsi" w:hAnsiTheme="minorHAnsi" w:cstheme="minorHAnsi"/>
                <w:sz w:val="18"/>
                <w:szCs w:val="18"/>
              </w:rPr>
              <w:t xml:space="preserve"> in CPD</w:t>
            </w:r>
            <w:r w:rsidRPr="00494051">
              <w:rPr>
                <w:rFonts w:asciiTheme="minorHAnsi" w:hAnsiTheme="minorHAnsi" w:cstheme="minorHAnsi"/>
                <w:sz w:val="18"/>
                <w:szCs w:val="18"/>
              </w:rPr>
              <w:t xml:space="preserve"> between M and NM: OR</w:t>
            </w:r>
            <w:r>
              <w:rPr>
                <w:rFonts w:asciiTheme="minorHAnsi" w:hAnsiTheme="minorHAnsi" w:cstheme="minorHAnsi"/>
                <w:sz w:val="18"/>
                <w:szCs w:val="18"/>
              </w:rPr>
              <w:t>=</w:t>
            </w:r>
            <w:r w:rsidRPr="00494051">
              <w:rPr>
                <w:rFonts w:asciiTheme="minorHAnsi" w:hAnsiTheme="minorHAnsi" w:cstheme="minorHAnsi"/>
                <w:sz w:val="18"/>
                <w:szCs w:val="18"/>
              </w:rPr>
              <w:t>1.01 (95% CI: 0.98, 1.00); p=0.48</w:t>
            </w:r>
          </w:p>
        </w:tc>
        <w:tc>
          <w:tcPr>
            <w:tcW w:w="3330" w:type="dxa"/>
            <w:shd w:val="clear" w:color="auto" w:fill="auto"/>
            <w:tcMar>
              <w:top w:w="62" w:type="dxa"/>
              <w:left w:w="62" w:type="dxa"/>
              <w:bottom w:w="62" w:type="dxa"/>
              <w:right w:w="62" w:type="dxa"/>
            </w:tcMar>
          </w:tcPr>
          <w:p w14:paraId="3B29218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2910" w:type="dxa"/>
            <w:shd w:val="clear" w:color="auto" w:fill="auto"/>
            <w:tcMar>
              <w:top w:w="62" w:type="dxa"/>
              <w:left w:w="62" w:type="dxa"/>
              <w:bottom w:w="62" w:type="dxa"/>
              <w:right w:w="62" w:type="dxa"/>
            </w:tcMar>
          </w:tcPr>
          <w:p w14:paraId="33F7500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6B002B8D" w14:textId="77777777" w:rsidTr="00453DE3">
        <w:tc>
          <w:tcPr>
            <w:tcW w:w="1777" w:type="dxa"/>
            <w:shd w:val="clear" w:color="auto" w:fill="auto"/>
            <w:tcMar>
              <w:top w:w="62" w:type="dxa"/>
              <w:left w:w="62" w:type="dxa"/>
              <w:bottom w:w="62" w:type="dxa"/>
              <w:right w:w="62" w:type="dxa"/>
            </w:tcMar>
          </w:tcPr>
          <w:p w14:paraId="28DC5E2D"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6" w:tooltip="Hyland, 2010 #100" w:history="1">
              <w:r>
                <w:rPr>
                  <w:rFonts w:cstheme="minorHAnsi"/>
                  <w:noProof/>
                  <w:color w:val="000000"/>
                  <w:sz w:val="18"/>
                  <w:szCs w:val="18"/>
                </w:rPr>
                <w:t>46</w:t>
              </w:r>
            </w:hyperlink>
            <w:r>
              <w:rPr>
                <w:rFonts w:cstheme="minorHAnsi"/>
                <w:noProof/>
                <w:color w:val="000000"/>
                <w:sz w:val="18"/>
                <w:szCs w:val="18"/>
              </w:rPr>
              <w:t xml:space="preserve">, </w:t>
            </w:r>
            <w:hyperlink w:anchor="_ENREF_50" w:tooltip="Hyland, 2002 #87" w:history="1">
              <w:r>
                <w:rPr>
                  <w:rFonts w:cstheme="minorHAnsi"/>
                  <w:noProof/>
                  <w:color w:val="000000"/>
                  <w:sz w:val="18"/>
                  <w:szCs w:val="18"/>
                </w:rPr>
                <w:t>50</w:t>
              </w:r>
            </w:hyperlink>
            <w:r>
              <w:rPr>
                <w:rFonts w:cstheme="minorHAnsi"/>
                <w:noProof/>
                <w:color w:val="000000"/>
                <w:sz w:val="18"/>
                <w:szCs w:val="18"/>
              </w:rPr>
              <w:t>)</w:t>
            </w:r>
            <w:r w:rsidRPr="00494051">
              <w:rPr>
                <w:rFonts w:cstheme="minorHAnsi"/>
                <w:color w:val="000000"/>
                <w:sz w:val="18"/>
                <w:szCs w:val="18"/>
              </w:rPr>
              <w:fldChar w:fldCharType="end"/>
            </w:r>
          </w:p>
          <w:p w14:paraId="2915A876"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p w14:paraId="3EEC6E9D"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0F5C5C46"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Varied by outcome;</w:t>
            </w:r>
          </w:p>
          <w:p w14:paraId="654C97B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Logistic regression;</w:t>
            </w:r>
          </w:p>
          <w:p w14:paraId="4665EAE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race/ethnicity, education, frequency of alcohol use, CPD, TTFC, age started smoking, desire to quit, past attempts to quit, use of non-cig tobacco product, other smokers in the house, desire to quit</w:t>
            </w:r>
          </w:p>
        </w:tc>
        <w:tc>
          <w:tcPr>
            <w:tcW w:w="2246" w:type="dxa"/>
            <w:tcMar>
              <w:top w:w="62" w:type="dxa"/>
              <w:left w:w="62" w:type="dxa"/>
              <w:bottom w:w="62" w:type="dxa"/>
              <w:right w:w="62" w:type="dxa"/>
            </w:tcMar>
          </w:tcPr>
          <w:p w14:paraId="4EF07C9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Change in CPD between 1988 and 1993 among continuing smokers, β-coefficient (95% CI) for M (ref=NM) (Hyland, 2002)</w:t>
            </w:r>
          </w:p>
          <w:p w14:paraId="7AE7EE2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 [No association found]</w:t>
            </w:r>
          </w:p>
          <w:p w14:paraId="2EA7B3A5" w14:textId="77777777" w:rsidR="007F0AE0" w:rsidRPr="00494051" w:rsidRDefault="007F0AE0" w:rsidP="00453DE3">
            <w:pPr>
              <w:rPr>
                <w:rFonts w:asciiTheme="minorHAnsi" w:hAnsiTheme="minorHAnsi" w:cstheme="minorHAnsi"/>
                <w:sz w:val="18"/>
                <w:szCs w:val="18"/>
              </w:rPr>
            </w:pPr>
            <w:r w:rsidRPr="00F52E88">
              <w:rPr>
                <w:rFonts w:cstheme="minorHAnsi"/>
                <w:sz w:val="18"/>
                <w:szCs w:val="18"/>
                <w:u w:val="single"/>
              </w:rPr>
              <w:t>Overal</w:t>
            </w:r>
            <w:r w:rsidRPr="00E974A5">
              <w:rPr>
                <w:rFonts w:asciiTheme="minorHAnsi" w:hAnsiTheme="minorHAnsi" w:cstheme="minorHAnsi"/>
                <w:sz w:val="18"/>
                <w:szCs w:val="18"/>
                <w:u w:val="single"/>
              </w:rPr>
              <w:t>l</w:t>
            </w:r>
          </w:p>
          <w:p w14:paraId="72A38F6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0.11 (-0.38 to 0.60)</w:t>
            </w:r>
          </w:p>
          <w:p w14:paraId="07C0CFFD"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White</w:t>
            </w:r>
          </w:p>
          <w:p w14:paraId="0AF7DCA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0.00 (-0.56 to 0.56)</w:t>
            </w:r>
          </w:p>
          <w:p w14:paraId="61D9A26D"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Black</w:t>
            </w:r>
          </w:p>
          <w:p w14:paraId="753917A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0.47 (-1.4 to 2.3)</w:t>
            </w:r>
          </w:p>
          <w:p w14:paraId="2A4E06CA" w14:textId="77777777" w:rsidR="007F0AE0" w:rsidRPr="00F52E88" w:rsidRDefault="007F0AE0" w:rsidP="00453DE3">
            <w:pPr>
              <w:rPr>
                <w:rFonts w:asciiTheme="minorHAnsi" w:hAnsiTheme="minorHAnsi" w:cstheme="minorHAnsi"/>
                <w:sz w:val="18"/>
                <w:szCs w:val="18"/>
                <w:u w:val="single"/>
              </w:rPr>
            </w:pPr>
            <w:r w:rsidRPr="00F52E88">
              <w:rPr>
                <w:rFonts w:cstheme="minorHAnsi"/>
                <w:sz w:val="18"/>
                <w:szCs w:val="18"/>
                <w:u w:val="single"/>
              </w:rPr>
              <w:t>Hispanic</w:t>
            </w:r>
          </w:p>
          <w:p w14:paraId="0E673D0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lastRenderedPageBreak/>
              <w:t>1.16 (-1.3 to 3.6)</w:t>
            </w:r>
          </w:p>
          <w:p w14:paraId="299D7151" w14:textId="77777777" w:rsidR="007F0AE0" w:rsidRPr="00494051" w:rsidRDefault="007F0AE0" w:rsidP="00453DE3">
            <w:pPr>
              <w:rPr>
                <w:rFonts w:asciiTheme="minorHAnsi" w:hAnsiTheme="minorHAnsi" w:cstheme="minorHAnsi"/>
                <w:sz w:val="18"/>
                <w:szCs w:val="18"/>
              </w:rPr>
            </w:pPr>
          </w:p>
          <w:p w14:paraId="1810EB3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Decreasing CPD by exclusively M/NM smokers 1988-2001 among continuing smokers, </w:t>
            </w:r>
          </w:p>
          <w:p w14:paraId="5C1D99E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 (95% CI) for M (ref=NM) (Hyland and Rivard, 2010):</w:t>
            </w:r>
          </w:p>
          <w:p w14:paraId="76A69187"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Total sample</w:t>
            </w:r>
          </w:p>
          <w:p w14:paraId="6F29DAF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0.83 (0.64 to 1.07)</w:t>
            </w:r>
          </w:p>
          <w:p w14:paraId="33C2C19A"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White</w:t>
            </w:r>
          </w:p>
          <w:p w14:paraId="5189F28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0.83 (0.63 to 1.09)</w:t>
            </w:r>
          </w:p>
          <w:p w14:paraId="34293C98"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Black</w:t>
            </w:r>
          </w:p>
          <w:p w14:paraId="2D06651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0.14 (0.02 to 1.19)</w:t>
            </w:r>
          </w:p>
        </w:tc>
        <w:tc>
          <w:tcPr>
            <w:tcW w:w="3330" w:type="dxa"/>
            <w:shd w:val="clear" w:color="auto" w:fill="auto"/>
            <w:tcMar>
              <w:top w:w="62" w:type="dxa"/>
              <w:left w:w="62" w:type="dxa"/>
              <w:bottom w:w="62" w:type="dxa"/>
              <w:right w:w="62" w:type="dxa"/>
            </w:tcMar>
          </w:tcPr>
          <w:p w14:paraId="6961F7D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lastRenderedPageBreak/>
              <w:t>Quit attempts 2001-2005 in exclusively M/NM smokers 1988-2001 (Hyland and Rivard, 2010)</w:t>
            </w:r>
          </w:p>
          <w:p w14:paraId="6E6D683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 (95% CI) for M (ref=NM):</w:t>
            </w:r>
          </w:p>
          <w:p w14:paraId="7644DF66"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Total sample</w:t>
            </w:r>
          </w:p>
          <w:p w14:paraId="4B3B33F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0.91 (0.72 to 1.15)</w:t>
            </w:r>
          </w:p>
          <w:p w14:paraId="3945FBA0"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White</w:t>
            </w:r>
          </w:p>
          <w:p w14:paraId="4CD301F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0.91 (0.71 to 1.17)</w:t>
            </w:r>
          </w:p>
          <w:p w14:paraId="56003115"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Black</w:t>
            </w:r>
          </w:p>
          <w:p w14:paraId="6067DB3A"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rPr>
              <w:t>1.24 (0.27 to 5.67)</w:t>
            </w:r>
          </w:p>
        </w:tc>
        <w:tc>
          <w:tcPr>
            <w:tcW w:w="2910" w:type="dxa"/>
            <w:shd w:val="clear" w:color="auto" w:fill="auto"/>
            <w:tcMar>
              <w:top w:w="62" w:type="dxa"/>
              <w:left w:w="62" w:type="dxa"/>
              <w:bottom w:w="62" w:type="dxa"/>
              <w:right w:w="62" w:type="dxa"/>
            </w:tcMar>
          </w:tcPr>
          <w:p w14:paraId="0B522FC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6907E985" w14:textId="77777777" w:rsidTr="00453DE3">
        <w:tc>
          <w:tcPr>
            <w:tcW w:w="1777" w:type="dxa"/>
            <w:shd w:val="clear" w:color="auto" w:fill="auto"/>
            <w:tcMar>
              <w:top w:w="62" w:type="dxa"/>
              <w:left w:w="62" w:type="dxa"/>
              <w:bottom w:w="62" w:type="dxa"/>
              <w:right w:w="62" w:type="dxa"/>
            </w:tcMar>
          </w:tcPr>
          <w:p w14:paraId="0093B1E5"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34" w:tooltip="Kahende, 2011 #43" w:history="1">
              <w:r w:rsidRPr="00342AED">
                <w:rPr>
                  <w:rFonts w:asciiTheme="minorHAnsi" w:hAnsiTheme="minorHAnsi" w:cstheme="minorHAnsi"/>
                  <w:noProof/>
                  <w:color w:val="000000"/>
                  <w:sz w:val="18"/>
                  <w:szCs w:val="18"/>
                </w:rPr>
                <w:t>34</w:t>
              </w:r>
            </w:hyperlink>
            <w:r w:rsidRPr="00342AED">
              <w:rPr>
                <w:rFonts w:asciiTheme="minorHAnsi" w:hAnsiTheme="minorHAnsi" w:cstheme="minorHAnsi"/>
                <w:noProof/>
                <w:color w:val="000000"/>
                <w:sz w:val="18"/>
                <w:szCs w:val="18"/>
              </w:rPr>
              <w:t>)</w:t>
            </w:r>
            <w:r w:rsidRPr="00494051">
              <w:rPr>
                <w:rFonts w:cstheme="minorHAnsi"/>
                <w:color w:val="000000"/>
                <w:sz w:val="18"/>
                <w:szCs w:val="18"/>
              </w:rPr>
              <w:fldChar w:fldCharType="end"/>
            </w:r>
          </w:p>
          <w:p w14:paraId="3D1C406F"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TUS-CPS</w:t>
            </w:r>
          </w:p>
          <w:p w14:paraId="7FE0BC8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6BADD3B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06A1298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Multiple logistic regression;</w:t>
            </w:r>
          </w:p>
          <w:p w14:paraId="6FC292C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education, U.S. region, CPD, smoking duration, smoking policy at work, and main effects for race/ethnicity and home smoking rule, doctor’s advice to quit, TTFC</w:t>
            </w:r>
          </w:p>
        </w:tc>
        <w:tc>
          <w:tcPr>
            <w:tcW w:w="2246" w:type="dxa"/>
            <w:tcMar>
              <w:top w:w="62" w:type="dxa"/>
              <w:left w:w="62" w:type="dxa"/>
              <w:bottom w:w="62" w:type="dxa"/>
              <w:right w:w="62" w:type="dxa"/>
            </w:tcMar>
          </w:tcPr>
          <w:p w14:paraId="1685D6B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278B6FE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Quit attempt in the past year OR (95% CI) for M (ref=White NM)</w:t>
            </w:r>
          </w:p>
          <w:p w14:paraId="2B5155C0"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 xml:space="preserve">White </w:t>
            </w:r>
          </w:p>
          <w:p w14:paraId="6A53763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0.91 (0.84 to 0.99)</w:t>
            </w:r>
          </w:p>
        </w:tc>
        <w:tc>
          <w:tcPr>
            <w:tcW w:w="2910" w:type="dxa"/>
            <w:shd w:val="clear" w:color="auto" w:fill="auto"/>
            <w:tcMar>
              <w:top w:w="62" w:type="dxa"/>
              <w:left w:w="62" w:type="dxa"/>
              <w:bottom w:w="62" w:type="dxa"/>
              <w:right w:w="62" w:type="dxa"/>
            </w:tcMar>
          </w:tcPr>
          <w:p w14:paraId="1EEC446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0F91F596" w14:textId="77777777" w:rsidTr="00453DE3">
        <w:tc>
          <w:tcPr>
            <w:tcW w:w="1777" w:type="dxa"/>
            <w:shd w:val="clear" w:color="auto" w:fill="auto"/>
            <w:tcMar>
              <w:top w:w="62" w:type="dxa"/>
              <w:left w:w="62" w:type="dxa"/>
              <w:bottom w:w="62" w:type="dxa"/>
              <w:right w:w="62" w:type="dxa"/>
            </w:tcMar>
          </w:tcPr>
          <w:p w14:paraId="6F967A91" w14:textId="77777777" w:rsidR="007F0AE0" w:rsidRPr="00494051" w:rsidRDefault="007F0AE0" w:rsidP="00453DE3">
            <w:pPr>
              <w:rPr>
                <w:rFonts w:asciiTheme="minorHAnsi" w:hAnsiTheme="minorHAnsi" w:cstheme="minorHAnsi"/>
                <w:sz w:val="18"/>
                <w:szCs w:val="18"/>
              </w:rPr>
            </w:pPr>
            <w:r w:rsidRPr="00494051">
              <w:rPr>
                <w:rFonts w:cstheme="minorHAnsi"/>
                <w:color w:val="000000"/>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40" w:tooltip="Kasza, 2014 #16" w:history="1">
              <w:r>
                <w:rPr>
                  <w:rFonts w:cstheme="minorHAnsi"/>
                  <w:noProof/>
                  <w:color w:val="000000"/>
                  <w:sz w:val="18"/>
                  <w:szCs w:val="18"/>
                </w:rPr>
                <w:t>40</w:t>
              </w:r>
            </w:hyperlink>
            <w:r>
              <w:rPr>
                <w:rFonts w:cstheme="minorHAnsi"/>
                <w:noProof/>
                <w:color w:val="000000"/>
                <w:sz w:val="18"/>
                <w:szCs w:val="18"/>
              </w:rPr>
              <w:t>)</w:t>
            </w:r>
            <w:r w:rsidRPr="00494051">
              <w:rPr>
                <w:rFonts w:cstheme="minorHAnsi"/>
                <w:color w:val="000000"/>
                <w:sz w:val="18"/>
                <w:szCs w:val="18"/>
              </w:rPr>
              <w:fldChar w:fldCharType="end"/>
            </w:r>
            <w:r w:rsidRPr="00494051">
              <w:rPr>
                <w:rFonts w:asciiTheme="minorHAnsi" w:hAnsiTheme="minorHAnsi" w:cstheme="minorHAnsi"/>
                <w:color w:val="000000"/>
                <w:sz w:val="18"/>
                <w:szCs w:val="18"/>
              </w:rPr>
              <w:t xml:space="preserve"> </w:t>
            </w:r>
            <w:r w:rsidRPr="00494051">
              <w:rPr>
                <w:rFonts w:asciiTheme="minorHAnsi" w:hAnsiTheme="minorHAnsi" w:cstheme="minorHAnsi"/>
                <w:sz w:val="18"/>
                <w:szCs w:val="18"/>
              </w:rPr>
              <w:t>ITC-4 (U.S. data only)</w:t>
            </w:r>
          </w:p>
          <w:p w14:paraId="7AE8F20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None</w:t>
            </w:r>
          </w:p>
        </w:tc>
        <w:tc>
          <w:tcPr>
            <w:tcW w:w="2632" w:type="dxa"/>
            <w:shd w:val="clear" w:color="auto" w:fill="auto"/>
            <w:tcMar>
              <w:top w:w="62" w:type="dxa"/>
              <w:left w:w="62" w:type="dxa"/>
              <w:bottom w:w="62" w:type="dxa"/>
              <w:right w:w="62" w:type="dxa"/>
            </w:tcMar>
          </w:tcPr>
          <w:p w14:paraId="559AD3C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2FBB91A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GEE;</w:t>
            </w:r>
          </w:p>
          <w:p w14:paraId="49CE652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group, gender, race/ethnicity, education level, income level, HSI index, intention to quit (all measured at the same time as the outcome), time in sample, instrument change</w:t>
            </w:r>
          </w:p>
        </w:tc>
        <w:tc>
          <w:tcPr>
            <w:tcW w:w="2246" w:type="dxa"/>
            <w:tcMar>
              <w:top w:w="62" w:type="dxa"/>
              <w:left w:w="62" w:type="dxa"/>
              <w:bottom w:w="62" w:type="dxa"/>
              <w:right w:w="62" w:type="dxa"/>
            </w:tcMar>
          </w:tcPr>
          <w:p w14:paraId="0E0BE56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796BB45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Quit attempt in M/NM type switchers, </w:t>
            </w:r>
          </w:p>
          <w:p w14:paraId="33F37D3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 (95% CI) for M (ref=NM):</w:t>
            </w:r>
          </w:p>
          <w:p w14:paraId="1F16DB88"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Among those who switched from NM to M</w:t>
            </w:r>
          </w:p>
          <w:p w14:paraId="4AF0A741" w14:textId="77777777" w:rsidR="007F0AE0" w:rsidRPr="00494051" w:rsidRDefault="007F0AE0" w:rsidP="00453DE3">
            <w:pPr>
              <w:rPr>
                <w:rFonts w:asciiTheme="minorHAnsi" w:hAnsiTheme="minorHAnsi" w:cstheme="minorHAnsi"/>
                <w:i/>
                <w:sz w:val="18"/>
                <w:szCs w:val="18"/>
              </w:rPr>
            </w:pPr>
            <w:r w:rsidRPr="00494051">
              <w:rPr>
                <w:rFonts w:asciiTheme="minorHAnsi" w:hAnsiTheme="minorHAnsi" w:cstheme="minorHAnsi"/>
                <w:i/>
                <w:sz w:val="18"/>
                <w:szCs w:val="18"/>
              </w:rPr>
              <w:t xml:space="preserve">During the interval in which they switched: </w:t>
            </w:r>
          </w:p>
          <w:p w14:paraId="0D4D40F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1.12 (0.80 to 1.57)</w:t>
            </w:r>
          </w:p>
          <w:p w14:paraId="67C1B066" w14:textId="77777777" w:rsidR="007F0AE0" w:rsidRPr="00494051" w:rsidRDefault="007F0AE0" w:rsidP="00453DE3">
            <w:pPr>
              <w:rPr>
                <w:rFonts w:asciiTheme="minorHAnsi" w:hAnsiTheme="minorHAnsi" w:cstheme="minorHAnsi"/>
                <w:i/>
                <w:sz w:val="18"/>
                <w:szCs w:val="18"/>
              </w:rPr>
            </w:pPr>
            <w:r w:rsidRPr="00494051">
              <w:rPr>
                <w:rFonts w:asciiTheme="minorHAnsi" w:hAnsiTheme="minorHAnsi" w:cstheme="minorHAnsi"/>
                <w:i/>
                <w:sz w:val="18"/>
                <w:szCs w:val="18"/>
              </w:rPr>
              <w:t xml:space="preserve">Subsequent to the interval during which they switched: </w:t>
            </w:r>
          </w:p>
          <w:p w14:paraId="0C99182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0.91 (0.57 to 1.44)</w:t>
            </w:r>
          </w:p>
          <w:p w14:paraId="683FE3CF" w14:textId="77777777" w:rsidR="007F0AE0" w:rsidRPr="00494051" w:rsidRDefault="007F0AE0" w:rsidP="00453DE3">
            <w:pPr>
              <w:rPr>
                <w:rFonts w:asciiTheme="minorHAnsi" w:hAnsiTheme="minorHAnsi" w:cstheme="minorHAnsi"/>
                <w:sz w:val="18"/>
                <w:szCs w:val="18"/>
              </w:rPr>
            </w:pPr>
          </w:p>
          <w:p w14:paraId="76136805"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Among those who switched from M to NM</w:t>
            </w:r>
          </w:p>
          <w:p w14:paraId="618A7044" w14:textId="77777777" w:rsidR="007F0AE0" w:rsidRPr="00494051" w:rsidRDefault="007F0AE0" w:rsidP="00453DE3">
            <w:pPr>
              <w:rPr>
                <w:rFonts w:asciiTheme="minorHAnsi" w:hAnsiTheme="minorHAnsi" w:cstheme="minorHAnsi"/>
                <w:i/>
                <w:sz w:val="18"/>
                <w:szCs w:val="18"/>
              </w:rPr>
            </w:pPr>
            <w:r w:rsidRPr="00494051">
              <w:rPr>
                <w:rFonts w:asciiTheme="minorHAnsi" w:hAnsiTheme="minorHAnsi" w:cstheme="minorHAnsi"/>
                <w:i/>
                <w:sz w:val="18"/>
                <w:szCs w:val="18"/>
              </w:rPr>
              <w:t xml:space="preserve">During the interval in which they switched: </w:t>
            </w:r>
          </w:p>
          <w:p w14:paraId="1701C2A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1.09 (0.78 to 1.52)</w:t>
            </w:r>
          </w:p>
          <w:p w14:paraId="3994AA34" w14:textId="77777777" w:rsidR="007F0AE0" w:rsidRPr="00494051" w:rsidRDefault="007F0AE0" w:rsidP="00453DE3">
            <w:pPr>
              <w:rPr>
                <w:rFonts w:asciiTheme="minorHAnsi" w:hAnsiTheme="minorHAnsi" w:cstheme="minorHAnsi"/>
                <w:i/>
                <w:sz w:val="18"/>
                <w:szCs w:val="18"/>
              </w:rPr>
            </w:pPr>
            <w:r w:rsidRPr="00494051">
              <w:rPr>
                <w:rFonts w:asciiTheme="minorHAnsi" w:hAnsiTheme="minorHAnsi" w:cstheme="minorHAnsi"/>
                <w:i/>
                <w:sz w:val="18"/>
                <w:szCs w:val="18"/>
              </w:rPr>
              <w:lastRenderedPageBreak/>
              <w:t xml:space="preserve">Subsequent to the interval during which they switched: </w:t>
            </w:r>
          </w:p>
          <w:p w14:paraId="17524F3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1.03 (0.66 to 1.60)</w:t>
            </w:r>
          </w:p>
        </w:tc>
        <w:tc>
          <w:tcPr>
            <w:tcW w:w="2910" w:type="dxa"/>
            <w:shd w:val="clear" w:color="auto" w:fill="auto"/>
            <w:tcMar>
              <w:top w:w="62" w:type="dxa"/>
              <w:left w:w="62" w:type="dxa"/>
              <w:bottom w:w="62" w:type="dxa"/>
              <w:right w:w="62" w:type="dxa"/>
            </w:tcMar>
          </w:tcPr>
          <w:p w14:paraId="4BB54E3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lastRenderedPageBreak/>
              <w:t>NR</w:t>
            </w:r>
          </w:p>
          <w:p w14:paraId="05866309" w14:textId="77777777" w:rsidR="007F0AE0" w:rsidRPr="00494051" w:rsidRDefault="007F0AE0" w:rsidP="00453DE3">
            <w:pPr>
              <w:rPr>
                <w:rFonts w:asciiTheme="minorHAnsi" w:hAnsiTheme="minorHAnsi" w:cstheme="minorHAnsi"/>
                <w:sz w:val="18"/>
                <w:szCs w:val="18"/>
              </w:rPr>
            </w:pPr>
          </w:p>
        </w:tc>
      </w:tr>
      <w:tr w:rsidR="007F0AE0" w:rsidRPr="00494051" w14:paraId="064AD651" w14:textId="77777777" w:rsidTr="00453DE3">
        <w:tc>
          <w:tcPr>
            <w:tcW w:w="1777" w:type="dxa"/>
            <w:shd w:val="clear" w:color="auto" w:fill="auto"/>
            <w:tcMar>
              <w:top w:w="62" w:type="dxa"/>
              <w:left w:w="62" w:type="dxa"/>
              <w:bottom w:w="62" w:type="dxa"/>
              <w:right w:w="62" w:type="dxa"/>
            </w:tcMar>
          </w:tcPr>
          <w:p w14:paraId="6D874080" w14:textId="77777777" w:rsidR="007F0AE0" w:rsidRPr="00494051"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29" w:tooltip="Keeler, 2017 #660" w:history="1">
              <w:r w:rsidRPr="00342AED">
                <w:rPr>
                  <w:rFonts w:asciiTheme="minorHAnsi" w:hAnsiTheme="minorHAnsi" w:cstheme="minorHAnsi"/>
                  <w:noProof/>
                  <w:sz w:val="18"/>
                  <w:szCs w:val="18"/>
                </w:rPr>
                <w:t>29</w:t>
              </w:r>
            </w:hyperlink>
            <w:r w:rsidRPr="00342AED">
              <w:rPr>
                <w:rFonts w:asciiTheme="minorHAnsi" w:hAnsiTheme="minorHAnsi" w:cstheme="minorHAnsi"/>
                <w:noProof/>
                <w:sz w:val="18"/>
                <w:szCs w:val="18"/>
              </w:rPr>
              <w:t>)</w:t>
            </w:r>
            <w:r>
              <w:rPr>
                <w:rFonts w:cstheme="minorHAnsi"/>
                <w:sz w:val="18"/>
                <w:szCs w:val="18"/>
              </w:rPr>
              <w:fldChar w:fldCharType="end"/>
            </w:r>
          </w:p>
          <w:p w14:paraId="78C2538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TUS-CPS;</w:t>
            </w:r>
          </w:p>
          <w:p w14:paraId="520A500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None</w:t>
            </w:r>
          </w:p>
        </w:tc>
        <w:tc>
          <w:tcPr>
            <w:tcW w:w="2632" w:type="dxa"/>
            <w:shd w:val="clear" w:color="auto" w:fill="auto"/>
            <w:tcMar>
              <w:top w:w="62" w:type="dxa"/>
              <w:left w:w="62" w:type="dxa"/>
              <w:bottom w:w="62" w:type="dxa"/>
              <w:right w:w="62" w:type="dxa"/>
            </w:tcMar>
          </w:tcPr>
          <w:p w14:paraId="70AC35F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199F2B6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Gender, age, multiple logistic regression;</w:t>
            </w:r>
          </w:p>
          <w:p w14:paraId="0A5022C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Education, family income, marital status, census region of residence, and survey year (2006/2007, and 2010/2011).</w:t>
            </w:r>
          </w:p>
        </w:tc>
        <w:tc>
          <w:tcPr>
            <w:tcW w:w="2246" w:type="dxa"/>
            <w:tcMar>
              <w:top w:w="62" w:type="dxa"/>
              <w:left w:w="62" w:type="dxa"/>
              <w:bottom w:w="62" w:type="dxa"/>
              <w:right w:w="62" w:type="dxa"/>
            </w:tcMar>
          </w:tcPr>
          <w:p w14:paraId="3F51D28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41074AE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 difference in past-year quit attempt between M and NM smokers:</w:t>
            </w:r>
          </w:p>
          <w:p w14:paraId="4FD17E6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OR=0.99 (0.94-1.04); p=0.6690</w:t>
            </w:r>
          </w:p>
          <w:p w14:paraId="32EAD9E9" w14:textId="77777777" w:rsidR="007F0AE0" w:rsidRPr="00494051" w:rsidRDefault="007F0AE0" w:rsidP="00453DE3">
            <w:pPr>
              <w:rPr>
                <w:rFonts w:asciiTheme="minorHAnsi" w:hAnsiTheme="minorHAnsi" w:cstheme="minorHAnsi"/>
                <w:sz w:val="18"/>
                <w:szCs w:val="18"/>
              </w:rPr>
            </w:pPr>
          </w:p>
          <w:p w14:paraId="76B684B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Among </w:t>
            </w:r>
            <w:r>
              <w:rPr>
                <w:rFonts w:asciiTheme="minorHAnsi" w:hAnsiTheme="minorHAnsi" w:cstheme="minorHAnsi"/>
                <w:sz w:val="18"/>
                <w:szCs w:val="18"/>
              </w:rPr>
              <w:t>B</w:t>
            </w:r>
            <w:r w:rsidRPr="00494051">
              <w:rPr>
                <w:rFonts w:asciiTheme="minorHAnsi" w:hAnsiTheme="minorHAnsi" w:cstheme="minorHAnsi"/>
                <w:sz w:val="18"/>
                <w:szCs w:val="18"/>
              </w:rPr>
              <w:t xml:space="preserve">lack smokers, odds of past-year quit attempts were </w:t>
            </w:r>
            <w:r>
              <w:rPr>
                <w:rFonts w:asciiTheme="minorHAnsi" w:hAnsiTheme="minorHAnsi" w:cstheme="minorHAnsi"/>
                <w:sz w:val="18"/>
                <w:szCs w:val="18"/>
              </w:rPr>
              <w:t>statistically significantly</w:t>
            </w:r>
            <w:r w:rsidRPr="00494051">
              <w:rPr>
                <w:rFonts w:asciiTheme="minorHAnsi" w:hAnsiTheme="minorHAnsi" w:cstheme="minorHAnsi"/>
                <w:sz w:val="18"/>
                <w:szCs w:val="18"/>
              </w:rPr>
              <w:t xml:space="preserve"> higher in M smokers versus NM smokers:</w:t>
            </w:r>
          </w:p>
          <w:p w14:paraId="530EBF8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w:t>
            </w:r>
            <w:r>
              <w:rPr>
                <w:rFonts w:asciiTheme="minorHAnsi" w:hAnsiTheme="minorHAnsi" w:cstheme="minorHAnsi"/>
                <w:sz w:val="18"/>
                <w:szCs w:val="18"/>
              </w:rPr>
              <w:t>=</w:t>
            </w:r>
            <w:r w:rsidRPr="00494051">
              <w:rPr>
                <w:rFonts w:asciiTheme="minorHAnsi" w:hAnsiTheme="minorHAnsi" w:cstheme="minorHAnsi"/>
                <w:sz w:val="18"/>
                <w:szCs w:val="18"/>
              </w:rPr>
              <w:t>1.37, 95% CI: 1.16–1.61; p=0.0002</w:t>
            </w:r>
          </w:p>
          <w:p w14:paraId="77D70797" w14:textId="77777777" w:rsidR="007F0AE0" w:rsidRPr="00494051" w:rsidRDefault="007F0AE0" w:rsidP="00453DE3">
            <w:pPr>
              <w:rPr>
                <w:rFonts w:asciiTheme="minorHAnsi" w:hAnsiTheme="minorHAnsi" w:cstheme="minorHAnsi"/>
                <w:sz w:val="18"/>
                <w:szCs w:val="18"/>
              </w:rPr>
            </w:pPr>
          </w:p>
          <w:p w14:paraId="0F4B32B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Among </w:t>
            </w:r>
            <w:r>
              <w:rPr>
                <w:rFonts w:asciiTheme="minorHAnsi" w:hAnsiTheme="minorHAnsi" w:cstheme="minorHAnsi"/>
                <w:sz w:val="18"/>
                <w:szCs w:val="18"/>
              </w:rPr>
              <w:t>W</w:t>
            </w:r>
            <w:r w:rsidRPr="00494051">
              <w:rPr>
                <w:rFonts w:asciiTheme="minorHAnsi" w:hAnsiTheme="minorHAnsi" w:cstheme="minorHAnsi"/>
                <w:sz w:val="18"/>
                <w:szCs w:val="18"/>
              </w:rPr>
              <w:t>hite smokers, no difference in odds of past-year quit attempts between M and NM smokers:</w:t>
            </w:r>
          </w:p>
          <w:p w14:paraId="52E5E19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w:t>
            </w:r>
            <w:r>
              <w:rPr>
                <w:rFonts w:asciiTheme="minorHAnsi" w:hAnsiTheme="minorHAnsi" w:cstheme="minorHAnsi"/>
                <w:sz w:val="18"/>
                <w:szCs w:val="18"/>
              </w:rPr>
              <w:t>=</w:t>
            </w:r>
            <w:r w:rsidRPr="00494051">
              <w:rPr>
                <w:rFonts w:asciiTheme="minorHAnsi" w:hAnsiTheme="minorHAnsi" w:cstheme="minorHAnsi"/>
                <w:sz w:val="18"/>
                <w:szCs w:val="18"/>
              </w:rPr>
              <w:t>0.97, 95% CI: 0.91–1.02; p=0.2450)</w:t>
            </w:r>
          </w:p>
          <w:p w14:paraId="580D07EB" w14:textId="77777777" w:rsidR="007F0AE0" w:rsidRPr="00494051" w:rsidRDefault="007F0AE0" w:rsidP="00453DE3">
            <w:pPr>
              <w:rPr>
                <w:rFonts w:asciiTheme="minorHAnsi" w:hAnsiTheme="minorHAnsi" w:cstheme="minorHAnsi"/>
                <w:sz w:val="18"/>
                <w:szCs w:val="18"/>
              </w:rPr>
            </w:pPr>
          </w:p>
          <w:p w14:paraId="06F5B1F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Among Asian smokers, no difference in odds of past-year quit attempts between M and NM smokers:</w:t>
            </w:r>
          </w:p>
          <w:p w14:paraId="1AB82FC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w:t>
            </w:r>
            <w:r>
              <w:rPr>
                <w:rFonts w:asciiTheme="minorHAnsi" w:hAnsiTheme="minorHAnsi" w:cstheme="minorHAnsi"/>
                <w:sz w:val="18"/>
                <w:szCs w:val="18"/>
              </w:rPr>
              <w:t>=</w:t>
            </w:r>
            <w:r w:rsidRPr="00494051">
              <w:rPr>
                <w:rFonts w:asciiTheme="minorHAnsi" w:hAnsiTheme="minorHAnsi" w:cstheme="minorHAnsi"/>
                <w:sz w:val="18"/>
                <w:szCs w:val="18"/>
              </w:rPr>
              <w:t>0.91, 95% CI: 0.62–1.34; p=0.6470)</w:t>
            </w:r>
          </w:p>
          <w:p w14:paraId="270E0591" w14:textId="77777777" w:rsidR="007F0AE0" w:rsidRPr="00494051" w:rsidRDefault="007F0AE0" w:rsidP="00453DE3">
            <w:pPr>
              <w:rPr>
                <w:rFonts w:asciiTheme="minorHAnsi" w:hAnsiTheme="minorHAnsi" w:cstheme="minorHAnsi"/>
                <w:sz w:val="18"/>
                <w:szCs w:val="18"/>
              </w:rPr>
            </w:pPr>
          </w:p>
          <w:p w14:paraId="5FF8537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Among Hispanic smokers, no difference in odds of past-year quit attempts between M and NM smokers:</w:t>
            </w:r>
          </w:p>
          <w:p w14:paraId="54A689C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w:t>
            </w:r>
            <w:r>
              <w:rPr>
                <w:rFonts w:asciiTheme="minorHAnsi" w:hAnsiTheme="minorHAnsi" w:cstheme="minorHAnsi"/>
                <w:sz w:val="18"/>
                <w:szCs w:val="18"/>
              </w:rPr>
              <w:t>=</w:t>
            </w:r>
            <w:r w:rsidRPr="00494051">
              <w:rPr>
                <w:rFonts w:asciiTheme="minorHAnsi" w:hAnsiTheme="minorHAnsi" w:cstheme="minorHAnsi"/>
                <w:sz w:val="18"/>
                <w:szCs w:val="18"/>
              </w:rPr>
              <w:t xml:space="preserve">1.09, 95% CI: 0.91–1.30; p=0.3540) </w:t>
            </w:r>
          </w:p>
        </w:tc>
        <w:tc>
          <w:tcPr>
            <w:tcW w:w="2910" w:type="dxa"/>
            <w:shd w:val="clear" w:color="auto" w:fill="auto"/>
            <w:tcMar>
              <w:top w:w="62" w:type="dxa"/>
              <w:left w:w="62" w:type="dxa"/>
              <w:bottom w:w="62" w:type="dxa"/>
              <w:right w:w="62" w:type="dxa"/>
            </w:tcMar>
          </w:tcPr>
          <w:p w14:paraId="140105D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30C83D29" w14:textId="77777777" w:rsidTr="00453DE3">
        <w:tc>
          <w:tcPr>
            <w:tcW w:w="1777" w:type="dxa"/>
            <w:shd w:val="clear" w:color="auto" w:fill="auto"/>
            <w:tcMar>
              <w:top w:w="62" w:type="dxa"/>
              <w:left w:w="62" w:type="dxa"/>
              <w:bottom w:w="62" w:type="dxa"/>
              <w:right w:w="62" w:type="dxa"/>
            </w:tcMar>
          </w:tcPr>
          <w:p w14:paraId="000C8B8A" w14:textId="77777777" w:rsidR="007F0AE0" w:rsidRPr="00494051" w:rsidRDefault="007F0AE0" w:rsidP="00453DE3">
            <w:pPr>
              <w:rPr>
                <w:rFonts w:asciiTheme="minorHAnsi" w:hAnsiTheme="minorHAnsi" w:cstheme="minorHAnsi"/>
                <w:sz w:val="18"/>
                <w:szCs w:val="18"/>
              </w:rPr>
            </w:pP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fldChar w:fldCharType="separate"/>
            </w:r>
            <w:r w:rsidRPr="00342AED">
              <w:rPr>
                <w:rFonts w:asciiTheme="minorHAnsi" w:hAnsiTheme="minorHAnsi" w:cstheme="minorHAnsi"/>
                <w:noProof/>
                <w:sz w:val="18"/>
                <w:szCs w:val="18"/>
              </w:rPr>
              <w:t>(</w:t>
            </w:r>
            <w:hyperlink w:anchor="_ENREF_30" w:tooltip="Keeler, 2018 #537" w:history="1">
              <w:r w:rsidRPr="00342AED">
                <w:rPr>
                  <w:rFonts w:asciiTheme="minorHAnsi" w:hAnsiTheme="minorHAnsi" w:cstheme="minorHAnsi"/>
                  <w:noProof/>
                  <w:sz w:val="18"/>
                  <w:szCs w:val="18"/>
                </w:rPr>
                <w:t>30</w:t>
              </w:r>
            </w:hyperlink>
            <w:r w:rsidRPr="00342AED">
              <w:rPr>
                <w:rFonts w:asciiTheme="minorHAnsi" w:hAnsiTheme="minorHAnsi" w:cstheme="minorHAnsi"/>
                <w:noProof/>
                <w:sz w:val="18"/>
                <w:szCs w:val="18"/>
              </w:rPr>
              <w:t>)</w:t>
            </w:r>
            <w:r>
              <w:rPr>
                <w:rFonts w:cstheme="minorHAnsi"/>
                <w:sz w:val="18"/>
                <w:szCs w:val="18"/>
              </w:rPr>
              <w:fldChar w:fldCharType="end"/>
            </w:r>
          </w:p>
          <w:p w14:paraId="7C51E3C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TUS-CPS;</w:t>
            </w:r>
          </w:p>
          <w:p w14:paraId="6C9B4CE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None</w:t>
            </w:r>
          </w:p>
        </w:tc>
        <w:tc>
          <w:tcPr>
            <w:tcW w:w="2632" w:type="dxa"/>
            <w:shd w:val="clear" w:color="auto" w:fill="auto"/>
            <w:tcMar>
              <w:top w:w="62" w:type="dxa"/>
              <w:left w:w="62" w:type="dxa"/>
              <w:bottom w:w="62" w:type="dxa"/>
              <w:right w:w="62" w:type="dxa"/>
            </w:tcMar>
          </w:tcPr>
          <w:p w14:paraId="1CE2808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386A8F7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Gender, age, multiple logistic regression;</w:t>
            </w:r>
          </w:p>
          <w:p w14:paraId="6B0DC34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Education, family income, marital status, smoking intensity, menthol use status, how soon to smoke the first cigarette after awakening, and survey year (2006–2007 and 2010–2011).</w:t>
            </w:r>
          </w:p>
        </w:tc>
        <w:tc>
          <w:tcPr>
            <w:tcW w:w="2246" w:type="dxa"/>
            <w:tcMar>
              <w:top w:w="62" w:type="dxa"/>
              <w:left w:w="62" w:type="dxa"/>
              <w:bottom w:w="62" w:type="dxa"/>
              <w:right w:w="62" w:type="dxa"/>
            </w:tcMar>
          </w:tcPr>
          <w:p w14:paraId="0A0A7EB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rPr>
              <w:t>NR</w:t>
            </w:r>
          </w:p>
        </w:tc>
        <w:tc>
          <w:tcPr>
            <w:tcW w:w="3330" w:type="dxa"/>
            <w:shd w:val="clear" w:color="auto" w:fill="auto"/>
            <w:tcMar>
              <w:top w:w="62" w:type="dxa"/>
              <w:left w:w="62" w:type="dxa"/>
              <w:bottom w:w="62" w:type="dxa"/>
              <w:right w:w="62" w:type="dxa"/>
            </w:tcMar>
          </w:tcPr>
          <w:p w14:paraId="4FAB5A2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Among Black smokers, M smokers were </w:t>
            </w:r>
            <w:r>
              <w:rPr>
                <w:rFonts w:asciiTheme="minorHAnsi" w:hAnsiTheme="minorHAnsi" w:cstheme="minorHAnsi"/>
                <w:sz w:val="18"/>
                <w:szCs w:val="18"/>
              </w:rPr>
              <w:t>statistically significantly</w:t>
            </w:r>
            <w:r w:rsidRPr="00494051">
              <w:rPr>
                <w:rFonts w:asciiTheme="minorHAnsi" w:hAnsiTheme="minorHAnsi" w:cstheme="minorHAnsi"/>
                <w:sz w:val="18"/>
                <w:szCs w:val="18"/>
              </w:rPr>
              <w:t xml:space="preserve"> more likely to report any past-year quit attempts, compared to NM smokers:</w:t>
            </w:r>
          </w:p>
          <w:p w14:paraId="7BADEAF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M=48.9% vs NM=40.8%; OR=1.39 (1.16-1.67); p&lt;0.001</w:t>
            </w:r>
          </w:p>
          <w:p w14:paraId="5A1D2342" w14:textId="77777777" w:rsidR="007F0AE0" w:rsidRPr="00494051" w:rsidRDefault="007F0AE0" w:rsidP="00453DE3">
            <w:pPr>
              <w:rPr>
                <w:rFonts w:asciiTheme="minorHAnsi" w:hAnsiTheme="minorHAnsi" w:cstheme="minorHAnsi"/>
                <w:sz w:val="18"/>
                <w:szCs w:val="18"/>
              </w:rPr>
            </w:pPr>
          </w:p>
          <w:p w14:paraId="2ADE871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lastRenderedPageBreak/>
              <w:t xml:space="preserve">Among </w:t>
            </w:r>
            <w:r>
              <w:rPr>
                <w:rFonts w:asciiTheme="minorHAnsi" w:hAnsiTheme="minorHAnsi" w:cstheme="minorHAnsi"/>
                <w:sz w:val="18"/>
                <w:szCs w:val="18"/>
              </w:rPr>
              <w:t>W</w:t>
            </w:r>
            <w:r w:rsidRPr="00494051">
              <w:rPr>
                <w:rFonts w:asciiTheme="minorHAnsi" w:hAnsiTheme="minorHAnsi" w:cstheme="minorHAnsi"/>
                <w:sz w:val="18"/>
                <w:szCs w:val="18"/>
              </w:rPr>
              <w:t>hite smokers, past-year quit attempts did not differ between M and NM smokers:</w:t>
            </w:r>
          </w:p>
          <w:p w14:paraId="35F1A80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M=40.6% vs NM=40.7%; OR=0.95 (0.89-1.01); p=NS</w:t>
            </w:r>
          </w:p>
        </w:tc>
        <w:tc>
          <w:tcPr>
            <w:tcW w:w="2910" w:type="dxa"/>
            <w:shd w:val="clear" w:color="auto" w:fill="auto"/>
            <w:tcMar>
              <w:top w:w="62" w:type="dxa"/>
              <w:left w:w="62" w:type="dxa"/>
              <w:bottom w:w="62" w:type="dxa"/>
              <w:right w:w="62" w:type="dxa"/>
            </w:tcMar>
          </w:tcPr>
          <w:p w14:paraId="12C87F4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lastRenderedPageBreak/>
              <w:t>NR</w:t>
            </w:r>
          </w:p>
        </w:tc>
      </w:tr>
      <w:tr w:rsidR="007F0AE0" w:rsidRPr="00494051" w14:paraId="49B90175" w14:textId="77777777" w:rsidTr="00453DE3">
        <w:tc>
          <w:tcPr>
            <w:tcW w:w="1777" w:type="dxa"/>
            <w:shd w:val="clear" w:color="auto" w:fill="auto"/>
            <w:tcMar>
              <w:top w:w="62" w:type="dxa"/>
              <w:left w:w="62" w:type="dxa"/>
              <w:bottom w:w="62" w:type="dxa"/>
              <w:right w:w="62" w:type="dxa"/>
            </w:tcMar>
          </w:tcPr>
          <w:p w14:paraId="0CDF0A5D"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494051">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19" w:tooltip="Levy, 2011 #45" w:history="1">
              <w:r w:rsidRPr="00342AED">
                <w:rPr>
                  <w:rFonts w:asciiTheme="minorHAnsi" w:hAnsiTheme="minorHAnsi" w:cstheme="minorHAnsi"/>
                  <w:noProof/>
                  <w:color w:val="000000"/>
                  <w:sz w:val="18"/>
                  <w:szCs w:val="18"/>
                </w:rPr>
                <w:t>19</w:t>
              </w:r>
            </w:hyperlink>
            <w:r w:rsidRPr="00342AED">
              <w:rPr>
                <w:rFonts w:asciiTheme="minorHAnsi" w:hAnsiTheme="minorHAnsi" w:cstheme="minorHAnsi"/>
                <w:noProof/>
                <w:color w:val="000000"/>
                <w:sz w:val="18"/>
                <w:szCs w:val="18"/>
              </w:rPr>
              <w:t>)</w:t>
            </w:r>
            <w:r w:rsidRPr="00494051">
              <w:rPr>
                <w:rFonts w:cstheme="minorHAnsi"/>
                <w:color w:val="000000"/>
                <w:sz w:val="18"/>
                <w:szCs w:val="18"/>
              </w:rPr>
              <w:fldChar w:fldCharType="end"/>
            </w:r>
          </w:p>
          <w:p w14:paraId="639D5BAA"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TUS-CPS</w:t>
            </w:r>
          </w:p>
          <w:p w14:paraId="26D2665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70AD12C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3AB69A8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Multiple logistic regression;</w:t>
            </w:r>
          </w:p>
          <w:p w14:paraId="0A535AC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race/ethnicity, marital status, education, family income, indicator if income &gt;$175000, state smoke-free policies, survey wave</w:t>
            </w:r>
          </w:p>
        </w:tc>
        <w:tc>
          <w:tcPr>
            <w:tcW w:w="2246" w:type="dxa"/>
            <w:tcMar>
              <w:top w:w="62" w:type="dxa"/>
              <w:left w:w="62" w:type="dxa"/>
              <w:bottom w:w="62" w:type="dxa"/>
              <w:right w:w="62" w:type="dxa"/>
            </w:tcMar>
          </w:tcPr>
          <w:p w14:paraId="3ACF4CE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3DC713D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Quit attempt in the past year among current smokers 1 year prior to interview</w:t>
            </w:r>
          </w:p>
          <w:p w14:paraId="1951D11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 (95% CI) for M (ref=NM)</w:t>
            </w:r>
          </w:p>
          <w:p w14:paraId="72D0187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1.03 (1.02 to 1.03)</w:t>
            </w:r>
          </w:p>
        </w:tc>
        <w:tc>
          <w:tcPr>
            <w:tcW w:w="2910" w:type="dxa"/>
            <w:shd w:val="clear" w:color="auto" w:fill="auto"/>
            <w:tcMar>
              <w:top w:w="62" w:type="dxa"/>
              <w:left w:w="62" w:type="dxa"/>
              <w:bottom w:w="62" w:type="dxa"/>
              <w:right w:w="62" w:type="dxa"/>
            </w:tcMar>
          </w:tcPr>
          <w:p w14:paraId="3448037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1257ABE8" w14:textId="77777777" w:rsidTr="00453DE3">
        <w:tc>
          <w:tcPr>
            <w:tcW w:w="1777" w:type="dxa"/>
            <w:shd w:val="clear" w:color="auto" w:fill="auto"/>
            <w:tcMar>
              <w:top w:w="62" w:type="dxa"/>
              <w:left w:w="62" w:type="dxa"/>
              <w:bottom w:w="62" w:type="dxa"/>
              <w:right w:w="62" w:type="dxa"/>
            </w:tcMar>
          </w:tcPr>
          <w:p w14:paraId="5979C590" w14:textId="77777777" w:rsidR="007F0AE0" w:rsidRPr="00494051" w:rsidRDefault="007F0AE0" w:rsidP="00453DE3">
            <w:pPr>
              <w:rPr>
                <w:rFonts w:asciiTheme="minorHAnsi" w:hAnsiTheme="minorHAnsi"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Pr>
                <w:rFonts w:cstheme="minorHAnsi"/>
                <w:sz w:val="18"/>
                <w:szCs w:val="18"/>
              </w:rPr>
              <w:fldChar w:fldCharType="separate"/>
            </w:r>
            <w:r w:rsidRPr="00342AED">
              <w:rPr>
                <w:rFonts w:asciiTheme="minorHAnsi" w:hAnsiTheme="minorHAnsi" w:cstheme="minorHAnsi"/>
                <w:noProof/>
                <w:sz w:val="18"/>
                <w:szCs w:val="18"/>
              </w:rPr>
              <w:t>(</w:t>
            </w:r>
            <w:hyperlink w:anchor="_ENREF_31" w:tooltip="Park, 2017 #1103" w:history="1">
              <w:r w:rsidRPr="00342AED">
                <w:rPr>
                  <w:rFonts w:asciiTheme="minorHAnsi" w:hAnsiTheme="minorHAnsi" w:cstheme="minorHAnsi"/>
                  <w:noProof/>
                  <w:sz w:val="18"/>
                  <w:szCs w:val="18"/>
                </w:rPr>
                <w:t>31</w:t>
              </w:r>
            </w:hyperlink>
            <w:r w:rsidRPr="00342AED">
              <w:rPr>
                <w:rFonts w:asciiTheme="minorHAnsi" w:hAnsiTheme="minorHAnsi" w:cstheme="minorHAnsi"/>
                <w:noProof/>
                <w:sz w:val="18"/>
                <w:szCs w:val="18"/>
              </w:rPr>
              <w:t>)</w:t>
            </w:r>
            <w:r>
              <w:rPr>
                <w:rFonts w:cstheme="minorHAnsi"/>
                <w:sz w:val="18"/>
                <w:szCs w:val="18"/>
              </w:rPr>
              <w:fldChar w:fldCharType="end"/>
            </w:r>
          </w:p>
          <w:p w14:paraId="2F9CF9E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National Adult</w:t>
            </w:r>
          </w:p>
          <w:p w14:paraId="342C15E5"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Tobacco Survey (NATS);</w:t>
            </w:r>
          </w:p>
          <w:p w14:paraId="1A50B92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None</w:t>
            </w:r>
          </w:p>
        </w:tc>
        <w:tc>
          <w:tcPr>
            <w:tcW w:w="2632" w:type="dxa"/>
            <w:shd w:val="clear" w:color="auto" w:fill="auto"/>
            <w:tcMar>
              <w:top w:w="62" w:type="dxa"/>
              <w:left w:w="62" w:type="dxa"/>
              <w:bottom w:w="62" w:type="dxa"/>
              <w:right w:w="62" w:type="dxa"/>
            </w:tcMar>
          </w:tcPr>
          <w:p w14:paraId="25DBC12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7A8E6AB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Binary logistic regression;</w:t>
            </w:r>
          </w:p>
          <w:p w14:paraId="44A084A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Race/ethnicity, age, and gender.</w:t>
            </w:r>
          </w:p>
        </w:tc>
        <w:tc>
          <w:tcPr>
            <w:tcW w:w="2246" w:type="dxa"/>
            <w:tcMar>
              <w:top w:w="62" w:type="dxa"/>
              <w:left w:w="62" w:type="dxa"/>
              <w:bottom w:w="62" w:type="dxa"/>
              <w:right w:w="62" w:type="dxa"/>
            </w:tcMar>
          </w:tcPr>
          <w:p w14:paraId="5D0E183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00C4DBF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Likelihood of past-year quit attempts, M vs NM (ref):</w:t>
            </w:r>
          </w:p>
          <w:p w14:paraId="1B384E1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OR=1.19 (</w:t>
            </w:r>
            <w:r>
              <w:rPr>
                <w:rFonts w:asciiTheme="minorHAnsi" w:hAnsiTheme="minorHAnsi" w:cstheme="minorHAnsi"/>
                <w:sz w:val="18"/>
                <w:szCs w:val="18"/>
              </w:rPr>
              <w:t>95%CI:</w:t>
            </w:r>
            <w:r w:rsidRPr="00494051">
              <w:rPr>
                <w:rFonts w:asciiTheme="minorHAnsi" w:hAnsiTheme="minorHAnsi" w:cstheme="minorHAnsi"/>
                <w:sz w:val="18"/>
                <w:szCs w:val="18"/>
              </w:rPr>
              <w:t>0.97-1.46); p=0.92</w:t>
            </w:r>
          </w:p>
        </w:tc>
        <w:tc>
          <w:tcPr>
            <w:tcW w:w="2910" w:type="dxa"/>
            <w:shd w:val="clear" w:color="auto" w:fill="auto"/>
            <w:tcMar>
              <w:top w:w="62" w:type="dxa"/>
              <w:left w:w="62" w:type="dxa"/>
              <w:bottom w:w="62" w:type="dxa"/>
              <w:right w:w="62" w:type="dxa"/>
            </w:tcMar>
          </w:tcPr>
          <w:p w14:paraId="5A19297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40F9D02C" w14:textId="77777777" w:rsidTr="00453DE3">
        <w:tc>
          <w:tcPr>
            <w:tcW w:w="1777" w:type="dxa"/>
            <w:shd w:val="clear" w:color="auto" w:fill="auto"/>
            <w:tcMar>
              <w:top w:w="62" w:type="dxa"/>
              <w:left w:w="62" w:type="dxa"/>
              <w:bottom w:w="62" w:type="dxa"/>
              <w:right w:w="62" w:type="dxa"/>
            </w:tcMar>
          </w:tcPr>
          <w:p w14:paraId="486AA8F7"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494051">
              <w:rPr>
                <w:rFonts w:cstheme="minorHAnsi"/>
                <w:color w:val="000000"/>
                <w:sz w:val="18"/>
                <w:szCs w:val="18"/>
              </w:rPr>
              <w:fldChar w:fldCharType="end"/>
            </w:r>
          </w:p>
          <w:p w14:paraId="3EE0E2B9"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p w14:paraId="5466A8A0"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Young adults</w:t>
            </w:r>
          </w:p>
        </w:tc>
        <w:tc>
          <w:tcPr>
            <w:tcW w:w="2632" w:type="dxa"/>
            <w:shd w:val="clear" w:color="auto" w:fill="auto"/>
            <w:tcMar>
              <w:top w:w="62" w:type="dxa"/>
              <w:left w:w="62" w:type="dxa"/>
              <w:bottom w:w="62" w:type="dxa"/>
              <w:right w:w="62" w:type="dxa"/>
            </w:tcMar>
          </w:tcPr>
          <w:p w14:paraId="015FDEA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55EDDFB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For cross-sectional outcomes: related-measures logistic models;</w:t>
            </w:r>
          </w:p>
          <w:p w14:paraId="21AD80E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For longitudinal outcomes: logistic regression with 1 observation per participant;</w:t>
            </w:r>
          </w:p>
          <w:p w14:paraId="1835D23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ethnicity, social factors (educational level, marital status, employment, health insurance status), CPD at baseline</w:t>
            </w:r>
            <w:r w:rsidRPr="00494051">
              <w:rPr>
                <w:rFonts w:asciiTheme="minorHAnsi" w:hAnsiTheme="minorHAnsi" w:cstheme="minorHAnsi"/>
                <w:sz w:val="18"/>
                <w:szCs w:val="18"/>
                <w:vertAlign w:val="superscript"/>
              </w:rPr>
              <w:t>a</w:t>
            </w:r>
          </w:p>
        </w:tc>
        <w:tc>
          <w:tcPr>
            <w:tcW w:w="2246" w:type="dxa"/>
            <w:tcMar>
              <w:top w:w="62" w:type="dxa"/>
              <w:left w:w="62" w:type="dxa"/>
              <w:bottom w:w="62" w:type="dxa"/>
              <w:right w:w="62" w:type="dxa"/>
            </w:tcMar>
          </w:tcPr>
          <w:p w14:paraId="63CD59D8"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57FCAE93"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OR (95% CI) for a "recent quit attempt" for M (ref=NM):</w:t>
            </w:r>
          </w:p>
          <w:p w14:paraId="13C227F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0.77 (0.57-1.06)</w:t>
            </w:r>
          </w:p>
        </w:tc>
        <w:tc>
          <w:tcPr>
            <w:tcW w:w="2910" w:type="dxa"/>
            <w:shd w:val="clear" w:color="auto" w:fill="auto"/>
            <w:tcMar>
              <w:top w:w="62" w:type="dxa"/>
              <w:left w:w="62" w:type="dxa"/>
              <w:bottom w:w="62" w:type="dxa"/>
              <w:right w:w="62" w:type="dxa"/>
            </w:tcMar>
          </w:tcPr>
          <w:p w14:paraId="1A837A5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04A801FC" w14:textId="77777777" w:rsidTr="00453DE3">
        <w:tc>
          <w:tcPr>
            <w:tcW w:w="1777" w:type="dxa"/>
            <w:shd w:val="clear" w:color="auto" w:fill="auto"/>
            <w:tcMar>
              <w:top w:w="62" w:type="dxa"/>
              <w:left w:w="62" w:type="dxa"/>
              <w:bottom w:w="62" w:type="dxa"/>
              <w:right w:w="62" w:type="dxa"/>
            </w:tcMar>
          </w:tcPr>
          <w:p w14:paraId="4AB3FD07"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sidRPr="00342AED">
              <w:rPr>
                <w:rFonts w:asciiTheme="minorHAnsi" w:hAnsiTheme="minorHAnsi" w:cstheme="minorHAnsi"/>
                <w:noProof/>
                <w:color w:val="000000"/>
                <w:sz w:val="18"/>
                <w:szCs w:val="18"/>
              </w:rPr>
              <w:t>(</w:t>
            </w:r>
            <w:hyperlink w:anchor="_ENREF_37" w:tooltip="Rath, 2015 #3" w:history="1">
              <w:r w:rsidRPr="00342AED">
                <w:rPr>
                  <w:rFonts w:asciiTheme="minorHAnsi" w:hAnsiTheme="minorHAnsi" w:cstheme="minorHAnsi"/>
                  <w:noProof/>
                  <w:color w:val="000000"/>
                  <w:sz w:val="18"/>
                  <w:szCs w:val="18"/>
                </w:rPr>
                <w:t>37</w:t>
              </w:r>
            </w:hyperlink>
            <w:r w:rsidRPr="00342AED">
              <w:rPr>
                <w:rFonts w:asciiTheme="minorHAnsi" w:hAnsiTheme="minorHAnsi" w:cstheme="minorHAnsi"/>
                <w:noProof/>
                <w:color w:val="000000"/>
                <w:sz w:val="18"/>
                <w:szCs w:val="18"/>
              </w:rPr>
              <w:t>)</w:t>
            </w:r>
            <w:r w:rsidRPr="00494051">
              <w:rPr>
                <w:rFonts w:cstheme="minorHAnsi"/>
                <w:color w:val="000000"/>
                <w:sz w:val="18"/>
                <w:szCs w:val="18"/>
              </w:rPr>
              <w:fldChar w:fldCharType="end"/>
            </w:r>
          </w:p>
          <w:p w14:paraId="75FED59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LYAC</w:t>
            </w:r>
          </w:p>
          <w:p w14:paraId="4C55498A"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sz w:val="18"/>
                <w:szCs w:val="18"/>
              </w:rPr>
              <w:t>Young adults</w:t>
            </w:r>
          </w:p>
        </w:tc>
        <w:tc>
          <w:tcPr>
            <w:tcW w:w="2632" w:type="dxa"/>
            <w:shd w:val="clear" w:color="auto" w:fill="auto"/>
            <w:tcMar>
              <w:top w:w="62" w:type="dxa"/>
              <w:left w:w="62" w:type="dxa"/>
              <w:bottom w:w="62" w:type="dxa"/>
              <w:right w:w="62" w:type="dxa"/>
            </w:tcMar>
          </w:tcPr>
          <w:p w14:paraId="7EF30FD1"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Dependent;</w:t>
            </w:r>
          </w:p>
          <w:p w14:paraId="4DB2B937"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Multiple logistic regression;</w:t>
            </w:r>
          </w:p>
          <w:p w14:paraId="5C78493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race/ethnicity, self-described financial situation</w:t>
            </w:r>
          </w:p>
        </w:tc>
        <w:tc>
          <w:tcPr>
            <w:tcW w:w="2246" w:type="dxa"/>
            <w:tcMar>
              <w:top w:w="62" w:type="dxa"/>
              <w:left w:w="62" w:type="dxa"/>
              <w:bottom w:w="62" w:type="dxa"/>
              <w:right w:w="62" w:type="dxa"/>
            </w:tcMar>
          </w:tcPr>
          <w:p w14:paraId="0D9DEC2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7E7A0D0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OR (95% CI) for M (ref=NM): </w:t>
            </w:r>
          </w:p>
          <w:p w14:paraId="2B51C1F8"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 xml:space="preserve">Ever quit attempt (ref=never attempted): </w:t>
            </w:r>
          </w:p>
          <w:p w14:paraId="7A8B226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0.84 (0.43 to 1.63) </w:t>
            </w:r>
          </w:p>
          <w:p w14:paraId="46B4BFE9"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Quit attempt in past 6 months (ref= none):</w:t>
            </w:r>
          </w:p>
          <w:p w14:paraId="1F33217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0.62 (0.30 to 1.27) </w:t>
            </w:r>
          </w:p>
        </w:tc>
        <w:tc>
          <w:tcPr>
            <w:tcW w:w="2910" w:type="dxa"/>
            <w:shd w:val="clear" w:color="auto" w:fill="auto"/>
            <w:tcMar>
              <w:top w:w="62" w:type="dxa"/>
              <w:left w:w="62" w:type="dxa"/>
              <w:bottom w:w="62" w:type="dxa"/>
              <w:right w:w="62" w:type="dxa"/>
            </w:tcMar>
          </w:tcPr>
          <w:p w14:paraId="07989C12"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2CCC90FF" w14:textId="77777777" w:rsidTr="00453DE3">
        <w:tc>
          <w:tcPr>
            <w:tcW w:w="1777" w:type="dxa"/>
            <w:shd w:val="clear" w:color="auto" w:fill="auto"/>
            <w:tcMar>
              <w:top w:w="62" w:type="dxa"/>
              <w:left w:w="62" w:type="dxa"/>
              <w:bottom w:w="62" w:type="dxa"/>
              <w:right w:w="62" w:type="dxa"/>
            </w:tcMar>
          </w:tcPr>
          <w:p w14:paraId="3C60D0CD"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lastRenderedPageBreak/>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494051">
              <w:rPr>
                <w:rFonts w:cstheme="minorHAnsi"/>
                <w:color w:val="000000"/>
                <w:sz w:val="18"/>
                <w:szCs w:val="18"/>
              </w:rPr>
              <w:fldChar w:fldCharType="end"/>
            </w:r>
          </w:p>
          <w:p w14:paraId="69372169"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p w14:paraId="0309AA4A"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Pregnant women</w:t>
            </w:r>
          </w:p>
        </w:tc>
        <w:tc>
          <w:tcPr>
            <w:tcW w:w="2632" w:type="dxa"/>
            <w:shd w:val="clear" w:color="auto" w:fill="auto"/>
            <w:tcMar>
              <w:top w:w="62" w:type="dxa"/>
              <w:left w:w="62" w:type="dxa"/>
              <w:bottom w:w="62" w:type="dxa"/>
              <w:right w:w="62" w:type="dxa"/>
            </w:tcMar>
          </w:tcPr>
          <w:p w14:paraId="24D69700"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576BA4BB"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CR logit</w:t>
            </w:r>
          </w:p>
          <w:p w14:paraId="579B8096"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race/ethnicity, partner status, income, educational achievement, time, treatment group, CPD, TTFC</w:t>
            </w:r>
          </w:p>
        </w:tc>
        <w:tc>
          <w:tcPr>
            <w:tcW w:w="2246" w:type="dxa"/>
            <w:tcMar>
              <w:top w:w="62" w:type="dxa"/>
              <w:left w:w="62" w:type="dxa"/>
              <w:bottom w:w="62" w:type="dxa"/>
              <w:right w:w="62" w:type="dxa"/>
            </w:tcMar>
          </w:tcPr>
          <w:p w14:paraId="03A0CE7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Menthol cigarette use was not </w:t>
            </w:r>
            <w:r>
              <w:rPr>
                <w:rFonts w:asciiTheme="minorHAnsi" w:hAnsiTheme="minorHAnsi" w:cstheme="minorHAnsi"/>
                <w:sz w:val="18"/>
                <w:szCs w:val="18"/>
              </w:rPr>
              <w:t>statistically significantly</w:t>
            </w:r>
            <w:r w:rsidRPr="00494051">
              <w:rPr>
                <w:rFonts w:asciiTheme="minorHAnsi" w:hAnsiTheme="minorHAnsi" w:cstheme="minorHAnsi"/>
                <w:sz w:val="18"/>
                <w:szCs w:val="18"/>
              </w:rPr>
              <w:t xml:space="preserve"> associated with the number of CPD (β</w:t>
            </w:r>
            <w:r>
              <w:rPr>
                <w:rFonts w:asciiTheme="minorHAnsi" w:hAnsiTheme="minorHAnsi" w:cstheme="minorHAnsi"/>
                <w:sz w:val="18"/>
                <w:szCs w:val="18"/>
              </w:rPr>
              <w:t>=</w:t>
            </w:r>
            <w:r w:rsidRPr="00494051">
              <w:rPr>
                <w:rFonts w:asciiTheme="minorHAnsi" w:hAnsiTheme="minorHAnsi" w:cstheme="minorHAnsi"/>
                <w:sz w:val="18"/>
                <w:szCs w:val="18"/>
              </w:rPr>
              <w:t>-0.38, SE</w:t>
            </w:r>
            <w:r>
              <w:rPr>
                <w:rFonts w:asciiTheme="minorHAnsi" w:hAnsiTheme="minorHAnsi" w:cstheme="minorHAnsi"/>
                <w:sz w:val="18"/>
                <w:szCs w:val="18"/>
              </w:rPr>
              <w:t>=</w:t>
            </w:r>
            <w:r w:rsidRPr="00494051">
              <w:rPr>
                <w:rFonts w:asciiTheme="minorHAnsi" w:hAnsiTheme="minorHAnsi" w:cstheme="minorHAnsi"/>
                <w:sz w:val="18"/>
                <w:szCs w:val="18"/>
              </w:rPr>
              <w:t>1.15; t</w:t>
            </w:r>
            <w:r>
              <w:rPr>
                <w:rFonts w:asciiTheme="minorHAnsi" w:hAnsiTheme="minorHAnsi" w:cstheme="minorHAnsi"/>
                <w:sz w:val="18"/>
                <w:szCs w:val="18"/>
              </w:rPr>
              <w:t>=</w:t>
            </w:r>
            <w:r w:rsidRPr="00494051">
              <w:rPr>
                <w:rFonts w:asciiTheme="minorHAnsi" w:hAnsiTheme="minorHAnsi" w:cstheme="minorHAnsi"/>
                <w:sz w:val="18"/>
                <w:szCs w:val="18"/>
              </w:rPr>
              <w:t>-.33; p</w:t>
            </w:r>
            <w:r>
              <w:rPr>
                <w:rFonts w:asciiTheme="minorHAnsi" w:hAnsiTheme="minorHAnsi" w:cstheme="minorHAnsi"/>
                <w:sz w:val="18"/>
                <w:szCs w:val="18"/>
              </w:rPr>
              <w:t>=</w:t>
            </w:r>
            <w:r w:rsidRPr="00494051">
              <w:rPr>
                <w:rFonts w:asciiTheme="minorHAnsi" w:hAnsiTheme="minorHAnsi" w:cstheme="minorHAnsi"/>
                <w:sz w:val="18"/>
                <w:szCs w:val="18"/>
              </w:rPr>
              <w:t>.74; n</w:t>
            </w:r>
            <w:r>
              <w:rPr>
                <w:rFonts w:asciiTheme="minorHAnsi" w:hAnsiTheme="minorHAnsi" w:cstheme="minorHAnsi"/>
                <w:sz w:val="18"/>
                <w:szCs w:val="18"/>
              </w:rPr>
              <w:t>=</w:t>
            </w:r>
            <w:r w:rsidRPr="00494051">
              <w:rPr>
                <w:rFonts w:asciiTheme="minorHAnsi" w:hAnsiTheme="minorHAnsi" w:cstheme="minorHAnsi"/>
                <w:sz w:val="18"/>
                <w:szCs w:val="18"/>
              </w:rPr>
              <w:t xml:space="preserve">222) </w:t>
            </w:r>
            <w:r w:rsidRPr="00494051">
              <w:rPr>
                <w:rFonts w:asciiTheme="minorHAnsi" w:hAnsiTheme="minorHAnsi" w:cstheme="minorHAnsi"/>
                <w:noProof/>
                <w:color w:val="000000"/>
                <w:sz w:val="18"/>
                <w:szCs w:val="18"/>
              </w:rPr>
              <w:t>(</w:t>
            </w:r>
            <w:hyperlink w:anchor="_ENREF_78" w:tooltip="Reitzel, 2011 #107" w:history="1">
              <w:r w:rsidRPr="00494051">
                <w:rPr>
                  <w:rFonts w:asciiTheme="minorHAnsi" w:hAnsiTheme="minorHAnsi" w:cstheme="minorHAnsi"/>
                  <w:noProof/>
                  <w:color w:val="000000"/>
                  <w:sz w:val="18"/>
                  <w:szCs w:val="18"/>
                </w:rPr>
                <w:t>Reitzel, 2011c</w:t>
              </w:r>
            </w:hyperlink>
            <w:r w:rsidRPr="00494051">
              <w:rPr>
                <w:rFonts w:asciiTheme="minorHAnsi" w:hAnsiTheme="minorHAnsi" w:cstheme="minorHAnsi"/>
                <w:noProof/>
                <w:color w:val="000000"/>
                <w:sz w:val="18"/>
                <w:szCs w:val="18"/>
              </w:rPr>
              <w:t>)</w:t>
            </w:r>
          </w:p>
          <w:p w14:paraId="4B1E5CA3" w14:textId="77777777" w:rsidR="007F0AE0" w:rsidRPr="00494051" w:rsidRDefault="007F0AE0" w:rsidP="00453DE3">
            <w:pPr>
              <w:rPr>
                <w:rFonts w:asciiTheme="minorHAnsi" w:hAnsiTheme="minorHAnsi" w:cstheme="minorHAnsi"/>
                <w:sz w:val="18"/>
                <w:szCs w:val="18"/>
              </w:rPr>
            </w:pPr>
          </w:p>
          <w:p w14:paraId="66D4C123"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Black menthol users smoked </w:t>
            </w:r>
            <w:r>
              <w:rPr>
                <w:rFonts w:asciiTheme="minorHAnsi" w:hAnsiTheme="minorHAnsi" w:cstheme="minorHAnsi"/>
                <w:sz w:val="18"/>
                <w:szCs w:val="18"/>
              </w:rPr>
              <w:t>statistically significant</w:t>
            </w:r>
            <w:r w:rsidRPr="00494051">
              <w:rPr>
                <w:rFonts w:asciiTheme="minorHAnsi" w:hAnsiTheme="minorHAnsi" w:cstheme="minorHAnsi"/>
                <w:sz w:val="18"/>
                <w:szCs w:val="18"/>
              </w:rPr>
              <w:t xml:space="preserve"> more CPD than Black non-menthol users: β=3.82, SE=3.77; p=0.02; n=71; effect size=0.67. (</w:t>
            </w:r>
            <w:hyperlink w:anchor="_ENREF_78" w:tooltip="Reitzel, 2011 #107" w:history="1">
              <w:r w:rsidRPr="00494051">
                <w:rPr>
                  <w:rFonts w:asciiTheme="minorHAnsi" w:hAnsiTheme="minorHAnsi" w:cstheme="minorHAnsi"/>
                  <w:noProof/>
                  <w:color w:val="000000"/>
                  <w:sz w:val="18"/>
                  <w:szCs w:val="18"/>
                </w:rPr>
                <w:t>Reitzel, 2011c</w:t>
              </w:r>
            </w:hyperlink>
            <w:r w:rsidRPr="00494051">
              <w:rPr>
                <w:rFonts w:asciiTheme="minorHAnsi" w:hAnsiTheme="minorHAnsi" w:cstheme="minorHAnsi"/>
                <w:sz w:val="18"/>
                <w:szCs w:val="18"/>
              </w:rPr>
              <w:t>)</w:t>
            </w:r>
          </w:p>
        </w:tc>
        <w:tc>
          <w:tcPr>
            <w:tcW w:w="3330" w:type="dxa"/>
            <w:shd w:val="clear" w:color="auto" w:fill="auto"/>
            <w:tcMar>
              <w:top w:w="62" w:type="dxa"/>
              <w:left w:w="62" w:type="dxa"/>
              <w:bottom w:w="62" w:type="dxa"/>
              <w:right w:w="62" w:type="dxa"/>
            </w:tcMar>
          </w:tcPr>
          <w:p w14:paraId="0B025973" w14:textId="77777777" w:rsidR="007F0AE0" w:rsidRPr="00F52E88" w:rsidRDefault="007F0AE0" w:rsidP="00453DE3">
            <w:pPr>
              <w:rPr>
                <w:rFonts w:asciiTheme="minorHAnsi" w:hAnsiTheme="minorHAnsi" w:cstheme="minorHAnsi"/>
                <w:sz w:val="18"/>
                <w:szCs w:val="18"/>
              </w:rPr>
            </w:pPr>
            <w:r w:rsidRPr="00F52E88">
              <w:rPr>
                <w:rFonts w:cstheme="minorHAnsi"/>
                <w:sz w:val="18"/>
                <w:szCs w:val="18"/>
              </w:rPr>
              <w:t>NR</w:t>
            </w:r>
          </w:p>
        </w:tc>
        <w:tc>
          <w:tcPr>
            <w:tcW w:w="2910" w:type="dxa"/>
            <w:shd w:val="clear" w:color="auto" w:fill="auto"/>
            <w:tcMar>
              <w:top w:w="62" w:type="dxa"/>
              <w:left w:w="62" w:type="dxa"/>
              <w:bottom w:w="62" w:type="dxa"/>
              <w:right w:w="62" w:type="dxa"/>
            </w:tcMar>
          </w:tcPr>
          <w:p w14:paraId="742E3C4F"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5C578D75" w14:textId="77777777" w:rsidTr="00453DE3">
        <w:tc>
          <w:tcPr>
            <w:tcW w:w="1777" w:type="dxa"/>
            <w:shd w:val="clear" w:color="auto" w:fill="auto"/>
            <w:tcMar>
              <w:top w:w="62" w:type="dxa"/>
              <w:left w:w="62" w:type="dxa"/>
              <w:bottom w:w="62" w:type="dxa"/>
              <w:right w:w="62" w:type="dxa"/>
            </w:tcMar>
          </w:tcPr>
          <w:p w14:paraId="3EE34880"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&lt;EndNote&gt;&lt;Cite&gt;&lt;Author&gt;Stahre&lt;/Author&gt;&lt;Year&gt;2010&lt;/Year&gt;&lt;RecNum&gt;57&lt;/RecNum&gt;&lt;DisplayText&gt;(32)&lt;/DisplayText&gt;&lt;record&gt;&lt;rec-number&gt;57&lt;/rec-number&gt;&lt;foreign-keys&gt;&lt;key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2" w:tooltip="Stahre, 2010 #57" w:history="1">
              <w:r>
                <w:rPr>
                  <w:rFonts w:cstheme="minorHAnsi"/>
                  <w:noProof/>
                  <w:color w:val="000000"/>
                  <w:sz w:val="18"/>
                  <w:szCs w:val="18"/>
                </w:rPr>
                <w:t>32</w:t>
              </w:r>
            </w:hyperlink>
            <w:r>
              <w:rPr>
                <w:rFonts w:cstheme="minorHAnsi"/>
                <w:noProof/>
                <w:color w:val="000000"/>
                <w:sz w:val="18"/>
                <w:szCs w:val="18"/>
              </w:rPr>
              <w:t>)</w:t>
            </w:r>
            <w:r w:rsidRPr="00494051">
              <w:rPr>
                <w:rFonts w:cstheme="minorHAnsi"/>
                <w:color w:val="000000"/>
                <w:sz w:val="18"/>
                <w:szCs w:val="18"/>
              </w:rPr>
              <w:fldChar w:fldCharType="end"/>
            </w:r>
          </w:p>
          <w:p w14:paraId="30612361"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NHIS-CCS</w:t>
            </w:r>
          </w:p>
          <w:p w14:paraId="199701A7"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51272D1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Independent;</w:t>
            </w:r>
          </w:p>
          <w:p w14:paraId="66F9F23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Logistic regression;</w:t>
            </w:r>
          </w:p>
          <w:p w14:paraId="1DCE3BE4"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Age group, gender, ethnicity, U.S. region, marital status and average number of </w:t>
            </w:r>
            <w:r>
              <w:rPr>
                <w:rFonts w:asciiTheme="minorHAnsi" w:hAnsiTheme="minorHAnsi" w:cstheme="minorHAnsi"/>
                <w:sz w:val="18"/>
                <w:szCs w:val="18"/>
              </w:rPr>
              <w:t>CPD</w:t>
            </w:r>
          </w:p>
        </w:tc>
        <w:tc>
          <w:tcPr>
            <w:tcW w:w="2246" w:type="dxa"/>
            <w:tcMar>
              <w:top w:w="62" w:type="dxa"/>
              <w:left w:w="62" w:type="dxa"/>
              <w:bottom w:w="62" w:type="dxa"/>
              <w:right w:w="62" w:type="dxa"/>
            </w:tcMar>
          </w:tcPr>
          <w:p w14:paraId="0BDC62BD"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20C49606" w14:textId="77777777" w:rsidR="007F0AE0" w:rsidRPr="00494051" w:rsidRDefault="007F0AE0" w:rsidP="00453DE3">
            <w:pPr>
              <w:rPr>
                <w:rFonts w:asciiTheme="minorHAnsi" w:hAnsiTheme="minorHAnsi" w:cstheme="minorHAnsi"/>
                <w:sz w:val="18"/>
                <w:szCs w:val="18"/>
                <w:u w:val="single"/>
              </w:rPr>
            </w:pPr>
            <w:r w:rsidRPr="00494051">
              <w:rPr>
                <w:rFonts w:asciiTheme="minorHAnsi" w:hAnsiTheme="minorHAnsi" w:cstheme="minorHAnsi"/>
                <w:sz w:val="18"/>
                <w:szCs w:val="18"/>
                <w:u w:val="single"/>
              </w:rPr>
              <w:t>Using a quit aid, OR (95% CI) for M (ref=NM):</w:t>
            </w:r>
          </w:p>
          <w:p w14:paraId="30BC21D9"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Current smokers: 1.05 (0.80 to 1.36)</w:t>
            </w:r>
          </w:p>
          <w:p w14:paraId="3C6B481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Former smokers: 1.29 (0.74 to 2.26)</w:t>
            </w:r>
          </w:p>
        </w:tc>
        <w:tc>
          <w:tcPr>
            <w:tcW w:w="2910" w:type="dxa"/>
            <w:shd w:val="clear" w:color="auto" w:fill="auto"/>
            <w:tcMar>
              <w:top w:w="62" w:type="dxa"/>
              <w:left w:w="62" w:type="dxa"/>
              <w:bottom w:w="62" w:type="dxa"/>
              <w:right w:w="62" w:type="dxa"/>
            </w:tcMar>
          </w:tcPr>
          <w:p w14:paraId="7ABA68E8"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r w:rsidR="007F0AE0" w:rsidRPr="00494051" w14:paraId="71FD4FBC" w14:textId="77777777" w:rsidTr="00453DE3">
        <w:tc>
          <w:tcPr>
            <w:tcW w:w="1777" w:type="dxa"/>
            <w:shd w:val="clear" w:color="auto" w:fill="auto"/>
            <w:tcMar>
              <w:top w:w="62" w:type="dxa"/>
              <w:left w:w="62" w:type="dxa"/>
              <w:bottom w:w="62" w:type="dxa"/>
              <w:right w:w="62" w:type="dxa"/>
            </w:tcMar>
          </w:tcPr>
          <w:p w14:paraId="25DAA10A" w14:textId="77777777" w:rsidR="007F0AE0" w:rsidRPr="00494051" w:rsidRDefault="007F0AE0" w:rsidP="00453DE3">
            <w:pPr>
              <w:rPr>
                <w:rFonts w:asciiTheme="minorHAnsi" w:hAnsiTheme="minorHAnsi"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5" w:tooltip="Webb Hooper, 2011 #51" w:history="1">
              <w:r>
                <w:rPr>
                  <w:rFonts w:cstheme="minorHAnsi"/>
                  <w:noProof/>
                  <w:color w:val="000000"/>
                  <w:sz w:val="18"/>
                  <w:szCs w:val="18"/>
                </w:rPr>
                <w:t>35</w:t>
              </w:r>
            </w:hyperlink>
            <w:r>
              <w:rPr>
                <w:rFonts w:cstheme="minorHAnsi"/>
                <w:noProof/>
                <w:color w:val="000000"/>
                <w:sz w:val="18"/>
                <w:szCs w:val="18"/>
              </w:rPr>
              <w:t>)</w:t>
            </w:r>
            <w:r w:rsidRPr="00494051">
              <w:rPr>
                <w:rFonts w:cstheme="minorHAnsi"/>
                <w:color w:val="000000"/>
                <w:sz w:val="18"/>
                <w:szCs w:val="18"/>
              </w:rPr>
              <w:fldChar w:fldCharType="end"/>
            </w:r>
          </w:p>
          <w:p w14:paraId="4F60C6D0"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BRFSS</w:t>
            </w:r>
          </w:p>
          <w:p w14:paraId="4EB7ECA8" w14:textId="77777777" w:rsidR="007F0AE0" w:rsidRPr="00494051" w:rsidRDefault="007F0AE0" w:rsidP="00453DE3">
            <w:pPr>
              <w:rPr>
                <w:rFonts w:asciiTheme="minorHAnsi" w:hAnsiTheme="minorHAnsi" w:cstheme="minorHAnsi"/>
                <w:color w:val="000000"/>
                <w:sz w:val="18"/>
                <w:szCs w:val="18"/>
              </w:rPr>
            </w:pPr>
            <w:r w:rsidRPr="00494051">
              <w:rPr>
                <w:rFonts w:asciiTheme="minorHAnsi" w:hAnsiTheme="minorHAnsi" w:cstheme="minorHAnsi"/>
                <w:color w:val="000000"/>
                <w:sz w:val="18"/>
                <w:szCs w:val="18"/>
              </w:rPr>
              <w:t>None</w:t>
            </w:r>
          </w:p>
        </w:tc>
        <w:tc>
          <w:tcPr>
            <w:tcW w:w="2632" w:type="dxa"/>
            <w:shd w:val="clear" w:color="auto" w:fill="auto"/>
            <w:tcMar>
              <w:top w:w="62" w:type="dxa"/>
              <w:left w:w="62" w:type="dxa"/>
              <w:bottom w:w="62" w:type="dxa"/>
              <w:right w:w="62" w:type="dxa"/>
            </w:tcMar>
          </w:tcPr>
          <w:p w14:paraId="00FED3B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Dependent;</w:t>
            </w:r>
          </w:p>
          <w:p w14:paraId="4B0D7996"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Logistic regression;</w:t>
            </w:r>
          </w:p>
          <w:p w14:paraId="5EFE425D"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Age, gender, race/ethnicity, ever had a medical condition, frequency poor physical health days, have health care coverage, pack-years, dependence</w:t>
            </w:r>
          </w:p>
        </w:tc>
        <w:tc>
          <w:tcPr>
            <w:tcW w:w="2246" w:type="dxa"/>
            <w:tcMar>
              <w:top w:w="62" w:type="dxa"/>
              <w:left w:w="62" w:type="dxa"/>
              <w:bottom w:w="62" w:type="dxa"/>
              <w:right w:w="62" w:type="dxa"/>
            </w:tcMar>
          </w:tcPr>
          <w:p w14:paraId="5B44CB0A"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c>
          <w:tcPr>
            <w:tcW w:w="3330" w:type="dxa"/>
            <w:shd w:val="clear" w:color="auto" w:fill="auto"/>
            <w:tcMar>
              <w:top w:w="62" w:type="dxa"/>
              <w:left w:w="62" w:type="dxa"/>
              <w:bottom w:w="62" w:type="dxa"/>
              <w:right w:w="62" w:type="dxa"/>
            </w:tcMar>
          </w:tcPr>
          <w:p w14:paraId="792E35F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Past-year quit attempt</w:t>
            </w:r>
          </w:p>
          <w:p w14:paraId="7CDA38A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 xml:space="preserve">OR (95% CI) for M (ref=NM): </w:t>
            </w:r>
          </w:p>
          <w:p w14:paraId="5ABD11CC"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0.96 (0.81 to 1.15)</w:t>
            </w:r>
          </w:p>
        </w:tc>
        <w:tc>
          <w:tcPr>
            <w:tcW w:w="2910" w:type="dxa"/>
            <w:shd w:val="clear" w:color="auto" w:fill="auto"/>
            <w:tcMar>
              <w:top w:w="62" w:type="dxa"/>
              <w:left w:w="62" w:type="dxa"/>
              <w:bottom w:w="62" w:type="dxa"/>
              <w:right w:w="62" w:type="dxa"/>
            </w:tcMar>
          </w:tcPr>
          <w:p w14:paraId="2260ADEE" w14:textId="77777777" w:rsidR="007F0AE0" w:rsidRPr="00494051" w:rsidRDefault="007F0AE0" w:rsidP="00453DE3">
            <w:pPr>
              <w:rPr>
                <w:rFonts w:asciiTheme="minorHAnsi" w:hAnsiTheme="minorHAnsi" w:cstheme="minorHAnsi"/>
                <w:sz w:val="18"/>
                <w:szCs w:val="18"/>
              </w:rPr>
            </w:pPr>
            <w:r w:rsidRPr="00494051">
              <w:rPr>
                <w:rFonts w:asciiTheme="minorHAnsi" w:hAnsiTheme="minorHAnsi" w:cstheme="minorHAnsi"/>
                <w:sz w:val="18"/>
                <w:szCs w:val="18"/>
              </w:rPr>
              <w:t>NR</w:t>
            </w:r>
          </w:p>
        </w:tc>
      </w:tr>
    </w:tbl>
    <w:p w14:paraId="1DE8DC0E" w14:textId="77777777" w:rsidR="007F0AE0" w:rsidRPr="00494051" w:rsidRDefault="007F0AE0" w:rsidP="007F0AE0">
      <w:pPr>
        <w:spacing w:before="60" w:after="120" w:line="240" w:lineRule="auto"/>
        <w:jc w:val="both"/>
        <w:rPr>
          <w:rFonts w:cstheme="minorHAnsi"/>
          <w:sz w:val="18"/>
          <w:szCs w:val="18"/>
        </w:rPr>
      </w:pPr>
      <w:r w:rsidRPr="00494051">
        <w:rPr>
          <w:rFonts w:cstheme="minorHAnsi"/>
          <w:sz w:val="18"/>
          <w:szCs w:val="18"/>
          <w:vertAlign w:val="superscript"/>
        </w:rPr>
        <w:t>a</w:t>
      </w:r>
      <w:r w:rsidRPr="00494051">
        <w:rPr>
          <w:rFonts w:cstheme="minorHAnsi"/>
          <w:sz w:val="18"/>
          <w:szCs w:val="18"/>
        </w:rPr>
        <w:t>Results were also reported from models with fewer covariates; results were similar.</w:t>
      </w:r>
    </w:p>
    <w:p w14:paraId="094EC933" w14:textId="77777777" w:rsidR="007F0AE0" w:rsidRPr="00494051" w:rsidRDefault="007F0AE0" w:rsidP="007F0AE0">
      <w:pPr>
        <w:spacing w:before="60" w:after="120" w:line="240" w:lineRule="auto"/>
        <w:jc w:val="both"/>
        <w:rPr>
          <w:rFonts w:cstheme="minorHAnsi"/>
          <w:b/>
          <w:bCs/>
          <w:sz w:val="18"/>
          <w:szCs w:val="18"/>
        </w:rPr>
      </w:pPr>
      <w:r w:rsidRPr="00494051">
        <w:rPr>
          <w:rFonts w:cstheme="minorHAnsi"/>
          <w:sz w:val="18"/>
          <w:szCs w:val="18"/>
        </w:rPr>
        <w:t>Abbreviations: BRFSS=Behavioral Risk Factor Surveillance System; cig=cigarette; CI=Confidence Interval; CPD=cigarettes per day; GEE=generalized estimating equation; HSI=heaviness of smoking index; ITC-4=International Tobacco Control Four Country Survey (U.S. data only); LYAC=Legacy Young Adult Cohort; M=menthol; NHIS-CCS=National Health Interview Survey Cancer Control Supplement; NM=non-menthol; NR=not reported; OR=odds ratio; ref=reference; TTFC= time to first cigarette of the day; TUS-CPS=Tobacco Use Supplement to the Current Population Survey.</w:t>
      </w:r>
    </w:p>
    <w:bookmarkEnd w:id="26"/>
    <w:p w14:paraId="2E896146" w14:textId="77777777" w:rsidR="007F0AE0" w:rsidRDefault="007F0AE0" w:rsidP="007F0AE0">
      <w:pPr>
        <w:rPr>
          <w:rFonts w:cstheme="minorHAnsi"/>
          <w:b/>
          <w:highlight w:val="green"/>
        </w:rPr>
        <w:sectPr w:rsidR="007F0AE0" w:rsidSect="00A25B9D">
          <w:pgSz w:w="15840" w:h="12240" w:orient="landscape"/>
          <w:pgMar w:top="1440" w:right="1440" w:bottom="1440" w:left="1440" w:header="720" w:footer="720" w:gutter="0"/>
          <w:cols w:space="720"/>
          <w:titlePg/>
          <w:docGrid w:linePitch="360"/>
        </w:sectPr>
      </w:pPr>
    </w:p>
    <w:p w14:paraId="676599A9" w14:textId="77777777" w:rsidR="007F0AE0" w:rsidRPr="000F3C17" w:rsidRDefault="007F0AE0" w:rsidP="007F0AE0">
      <w:pPr>
        <w:spacing w:after="240" w:line="240" w:lineRule="auto"/>
        <w:jc w:val="center"/>
      </w:pPr>
      <w:r>
        <w:rPr>
          <w:rFonts w:cstheme="minorHAnsi"/>
          <w:b/>
        </w:rPr>
        <w:lastRenderedPageBreak/>
        <w:t>REFERENCES</w:t>
      </w:r>
    </w:p>
    <w:p w14:paraId="3FC4E36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fldChar w:fldCharType="begin"/>
      </w:r>
      <w:r w:rsidRPr="000F3C17">
        <w:rPr>
          <w:rFonts w:ascii="Calibri" w:hAnsi="Calibri" w:cs="Calibri"/>
          <w:noProof/>
        </w:rPr>
        <w:instrText xml:space="preserve"> ADDIN EN.REFLIST </w:instrText>
      </w:r>
      <w:r w:rsidRPr="000F3C17">
        <w:rPr>
          <w:rFonts w:ascii="Calibri" w:hAnsi="Calibri" w:cs="Calibri"/>
          <w:noProof/>
        </w:rPr>
        <w:fldChar w:fldCharType="separate"/>
      </w:r>
      <w:r w:rsidRPr="000F3C17">
        <w:rPr>
          <w:rFonts w:ascii="Calibri" w:hAnsi="Calibri" w:cs="Calibri"/>
          <w:noProof/>
        </w:rPr>
        <w:t>Alexander, L.A., Crawford, T., Mendiondo, M.S., 2010. Occupational status, work-site cessation programs and policies and menthol smoking on quitting behaviors of US smokers. Addiction 105 Suppl 1, 95-104.</w:t>
      </w:r>
    </w:p>
    <w:p w14:paraId="7F55B02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Berg, C.J., Thomas, J.L., Guo, H., An, L.C., Okuyemi, K.S., Collins, T.C., Ahluwalia, J.S., 2010. Predictors of smoking reduction among Blacks. Nicotine Tob Res 12(4), 423-431.</w:t>
      </w:r>
    </w:p>
    <w:p w14:paraId="1554978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Blot, W.J., Cohen, S.S., Aldrich, M., McLaughlin, J.K., Hargreaves, M.K., Signorello, L.B., 2011. Lung cancer risk among smokers of menthol cigarettes. J Natl Cancer Inst 103(10), 810-816.</w:t>
      </w:r>
    </w:p>
    <w:p w14:paraId="6946B09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Brooks, D.R., Palmer, J.R., Strom, B.L., Rosenberg, L., 2003. Menthol cigarettes and risk of lung cancer. Am J Epidemiol 158(7), 609-616; discussion 617-620.</w:t>
      </w:r>
    </w:p>
    <w:p w14:paraId="57F1B62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Cropsey, K.L., Weaver, M.F., Eldridge, G.D., Villalobos, G.C., Best, A.M., Stitzer, M.L., 2009. Differential success rates in racial groups: results of a clinical trial of smoking cessation among female prisoners. Nicotine Tob Res 11(6), 690-697.</w:t>
      </w:r>
    </w:p>
    <w:p w14:paraId="6EE59E1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Cubbin, C., Soobader, M.J., LeClere, F.B., 2010. The intersection of gender and race/ethnicity in smoking behaviors among menthol and non-menthol smokers in the United States. Addiction 105 Suppl 1, 32-38.</w:t>
      </w:r>
    </w:p>
    <w:p w14:paraId="79EF448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D'Silva, J., Boyle, R.G., Lien, R., Rode, P., Okuyemi, K.S., 2012. Cessation outcomes among treatment-seeking menthol and nonmenthol smokers. Am J Prev Med 43(5 Suppl 3), S242-248.</w:t>
      </w:r>
    </w:p>
    <w:p w14:paraId="6B24DD4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004934A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Echeverria, S.E., Steinberg, M.B., 2011. Smoking-cessation prevalence among U.S. smokers of menthol versus non-menthol cigarettes. Am J Prev Med 41(4), 357-365.</w:t>
      </w:r>
    </w:p>
    <w:p w14:paraId="1376828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Villanti, A.C., Wackowski, O.A., Gundersen, D.A., Giovenco, D.P., 2015. The influence of menthol, e-cigarettes and other tobacco products on young adults' self-reported changes in past year smoking. Tob Control.</w:t>
      </w:r>
    </w:p>
    <w:p w14:paraId="447A38E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Augustson, E., Backinger, C.L., O'Connell, M.E., Vollinger, R.E., Jr., Kaufman, A., Gibson, J.T., 2007. Quit attempts and intention to quit cigarette smoking among young adults in the United States. Am J Public Health 97(8), 1412-1420.</w:t>
      </w:r>
    </w:p>
    <w:p w14:paraId="1FE6DA0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Moolchan, E.T., Hart, A., Jr., Rose, A., Lawrence, D., Shavers, V.L., Gibson, J.T., 2010. Nicotine dependence and quitting behaviors among menthol and non-menthol smokers with similar consumptive patterns. Addiction 105 Suppl 1, 55-74.</w:t>
      </w:r>
    </w:p>
    <w:p w14:paraId="7647539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Pohkrel, P., Herzog, T., Pagano, I., Vallone, D., Trinidad, D.R., Sakuma, K.L., Sterling, K., Fryer, C.S., Moolchan, E., 2015. Comparisons of three nicotine dependence scales in a multiethnic sample of young adult menthol and non-menthol smokers. Drug Alcohol Depend 149, 203-211.</w:t>
      </w:r>
    </w:p>
    <w:p w14:paraId="295E131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Faseru, B., Choi, W.S., Krebill, R., Mayo, M.S., Nollen, N.L., Okuyemi, K.S., Ahluwalia, J.S., Cox, L.S., 2011. Factors associated with smoking menthol cigarettes among treatment-seeking African American light smokers. Addict Behav 36(12), 1321-1324.</w:t>
      </w:r>
    </w:p>
    <w:p w14:paraId="190FD17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Faseru, B., Nollen, N.L., Mayo, M.S., Krebill, R., Choi, W.S., Benowitz, N.L., Tyndale, R.F., Okuyemi, K.S., Ahluwalia, J.S., Sanderson Cox, L., 2013. Predictors of cessation in African American light smokers enrolled in a bupropion clinical trial. Addict Behav 38(3), 1796-1803.</w:t>
      </w:r>
    </w:p>
    <w:p w14:paraId="0EE2C5B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Foulds, J., Gandhi, K.K., Steinberg, M.B., Richardson, D.L., Williams, J.M., Burke, M.V., Rhoads, G.G., 2006. Factors associated with quitting smoking at a tobacco dependence treatment clinic. Am J Health Behav 30(4), 400-412.</w:t>
      </w:r>
    </w:p>
    <w:p w14:paraId="2CC7423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Fu, S.S., Okuyemi, K.S., Partin, M.R., Ahluwalia, J.S., Nelson, D.B., Clothier, B.A., Joseph, A.M., 2008. Menthol cigarettes and smoking cessation during an aided quit attempt. Nicotine Tob Res 10(3), 457-462.</w:t>
      </w:r>
    </w:p>
    <w:p w14:paraId="7343F7D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Gandhi, K.K., Foulds, J., Steinberg, M.B., Lu, S.E., Williams, J.M., 2009. Lower quit rates among African American and Latino menthol cigarette smokers at a tobacco treatment clinic. Int J Clin Pract 63(3), 360-367.</w:t>
      </w:r>
    </w:p>
    <w:p w14:paraId="118703D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Gubner, N.R., Williams, D.D., Pagano, A., Campbell, B.K., Guydish, J., 2018. Menthol cigarette smoking among individuals in treatment for substance use disorders. Addictive behaviors 80, 135-141.</w:t>
      </w:r>
    </w:p>
    <w:p w14:paraId="03AB0CC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Gundersen, D.A., Delnevo, C.D., Wackowski, O., 2009. Exploring the relationship between race/ethnicity, menthol smoking, and cessation, in a nationally representative sample of adults. Prev Med 49(6), 553-557.</w:t>
      </w:r>
    </w:p>
    <w:p w14:paraId="5415CE3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Harris, K.J., Okuyemi, K.S., Catley, D., Mayo, M.S., Ge, B., Ahluwalia, J.S., 2004. Predictors of smoking cessation among African-Americans enrolled in a randomized controlled trial of bupropion. Prev Med 38(4), 498-502.</w:t>
      </w:r>
    </w:p>
    <w:p w14:paraId="6394D5F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Hersey, J.C., Ng, S.W., Nonnemaker, J.M., Mowery, P., Thomas, K.Y., Vilsaint, M.C., Allen, J.A., Haviland, M.L., 2006. Are menthol cigarettes a starter product for youth? Nicotine Tob Res 8(3), 403-413.</w:t>
      </w:r>
    </w:p>
    <w:p w14:paraId="5FE24C1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Garten, S., Giovino, G.A., Cummings, K.M., 2002. Mentholated cigarettes and smoking cessation: Findings from COMMIT. Tob Control 11, 135-139.</w:t>
      </w:r>
    </w:p>
    <w:p w14:paraId="078DC78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Rivard, C., 2010. Analysis of mentholated cigarettes using the COMMIT data -- summary. Department of Health Behavior, Roswell Park Cancer Institute.</w:t>
      </w:r>
    </w:p>
    <w:p w14:paraId="652C503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Jarvik, M.E., Tashkin, D.P., Caskey, N.H., McCarthy, W.J., Rosenblatt, M.R., 1994. Mentholated cigarettes decrease puff volume of smoke and increase carbon monoxide absorption. Physiol Behav 56(3), 563-570.</w:t>
      </w:r>
    </w:p>
    <w:p w14:paraId="700E6DC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Kahende, J.W., Malarcher, A.M., Teplinskaya, A., Asman, K.J., 2011. Quit attempt correlates among smokers by race/ethnicity. International journal of environmental research and public health 8(10), 3871-3888.</w:t>
      </w:r>
    </w:p>
    <w:p w14:paraId="74973C2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Kanyuch, J.A., Bercz, P.A., Chang, J., Martinez, F.J., Criner, G.J., Lawrence, M.J., Tomko, P.A., Foreman, M.G., Silverman, E., Crapo, J.D., Sciurba, F.C., Investigators, C., 2011. Menthol cigarette use among African Americans associated with persistent tobacco use. Am J Respir Crit Care Med, p. A4568.</w:t>
      </w:r>
    </w:p>
    <w:p w14:paraId="68EC30A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Kasza, K.A., Hyland, A.J., Bansal-Travers, M., Vogl, L.M., Chen, J., Evans, S.E., Fong, G.T., Cummings, K.M., O'Connor, R.J., 2014. Switching between menthol and nonmenthol cigarettes: findings from the U.S. Cohort of the International Tobacco Control Four Country Survey. Nicotine Tob Res 16(9), 1255-1265.</w:t>
      </w:r>
    </w:p>
    <w:p w14:paraId="4812B02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 Yao, T., Ong, M.K., Sung, H.-Y., 2017. The Association of Menthol Cigarette Use With Quit Attempts, Successful Cessation, and Intention to Quit Across Racial/Ethnic Groups in the United States. Nicotine &amp; tobacco research : official journal of the Society for Research on Nicotine and Tobacco 19(12), 1450-1464.</w:t>
      </w:r>
    </w:p>
    <w:p w14:paraId="0FFCF1A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V.B., Yao, T., Wang, Y., Ong, M.K., Sung, H.-Y., 2018. Effects of cigarette prices on intention to quit, quit attempts, and successful cessation among African American smokers. Nicotine &amp; tobacco research : official journal of the Society for Research on Nicotine and Tobacco.</w:t>
      </w:r>
    </w:p>
    <w:p w14:paraId="75CF8EE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King, A., Cao, D., Matthews, A., 2011. Influence of menthol use on smoking cessation outcomes in a smoking cessation treatment program.</w:t>
      </w:r>
    </w:p>
    <w:p w14:paraId="36AAEC3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Levy, D.T., Blackman, K., Tauras, J., Chaloupka, F.J., Villanti, A.C., Niaura, R.S., Vallone, D.M., Abrams, D.B., 2011. Quit attempts and quit rates among menthol and nonmenthol smokers in the United States. Am J Public Health 101(7), 1241-1247.</w:t>
      </w:r>
    </w:p>
    <w:p w14:paraId="5634FD2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49E1A99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Mendiondo, M.S., Alexander, L.A., Crawford, T., 2010. Health profile differences for menthol and non-menthol smokers: findings from the National Health Interview Survey. Addiction 105 Suppl 1, 124-140.</w:t>
      </w:r>
    </w:p>
    <w:p w14:paraId="71333A6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Miller, G.E., Jarvik, M.E., Caskey, N.H., Segerstrom, S.C., Rosenblatt, M.R., McCarthy, W.J., 1994. Cigarette mentholation increases smokers' exhaled carbon monoxide levels. Exp Clin Psychopharm 2(2), 154-160.</w:t>
      </w:r>
    </w:p>
    <w:p w14:paraId="55545EA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Muench, C., Juliano, L.M., 2017. Predictors of smoking lapse during a 48-hour laboratory analogue smoking cessation attempt. Psychology of addictive behaviors : journal of the Society of Psychologists in Addictive Behaviors 31(4), 415-422.</w:t>
      </w:r>
    </w:p>
    <w:p w14:paraId="20BF1ED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Murray, R.P., Connett, J.E., Skeans, M.A., Tashkin, D.P., 2007. Menthol cigarettes and health risks in Lung Health Study data. Nicotine Tob Res 9(1), 101-107.</w:t>
      </w:r>
    </w:p>
    <w:p w14:paraId="5F0E8AC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Muscat, J.E., Richie, J.P., Jr., Stellman, S.D., 2002. Mentholated cigarettes and smoking habits in whites and blacks. Tob Control 11, 368-371.</w:t>
      </w:r>
    </w:p>
    <w:p w14:paraId="4BEEAD0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Nonnemaker, J., Hersey, J., Homsi, G., Busey, A., Allen, J., Vallone, D., 2012. Initiation with menthol cigarettes and youth smoking uptake. Addiction 108(1), 171-178.</w:t>
      </w:r>
    </w:p>
    <w:p w14:paraId="1E70393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O'Connor, R.J., Bansal-Travers, M., Carter, L.P., Cummings, K.M., 2012. What would menthol smokers do if menthol in cigarettes were banned? Behavioral intentions and simulated demand. Addiction 107(7), 1330-1338.</w:t>
      </w:r>
    </w:p>
    <w:p w14:paraId="524EABE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Ahluwalia, J.S., Ebersole-Robinson, M., Catley, D., Mayo, M.S., Resnicow, K., 2003. Does menthol attenuate the effect of bupropion among African American smokers? Addiction 98, 1387-1393.</w:t>
      </w:r>
    </w:p>
    <w:p w14:paraId="2F2558A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Ebersole-Robinson, M., Nazir, N., Ahluwalia, J.S., 2004. African-American menthol and nonmenthol smokers: Differences in smoking and cessation experiences. J Natl Med Assoc 96(9), 1208-1211.</w:t>
      </w:r>
    </w:p>
    <w:p w14:paraId="46C66D5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Faseru, B., Sanderson Cox, L., Bronars, C.A., Ahluwalia, J.S., 2007. Relationship between menthol cigarettes and smoking cessation among African American light smokers. Addiction 102(12), 1979-1986.</w:t>
      </w:r>
    </w:p>
    <w:p w14:paraId="455E3DD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Park, J.-Y., 2017. Tobacco use behaviors among vulnerable populations. Dissertation Abstracts International: Section B: The Sciences and Engineering 77(12-B(E)), No-Specified.</w:t>
      </w:r>
    </w:p>
    <w:p w14:paraId="4B77054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2011. Public reaction to potential food and drug administration actions under the family smoking prevention and tobacco control act: Regulating e-cigarettes, banning menthol, and reducing cigarette nicotine content. Johns Hopkins University, p. 142.</w:t>
      </w:r>
    </w:p>
    <w:p w14:paraId="3013042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Abrams, D.B., Niaura, R.S., Richardson, A., Vallone, D., 2012. A ban on menthol cigarettes: Impact on public opinion and smokers' intention to quit. Am J Public Health 102(11), e107-e114.</w:t>
      </w:r>
    </w:p>
    <w:p w14:paraId="6494552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Pletcher, M.J., Hulley, B.J., Houston, T., Kiefe, C.I., Benowitz, N., Sidney, S., 2006. Menthol cigarettes, smoking cessation, atherosclerosis, and pulmonary function: the Coronary Artery Risk Development in Young Adults (CARDIA) Study. Arch Intern Med 166, 1915-1922.</w:t>
      </w:r>
    </w:p>
    <w:p w14:paraId="2994212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Rath, J.M., Villanti, A.C., Williams, V.F., Richardson, A., Pearson, J.L., Vallone, D.M., 2015. Patterns of Longitudinal Transitions in Menthol Use Among US Young Adult Smokers. Nicotine Tob Res 17(7), 839-846.</w:t>
      </w:r>
    </w:p>
    <w:p w14:paraId="32C8701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2011a. Menthol cigarettes, tobacco dependence, and smoking cessation: Project BREAK FREE final report. The University of Texas, MD Anderson Cancer Center.</w:t>
      </w:r>
    </w:p>
    <w:p w14:paraId="4E801E0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2011b. Menthol cigarettes, tobacco dependence, and smoking cessation: Project CARE final report. University of Texas, MD Anderson Cancer Center.</w:t>
      </w:r>
    </w:p>
    <w:p w14:paraId="240CFB4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2011c. Menthol cigarettes, tobacco dependence, and smoking cessation: Project MOM final report. The University of Texas, MD Anderson Cancer Center.</w:t>
      </w:r>
    </w:p>
    <w:p w14:paraId="21110C5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Li, Y., Stewart, D.W., Cao, Y., Wetter, D.W., Waters, A.J., Vidrine, J.I., 2013. Race moderates the effect of menthol cigarette use on short-term smoking abstinence. Nicotine Tob Res 15(5), 883-889.</w:t>
      </w:r>
    </w:p>
    <w:p w14:paraId="26124F6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Nguyen, N., Cao, Y., Vidrine, J.I., Daza, P., Mullen, P.D., Velasquez, M.M., Li, Y., Cinciripini, P.M., Cofta-Woerpel, L., Wetter, D.W., 2011. Race/ethnicity moderates the effect of prepartum menthol cigarette use on postpartum smoking abstinence. Nicotine Tob Res 13(12), 1305-1310.</w:t>
      </w:r>
    </w:p>
    <w:p w14:paraId="277BE87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Rojewski, A.M., Toll, B.A., O'Malley, S.S., 2014. Menthol cigarette use predicts treatment outcomes of weight-concerned smokers. Nicotine Tob Res 16(1), 115-119.</w:t>
      </w:r>
    </w:p>
    <w:p w14:paraId="57913DB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Rosenbloom, J., Rees, V.W., Reid, K., Wong, J., Kinnunen, T., 2012. A cross-sectional study on tobacco use and dependence among women: Does menthol matter? Tob Induc Dis 10(19), 1-6.</w:t>
      </w:r>
    </w:p>
    <w:p w14:paraId="79F8BF2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Sidney, S., Tekawa, I.S., Friedman, G.D., 1989. Mentholated cigarette use among multiphasic examinees, 1979-86. Am J Public Health 79, 1415-1416.</w:t>
      </w:r>
    </w:p>
    <w:p w14:paraId="56CA7E8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Smith, S.S., Fiore, M.C., Baker, T.B., 2014. Smoking cessation in smokers who smoke menthol and non-menthol cigarettes. Addiction 109(12), 2107-2117.</w:t>
      </w:r>
    </w:p>
    <w:p w14:paraId="3164096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Stahre, M., Okuyemi, K.S., Joseph, A.M., Fu, S.S., 2010. Racial/ethnic differences in menthol cigarette smoking, population quit ratios and utilization of evidence-based tobacco cessation treatments. Addiction 105 Suppl 1, 75-83.</w:t>
      </w:r>
    </w:p>
    <w:p w14:paraId="65C8CB5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Steinberg, M.B., Bover, M.T., Richardson, D.L., Schmelzer, A.C., Williams, J.M., Foulds, J., 2011. Abstinence and psychological distress in co-morbid smokers using various pharmacotherapies. Drug Alcohol Depend 114(1), 77-81.</w:t>
      </w:r>
    </w:p>
    <w:p w14:paraId="632EBC0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Sulsky, S.I., Fuller, W.G., Van Landingham, C., Ogden, M.W., Swauger, J.E., Curtin, G.M., 2014. Evaluating the association between menthol cigarette use and the likelihood of being a former versus current smoker. Regul Toxicol Pharmacol 70(1), 231-241.</w:t>
      </w:r>
    </w:p>
    <w:p w14:paraId="12F01B1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Thihalolipavan, S., Jung, M., Jasek, J., Chamany, S., 2014. Menthol smokers in large-scale nicotine replacement therapy program. Am J Public Health 104(11), e3-4.</w:t>
      </w:r>
    </w:p>
    <w:p w14:paraId="204BB37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Trinidad, D.R., Perez-Stable, E.J., Messer, K., White, M.M., Pierce, J.P., 2010. Menthol cigarettes and smoking cessation among racial/ethnic groups in the United States. Addiction 105 Suppl 1, 84-94.</w:t>
      </w:r>
    </w:p>
    <w:p w14:paraId="1331D1D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Webb Hooper, M., Zhao, W., Byrne, M.M., Davila, E., Caban-Martinez, A., Dietz, N.A., Parker, D.F., Huang, Y., Messiah, A., Lee, D.J., 2011. Menthol cigarette smoking and health, Florida 2007 BRFSS. Am J Health Behav 31(1), 3-14.</w:t>
      </w:r>
    </w:p>
    <w:p w14:paraId="794B587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Winhusen, T.M., Adinoff, B., Lewis, D.F., Brigham, G.S., Gardin, J.G., 2nd, Sonne, S.C., Theobald, J., Ghitza, U., 2013. A tale of two stimulants: mentholated cigarettes may play a role in cocaine, but not methamphetamine, dependence. Drug Alcohol Depend 133(3), 845-851.</w:t>
      </w:r>
    </w:p>
    <w:p w14:paraId="5A8D3AF2" w14:textId="77777777" w:rsidR="007F0AE0" w:rsidRPr="00494051" w:rsidRDefault="007F0AE0" w:rsidP="007F0AE0">
      <w:pPr>
        <w:rPr>
          <w:rFonts w:cstheme="minorHAnsi"/>
          <w:b/>
          <w:highlight w:val="green"/>
        </w:rPr>
        <w:sectPr w:rsidR="007F0AE0" w:rsidRPr="00494051" w:rsidSect="000F3C17">
          <w:pgSz w:w="12240" w:h="15840"/>
          <w:pgMar w:top="1440" w:right="1440" w:bottom="1440" w:left="1440" w:header="720" w:footer="720" w:gutter="0"/>
          <w:cols w:space="720"/>
          <w:titlePg/>
          <w:docGrid w:linePitch="360"/>
        </w:sectPr>
      </w:pPr>
      <w:r w:rsidRPr="000F3C17">
        <w:fldChar w:fldCharType="end"/>
      </w:r>
    </w:p>
    <w:p w14:paraId="771B49D3" w14:textId="77777777" w:rsidR="007F0AE0" w:rsidRPr="00494051" w:rsidRDefault="007F0AE0" w:rsidP="007F0AE0">
      <w:pPr>
        <w:outlineLvl w:val="0"/>
        <w:rPr>
          <w:rFonts w:cstheme="minorHAnsi"/>
          <w:b/>
        </w:rPr>
      </w:pPr>
      <w:bookmarkStart w:id="27" w:name="Supp8"/>
      <w:r w:rsidRPr="00494051">
        <w:rPr>
          <w:rFonts w:cstheme="minorHAnsi"/>
          <w:b/>
        </w:rPr>
        <w:lastRenderedPageBreak/>
        <w:t xml:space="preserve">SUPPLEMENTAL SECTION </w:t>
      </w:r>
      <w:r>
        <w:rPr>
          <w:rFonts w:cstheme="minorHAnsi"/>
          <w:b/>
        </w:rPr>
        <w:t>11</w:t>
      </w:r>
      <w:r w:rsidRPr="00494051">
        <w:rPr>
          <w:rFonts w:cstheme="minorHAnsi"/>
          <w:b/>
        </w:rPr>
        <w:t>: Study Quality Assessments</w:t>
      </w:r>
    </w:p>
    <w:tbl>
      <w:tblPr>
        <w:tblW w:w="12086"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07"/>
        <w:gridCol w:w="1061"/>
        <w:gridCol w:w="1061"/>
        <w:gridCol w:w="1061"/>
        <w:gridCol w:w="1267"/>
        <w:gridCol w:w="1061"/>
        <w:gridCol w:w="1061"/>
        <w:gridCol w:w="1707"/>
      </w:tblGrid>
      <w:tr w:rsidR="007F0AE0" w:rsidRPr="00494051" w14:paraId="21C84D82" w14:textId="77777777" w:rsidTr="00453DE3">
        <w:trPr>
          <w:cantSplit/>
          <w:trHeight w:val="20"/>
          <w:tblHeader/>
        </w:trPr>
        <w:tc>
          <w:tcPr>
            <w:tcW w:w="3256" w:type="dxa"/>
            <w:shd w:val="clear" w:color="auto" w:fill="44546A" w:themeFill="text2"/>
            <w:noWrap/>
            <w:tcMar>
              <w:top w:w="62" w:type="dxa"/>
              <w:left w:w="62" w:type="dxa"/>
              <w:bottom w:w="62" w:type="dxa"/>
              <w:right w:w="62" w:type="dxa"/>
            </w:tcMar>
            <w:vAlign w:val="center"/>
            <w:hideMark/>
          </w:tcPr>
          <w:bookmarkEnd w:id="27"/>
          <w:p w14:paraId="6CEC23C7"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Study</w:t>
            </w:r>
          </w:p>
        </w:tc>
        <w:tc>
          <w:tcPr>
            <w:tcW w:w="907" w:type="dxa"/>
            <w:shd w:val="clear" w:color="auto" w:fill="44546A" w:themeFill="text2"/>
            <w:tcMar>
              <w:top w:w="62" w:type="dxa"/>
              <w:left w:w="62" w:type="dxa"/>
              <w:bottom w:w="62" w:type="dxa"/>
              <w:right w:w="62" w:type="dxa"/>
            </w:tcMar>
            <w:vAlign w:val="center"/>
            <w:hideMark/>
          </w:tcPr>
          <w:p w14:paraId="3A257A83"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Reporting (Q1-10)</w:t>
            </w:r>
          </w:p>
        </w:tc>
        <w:tc>
          <w:tcPr>
            <w:tcW w:w="907" w:type="dxa"/>
            <w:shd w:val="clear" w:color="auto" w:fill="44546A" w:themeFill="text2"/>
            <w:tcMar>
              <w:top w:w="62" w:type="dxa"/>
              <w:left w:w="62" w:type="dxa"/>
              <w:bottom w:w="62" w:type="dxa"/>
              <w:right w:w="62" w:type="dxa"/>
            </w:tcMar>
            <w:vAlign w:val="center"/>
            <w:hideMark/>
          </w:tcPr>
          <w:p w14:paraId="4AD9B8C0"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External Validity (Q11-13)</w:t>
            </w:r>
          </w:p>
        </w:tc>
        <w:tc>
          <w:tcPr>
            <w:tcW w:w="907" w:type="dxa"/>
            <w:shd w:val="clear" w:color="auto" w:fill="44546A" w:themeFill="text2"/>
            <w:tcMar>
              <w:top w:w="62" w:type="dxa"/>
              <w:left w:w="62" w:type="dxa"/>
              <w:bottom w:w="62" w:type="dxa"/>
              <w:right w:w="62" w:type="dxa"/>
            </w:tcMar>
            <w:vAlign w:val="center"/>
            <w:hideMark/>
          </w:tcPr>
          <w:p w14:paraId="1D916A54"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Internal Validity/ Bias (Q14-20)</w:t>
            </w:r>
          </w:p>
        </w:tc>
        <w:tc>
          <w:tcPr>
            <w:tcW w:w="907" w:type="dxa"/>
            <w:shd w:val="clear" w:color="auto" w:fill="44546A" w:themeFill="text2"/>
            <w:tcMar>
              <w:top w:w="62" w:type="dxa"/>
              <w:left w:w="62" w:type="dxa"/>
              <w:bottom w:w="62" w:type="dxa"/>
              <w:right w:w="62" w:type="dxa"/>
            </w:tcMar>
            <w:vAlign w:val="center"/>
            <w:hideMark/>
          </w:tcPr>
          <w:p w14:paraId="6EA8E46A"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Internal Validity / Confounding (Q21-26)</w:t>
            </w:r>
          </w:p>
        </w:tc>
        <w:tc>
          <w:tcPr>
            <w:tcW w:w="907" w:type="dxa"/>
            <w:shd w:val="clear" w:color="auto" w:fill="44546A" w:themeFill="text2"/>
            <w:tcMar>
              <w:top w:w="62" w:type="dxa"/>
              <w:left w:w="62" w:type="dxa"/>
              <w:bottom w:w="62" w:type="dxa"/>
              <w:right w:w="62" w:type="dxa"/>
            </w:tcMar>
            <w:vAlign w:val="center"/>
            <w:hideMark/>
          </w:tcPr>
          <w:p w14:paraId="604FB6C9"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Power (Q27)</w:t>
            </w:r>
          </w:p>
        </w:tc>
        <w:tc>
          <w:tcPr>
            <w:tcW w:w="907" w:type="dxa"/>
            <w:shd w:val="clear" w:color="auto" w:fill="44546A" w:themeFill="text2"/>
            <w:noWrap/>
            <w:tcMar>
              <w:top w:w="62" w:type="dxa"/>
              <w:left w:w="62" w:type="dxa"/>
              <w:bottom w:w="62" w:type="dxa"/>
              <w:right w:w="62" w:type="dxa"/>
            </w:tcMar>
            <w:vAlign w:val="center"/>
            <w:hideMark/>
          </w:tcPr>
          <w:p w14:paraId="6D2415A8"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Total</w:t>
            </w:r>
          </w:p>
        </w:tc>
        <w:tc>
          <w:tcPr>
            <w:tcW w:w="1459" w:type="dxa"/>
            <w:shd w:val="clear" w:color="auto" w:fill="44546A" w:themeFill="text2"/>
            <w:noWrap/>
            <w:tcMar>
              <w:top w:w="62" w:type="dxa"/>
              <w:left w:w="62" w:type="dxa"/>
              <w:bottom w:w="62" w:type="dxa"/>
              <w:right w:w="62" w:type="dxa"/>
            </w:tcMar>
            <w:vAlign w:val="center"/>
            <w:hideMark/>
          </w:tcPr>
          <w:p w14:paraId="1C5FC9AA" w14:textId="77777777" w:rsidR="007F0AE0" w:rsidRPr="00494051" w:rsidRDefault="007F0AE0" w:rsidP="00453DE3">
            <w:pPr>
              <w:contextualSpacing/>
              <w:jc w:val="center"/>
              <w:rPr>
                <w:rFonts w:cstheme="minorHAnsi"/>
                <w:b/>
                <w:bCs/>
                <w:color w:val="FFFFFF"/>
                <w:sz w:val="18"/>
                <w:szCs w:val="18"/>
              </w:rPr>
            </w:pPr>
            <w:r w:rsidRPr="00494051">
              <w:rPr>
                <w:rFonts w:cstheme="minorHAnsi"/>
                <w:b/>
                <w:bCs/>
                <w:color w:val="FFFFFF"/>
                <w:sz w:val="18"/>
                <w:szCs w:val="18"/>
              </w:rPr>
              <w:t>Rating</w:t>
            </w:r>
          </w:p>
        </w:tc>
      </w:tr>
      <w:tr w:rsidR="007F0AE0" w:rsidRPr="00494051" w14:paraId="2713A2E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C524A66"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14" w:tooltip="Alexander, 2010 #59" w:history="1">
              <w:r>
                <w:rPr>
                  <w:rFonts w:cstheme="minorHAnsi"/>
                  <w:noProof/>
                  <w:color w:val="000000"/>
                  <w:sz w:val="18"/>
                  <w:szCs w:val="18"/>
                </w:rPr>
                <w:t>14</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BFCDA3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E4B209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32DAFF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7AC5A87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0BDDE85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B26B06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764A9A7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12AE1774"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75DB7F6"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PEVuZE5vdGU+PENpdGU+PEF1dGhvcj5CZXJnPC9BdXRob3I+PFllYXI+MjAxMDwvWWVhcj48UmVj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24" w:tooltip="Okuyemi, 2007 #74" w:history="1">
              <w:r>
                <w:rPr>
                  <w:rFonts w:cstheme="minorHAnsi"/>
                  <w:noProof/>
                  <w:color w:val="000000"/>
                  <w:sz w:val="18"/>
                  <w:szCs w:val="18"/>
                </w:rPr>
                <w:t>24</w:t>
              </w:r>
            </w:hyperlink>
            <w:r>
              <w:rPr>
                <w:rFonts w:cstheme="minorHAnsi"/>
                <w:noProof/>
                <w:color w:val="000000"/>
                <w:sz w:val="18"/>
                <w:szCs w:val="18"/>
              </w:rPr>
              <w:t xml:space="preserve">, </w:t>
            </w:r>
            <w:hyperlink w:anchor="_ENREF_67" w:tooltip="Berg, 2010 #102" w:history="1">
              <w:r>
                <w:rPr>
                  <w:rFonts w:cstheme="minorHAnsi"/>
                  <w:noProof/>
                  <w:color w:val="000000"/>
                  <w:sz w:val="18"/>
                  <w:szCs w:val="18"/>
                </w:rPr>
                <w:t>67</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216720C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0C602B1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6060B8F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79A49F6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3B8399F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2B7770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25</w:t>
            </w:r>
          </w:p>
        </w:tc>
        <w:tc>
          <w:tcPr>
            <w:tcW w:w="1459" w:type="dxa"/>
            <w:shd w:val="clear" w:color="auto" w:fill="auto"/>
            <w:noWrap/>
            <w:tcMar>
              <w:top w:w="62" w:type="dxa"/>
              <w:left w:w="62" w:type="dxa"/>
              <w:bottom w:w="62" w:type="dxa"/>
              <w:right w:w="62" w:type="dxa"/>
            </w:tcMar>
            <w:vAlign w:val="bottom"/>
            <w:hideMark/>
          </w:tcPr>
          <w:p w14:paraId="135DDB2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3044102D"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BC68945"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4A8CE48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1A27B4F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055F16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C1A9A1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23963B8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57568F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16</w:t>
            </w:r>
          </w:p>
        </w:tc>
        <w:tc>
          <w:tcPr>
            <w:tcW w:w="1459" w:type="dxa"/>
            <w:shd w:val="clear" w:color="auto" w:fill="auto"/>
            <w:noWrap/>
            <w:tcMar>
              <w:top w:w="62" w:type="dxa"/>
              <w:left w:w="62" w:type="dxa"/>
              <w:bottom w:w="62" w:type="dxa"/>
              <w:right w:w="62" w:type="dxa"/>
            </w:tcMar>
            <w:vAlign w:val="bottom"/>
            <w:hideMark/>
          </w:tcPr>
          <w:p w14:paraId="14482F1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3DD7AB1E"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3E2D615E"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&lt;EndNote&gt;&lt;Cite&gt;&lt;Author&gt;Brooks&lt;/Author&gt;&lt;Year&gt;2003&lt;/Year&gt;&lt;RecNum&gt;290&lt;/RecNum&gt;&lt;DisplayText&gt;(21)&lt;/DisplayText&gt;&lt;record&gt;&lt;rec-number&gt;290&lt;/rec-number&gt;&lt;foreign-keys&gt;&lt;key app="EN" db-id="a2vz2dfp8xrad6exes75zwpiw5rxwa0vwapv" timestamp="1484765626"&gt;290&lt;/key&gt;&lt;/foreign-keys&gt;&lt;ref-type name="Journal Article"&gt;17&lt;/ref-type&gt;&lt;contributors&gt;&lt;authors&gt;&lt;author&gt;Brooks, D. R.&lt;/author&gt;&lt;author&gt;Palmer, J. R.&lt;/author&gt;&lt;author&gt;Strom, B. L.&lt;/author&gt;&lt;author&gt;Rosenberg, L.&lt;/author&gt;&lt;/authors&gt;&lt;/contributors&gt;&lt;auth-address&gt;Department of Epidemiology, Boston University School of Public Health, Boston, MA 02118, USA. danbrook@bu.edu&lt;/auth-address&gt;&lt;titles&gt;&lt;title&gt;Menthol cigarettes and risk of lung cancer&lt;/title&gt;&lt;secondary-title&gt;Am J Epidemiol&lt;/secondary-title&gt;&lt;/titles&gt;&lt;periodical&gt;&lt;full-title&gt;Am J Epidemiol&lt;/full-title&gt;&lt;/periodical&gt;&lt;pages&gt;609-16; discussion 617-20&lt;/pages&gt;&lt;volume&gt;158&lt;/volume&gt;&lt;number&gt;7&lt;/number&gt;&lt;keywords&gt;&lt;keyword&gt;Adult&lt;/keyword&gt;&lt;keyword&gt;African Continental Ancestry Group&lt;/keyword&gt;&lt;keyword&gt;Age Distribution&lt;/keyword&gt;&lt;keyword&gt;Aged&lt;/keyword&gt;&lt;keyword&gt;Case-Control Studies&lt;/keyword&gt;&lt;keyword&gt;European Continental Ancestry Group&lt;/keyword&gt;&lt;keyword&gt;Female&lt;/keyword&gt;&lt;keyword&gt;Humans&lt;/keyword&gt;&lt;keyword&gt;Lung Neoplasms/*epidemiology&lt;/keyword&gt;&lt;keyword&gt;Male&lt;/keyword&gt;&lt;keyword&gt;Menthol/*administration &amp;amp; dosage&lt;/keyword&gt;&lt;keyword&gt;Middle Aged&lt;/keyword&gt;&lt;keyword&gt;Multivariate Analysis&lt;/keyword&gt;&lt;keyword&gt;Odds Ratio&lt;/keyword&gt;&lt;keyword&gt;Population Surveillance&lt;/keyword&gt;&lt;keyword&gt;Risk Assessment&lt;/keyword&gt;&lt;keyword&gt;Risk Factors&lt;/keyword&gt;&lt;keyword&gt;Sex Distribution&lt;/keyword&gt;&lt;keyword&gt;Smoking/*epidemiology&lt;/keyword&gt;&lt;keyword&gt;Socioeconomic Factors&lt;/keyword&gt;&lt;keyword&gt;United States/epidemiology&lt;/keyword&gt;&lt;/keywords&gt;&lt;dates&gt;&lt;year&gt;2003&lt;/year&gt;&lt;pub-dates&gt;&lt;date&gt;Oct 01&lt;/date&gt;&lt;/pub-dates&gt;&lt;/dates&gt;&lt;isbn&gt;0002-9262 (Print)&amp;#xD;0002-9262 (Linking)&lt;/isbn&gt;&lt;accession-num&gt;14507595&lt;/accession-num&gt;&lt;urls&gt;&lt;related-urls&gt;&lt;url&gt;https://www.ncbi.nlm.nih.gov/pubmed/14507595&lt;/url&gt;&lt;/related-urls&gt;&lt;/urls&gt;&lt;/record&gt;&lt;/Cite&gt;&lt;/EndNote&gt;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21" w:tooltip="Brooks, 2003 #290" w:history="1">
              <w:r>
                <w:rPr>
                  <w:rFonts w:cstheme="minorHAnsi"/>
                  <w:noProof/>
                  <w:color w:val="000000"/>
                  <w:sz w:val="18"/>
                  <w:szCs w:val="18"/>
                </w:rPr>
                <w:t>21</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6DFD36E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tcPr>
          <w:p w14:paraId="262F268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79E5423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tcPr>
          <w:p w14:paraId="6B2ADF0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tcPr>
          <w:p w14:paraId="66BBB4E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tcPr>
          <w:p w14:paraId="4A17471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16</w:t>
            </w:r>
          </w:p>
        </w:tc>
        <w:tc>
          <w:tcPr>
            <w:tcW w:w="1459" w:type="dxa"/>
            <w:shd w:val="clear" w:color="auto" w:fill="auto"/>
            <w:noWrap/>
            <w:tcMar>
              <w:top w:w="62" w:type="dxa"/>
              <w:left w:w="62" w:type="dxa"/>
              <w:bottom w:w="62" w:type="dxa"/>
              <w:right w:w="62" w:type="dxa"/>
            </w:tcMar>
            <w:vAlign w:val="bottom"/>
          </w:tcPr>
          <w:p w14:paraId="7A0F73B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05DD3B78"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5CC842E"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PEVuZE5vdGU+PENpdGU+PEF1dGhvcj5Dcm9wc2V5PC9BdXRob3I+PFllYXI+MjAwOTwvWWVhcj48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65" w:tooltip="Cropsey, 2009 #66" w:history="1">
              <w:r>
                <w:rPr>
                  <w:rFonts w:cstheme="minorHAnsi"/>
                  <w:noProof/>
                  <w:color w:val="000000"/>
                  <w:sz w:val="18"/>
                  <w:szCs w:val="18"/>
                </w:rPr>
                <w:t>65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1F789D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7070C31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0FA3BF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0ADAC26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0560BD3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6B46B71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17</w:t>
            </w:r>
          </w:p>
        </w:tc>
        <w:tc>
          <w:tcPr>
            <w:tcW w:w="1459" w:type="dxa"/>
            <w:shd w:val="clear" w:color="auto" w:fill="auto"/>
            <w:noWrap/>
            <w:tcMar>
              <w:top w:w="62" w:type="dxa"/>
              <w:left w:w="62" w:type="dxa"/>
              <w:bottom w:w="62" w:type="dxa"/>
              <w:right w:w="62" w:type="dxa"/>
            </w:tcMar>
            <w:vAlign w:val="bottom"/>
            <w:hideMark/>
          </w:tcPr>
          <w:p w14:paraId="12EC148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11148AB"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33F20B2"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20" w:tooltip="Cubbin, 2010 #53" w:history="1">
              <w:r>
                <w:rPr>
                  <w:rFonts w:cstheme="minorHAnsi"/>
                  <w:noProof/>
                  <w:color w:val="000000"/>
                  <w:sz w:val="18"/>
                  <w:szCs w:val="18"/>
                </w:rPr>
                <w:t>20</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77D605A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68A4ED2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A2BD90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1F328B4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117296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09BDD6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1689D73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169CCB8F"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F1DA81B"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57" w:tooltip="Delnevo, 2011 #42" w:history="1">
              <w:r>
                <w:rPr>
                  <w:rFonts w:cstheme="minorHAnsi"/>
                  <w:noProof/>
                  <w:color w:val="000000"/>
                  <w:sz w:val="18"/>
                  <w:szCs w:val="18"/>
                </w:rPr>
                <w:t>57</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FC6E16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BC3400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C7D460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0CF47EC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1AB0FC1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2C345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685EC44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1986C36D"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839F8C8"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18" w:tooltip="Delnevo, 2015 #1" w:history="1">
              <w:r>
                <w:rPr>
                  <w:rFonts w:cstheme="minorHAnsi"/>
                  <w:noProof/>
                  <w:color w:val="000000"/>
                  <w:sz w:val="18"/>
                  <w:szCs w:val="18"/>
                </w:rPr>
                <w:t>18</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309BD3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27ADA9E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4C5C97A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1731E49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01C2EC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43C718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1DDBEFA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23E6A44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6203DE9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PEVuZE5vdGU+PENpdGU+PEF1dGhvcj5EJmFwb3M7U2lsdmE8L0F1dGhvcj48WWVhcj4yMDEyPC9Z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42" w:tooltip="D'Silva, 2012 #33" w:history="1">
              <w:r>
                <w:rPr>
                  <w:rFonts w:cstheme="minorHAnsi"/>
                  <w:noProof/>
                  <w:color w:val="000000"/>
                  <w:sz w:val="18"/>
                  <w:szCs w:val="18"/>
                </w:rPr>
                <w:t>42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97E8D2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16FA3CF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19022FE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03F50FD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6B6D207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483570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17</w:t>
            </w:r>
          </w:p>
        </w:tc>
        <w:tc>
          <w:tcPr>
            <w:tcW w:w="1459" w:type="dxa"/>
            <w:shd w:val="clear" w:color="auto" w:fill="auto"/>
            <w:noWrap/>
            <w:tcMar>
              <w:top w:w="62" w:type="dxa"/>
              <w:left w:w="62" w:type="dxa"/>
              <w:bottom w:w="62" w:type="dxa"/>
              <w:right w:w="62" w:type="dxa"/>
            </w:tcMar>
            <w:vAlign w:val="bottom"/>
            <w:hideMark/>
          </w:tcPr>
          <w:p w14:paraId="4DADE99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01DADB77"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62397655"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36" w:tooltip="Fagan, 2007 #94" w:history="1">
              <w:r>
                <w:rPr>
                  <w:rFonts w:cstheme="minorHAnsi"/>
                  <w:noProof/>
                  <w:color w:val="000000"/>
                  <w:sz w:val="18"/>
                  <w:szCs w:val="18"/>
                </w:rPr>
                <w:t>36</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517D97B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5A31EC1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83C344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48AE91E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6C1F823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FD430A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hideMark/>
          </w:tcPr>
          <w:p w14:paraId="5A5B766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70ABB316"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422099F"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PEVuZE5vdGU+PENpdGU+PEF1dGhvcj5GYWdhbjwvQXV0aG9yPjxZZWFyPjIwMTA8L1llYXI+PFJl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12" w:tooltip="Fagan, 2010 #56" w:history="1">
              <w:r>
                <w:rPr>
                  <w:rFonts w:cstheme="minorHAnsi"/>
                  <w:noProof/>
                  <w:color w:val="000000"/>
                  <w:sz w:val="18"/>
                  <w:szCs w:val="18"/>
                </w:rPr>
                <w:t>12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8D7E4B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3D6F1E8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AF3AC4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21264F8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55C5DF8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31E51E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17</w:t>
            </w:r>
          </w:p>
        </w:tc>
        <w:tc>
          <w:tcPr>
            <w:tcW w:w="1459" w:type="dxa"/>
            <w:shd w:val="clear" w:color="auto" w:fill="auto"/>
            <w:noWrap/>
            <w:tcMar>
              <w:top w:w="62" w:type="dxa"/>
              <w:left w:w="62" w:type="dxa"/>
              <w:bottom w:w="62" w:type="dxa"/>
              <w:right w:w="62" w:type="dxa"/>
            </w:tcMar>
            <w:hideMark/>
          </w:tcPr>
          <w:p w14:paraId="5D390CC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2B789A9C"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60244D0"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PEVuZE5vdGU+PENpdGU+PEF1dGhvcj5GYWdhbjwvQXV0aG9yPjxZZWFyPjIwMTU8L1llYXI+PFJl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25" w:tooltip="Fagan, 2015 #5" w:history="1">
              <w:r>
                <w:rPr>
                  <w:rFonts w:cstheme="minorHAnsi"/>
                  <w:noProof/>
                  <w:color w:val="000000"/>
                  <w:sz w:val="18"/>
                  <w:szCs w:val="18"/>
                </w:rPr>
                <w:t>25</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20168FB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10</w:t>
            </w:r>
          </w:p>
        </w:tc>
        <w:tc>
          <w:tcPr>
            <w:tcW w:w="907" w:type="dxa"/>
            <w:shd w:val="clear" w:color="auto" w:fill="auto"/>
            <w:noWrap/>
            <w:tcMar>
              <w:top w:w="62" w:type="dxa"/>
              <w:left w:w="62" w:type="dxa"/>
              <w:bottom w:w="62" w:type="dxa"/>
              <w:right w:w="62" w:type="dxa"/>
            </w:tcMar>
            <w:vAlign w:val="bottom"/>
            <w:hideMark/>
          </w:tcPr>
          <w:p w14:paraId="1C953DF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24782E8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319E21E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1A865BA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2F75ED6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hideMark/>
          </w:tcPr>
          <w:p w14:paraId="5A207D6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3FC640EF"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CD02E9C"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PEVuZE5vdGU+PENpdGU+PEF1dGhvcj5GYXNlcnU8L0F1dGhvcj48WWVhcj4yMDExPC9ZZWFyPjxS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26" w:tooltip="Faseru, 2011 #40" w:history="1">
              <w:r>
                <w:rPr>
                  <w:rFonts w:cstheme="minorHAnsi"/>
                  <w:noProof/>
                  <w:color w:val="000000"/>
                  <w:sz w:val="18"/>
                  <w:szCs w:val="18"/>
                </w:rPr>
                <w:t>26</w:t>
              </w:r>
            </w:hyperlink>
            <w:r>
              <w:rPr>
                <w:rFonts w:cstheme="minorHAnsi"/>
                <w:noProof/>
                <w:color w:val="000000"/>
                <w:sz w:val="18"/>
                <w:szCs w:val="18"/>
              </w:rPr>
              <w:t xml:space="preserve">, </w:t>
            </w:r>
            <w:hyperlink w:anchor="_ENREF_27" w:tooltip="Faseru, 2013 #29" w:history="1">
              <w:r>
                <w:rPr>
                  <w:rFonts w:cstheme="minorHAnsi"/>
                  <w:noProof/>
                  <w:color w:val="000000"/>
                  <w:sz w:val="18"/>
                  <w:szCs w:val="18"/>
                </w:rPr>
                <w:t>27</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998EBA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2A94CBA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95637D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6BA8E8F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49FEAFA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AA5D58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22</w:t>
            </w:r>
          </w:p>
        </w:tc>
        <w:tc>
          <w:tcPr>
            <w:tcW w:w="1459" w:type="dxa"/>
            <w:shd w:val="clear" w:color="auto" w:fill="auto"/>
            <w:noWrap/>
            <w:tcMar>
              <w:top w:w="62" w:type="dxa"/>
              <w:left w:w="62" w:type="dxa"/>
              <w:bottom w:w="62" w:type="dxa"/>
              <w:right w:w="62" w:type="dxa"/>
            </w:tcMar>
            <w:vAlign w:val="bottom"/>
            <w:hideMark/>
          </w:tcPr>
          <w:p w14:paraId="56FCEAB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52358620"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33B5D65C"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66" w:tooltip="Foulds, 2006 #95" w:history="1">
              <w:r>
                <w:rPr>
                  <w:rFonts w:cstheme="minorHAnsi"/>
                  <w:noProof/>
                  <w:color w:val="000000"/>
                  <w:sz w:val="18"/>
                  <w:szCs w:val="18"/>
                </w:rPr>
                <w:t>66</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tcPr>
          <w:p w14:paraId="61ED507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tcPr>
          <w:p w14:paraId="683535F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5C64B9F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tcPr>
          <w:p w14:paraId="1F3F4C7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5A6638B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1E9BA8F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tcPr>
          <w:p w14:paraId="54AED53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0C4E3B91"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6A6764D8"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23" w:tooltip="Fu, 2008 #72" w:history="1">
              <w:r>
                <w:rPr>
                  <w:rFonts w:cstheme="minorHAnsi"/>
                  <w:noProof/>
                  <w:color w:val="000000"/>
                  <w:sz w:val="18"/>
                  <w:szCs w:val="18"/>
                </w:rPr>
                <w:t>23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B94AFE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22CE6F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7FA483F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6567817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4EDE408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F5EE29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3626DF3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CE828F8"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04FE372"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7" w:tooltip="Gandhi, 2009 #67" w:history="1">
              <w:r>
                <w:rPr>
                  <w:rFonts w:cstheme="minorHAnsi"/>
                  <w:noProof/>
                  <w:color w:val="000000"/>
                  <w:sz w:val="18"/>
                  <w:szCs w:val="18"/>
                </w:rPr>
                <w:t>47</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3D567F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2D02BA5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CB2566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40A9378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36C44A4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23615E0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6961182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E8DD0FA"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017890A8" w14:textId="77777777" w:rsidR="007F0AE0" w:rsidRPr="00494051" w:rsidRDefault="007F0AE0" w:rsidP="00453DE3">
            <w:pPr>
              <w:contextualSpacing/>
              <w:rPr>
                <w:rFonts w:cstheme="minorHAnsi"/>
                <w:color w:val="000000"/>
                <w:sz w:val="18"/>
                <w:szCs w:val="18"/>
              </w:rPr>
            </w:pPr>
            <w:r>
              <w:rPr>
                <w:rFonts w:cstheme="minorHAnsi"/>
                <w:color w:val="000000"/>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28" w:tooltip="Gubner, 2018 #601" w:history="1">
              <w:r>
                <w:rPr>
                  <w:rFonts w:cstheme="minorHAnsi"/>
                  <w:noProof/>
                  <w:color w:val="000000"/>
                  <w:sz w:val="18"/>
                  <w:szCs w:val="18"/>
                </w:rPr>
                <w:t>28</w:t>
              </w:r>
            </w:hyperlink>
            <w:r>
              <w:rPr>
                <w:rFonts w:cstheme="minorHAnsi"/>
                <w:noProof/>
                <w:color w:val="000000"/>
                <w:sz w:val="18"/>
                <w:szCs w:val="18"/>
              </w:rPr>
              <w:t>)</w:t>
            </w:r>
            <w:r>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0952395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tcPr>
          <w:p w14:paraId="326EEDA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649F778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54B9F23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7C8DFA8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6DD1D38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tcPr>
          <w:p w14:paraId="25ABE57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6D29D81"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196F81D"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59" w:tooltip="Gundersen, 2009 #65" w:history="1">
              <w:r>
                <w:rPr>
                  <w:rFonts w:cstheme="minorHAnsi"/>
                  <w:noProof/>
                  <w:color w:val="000000"/>
                  <w:sz w:val="18"/>
                  <w:szCs w:val="18"/>
                </w:rPr>
                <w:t>59</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7B93C9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68562E5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D3CB65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2D2D0A2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33EBDB2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A44391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264F2F3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3EAD0A67"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8F13FDF"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PEVuZE5vdGU+PENpdGU+PEF1dGhvcj5IYXJyaXM8L0F1dGhvcj48WWVhcj4yMDA0PC9ZZWFyPjxS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48" w:tooltip="Harris, 2004 #82" w:history="1">
              <w:r>
                <w:rPr>
                  <w:rFonts w:cstheme="minorHAnsi"/>
                  <w:noProof/>
                  <w:color w:val="000000"/>
                  <w:sz w:val="18"/>
                  <w:szCs w:val="18"/>
                </w:rPr>
                <w:t>48</w:t>
              </w:r>
            </w:hyperlink>
            <w:r>
              <w:rPr>
                <w:rFonts w:cstheme="minorHAnsi"/>
                <w:noProof/>
                <w:color w:val="000000"/>
                <w:sz w:val="18"/>
                <w:szCs w:val="18"/>
              </w:rPr>
              <w:t xml:space="preserve">, </w:t>
            </w:r>
            <w:hyperlink w:anchor="_ENREF_49" w:tooltip="Okuyemi, 2003 #85" w:history="1">
              <w:r>
                <w:rPr>
                  <w:rFonts w:cstheme="minorHAnsi"/>
                  <w:noProof/>
                  <w:color w:val="000000"/>
                  <w:sz w:val="18"/>
                  <w:szCs w:val="18"/>
                </w:rPr>
                <w:t>49</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7A2C17F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08A0434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742185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0DADA79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5A04073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7962A1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24</w:t>
            </w:r>
          </w:p>
        </w:tc>
        <w:tc>
          <w:tcPr>
            <w:tcW w:w="1459" w:type="dxa"/>
            <w:shd w:val="clear" w:color="auto" w:fill="auto"/>
            <w:noWrap/>
            <w:tcMar>
              <w:top w:w="62" w:type="dxa"/>
              <w:left w:w="62" w:type="dxa"/>
              <w:bottom w:w="62" w:type="dxa"/>
              <w:right w:w="62" w:type="dxa"/>
            </w:tcMar>
            <w:vAlign w:val="bottom"/>
            <w:hideMark/>
          </w:tcPr>
          <w:p w14:paraId="06D89A8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61416B5F"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F74F7B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&lt;EndNote&gt;&lt;Cite&gt;&lt;Author&gt;Hersey&lt;/Author&gt;&lt;Year&gt;2006&lt;/Year&gt;&lt;RecNum&gt;80&lt;/RecNum&gt;&lt;DisplayText&gt;(44)&lt;/DisplayText&gt;&lt;record&gt;&lt;rec-number&gt;80&lt;/rec-number&gt;&lt;foreign-keys&gt;&lt;key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4" w:tooltip="Hersey, 2006 #80" w:history="1">
              <w:r>
                <w:rPr>
                  <w:rFonts w:cstheme="minorHAnsi"/>
                  <w:noProof/>
                  <w:color w:val="000000"/>
                  <w:sz w:val="18"/>
                  <w:szCs w:val="18"/>
                </w:rPr>
                <w:t>44</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54F3F2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1C37A78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1E23658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4EFB94D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24899B9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E223B5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22</w:t>
            </w:r>
          </w:p>
        </w:tc>
        <w:tc>
          <w:tcPr>
            <w:tcW w:w="1459" w:type="dxa"/>
            <w:shd w:val="clear" w:color="auto" w:fill="auto"/>
            <w:noWrap/>
            <w:tcMar>
              <w:top w:w="62" w:type="dxa"/>
              <w:left w:w="62" w:type="dxa"/>
              <w:bottom w:w="62" w:type="dxa"/>
              <w:right w:w="62" w:type="dxa"/>
            </w:tcMar>
            <w:vAlign w:val="bottom"/>
            <w:hideMark/>
          </w:tcPr>
          <w:p w14:paraId="124AF90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30FD0F28"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25C0FAD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6" w:tooltip="Hyland, 2010 #100" w:history="1">
              <w:r>
                <w:rPr>
                  <w:rFonts w:cstheme="minorHAnsi"/>
                  <w:noProof/>
                  <w:color w:val="000000"/>
                  <w:sz w:val="18"/>
                  <w:szCs w:val="18"/>
                </w:rPr>
                <w:t>46</w:t>
              </w:r>
            </w:hyperlink>
            <w:r>
              <w:rPr>
                <w:rFonts w:cstheme="minorHAnsi"/>
                <w:noProof/>
                <w:color w:val="000000"/>
                <w:sz w:val="18"/>
                <w:szCs w:val="18"/>
              </w:rPr>
              <w:t xml:space="preserve">, </w:t>
            </w:r>
            <w:hyperlink w:anchor="_ENREF_50" w:tooltip="Hyland, 2002 #87" w:history="1">
              <w:r>
                <w:rPr>
                  <w:rFonts w:cstheme="minorHAnsi"/>
                  <w:noProof/>
                  <w:color w:val="000000"/>
                  <w:sz w:val="18"/>
                  <w:szCs w:val="18"/>
                </w:rPr>
                <w:t>50</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776325E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1B2D48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3491355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41B6FCD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240F194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24989B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23</w:t>
            </w:r>
          </w:p>
        </w:tc>
        <w:tc>
          <w:tcPr>
            <w:tcW w:w="1459" w:type="dxa"/>
            <w:shd w:val="clear" w:color="auto" w:fill="auto"/>
            <w:noWrap/>
            <w:tcMar>
              <w:top w:w="62" w:type="dxa"/>
              <w:left w:w="62" w:type="dxa"/>
              <w:bottom w:w="62" w:type="dxa"/>
              <w:right w:w="62" w:type="dxa"/>
            </w:tcMar>
            <w:vAlign w:val="bottom"/>
            <w:hideMark/>
          </w:tcPr>
          <w:p w14:paraId="0A3511E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556AEAA4"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773B4081"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&lt;EndNote&gt;&lt;Cite&gt;&lt;Author&gt;Jarvik&lt;/Author&gt;&lt;Year&gt;1994&lt;/Year&gt;&lt;RecNum&gt;90&lt;/RecNum&gt;&lt;DisplayText&gt;(51)&lt;/DisplayText&gt;&lt;record&gt;&lt;rec-number&gt;90&lt;/rec-number&gt;&lt;foreign-keys&gt;&lt;key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51" w:tooltip="Jarvik, 1994 #90" w:history="1">
              <w:r>
                <w:rPr>
                  <w:rFonts w:cstheme="minorHAnsi"/>
                  <w:noProof/>
                  <w:color w:val="000000"/>
                  <w:sz w:val="18"/>
                  <w:szCs w:val="18"/>
                </w:rPr>
                <w:t>51</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7267F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5B06E36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24E5EE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039C7DA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258CEAB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2A15957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13</w:t>
            </w:r>
          </w:p>
        </w:tc>
        <w:tc>
          <w:tcPr>
            <w:tcW w:w="1459" w:type="dxa"/>
            <w:shd w:val="clear" w:color="auto" w:fill="auto"/>
            <w:noWrap/>
            <w:tcMar>
              <w:top w:w="62" w:type="dxa"/>
              <w:left w:w="62" w:type="dxa"/>
              <w:bottom w:w="62" w:type="dxa"/>
              <w:right w:w="62" w:type="dxa"/>
            </w:tcMar>
            <w:vAlign w:val="bottom"/>
            <w:hideMark/>
          </w:tcPr>
          <w:p w14:paraId="1914FE4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Poor (&lt;=14)</w:t>
            </w:r>
          </w:p>
        </w:tc>
      </w:tr>
      <w:tr w:rsidR="007F0AE0" w:rsidRPr="00494051" w14:paraId="3F842644"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1B8660E"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34" w:tooltip="Kahende, 2011 #43" w:history="1">
              <w:r>
                <w:rPr>
                  <w:rFonts w:cstheme="minorHAnsi"/>
                  <w:noProof/>
                  <w:color w:val="000000"/>
                  <w:sz w:val="18"/>
                  <w:szCs w:val="18"/>
                </w:rPr>
                <w:t>34</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A2FDDB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3959528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2C0EE5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2E84A13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312A003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35634A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0D2E2D1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3A720AA3"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BBCDBEA"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72" w:tooltip="Kanyuch, 2011 #49" w:history="1">
              <w:r>
                <w:rPr>
                  <w:rFonts w:cstheme="minorHAnsi"/>
                  <w:noProof/>
                  <w:color w:val="000000"/>
                  <w:sz w:val="18"/>
                  <w:szCs w:val="18"/>
                </w:rPr>
                <w:t>72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274D785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620ECE1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6D05277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79C6E0C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DAA447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811E4D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13</w:t>
            </w:r>
          </w:p>
        </w:tc>
        <w:tc>
          <w:tcPr>
            <w:tcW w:w="1459" w:type="dxa"/>
            <w:shd w:val="clear" w:color="auto" w:fill="auto"/>
            <w:noWrap/>
            <w:tcMar>
              <w:top w:w="62" w:type="dxa"/>
              <w:left w:w="62" w:type="dxa"/>
              <w:bottom w:w="62" w:type="dxa"/>
              <w:right w:w="62" w:type="dxa"/>
            </w:tcMar>
            <w:vAlign w:val="bottom"/>
            <w:hideMark/>
          </w:tcPr>
          <w:p w14:paraId="11851B3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Poor (&lt;=14)</w:t>
            </w:r>
          </w:p>
        </w:tc>
      </w:tr>
      <w:tr w:rsidR="007F0AE0" w:rsidRPr="00494051" w14:paraId="1B28C636"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40EDA25"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PEVuZE5vdGU+PENpdGU+PEF1dGhvcj5LYXN6YTwvQXV0aG9yPjxZZWFyPjIwMTQ8L1llYXI+PFJl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40" w:tooltip="Kasza, 2014 #16" w:history="1">
              <w:r>
                <w:rPr>
                  <w:rFonts w:cstheme="minorHAnsi"/>
                  <w:noProof/>
                  <w:color w:val="000000"/>
                  <w:sz w:val="18"/>
                  <w:szCs w:val="18"/>
                </w:rPr>
                <w:t>40</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08D3897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364E8EA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7EC2608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01FDCAB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0055FC9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DC7CBE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74E548D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77B46F9A"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0648D891" w14:textId="77777777" w:rsidR="007F0AE0" w:rsidRPr="00494051" w:rsidRDefault="007F0AE0" w:rsidP="00453DE3">
            <w:pPr>
              <w:contextualSpacing/>
              <w:rPr>
                <w:rFonts w:cstheme="minorHAnsi"/>
                <w:color w:val="000000"/>
                <w:sz w:val="18"/>
                <w:szCs w:val="18"/>
              </w:rPr>
            </w:pPr>
            <w:r>
              <w:rPr>
                <w:rFonts w:cstheme="minorHAnsi"/>
                <w:color w:val="000000"/>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29" w:tooltip="Keeler, 2017 #660" w:history="1">
              <w:r>
                <w:rPr>
                  <w:rFonts w:cstheme="minorHAnsi"/>
                  <w:noProof/>
                  <w:color w:val="000000"/>
                  <w:sz w:val="18"/>
                  <w:szCs w:val="18"/>
                </w:rPr>
                <w:t>29</w:t>
              </w:r>
            </w:hyperlink>
            <w:r>
              <w:rPr>
                <w:rFonts w:cstheme="minorHAnsi"/>
                <w:noProof/>
                <w:color w:val="000000"/>
                <w:sz w:val="18"/>
                <w:szCs w:val="18"/>
              </w:rPr>
              <w:t>)</w:t>
            </w:r>
            <w:r>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33A8E91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tcPr>
          <w:p w14:paraId="720252C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5E2F2E3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530D6A4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44B2B4E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16D3DC7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tcPr>
          <w:p w14:paraId="58BD781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0BDF746"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602A6D11" w14:textId="77777777" w:rsidR="007F0AE0" w:rsidRPr="00494051" w:rsidRDefault="007F0AE0" w:rsidP="00453DE3">
            <w:pPr>
              <w:contextualSpacing/>
              <w:rPr>
                <w:rFonts w:cstheme="minorHAnsi"/>
                <w:color w:val="000000"/>
                <w:sz w:val="18"/>
                <w:szCs w:val="18"/>
              </w:rPr>
            </w:pPr>
            <w:r>
              <w:rPr>
                <w:rFonts w:cstheme="minorHAnsi"/>
                <w:color w:val="000000"/>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30" w:tooltip="Keeler, 2018 #537" w:history="1">
              <w:r>
                <w:rPr>
                  <w:rFonts w:cstheme="minorHAnsi"/>
                  <w:noProof/>
                  <w:color w:val="000000"/>
                  <w:sz w:val="18"/>
                  <w:szCs w:val="18"/>
                </w:rPr>
                <w:t>30</w:t>
              </w:r>
            </w:hyperlink>
            <w:r>
              <w:rPr>
                <w:rFonts w:cstheme="minorHAnsi"/>
                <w:noProof/>
                <w:color w:val="000000"/>
                <w:sz w:val="18"/>
                <w:szCs w:val="18"/>
              </w:rPr>
              <w:t>)</w:t>
            </w:r>
            <w:r>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56A7046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tcPr>
          <w:p w14:paraId="606104D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0502832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4C6DE54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2F01AF8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6EB7CCF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tcPr>
          <w:p w14:paraId="1C3F3AC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2269858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52C40741"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&lt;EndNote&gt;&lt;Cite&gt;&lt;Author&gt;King&lt;/Author&gt;&lt;Year&gt;2011&lt;/Year&gt;&lt;RecNum&gt;104&lt;/RecNum&gt;&lt;DisplayText&gt;(13)&lt;/DisplayText&gt;&lt;record&gt;&lt;rec-number&gt;104&lt;/rec-number&gt;&lt;foreign-keys&gt;&lt;key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13" w:tooltip="King, 2011 #104" w:history="1">
              <w:r>
                <w:rPr>
                  <w:rFonts w:cstheme="minorHAnsi"/>
                  <w:noProof/>
                  <w:color w:val="000000"/>
                  <w:sz w:val="18"/>
                  <w:szCs w:val="18"/>
                </w:rPr>
                <w:t>13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55725C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B50081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0854712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2A8550C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57791FA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5CBF8A4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3B28AC5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E1CA553"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534CE7B"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19" w:tooltip="Levy, 2011 #45" w:history="1">
              <w:r>
                <w:rPr>
                  <w:rFonts w:cstheme="minorHAnsi"/>
                  <w:noProof/>
                  <w:color w:val="000000"/>
                  <w:sz w:val="18"/>
                  <w:szCs w:val="18"/>
                </w:rPr>
                <w:t>19</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5E22C3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20C7D4B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D37241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376FD95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58F1189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44A72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27283F9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008F5B16"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BFF4BB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53" w:tooltip="Lewis, 2014 #17" w:history="1">
              <w:r>
                <w:rPr>
                  <w:rFonts w:cstheme="minorHAnsi"/>
                  <w:noProof/>
                  <w:color w:val="000000"/>
                  <w:sz w:val="18"/>
                  <w:szCs w:val="18"/>
                </w:rPr>
                <w:t>53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C07F71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689FA1E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4F13AFC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414B455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FB0624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CB78D7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18BC081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7373080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6A610B8"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&lt;EndNote&gt;&lt;Cite&gt;&lt;Author&gt;Mendiondo&lt;/Author&gt;&lt;Year&gt;2010&lt;/Year&gt;&lt;RecNum&gt;60&lt;/RecNum&gt;&lt;DisplayText&gt;(22)&lt;/DisplayText&gt;&lt;record&gt;&lt;rec-number&gt;60&lt;/rec-number&gt;&lt;foreign-keys&gt;&lt;key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22" w:tooltip="Mendiondo, 2010 #60" w:history="1">
              <w:r>
                <w:rPr>
                  <w:rFonts w:cstheme="minorHAnsi"/>
                  <w:noProof/>
                  <w:color w:val="000000"/>
                  <w:sz w:val="18"/>
                  <w:szCs w:val="18"/>
                </w:rPr>
                <w:t>22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7BDC1F6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6ACF55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44BE64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1ECE71C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70EF076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CFBD1C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03ABDE1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146E5440"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F086DFB"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&lt;EndNote&gt;&lt;Cite&gt;&lt;Author&gt;Miller&lt;/Author&gt;&lt;Year&gt;1994&lt;/Year&gt;&lt;RecNum&gt;91&lt;/RecNum&gt;&lt;DisplayText&gt;(16)&lt;/DisplayText&gt;&lt;record&gt;&lt;rec-number&gt;91&lt;/rec-number&gt;&lt;foreign-keys&gt;&lt;key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16" w:tooltip="Miller, 1994 #91" w:history="1">
              <w:r>
                <w:rPr>
                  <w:rFonts w:cstheme="minorHAnsi"/>
                  <w:noProof/>
                  <w:color w:val="000000"/>
                  <w:sz w:val="18"/>
                  <w:szCs w:val="18"/>
                </w:rPr>
                <w:t>16</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217003E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6151DCC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C908D4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70897AD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653B83D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73CDBC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34C8BFA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5EE6DDA5"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67A2CD26" w14:textId="77777777" w:rsidR="007F0AE0" w:rsidRPr="00494051" w:rsidRDefault="007F0AE0" w:rsidP="00453DE3">
            <w:pPr>
              <w:contextualSpacing/>
              <w:rPr>
                <w:rFonts w:cstheme="minorHAnsi"/>
                <w:color w:val="000000"/>
                <w:sz w:val="18"/>
                <w:szCs w:val="18"/>
              </w:rPr>
            </w:pPr>
            <w:r>
              <w:rPr>
                <w:rFonts w:cstheme="minorHAnsi"/>
                <w:color w:val="000000"/>
                <w:sz w:val="18"/>
                <w:szCs w:val="18"/>
              </w:rPr>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PEVuZE5vdGU+PENpdGU+PEF1dGhvcj5NdWVuY2g8L0F1dGhvcj48WWVhcj4yMDE3PC9ZZWFyPjxS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Pmh0dHBzOi8vZHguZG9pLm9yZy8xMC4xMDM3L2FkYjAwMDAyNDY8L2VsZWN0cm9uaWMtcmVzb3Vy
Y2UtbnVtPjwvcmVjb3JkPjwvQ2l0ZT48L0VuZE5vdGU+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Pr>
                <w:rFonts w:cstheme="minorHAnsi"/>
                <w:color w:val="000000"/>
                <w:sz w:val="18"/>
                <w:szCs w:val="18"/>
              </w:rPr>
              <w:fldChar w:fldCharType="separate"/>
            </w:r>
            <w:r>
              <w:rPr>
                <w:rFonts w:cstheme="minorHAnsi"/>
                <w:noProof/>
                <w:color w:val="000000"/>
                <w:sz w:val="18"/>
                <w:szCs w:val="18"/>
              </w:rPr>
              <w:t>(</w:t>
            </w:r>
            <w:hyperlink w:anchor="_ENREF_74" w:tooltip="Muench, 2017 #700" w:history="1">
              <w:r>
                <w:rPr>
                  <w:rFonts w:cstheme="minorHAnsi"/>
                  <w:noProof/>
                  <w:color w:val="000000"/>
                  <w:sz w:val="18"/>
                  <w:szCs w:val="18"/>
                </w:rPr>
                <w:t>74</w:t>
              </w:r>
            </w:hyperlink>
            <w:r>
              <w:rPr>
                <w:rFonts w:cstheme="minorHAnsi"/>
                <w:noProof/>
                <w:color w:val="000000"/>
                <w:sz w:val="18"/>
                <w:szCs w:val="18"/>
              </w:rPr>
              <w:t>)</w:t>
            </w:r>
            <w:r>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6BA529F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tcPr>
          <w:p w14:paraId="3A477F3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63E800F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567A3FC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2AEE722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189E952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tcPr>
          <w:p w14:paraId="16CD594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18FC7A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59D1EF8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&lt;EndNote&gt;&lt;Cite&gt;&lt;Author&gt;Murray&lt;/Author&gt;&lt;Year&gt;2007&lt;/Year&gt;&lt;RecNum&gt;77&lt;/RecNum&gt;&lt;DisplayText&gt;(60)&lt;/DisplayText&gt;&lt;record&gt;&lt;rec-number&gt;77&lt;/rec-number&gt;&lt;foreign-keys&gt;&lt;key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60" w:tooltip="Murray, 2007 #77" w:history="1">
              <w:r>
                <w:rPr>
                  <w:rFonts w:cstheme="minorHAnsi"/>
                  <w:noProof/>
                  <w:color w:val="000000"/>
                  <w:sz w:val="18"/>
                  <w:szCs w:val="18"/>
                </w:rPr>
                <w:t>60</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5DE55F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1D95F69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1D211E3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1A90583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2E9590C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3ADFBE6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3497E09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1446ECD7"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3EB912F"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&lt;EndNote&gt;&lt;Cite&gt;&lt;Author&gt;Muscat&lt;/Author&gt;&lt;Year&gt;2002&lt;/Year&gt;&lt;RecNum&gt;86&lt;/RecNum&gt;&lt;DisplayText&gt;(55)&lt;/DisplayText&gt;&lt;record&gt;&lt;rec-number&gt;86&lt;/rec-number&gt;&lt;foreign-keys&gt;&lt;key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55" w:tooltip="Muscat, 2002 #86" w:history="1">
              <w:r>
                <w:rPr>
                  <w:rFonts w:cstheme="minorHAnsi"/>
                  <w:noProof/>
                  <w:color w:val="000000"/>
                  <w:sz w:val="18"/>
                  <w:szCs w:val="18"/>
                </w:rPr>
                <w:t>55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F2D9C6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53D5FD9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536DC84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35A9C18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4C735C6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0AC798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73BF7DB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6F6BE52C"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7FF8AFD2"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&lt;EndNote&gt;&lt;Cite&gt;&lt;Author&gt;Nonnemaker&lt;/Author&gt;&lt;Year&gt;2012&lt;/Year&gt;&lt;RecNum&gt;31&lt;/RecNum&gt;&lt;DisplayText&gt;(61)&lt;/DisplayText&gt;&lt;record&gt;&lt;rec-number&gt;31&lt;/rec-number&gt;&lt;foreign-keys&gt;&lt;key app="EN" db-id="a2vz2dfp8xrad6exes75zwpiw5rxwa0vwapv" timestamp="0"&gt;31&lt;/key&gt;&lt;/foreign-keys&gt;&lt;ref-type name="Journal Article"&gt;17&lt;/ref-type&gt;&lt;contributors&gt;&lt;authors&gt;&lt;author&gt;Nonnemaker, J.&lt;/author&gt;&lt;author&gt;Hersey, J.&lt;/author&gt;&lt;author&gt;Homsi, G.&lt;/author&gt;&lt;author&gt;Busey, A.&lt;/author&gt;&lt;author&gt;Allen, J.&lt;/author&gt;&lt;author&gt;Vallone, D.&lt;/author&gt;&lt;/authors&gt;&lt;/contributors&gt;&lt;auth-address&gt;RTI International, Research Triangle Park, NC 27709-2194, USA. jnonnemaker@rti.org&lt;/auth-address&gt;&lt;titles&gt;&lt;title&gt;Initiation with menthol cigarettes and youth smoking uptake&lt;/title&gt;&lt;secondary-title&gt;Addiction&lt;/secondary-title&gt;&lt;/titles&gt;&lt;periodical&gt;&lt;full-title&gt;Addiction&lt;/full-title&gt;&lt;/periodical&gt;&lt;pages&gt;171-8&lt;/pages&gt;&lt;volume&gt;108&lt;/volume&gt;&lt;number&gt;1&lt;/number&gt;&lt;keywords&gt;&lt;keyword&gt;Adolescent&lt;/keyword&gt;&lt;keyword&gt;Age Distribution&lt;/keyword&gt;&lt;keyword&gt;Child&lt;/keyword&gt;&lt;keyword&gt;Female&lt;/keyword&gt;&lt;keyword&gt;Flavoring Agents/*adverse effects&lt;/keyword&gt;&lt;keyword&gt;Humans&lt;/keyword&gt;&lt;keyword&gt;Longitudinal Studies&lt;/keyword&gt;&lt;keyword&gt;Male&lt;/keyword&gt;&lt;keyword&gt;Menthol/*adverse effects&lt;/keyword&gt;&lt;keyword&gt;Risk Factors&lt;/keyword&gt;&lt;keyword&gt;Sex Distribution&lt;/keyword&gt;&lt;keyword&gt;Smoking/*adverse effects&lt;/keyword&gt;&lt;keyword&gt;Smoking Cessation/psychology/statistics &amp;amp; numerical data&lt;/keyword&gt;&lt;keyword&gt;Tobacco Products/*adverse effects&lt;/keyword&gt;&lt;keyword&gt;Tobacco Use Disorder/*etiology&lt;/keyword&gt;&lt;keyword&gt;United States&lt;/keyword&gt;&lt;/keywords&gt;&lt;dates&gt;&lt;year&gt;2012&lt;/year&gt;&lt;pub-dates&gt;&lt;date&gt;Jan&lt;/date&gt;&lt;/pub-dates&gt;&lt;/dates&gt;&lt;isbn&gt;1360-0443 (Electronic)&amp;#xD;0965-2140 (Linking)&lt;/isbn&gt;&lt;accession-num&gt;22862154&lt;/accession-num&gt;&lt;urls&gt;&lt;related-urls&gt;&lt;url&gt;http://www.ncbi.nlm.nih.gov/pubmed/22862154&lt;/url&gt;&lt;/related-urls&gt;&lt;/urls&gt;&lt;electronic-resource-num&gt;10.1111/j.1360-0443.2012.04045.x&lt;/electronic-resource-num&gt;&lt;research-notes&gt;#160&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61" w:tooltip="Nonnemaker, 2012 #31" w:history="1">
              <w:r>
                <w:rPr>
                  <w:rFonts w:cstheme="minorHAnsi"/>
                  <w:noProof/>
                  <w:color w:val="000000"/>
                  <w:sz w:val="18"/>
                  <w:szCs w:val="18"/>
                </w:rPr>
                <w:t>61</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27E029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735A1D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1F8E5FD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33FEB3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4D49BDF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109033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22</w:t>
            </w:r>
          </w:p>
        </w:tc>
        <w:tc>
          <w:tcPr>
            <w:tcW w:w="1459" w:type="dxa"/>
            <w:shd w:val="clear" w:color="auto" w:fill="auto"/>
            <w:noWrap/>
            <w:tcMar>
              <w:top w:w="62" w:type="dxa"/>
              <w:left w:w="62" w:type="dxa"/>
              <w:bottom w:w="62" w:type="dxa"/>
              <w:right w:w="62" w:type="dxa"/>
            </w:tcMar>
            <w:vAlign w:val="bottom"/>
            <w:hideMark/>
          </w:tcPr>
          <w:p w14:paraId="71CD636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03B90A3"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943B901"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&lt;EndNote&gt;&lt;Cite&gt;&lt;Author&gt;O&amp;apos;Connor&lt;/Author&gt;&lt;Year&gt;2012&lt;/Year&gt;&lt;RecNum&gt;36&lt;/RecNum&gt;&lt;DisplayText&gt;(33)&lt;/DisplayText&gt;&lt;record&gt;&lt;rec-number&gt;36&lt;/rec-number&gt;&lt;foreign-keys&gt;&lt;key app="EN" db-id="a2vz2dfp8xrad6exes75zwpiw5rxwa0vwapv" timestamp="0"&gt;36&lt;/key&gt;&lt;/foreign-keys&gt;&lt;ref-type name="Journal Article"&gt;17&lt;/ref-type&gt;&lt;contributors&gt;&lt;authors&gt;&lt;author&gt;O&amp;apos;Connor, R. J.&lt;/author&gt;&lt;author&gt;Bansal-Travers, M.&lt;/author&gt;&lt;author&gt;Carter, L. P.&lt;/author&gt;&lt;author&gt;Cummings, K. M.&lt;/author&gt;&lt;/authors&gt;&lt;/contributors&gt;&lt;auth-address&gt;Department of Health Behavior, Division of Cancer Prevention and Population Sciences, Roswell Park Cancer Institute, Elm and Carlton Streets, Buffalo, NY 14263, USA. richard.oconnor@roswellpark.org&lt;/auth-address&gt;&lt;titles&gt;&lt;title&gt;What would menthol smokers do if menthol in cigarettes were banned? Behavioral intentions and simulated demand&lt;/title&gt;&lt;secondary-title&gt;Addiction&lt;/secondary-title&gt;&lt;/titles&gt;&lt;periodical&gt;&lt;full-title&gt;Addiction&lt;/full-title&gt;&lt;/periodical&gt;&lt;pages&gt;1330-8&lt;/pages&gt;&lt;volume&gt;107&lt;/volume&gt;&lt;number&gt;7&lt;/number&gt;&lt;keywords&gt;&lt;keyword&gt;Adolescent&lt;/keyword&gt;&lt;keyword&gt;Adult&lt;/keyword&gt;&lt;keyword&gt;Aged&lt;/keyword&gt;&lt;keyword&gt;Commerce&lt;/keyword&gt;&lt;keyword&gt;Economics, Behavioral&lt;/keyword&gt;&lt;keyword&gt;Female&lt;/keyword&gt;&lt;keyword&gt;Humans&lt;/keyword&gt;&lt;keyword&gt;*Intention&lt;/keyword&gt;&lt;keyword&gt;Male&lt;/keyword&gt;&lt;keyword&gt;*Menthol&lt;/keyword&gt;&lt;keyword&gt;Middle Aged&lt;/keyword&gt;&lt;keyword&gt;Multivariate Analysis&lt;/keyword&gt;&lt;keyword&gt;Smoking/economics/*legislation &amp;amp; jurisprudence/psychology&lt;/keyword&gt;&lt;keyword&gt;Smoking Cessation/psychology&lt;/keyword&gt;&lt;keyword&gt;United States&lt;/keyword&gt;&lt;keyword&gt;Young Adult&lt;/keyword&gt;&lt;/keywords&gt;&lt;dates&gt;&lt;year&gt;2012&lt;/year&gt;&lt;pub-dates&gt;&lt;date&gt;Jul&lt;/date&gt;&lt;/pub-dates&gt;&lt;/dates&gt;&lt;isbn&gt;1360-0443 (Electronic)&amp;#xD;0965-2140 (Linking)&lt;/isbn&gt;&lt;accession-num&gt;22471735&lt;/accession-num&gt;&lt;urls&gt;&lt;related-urls&gt;&lt;url&gt;http://www.ncbi.nlm.nih.gov/pubmed/22471735&lt;/url&gt;&lt;/related-urls&gt;&lt;/urls&gt;&lt;custom2&gt;PMC3370153&lt;/custom2&gt;&lt;electronic-resource-num&gt;10.1111/j.1360-0443.2012.03822.x&lt;/electronic-resource-num&gt;&lt;research-notes&gt;#189&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3" w:tooltip="O'Connor, 2012 #36" w:history="1">
              <w:r>
                <w:rPr>
                  <w:rFonts w:cstheme="minorHAnsi"/>
                  <w:noProof/>
                  <w:color w:val="000000"/>
                  <w:sz w:val="18"/>
                  <w:szCs w:val="18"/>
                </w:rPr>
                <w:t>33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561D241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6FF7B0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022067A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3034776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67D4DA0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6BBCE67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15</w:t>
            </w:r>
          </w:p>
        </w:tc>
        <w:tc>
          <w:tcPr>
            <w:tcW w:w="1459" w:type="dxa"/>
            <w:shd w:val="clear" w:color="auto" w:fill="auto"/>
            <w:noWrap/>
            <w:tcMar>
              <w:top w:w="62" w:type="dxa"/>
              <w:left w:w="62" w:type="dxa"/>
              <w:bottom w:w="62" w:type="dxa"/>
              <w:right w:w="62" w:type="dxa"/>
            </w:tcMar>
            <w:vAlign w:val="bottom"/>
            <w:hideMark/>
          </w:tcPr>
          <w:p w14:paraId="48E2CF6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30D0724A"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8289E79"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&lt;EndNote&gt;&lt;Cite&gt;&lt;Author&gt;Okuyemi&lt;/Author&gt;&lt;Year&gt;2004&lt;/Year&gt;&lt;RecNum&gt;81&lt;/RecNum&gt;&lt;DisplayText&gt;(15)&lt;/DisplayText&gt;&lt;record&gt;&lt;rec-number&gt;81&lt;/rec-number&gt;&lt;foreign-keys&gt;&lt;key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15" w:tooltip="Okuyemi, 2004 #81" w:history="1">
              <w:r>
                <w:rPr>
                  <w:rFonts w:cstheme="minorHAnsi"/>
                  <w:noProof/>
                  <w:color w:val="000000"/>
                  <w:sz w:val="18"/>
                  <w:szCs w:val="18"/>
                </w:rPr>
                <w:t>15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595458F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13E5700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40822F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27318CA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32EDF4B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DD177E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24</w:t>
            </w:r>
          </w:p>
        </w:tc>
        <w:tc>
          <w:tcPr>
            <w:tcW w:w="1459" w:type="dxa"/>
            <w:shd w:val="clear" w:color="auto" w:fill="auto"/>
            <w:noWrap/>
            <w:tcMar>
              <w:top w:w="62" w:type="dxa"/>
              <w:left w:w="62" w:type="dxa"/>
              <w:bottom w:w="62" w:type="dxa"/>
              <w:right w:w="62" w:type="dxa"/>
            </w:tcMar>
            <w:vAlign w:val="bottom"/>
            <w:hideMark/>
          </w:tcPr>
          <w:p w14:paraId="17F1C2F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0700535D" w14:textId="77777777" w:rsidTr="00453DE3">
        <w:trPr>
          <w:cantSplit/>
          <w:trHeight w:val="47"/>
        </w:trPr>
        <w:tc>
          <w:tcPr>
            <w:tcW w:w="3256" w:type="dxa"/>
            <w:shd w:val="clear" w:color="auto" w:fill="auto"/>
            <w:noWrap/>
            <w:tcMar>
              <w:top w:w="62" w:type="dxa"/>
              <w:left w:w="62" w:type="dxa"/>
              <w:bottom w:w="62" w:type="dxa"/>
              <w:right w:w="62" w:type="dxa"/>
            </w:tcMar>
            <w:vAlign w:val="bottom"/>
          </w:tcPr>
          <w:p w14:paraId="47BD5973" w14:textId="77777777" w:rsidR="007F0AE0" w:rsidRPr="00494051" w:rsidRDefault="007F0AE0" w:rsidP="00453DE3">
            <w:pPr>
              <w:contextualSpacing/>
              <w:rPr>
                <w:rFonts w:cstheme="minorHAnsi"/>
                <w:color w:val="000000"/>
                <w:sz w:val="18"/>
                <w:szCs w:val="18"/>
              </w:rPr>
            </w:pPr>
            <w:r>
              <w:rPr>
                <w:rFonts w:cstheme="minorHAnsi"/>
                <w:color w:val="000000"/>
                <w:sz w:val="18"/>
                <w:szCs w:val="18"/>
              </w:rPr>
              <w:fldChar w:fldCharType="begin"/>
            </w:r>
            <w:r>
              <w:rPr>
                <w:rFonts w:cstheme="minorHAnsi"/>
                <w:color w:val="000000"/>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Pr>
                <w:rFonts w:cstheme="minorHAnsi"/>
                <w:color w:val="000000"/>
                <w:sz w:val="18"/>
                <w:szCs w:val="18"/>
              </w:rPr>
              <w:fldChar w:fldCharType="separate"/>
            </w:r>
            <w:r>
              <w:rPr>
                <w:rFonts w:cstheme="minorHAnsi"/>
                <w:noProof/>
                <w:color w:val="000000"/>
                <w:sz w:val="18"/>
                <w:szCs w:val="18"/>
              </w:rPr>
              <w:t>(</w:t>
            </w:r>
            <w:hyperlink w:anchor="_ENREF_31" w:tooltip="Park, 2017 #1103" w:history="1">
              <w:r>
                <w:rPr>
                  <w:rFonts w:cstheme="minorHAnsi"/>
                  <w:noProof/>
                  <w:color w:val="000000"/>
                  <w:sz w:val="18"/>
                  <w:szCs w:val="18"/>
                </w:rPr>
                <w:t>31</w:t>
              </w:r>
            </w:hyperlink>
            <w:r>
              <w:rPr>
                <w:rFonts w:cstheme="minorHAnsi"/>
                <w:noProof/>
                <w:color w:val="000000"/>
                <w:sz w:val="18"/>
                <w:szCs w:val="18"/>
              </w:rPr>
              <w:t>)</w:t>
            </w:r>
            <w:r>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461D5F1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tcPr>
          <w:p w14:paraId="6FD554F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662A35C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7C5D818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tcPr>
          <w:p w14:paraId="2A3F3CB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5709DBB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tcPr>
          <w:p w14:paraId="303F49D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2E8103C3"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28AC83D"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&lt;EndNote&gt;&lt;Cite&gt;&lt;Author&gt;Pearson&lt;/Author&gt;&lt;Year&gt;2011&lt;/Year&gt;&lt;RecNum&gt;39&lt;/RecNum&gt;&lt;DisplayText&gt;(38, 39)&lt;/DisplayText&gt;&lt;record&gt;&lt;rec-number&gt;39&lt;/rec-number&gt;&lt;foreign-keys&gt;&lt;key app="EN" db-id="a2vz2dfp8xrad6exes75zwpiw5rxwa0vwapv" timestamp="0"&gt;39&lt;/key&gt;&lt;/foreign-keys&gt;&lt;ref-type name="Thesis"&gt;32&lt;/ref-type&gt;&lt;contributors&gt;&lt;authors&gt;&lt;author&gt;Pearson, J. L.&lt;/author&gt;&lt;/authors&gt;&lt;tertiary-authors&gt;&lt;author&gt;Abrams, D. B.&lt;/author&gt;&lt;/tertiary-authors&gt;&lt;/contributors&gt;&lt;titles&gt;&lt;title&gt;Public reaction to potential food and drug administration actions under the family smoking prevention and tobacco control act: Regulating e-cigarettes, banning menthol, and reducing cigarette nicotine content&lt;/title&gt;&lt;/titles&gt;&lt;pages&gt;142&lt;/pages&gt;&lt;volume&gt;PhD, Public Health&lt;/volume&gt;&lt;number&gt;3492521&lt;/number&gt;&lt;dates&gt;&lt;year&gt;2011&lt;/year&gt;&lt;/dates&gt;&lt;publisher&gt;Johns Hopkins University&lt;/publisher&gt;&lt;urls&gt;&lt;/urls&gt;&lt;research-notes&gt;#211&lt;/research-notes&gt;&lt;/record&gt;&lt;/Cite&gt;&lt;Cite&gt;&lt;Author&gt;Pearson&lt;/Author&gt;&lt;Year&gt;2012&lt;/Year&gt;&lt;RecNum&gt;34&lt;/RecNum&gt;&lt;record&gt;&lt;rec-number&gt;34&lt;/rec-number&gt;&lt;foreign-keys&gt;&lt;key app="EN" db-id="a2vz2dfp8xrad6exes75zwpiw5rxwa0vwapv" timestamp="0"&gt;34&lt;/key&gt;&lt;/foreign-keys&gt;&lt;ref-type name="Journal Article"&gt;17&lt;/ref-type&gt;&lt;contributors&gt;&lt;authors&gt;&lt;author&gt;Pearson, J. L.&lt;/author&gt;&lt;author&gt;Abrams, D. B.&lt;/author&gt;&lt;author&gt;Niaura, R. S.&lt;/author&gt;&lt;author&gt;Richardson, A.&lt;/author&gt;&lt;author&gt;Vallone, D.&lt;/author&gt;&lt;/authors&gt;&lt;/contributors&gt;&lt;titles&gt;&lt;title&gt;A ban on menthol cigarettes: Impact on public opinion and smokers&amp;apos; intention to quit&lt;/title&gt;&lt;secondary-title&gt;Am J Public Health&lt;/secondary-title&gt;&lt;/titles&gt;&lt;periodical&gt;&lt;full-title&gt;Am J Public Health&lt;/full-title&gt;&lt;/periodical&gt;&lt;pages&gt;e107-e114&lt;/pages&gt;&lt;volume&gt;102&lt;/volume&gt;&lt;number&gt;11&lt;/number&gt;&lt;section&gt;e107&lt;/section&gt;&lt;dates&gt;&lt;year&gt;2012&lt;/year&gt;&lt;/dates&gt;&lt;urls&gt;&lt;/urls&gt;&lt;electronic-resource-num&gt;10.2105/AJPH.2012.300804&lt;/electronic-resource-num&gt;&lt;research-notes&gt;#175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8" w:tooltip="Pearson, 2011 #39" w:history="1">
              <w:r>
                <w:rPr>
                  <w:rFonts w:cstheme="minorHAnsi"/>
                  <w:noProof/>
                  <w:color w:val="000000"/>
                  <w:sz w:val="18"/>
                  <w:szCs w:val="18"/>
                </w:rPr>
                <w:t>38</w:t>
              </w:r>
            </w:hyperlink>
            <w:r>
              <w:rPr>
                <w:rFonts w:cstheme="minorHAnsi"/>
                <w:noProof/>
                <w:color w:val="000000"/>
                <w:sz w:val="18"/>
                <w:szCs w:val="18"/>
              </w:rPr>
              <w:t xml:space="preserve">, </w:t>
            </w:r>
            <w:hyperlink w:anchor="_ENREF_39" w:tooltip="Pearson, 2012 #34" w:history="1">
              <w:r>
                <w:rPr>
                  <w:rFonts w:cstheme="minorHAnsi"/>
                  <w:noProof/>
                  <w:color w:val="000000"/>
                  <w:sz w:val="18"/>
                  <w:szCs w:val="18"/>
                </w:rPr>
                <w:t>39</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1130A18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11B0A76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114116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39EDAD6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6E235A8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D55F49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4596352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6FFAB289"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267A2256"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684168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0462333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4653482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0402E59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7E2EB64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112EB1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2DD2184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B019E5D"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7FA021EF"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PEVuZE5vdGU+PENpdGU+PEF1dGhvcj5SYXRoPC9BdXRob3I+PFllYXI+MjAxNTwvWWVhcj48UmVj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37" w:tooltip="Rath, 2015 #3" w:history="1">
              <w:r>
                <w:rPr>
                  <w:rFonts w:cstheme="minorHAnsi"/>
                  <w:noProof/>
                  <w:color w:val="000000"/>
                  <w:sz w:val="18"/>
                  <w:szCs w:val="18"/>
                </w:rPr>
                <w:t>37</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D42CAE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66DF9B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411FBD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40F6FB1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5E0C4E1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191DB2C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17</w:t>
            </w:r>
          </w:p>
        </w:tc>
        <w:tc>
          <w:tcPr>
            <w:tcW w:w="1459" w:type="dxa"/>
            <w:shd w:val="clear" w:color="auto" w:fill="auto"/>
            <w:noWrap/>
            <w:tcMar>
              <w:top w:w="62" w:type="dxa"/>
              <w:left w:w="62" w:type="dxa"/>
              <w:bottom w:w="62" w:type="dxa"/>
              <w:right w:w="62" w:type="dxa"/>
            </w:tcMar>
            <w:vAlign w:val="bottom"/>
            <w:hideMark/>
          </w:tcPr>
          <w:p w14:paraId="2360935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6498CA2B"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825383E"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&lt;EndNote&gt;&lt;Cite&gt;&lt;Author&gt;Reitzel&lt;/Author&gt;&lt;Year&gt;2011&lt;/Year&gt;&lt;RecNum&gt;106&lt;/RecNum&gt;&lt;DisplayText&gt;(70)&lt;/DisplayText&gt;&lt;record&gt;&lt;rec-number&gt;106&lt;/rec-number&gt;&lt;foreign-keys&gt;&lt;key app="EN" db-id="a2vz2dfp8xrad6exes75zwpiw5rxwa0vwapv" timestamp="0"&gt;106&lt;/key&gt;&lt;/foreign-keys&gt;&lt;ref-type name="Unpublished Work"&gt;34&lt;/ref-type&gt;&lt;contributors&gt;&lt;authors&gt;&lt;author&gt;Reitzel, L. R.&lt;/author&gt;&lt;/authors&gt;&lt;/contributors&gt;&lt;titles&gt;&lt;title&gt;Menthol cigarettes, tobacco dependence, and smoking cessation: Project BREAK FREE final report&lt;/title&gt;&lt;/titles&gt;&lt;dates&gt;&lt;year&gt;2011&lt;/year&gt;&lt;/dates&gt;&lt;publisher&gt;The University of Texas, MD Anderson Cancer Center&lt;/publisher&gt;&lt;urls&gt;&lt;/urls&gt;&lt;research-notes&gt;#838&lt;/research-notes&gt;&lt;/record&gt;&lt;/Cite&gt;&lt;/EndNote&gt;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70" w:tooltip="Reitzel, 2011 #106" w:history="1">
              <w:r>
                <w:rPr>
                  <w:rFonts w:cstheme="minorHAnsi"/>
                  <w:noProof/>
                  <w:color w:val="000000"/>
                  <w:sz w:val="18"/>
                  <w:szCs w:val="18"/>
                </w:rPr>
                <w:t>70</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6EB6FE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7131A2E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1844310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0B1A4FD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0B757A3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34DF6A8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19</w:t>
            </w:r>
          </w:p>
        </w:tc>
        <w:tc>
          <w:tcPr>
            <w:tcW w:w="1459" w:type="dxa"/>
            <w:shd w:val="clear" w:color="auto" w:fill="auto"/>
            <w:noWrap/>
            <w:tcMar>
              <w:top w:w="62" w:type="dxa"/>
              <w:left w:w="62" w:type="dxa"/>
              <w:bottom w:w="62" w:type="dxa"/>
              <w:right w:w="62" w:type="dxa"/>
            </w:tcMar>
            <w:vAlign w:val="bottom"/>
            <w:hideMark/>
          </w:tcPr>
          <w:p w14:paraId="7A0673E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0FE0F3E"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5490B374"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lastRenderedPageBreak/>
              <w:fldChar w:fldCharType="begin"/>
            </w:r>
            <w:r>
              <w:rPr>
                <w:rFonts w:cstheme="minorHAnsi"/>
                <w:color w:val="000000"/>
                <w:sz w:val="18"/>
                <w:szCs w:val="18"/>
              </w:rPr>
              <w:instrText xml:space="preserve"> ADDIN EN.CITE &lt;EndNote&gt;&lt;Cite&gt;&lt;Author&gt;Reitzel&lt;/Author&gt;&lt;Year&gt;2011&lt;/Year&gt;&lt;RecNum&gt;105&lt;/RecNum&gt;&lt;DisplayText&gt;(69)&lt;/DisplayText&gt;&lt;record&gt;&lt;rec-number&gt;105&lt;/rec-number&gt;&lt;foreign-keys&gt;&lt;key app="EN" db-id="a2vz2dfp8xrad6exes75zwpiw5rxwa0vwapv" timestamp="0"&gt;105&lt;/key&gt;&lt;/foreign-keys&gt;&lt;ref-type name="Unpublished Work"&gt;34&lt;/ref-type&gt;&lt;contributors&gt;&lt;authors&gt;&lt;author&gt;Reitzel, L. R.&lt;/author&gt;&lt;/authors&gt;&lt;/contributors&gt;&lt;titles&gt;&lt;title&gt;Menthol cigarettes, tobacco dependence, and smoking cessation: Project CARE final report&lt;/title&gt;&lt;/titles&gt;&lt;dates&gt;&lt;year&gt;2011&lt;/year&gt;&lt;/dates&gt;&lt;publisher&gt;University of Texas, MD Anderson Cancer Center&lt;/publisher&gt;&lt;urls&gt;&lt;/urls&gt;&lt;research-notes&gt;#837&lt;/research-notes&gt;&lt;/record&gt;&lt;/Cite&gt;&lt;/EndNote&gt;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69" w:tooltip="Reitzel, 2011 #105" w:history="1">
              <w:r>
                <w:rPr>
                  <w:rFonts w:cstheme="minorHAnsi"/>
                  <w:noProof/>
                  <w:color w:val="000000"/>
                  <w:sz w:val="18"/>
                  <w:szCs w:val="18"/>
                </w:rPr>
                <w:t>69</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E414F3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3A87F3C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0C9FDF2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6C3FB38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62D81BC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17ADE54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05419BA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18DD7B09"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6D9B9DBB"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71" w:tooltip="Reitzel, 2011 #107" w:history="1">
              <w:r>
                <w:rPr>
                  <w:rFonts w:cstheme="minorHAnsi"/>
                  <w:noProof/>
                  <w:color w:val="000000"/>
                  <w:sz w:val="18"/>
                  <w:szCs w:val="18"/>
                </w:rPr>
                <w:t>71</w:t>
              </w:r>
            </w:hyperlink>
            <w:r>
              <w:rPr>
                <w:rFonts w:cstheme="minorHAnsi"/>
                <w:noProof/>
                <w:color w:val="000000"/>
                <w:sz w:val="18"/>
                <w:szCs w:val="18"/>
              </w:rPr>
              <w:t xml:space="preserve">, </w:t>
            </w:r>
            <w:hyperlink w:anchor="_ENREF_75" w:tooltip="Reitzel, 2011 #41" w:history="1">
              <w:r>
                <w:rPr>
                  <w:rFonts w:cstheme="minorHAnsi"/>
                  <w:noProof/>
                  <w:color w:val="000000"/>
                  <w:sz w:val="18"/>
                  <w:szCs w:val="18"/>
                </w:rPr>
                <w:t>75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5FEF17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208236A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E78598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2A0F38E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2505E95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6ED604D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2383F86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4B4A7CAF"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3C5C62A" w14:textId="77777777" w:rsidR="007F0AE0" w:rsidRPr="00494051" w:rsidRDefault="007F0AE0" w:rsidP="00453DE3">
            <w:pPr>
              <w:contextualSpacing/>
              <w:rPr>
                <w:rFonts w:cstheme="minorHAnsi"/>
                <w:color w:val="FF0000"/>
                <w:sz w:val="18"/>
                <w:szCs w:val="18"/>
              </w:rPr>
            </w:pPr>
            <w:r w:rsidRPr="00494051">
              <w:rPr>
                <w:rFonts w:cstheme="minorHAnsi"/>
                <w:color w:val="000000"/>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68" w:tooltip="Reitzel, 2013 #28" w:history="1">
              <w:r>
                <w:rPr>
                  <w:rFonts w:cstheme="minorHAnsi"/>
                  <w:noProof/>
                  <w:color w:val="000000"/>
                  <w:sz w:val="18"/>
                  <w:szCs w:val="18"/>
                </w:rPr>
                <w:t>68</w:t>
              </w:r>
            </w:hyperlink>
            <w:r>
              <w:rPr>
                <w:rFonts w:cstheme="minorHAnsi"/>
                <w:noProof/>
                <w:color w:val="000000"/>
                <w:sz w:val="18"/>
                <w:szCs w:val="18"/>
              </w:rPr>
              <w:t>)</w:t>
            </w:r>
            <w:r w:rsidRPr="00494051">
              <w:rPr>
                <w:rFonts w:cstheme="minorHAnsi"/>
                <w:color w:val="000000"/>
                <w:sz w:val="18"/>
                <w:szCs w:val="18"/>
              </w:rPr>
              <w:fldChar w:fldCharType="end"/>
            </w:r>
            <w:r w:rsidRPr="00494051">
              <w:rPr>
                <w:rFonts w:cstheme="minorHAnsi"/>
                <w:color w:val="000000"/>
                <w:sz w:val="18"/>
                <w:szCs w:val="18"/>
              </w:rPr>
              <w:t xml:space="preserve"> </w:t>
            </w:r>
          </w:p>
        </w:tc>
        <w:tc>
          <w:tcPr>
            <w:tcW w:w="907" w:type="dxa"/>
            <w:shd w:val="clear" w:color="auto" w:fill="auto"/>
            <w:noWrap/>
            <w:tcMar>
              <w:top w:w="62" w:type="dxa"/>
              <w:left w:w="62" w:type="dxa"/>
              <w:bottom w:w="62" w:type="dxa"/>
              <w:right w:w="62" w:type="dxa"/>
            </w:tcMar>
            <w:vAlign w:val="bottom"/>
            <w:hideMark/>
          </w:tcPr>
          <w:p w14:paraId="554FEE1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766D77A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6093AA8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1C015F0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7BA63CB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3734D4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6967B9A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F6CDFCB"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39E1BD2"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62" w:tooltip="Rojewski, 2014 #22" w:history="1">
              <w:r>
                <w:rPr>
                  <w:rFonts w:cstheme="minorHAnsi"/>
                  <w:noProof/>
                  <w:color w:val="000000"/>
                  <w:sz w:val="18"/>
                  <w:szCs w:val="18"/>
                </w:rPr>
                <w:t>62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639DFD6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3F0E9E5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2EDD9E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0727388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06B056A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35F8322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22</w:t>
            </w:r>
          </w:p>
        </w:tc>
        <w:tc>
          <w:tcPr>
            <w:tcW w:w="1459" w:type="dxa"/>
            <w:shd w:val="clear" w:color="auto" w:fill="auto"/>
            <w:noWrap/>
            <w:tcMar>
              <w:top w:w="62" w:type="dxa"/>
              <w:left w:w="62" w:type="dxa"/>
              <w:bottom w:w="62" w:type="dxa"/>
              <w:right w:w="62" w:type="dxa"/>
            </w:tcMar>
            <w:vAlign w:val="bottom"/>
            <w:hideMark/>
          </w:tcPr>
          <w:p w14:paraId="0DAA0AC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06B9D15F"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1ED2449E"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&lt;EndNote&gt;&lt;Cite&gt;&lt;Author&gt;Rosenbloom&lt;/Author&gt;&lt;Year&gt;2012&lt;/Year&gt;&lt;RecNum&gt;32&lt;/RecNum&gt;&lt;DisplayText&gt;(17)&lt;/DisplayText&gt;&lt;record&gt;&lt;rec-number&gt;32&lt;/rec-number&gt;&lt;foreign-keys&gt;&lt;key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17" w:tooltip="Rosenbloom, 2012 #32" w:history="1">
              <w:r>
                <w:rPr>
                  <w:rFonts w:cstheme="minorHAnsi"/>
                  <w:noProof/>
                  <w:color w:val="000000"/>
                  <w:sz w:val="18"/>
                  <w:szCs w:val="18"/>
                </w:rPr>
                <w:t>17</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039F1B0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09DC5C7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65D33BC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73A9549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421F75D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4BF836C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17</w:t>
            </w:r>
          </w:p>
        </w:tc>
        <w:tc>
          <w:tcPr>
            <w:tcW w:w="1459" w:type="dxa"/>
            <w:shd w:val="clear" w:color="auto" w:fill="auto"/>
            <w:noWrap/>
            <w:tcMar>
              <w:top w:w="62" w:type="dxa"/>
              <w:left w:w="62" w:type="dxa"/>
              <w:bottom w:w="62" w:type="dxa"/>
              <w:right w:w="62" w:type="dxa"/>
            </w:tcMar>
            <w:vAlign w:val="bottom"/>
            <w:hideMark/>
          </w:tcPr>
          <w:p w14:paraId="0C5A7EA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4BD4B229"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21A1D0ED"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&lt;EndNote&gt;&lt;Cite&gt;&lt;Author&gt;Sidney&lt;/Author&gt;&lt;Year&gt;1989&lt;/Year&gt;&lt;RecNum&gt;92&lt;/RecNum&gt;&lt;DisplayText&gt;(73)&lt;/DisplayText&gt;&lt;record&gt;&lt;rec-number&gt;92&lt;/rec-number&gt;&lt;foreign-keys&gt;&lt;key app="EN" db-id="a2vz2dfp8xrad6exes75zwpiw5rxwa0vwapv" timestamp="0"&gt;92&lt;/key&gt;&lt;/foreign-keys&gt;&lt;ref-type name="Journal Article"&gt;17&lt;/ref-type&gt;&lt;contributors&gt;&lt;authors&gt;&lt;author&gt;Sidney, S.&lt;/author&gt;&lt;author&gt;Tekawa, I. S.&lt;/author&gt;&lt;author&gt;Friedman, G. D.&lt;/author&gt;&lt;/authors&gt;&lt;/contributors&gt;&lt;titles&gt;&lt;title&gt;Mentholated cigarette use among multiphasic examinees, 1979-86&lt;/title&gt;&lt;secondary-title&gt;Am J Public Health&lt;/secondary-title&gt;&lt;/titles&gt;&lt;periodical&gt;&lt;full-title&gt;Am J Public Health&lt;/full-title&gt;&lt;/periodical&gt;&lt;pages&gt;1415-1416&lt;/pages&gt;&lt;volume&gt;79&lt;/volume&gt;&lt;section&gt;1415&lt;/section&gt;&lt;dates&gt;&lt;year&gt;1989&lt;/year&gt;&lt;/dates&gt;&lt;urls&gt;&lt;/urls&gt;&lt;research-notes&gt;#505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73" w:tooltip="Sidney, 1989 #92" w:history="1">
              <w:r>
                <w:rPr>
                  <w:rFonts w:cstheme="minorHAnsi"/>
                  <w:noProof/>
                  <w:color w:val="000000"/>
                  <w:sz w:val="18"/>
                  <w:szCs w:val="18"/>
                </w:rPr>
                <w:t>73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57D8DC6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358C401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6084C3E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605C11D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4725434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7B93541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5E0DA08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2F863223"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39C3BB8B"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&lt;EndNote&gt;&lt;Cite&gt;&lt;Author&gt;Smith&lt;/Author&gt;&lt;Year&gt;2014&lt;/Year&gt;&lt;RecNum&gt;11&lt;/RecNum&gt;&lt;DisplayText&gt;(45)&lt;/DisplayText&gt;&lt;record&gt;&lt;rec-number&gt;11&lt;/rec-number&gt;&lt;foreign-keys&gt;&lt;key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5" w:tooltip="Smith, 2014 #11" w:history="1">
              <w:r>
                <w:rPr>
                  <w:rFonts w:cstheme="minorHAnsi"/>
                  <w:noProof/>
                  <w:color w:val="000000"/>
                  <w:sz w:val="18"/>
                  <w:szCs w:val="18"/>
                </w:rPr>
                <w:t>45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24FE858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8</w:t>
            </w:r>
          </w:p>
        </w:tc>
        <w:tc>
          <w:tcPr>
            <w:tcW w:w="907" w:type="dxa"/>
            <w:shd w:val="clear" w:color="auto" w:fill="auto"/>
            <w:noWrap/>
            <w:tcMar>
              <w:top w:w="62" w:type="dxa"/>
              <w:left w:w="62" w:type="dxa"/>
              <w:bottom w:w="62" w:type="dxa"/>
              <w:right w:w="62" w:type="dxa"/>
            </w:tcMar>
            <w:vAlign w:val="bottom"/>
            <w:hideMark/>
          </w:tcPr>
          <w:p w14:paraId="5354A70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1990A2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1727DDC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6F74D4B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011691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23</w:t>
            </w:r>
          </w:p>
        </w:tc>
        <w:tc>
          <w:tcPr>
            <w:tcW w:w="1459" w:type="dxa"/>
            <w:shd w:val="clear" w:color="auto" w:fill="auto"/>
            <w:noWrap/>
            <w:tcMar>
              <w:top w:w="62" w:type="dxa"/>
              <w:left w:w="62" w:type="dxa"/>
              <w:bottom w:w="62" w:type="dxa"/>
              <w:right w:w="62" w:type="dxa"/>
            </w:tcMar>
            <w:vAlign w:val="bottom"/>
            <w:hideMark/>
          </w:tcPr>
          <w:p w14:paraId="66FA687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2C08DE1C"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4A3E3631"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&lt;EndNote&gt;&lt;Cite&gt;&lt;Author&gt;Stahre&lt;/Author&gt;&lt;Year&gt;2010&lt;/Year&gt;&lt;RecNum&gt;57&lt;/RecNum&gt;&lt;DisplayText&gt;(32)&lt;/DisplayText&gt;&lt;record&gt;&lt;rec-number&gt;57&lt;/rec-number&gt;&lt;foreign-keys&gt;&lt;key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2" w:tooltip="Stahre, 2010 #57" w:history="1">
              <w:r>
                <w:rPr>
                  <w:rFonts w:cstheme="minorHAnsi"/>
                  <w:noProof/>
                  <w:color w:val="000000"/>
                  <w:sz w:val="18"/>
                  <w:szCs w:val="18"/>
                </w:rPr>
                <w:t>32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FB1C89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7269646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503DC6E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hideMark/>
          </w:tcPr>
          <w:p w14:paraId="6D04F6D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727D9AC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7A778A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hideMark/>
          </w:tcPr>
          <w:p w14:paraId="4ECD10C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r w:rsidR="007F0AE0" w:rsidRPr="00494051" w14:paraId="67A69AA2"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6B3DA6C5"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64" w:tooltip="Steinberg, 2011 #50" w:history="1">
              <w:r>
                <w:rPr>
                  <w:rFonts w:cstheme="minorHAnsi"/>
                  <w:noProof/>
                  <w:color w:val="000000"/>
                  <w:sz w:val="18"/>
                  <w:szCs w:val="18"/>
                </w:rPr>
                <w:t>64</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733C22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57AC7CA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0F360F3F"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hideMark/>
          </w:tcPr>
          <w:p w14:paraId="27F3A6CD"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4952C1D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u</w:t>
            </w:r>
          </w:p>
        </w:tc>
        <w:tc>
          <w:tcPr>
            <w:tcW w:w="907" w:type="dxa"/>
            <w:shd w:val="clear" w:color="auto" w:fill="auto"/>
            <w:noWrap/>
            <w:tcMar>
              <w:top w:w="62" w:type="dxa"/>
              <w:left w:w="62" w:type="dxa"/>
              <w:bottom w:w="62" w:type="dxa"/>
              <w:right w:w="62" w:type="dxa"/>
            </w:tcMar>
            <w:vAlign w:val="bottom"/>
            <w:hideMark/>
          </w:tcPr>
          <w:p w14:paraId="06E2436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313F623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321584FE"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7D8738D3"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54" w:tooltip="Sulsky, 2014 #15" w:history="1">
              <w:r>
                <w:rPr>
                  <w:rFonts w:cstheme="minorHAnsi"/>
                  <w:noProof/>
                  <w:color w:val="000000"/>
                  <w:sz w:val="18"/>
                  <w:szCs w:val="18"/>
                </w:rPr>
                <w:t>54</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79C002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6BE714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130C3824"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56D268E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3</w:t>
            </w:r>
          </w:p>
        </w:tc>
        <w:tc>
          <w:tcPr>
            <w:tcW w:w="907" w:type="dxa"/>
            <w:shd w:val="clear" w:color="auto" w:fill="auto"/>
            <w:noWrap/>
            <w:tcMar>
              <w:top w:w="62" w:type="dxa"/>
              <w:left w:w="62" w:type="dxa"/>
              <w:bottom w:w="62" w:type="dxa"/>
              <w:right w:w="62" w:type="dxa"/>
            </w:tcMar>
            <w:vAlign w:val="bottom"/>
            <w:hideMark/>
          </w:tcPr>
          <w:p w14:paraId="610F967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2E0B918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hideMark/>
          </w:tcPr>
          <w:p w14:paraId="0CDA69B2"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3499BE54"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7E9BC801"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43" w:tooltip="Thihalolipavan, 2014 #12" w:history="1">
              <w:r>
                <w:rPr>
                  <w:rFonts w:cstheme="minorHAnsi"/>
                  <w:noProof/>
                  <w:color w:val="000000"/>
                  <w:sz w:val="18"/>
                  <w:szCs w:val="18"/>
                </w:rPr>
                <w:t>43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3954D65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hideMark/>
          </w:tcPr>
          <w:p w14:paraId="06B054F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hideMark/>
          </w:tcPr>
          <w:p w14:paraId="35B8AE3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09008B6A"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74F118A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604BB2E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11</w:t>
            </w:r>
          </w:p>
        </w:tc>
        <w:tc>
          <w:tcPr>
            <w:tcW w:w="1459" w:type="dxa"/>
            <w:shd w:val="clear" w:color="auto" w:fill="auto"/>
            <w:noWrap/>
            <w:tcMar>
              <w:top w:w="62" w:type="dxa"/>
              <w:left w:w="62" w:type="dxa"/>
              <w:bottom w:w="62" w:type="dxa"/>
              <w:right w:w="62" w:type="dxa"/>
            </w:tcMar>
            <w:vAlign w:val="bottom"/>
            <w:hideMark/>
          </w:tcPr>
          <w:p w14:paraId="531A577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Poor (&lt;=14)</w:t>
            </w:r>
          </w:p>
        </w:tc>
      </w:tr>
      <w:tr w:rsidR="007F0AE0" w:rsidRPr="00494051" w14:paraId="7B708CD2" w14:textId="77777777" w:rsidTr="00453DE3">
        <w:trPr>
          <w:cantSplit/>
          <w:trHeight w:val="20"/>
        </w:trPr>
        <w:tc>
          <w:tcPr>
            <w:tcW w:w="3256" w:type="dxa"/>
            <w:shd w:val="clear" w:color="auto" w:fill="auto"/>
            <w:noWrap/>
            <w:tcMar>
              <w:top w:w="62" w:type="dxa"/>
              <w:left w:w="62" w:type="dxa"/>
              <w:bottom w:w="62" w:type="dxa"/>
              <w:right w:w="62" w:type="dxa"/>
            </w:tcMar>
            <w:vAlign w:val="bottom"/>
            <w:hideMark/>
          </w:tcPr>
          <w:p w14:paraId="09277768"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52" w:tooltip="Trinidad, 2010 #58" w:history="1">
              <w:r>
                <w:rPr>
                  <w:rFonts w:cstheme="minorHAnsi"/>
                  <w:noProof/>
                  <w:color w:val="000000"/>
                  <w:sz w:val="18"/>
                  <w:szCs w:val="18"/>
                </w:rPr>
                <w:t>52</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hideMark/>
          </w:tcPr>
          <w:p w14:paraId="4A1C90E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hideMark/>
          </w:tcPr>
          <w:p w14:paraId="44F073C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797063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6</w:t>
            </w:r>
          </w:p>
        </w:tc>
        <w:tc>
          <w:tcPr>
            <w:tcW w:w="907" w:type="dxa"/>
            <w:shd w:val="clear" w:color="auto" w:fill="auto"/>
            <w:noWrap/>
            <w:tcMar>
              <w:top w:w="62" w:type="dxa"/>
              <w:left w:w="62" w:type="dxa"/>
              <w:bottom w:w="62" w:type="dxa"/>
              <w:right w:w="62" w:type="dxa"/>
            </w:tcMar>
            <w:vAlign w:val="bottom"/>
            <w:hideMark/>
          </w:tcPr>
          <w:p w14:paraId="57D6532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hideMark/>
          </w:tcPr>
          <w:p w14:paraId="544103F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hideMark/>
          </w:tcPr>
          <w:p w14:paraId="5D41094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21</w:t>
            </w:r>
          </w:p>
        </w:tc>
        <w:tc>
          <w:tcPr>
            <w:tcW w:w="1459" w:type="dxa"/>
            <w:shd w:val="clear" w:color="auto" w:fill="auto"/>
            <w:noWrap/>
            <w:tcMar>
              <w:top w:w="62" w:type="dxa"/>
              <w:left w:w="62" w:type="dxa"/>
              <w:bottom w:w="62" w:type="dxa"/>
              <w:right w:w="62" w:type="dxa"/>
            </w:tcMar>
            <w:vAlign w:val="bottom"/>
            <w:hideMark/>
          </w:tcPr>
          <w:p w14:paraId="230E6CC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6BBA7A4D" w14:textId="77777777" w:rsidTr="00453DE3">
        <w:trPr>
          <w:cantSplit/>
          <w:trHeight w:val="20"/>
        </w:trPr>
        <w:tc>
          <w:tcPr>
            <w:tcW w:w="3256" w:type="dxa"/>
            <w:shd w:val="clear" w:color="auto" w:fill="auto"/>
            <w:noWrap/>
            <w:tcMar>
              <w:top w:w="62" w:type="dxa"/>
              <w:left w:w="62" w:type="dxa"/>
              <w:bottom w:w="62" w:type="dxa"/>
              <w:right w:w="62" w:type="dxa"/>
            </w:tcMar>
            <w:vAlign w:val="bottom"/>
          </w:tcPr>
          <w:p w14:paraId="27D755C4"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r>
            <w:r>
              <w:rPr>
                <w:rFonts w:cstheme="minorHAnsi"/>
                <w:color w:val="000000"/>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494051">
              <w:rPr>
                <w:rFonts w:cstheme="minorHAnsi"/>
                <w:color w:val="000000"/>
                <w:sz w:val="18"/>
                <w:szCs w:val="18"/>
              </w:rPr>
              <w:fldChar w:fldCharType="separate"/>
            </w:r>
            <w:r>
              <w:rPr>
                <w:rFonts w:cstheme="minorHAnsi"/>
                <w:noProof/>
                <w:color w:val="000000"/>
                <w:sz w:val="18"/>
                <w:szCs w:val="18"/>
              </w:rPr>
              <w:t>(</w:t>
            </w:r>
            <w:hyperlink w:anchor="_ENREF_35" w:tooltip="Webb Hooper, 2011 #51" w:history="1">
              <w:r>
                <w:rPr>
                  <w:rFonts w:cstheme="minorHAnsi"/>
                  <w:noProof/>
                  <w:color w:val="000000"/>
                  <w:sz w:val="18"/>
                  <w:szCs w:val="18"/>
                </w:rPr>
                <w:t>35</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0B02154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tcPr>
          <w:p w14:paraId="69F5F1F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1B4FA583"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5</w:t>
            </w:r>
          </w:p>
        </w:tc>
        <w:tc>
          <w:tcPr>
            <w:tcW w:w="907" w:type="dxa"/>
            <w:shd w:val="clear" w:color="auto" w:fill="auto"/>
            <w:noWrap/>
            <w:tcMar>
              <w:top w:w="62" w:type="dxa"/>
              <w:left w:w="62" w:type="dxa"/>
              <w:bottom w:w="62" w:type="dxa"/>
              <w:right w:w="62" w:type="dxa"/>
            </w:tcMar>
            <w:vAlign w:val="bottom"/>
          </w:tcPr>
          <w:p w14:paraId="598D48D6"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4</w:t>
            </w:r>
          </w:p>
        </w:tc>
        <w:tc>
          <w:tcPr>
            <w:tcW w:w="907" w:type="dxa"/>
            <w:shd w:val="clear" w:color="auto" w:fill="auto"/>
            <w:noWrap/>
            <w:tcMar>
              <w:top w:w="62" w:type="dxa"/>
              <w:left w:w="62" w:type="dxa"/>
              <w:bottom w:w="62" w:type="dxa"/>
              <w:right w:w="62" w:type="dxa"/>
            </w:tcMar>
            <w:vAlign w:val="bottom"/>
          </w:tcPr>
          <w:p w14:paraId="1C302711"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w:t>
            </w:r>
          </w:p>
        </w:tc>
        <w:tc>
          <w:tcPr>
            <w:tcW w:w="907" w:type="dxa"/>
            <w:shd w:val="clear" w:color="auto" w:fill="auto"/>
            <w:noWrap/>
            <w:tcMar>
              <w:top w:w="62" w:type="dxa"/>
              <w:left w:w="62" w:type="dxa"/>
              <w:bottom w:w="62" w:type="dxa"/>
              <w:right w:w="62" w:type="dxa"/>
            </w:tcMar>
            <w:vAlign w:val="bottom"/>
          </w:tcPr>
          <w:p w14:paraId="7E576B2C"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20</w:t>
            </w:r>
          </w:p>
        </w:tc>
        <w:tc>
          <w:tcPr>
            <w:tcW w:w="1459" w:type="dxa"/>
            <w:shd w:val="clear" w:color="auto" w:fill="auto"/>
            <w:noWrap/>
            <w:tcMar>
              <w:top w:w="62" w:type="dxa"/>
              <w:left w:w="62" w:type="dxa"/>
              <w:bottom w:w="62" w:type="dxa"/>
              <w:right w:w="62" w:type="dxa"/>
            </w:tcMar>
            <w:vAlign w:val="bottom"/>
          </w:tcPr>
          <w:p w14:paraId="7AB7796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Good (20-25)</w:t>
            </w:r>
          </w:p>
        </w:tc>
      </w:tr>
      <w:tr w:rsidR="007F0AE0" w:rsidRPr="00494051" w14:paraId="06E74B10" w14:textId="77777777" w:rsidTr="00453DE3">
        <w:trPr>
          <w:cantSplit/>
          <w:trHeight w:val="23"/>
        </w:trPr>
        <w:tc>
          <w:tcPr>
            <w:tcW w:w="3256" w:type="dxa"/>
            <w:shd w:val="clear" w:color="auto" w:fill="auto"/>
            <w:noWrap/>
            <w:tcMar>
              <w:top w:w="62" w:type="dxa"/>
              <w:left w:w="62" w:type="dxa"/>
              <w:bottom w:w="62" w:type="dxa"/>
              <w:right w:w="62" w:type="dxa"/>
            </w:tcMar>
            <w:vAlign w:val="bottom"/>
          </w:tcPr>
          <w:p w14:paraId="6BF2DA39" w14:textId="77777777" w:rsidR="007F0AE0" w:rsidRPr="00494051" w:rsidRDefault="007F0AE0" w:rsidP="00453DE3">
            <w:pPr>
              <w:contextualSpacing/>
              <w:rPr>
                <w:rFonts w:cstheme="minorHAnsi"/>
                <w:color w:val="000000"/>
                <w:sz w:val="18"/>
                <w:szCs w:val="18"/>
              </w:rPr>
            </w:pPr>
            <w:r w:rsidRPr="00494051">
              <w:rPr>
                <w:rFonts w:cstheme="minorHAnsi"/>
                <w:color w:val="000000"/>
                <w:sz w:val="18"/>
                <w:szCs w:val="18"/>
              </w:rPr>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PEVuZE5vdGU+PENpdGU+PEF1dGhvcj5XaW5odXNlbjwvQXV0aG9yPjxZZWFyPjIwMTM8L1llYXI+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==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494051">
              <w:rPr>
                <w:rFonts w:cstheme="minorHAnsi"/>
                <w:color w:val="000000"/>
                <w:sz w:val="18"/>
                <w:szCs w:val="18"/>
              </w:rPr>
              <w:fldChar w:fldCharType="separate"/>
            </w:r>
            <w:r>
              <w:rPr>
                <w:rFonts w:cstheme="minorHAnsi"/>
                <w:noProof/>
                <w:color w:val="000000"/>
                <w:sz w:val="18"/>
                <w:szCs w:val="18"/>
              </w:rPr>
              <w:t>(</w:t>
            </w:r>
            <w:hyperlink w:anchor="_ENREF_63" w:tooltip="Winhusen, 2013 #287" w:history="1">
              <w:r>
                <w:rPr>
                  <w:rFonts w:cstheme="minorHAnsi"/>
                  <w:noProof/>
                  <w:color w:val="000000"/>
                  <w:sz w:val="18"/>
                  <w:szCs w:val="18"/>
                </w:rPr>
                <w:t>63</w:t>
              </w:r>
            </w:hyperlink>
            <w:r>
              <w:rPr>
                <w:rFonts w:cstheme="minorHAnsi"/>
                <w:noProof/>
                <w:color w:val="000000"/>
                <w:sz w:val="18"/>
                <w:szCs w:val="18"/>
              </w:rPr>
              <w:t>)</w:t>
            </w:r>
            <w:r w:rsidRPr="00494051">
              <w:rPr>
                <w:rFonts w:cstheme="minorHAnsi"/>
                <w:color w:val="000000"/>
                <w:sz w:val="18"/>
                <w:szCs w:val="18"/>
              </w:rPr>
              <w:fldChar w:fldCharType="end"/>
            </w:r>
          </w:p>
        </w:tc>
        <w:tc>
          <w:tcPr>
            <w:tcW w:w="907" w:type="dxa"/>
            <w:shd w:val="clear" w:color="auto" w:fill="auto"/>
            <w:noWrap/>
            <w:tcMar>
              <w:top w:w="62" w:type="dxa"/>
              <w:left w:w="62" w:type="dxa"/>
              <w:bottom w:w="62" w:type="dxa"/>
              <w:right w:w="62" w:type="dxa"/>
            </w:tcMar>
            <w:vAlign w:val="bottom"/>
          </w:tcPr>
          <w:p w14:paraId="5EAABF75"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9</w:t>
            </w:r>
          </w:p>
        </w:tc>
        <w:tc>
          <w:tcPr>
            <w:tcW w:w="907" w:type="dxa"/>
            <w:shd w:val="clear" w:color="auto" w:fill="auto"/>
            <w:noWrap/>
            <w:tcMar>
              <w:top w:w="62" w:type="dxa"/>
              <w:left w:w="62" w:type="dxa"/>
              <w:bottom w:w="62" w:type="dxa"/>
              <w:right w:w="62" w:type="dxa"/>
            </w:tcMar>
            <w:vAlign w:val="bottom"/>
          </w:tcPr>
          <w:p w14:paraId="577FC3FE"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tcPr>
          <w:p w14:paraId="5B8ED4F8"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7</w:t>
            </w:r>
          </w:p>
        </w:tc>
        <w:tc>
          <w:tcPr>
            <w:tcW w:w="907" w:type="dxa"/>
            <w:shd w:val="clear" w:color="auto" w:fill="auto"/>
            <w:noWrap/>
            <w:tcMar>
              <w:top w:w="62" w:type="dxa"/>
              <w:left w:w="62" w:type="dxa"/>
              <w:bottom w:w="62" w:type="dxa"/>
              <w:right w:w="62" w:type="dxa"/>
            </w:tcMar>
            <w:vAlign w:val="bottom"/>
          </w:tcPr>
          <w:p w14:paraId="118D04F0"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2</w:t>
            </w:r>
          </w:p>
        </w:tc>
        <w:tc>
          <w:tcPr>
            <w:tcW w:w="907" w:type="dxa"/>
            <w:shd w:val="clear" w:color="auto" w:fill="auto"/>
            <w:noWrap/>
            <w:tcMar>
              <w:top w:w="62" w:type="dxa"/>
              <w:left w:w="62" w:type="dxa"/>
              <w:bottom w:w="62" w:type="dxa"/>
              <w:right w:w="62" w:type="dxa"/>
            </w:tcMar>
            <w:vAlign w:val="bottom"/>
          </w:tcPr>
          <w:p w14:paraId="6A0332AB"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0</w:t>
            </w:r>
          </w:p>
        </w:tc>
        <w:tc>
          <w:tcPr>
            <w:tcW w:w="907" w:type="dxa"/>
            <w:shd w:val="clear" w:color="auto" w:fill="auto"/>
            <w:noWrap/>
            <w:tcMar>
              <w:top w:w="62" w:type="dxa"/>
              <w:left w:w="62" w:type="dxa"/>
              <w:bottom w:w="62" w:type="dxa"/>
              <w:right w:w="62" w:type="dxa"/>
            </w:tcMar>
            <w:vAlign w:val="bottom"/>
          </w:tcPr>
          <w:p w14:paraId="17BBAEE7"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18</w:t>
            </w:r>
          </w:p>
        </w:tc>
        <w:tc>
          <w:tcPr>
            <w:tcW w:w="1459" w:type="dxa"/>
            <w:shd w:val="clear" w:color="auto" w:fill="auto"/>
            <w:noWrap/>
            <w:tcMar>
              <w:top w:w="62" w:type="dxa"/>
              <w:left w:w="62" w:type="dxa"/>
              <w:bottom w:w="62" w:type="dxa"/>
              <w:right w:w="62" w:type="dxa"/>
            </w:tcMar>
            <w:vAlign w:val="bottom"/>
          </w:tcPr>
          <w:p w14:paraId="16319329" w14:textId="77777777" w:rsidR="007F0AE0" w:rsidRPr="00494051" w:rsidRDefault="007F0AE0" w:rsidP="00453DE3">
            <w:pPr>
              <w:contextualSpacing/>
              <w:jc w:val="center"/>
              <w:rPr>
                <w:rFonts w:cstheme="minorHAnsi"/>
                <w:color w:val="000000"/>
                <w:sz w:val="18"/>
                <w:szCs w:val="18"/>
              </w:rPr>
            </w:pPr>
            <w:r w:rsidRPr="00494051">
              <w:rPr>
                <w:rFonts w:cstheme="minorHAnsi"/>
                <w:color w:val="000000"/>
                <w:sz w:val="18"/>
                <w:szCs w:val="18"/>
              </w:rPr>
              <w:t>Fair (15-19)</w:t>
            </w:r>
          </w:p>
        </w:tc>
      </w:tr>
    </w:tbl>
    <w:p w14:paraId="72375D02" w14:textId="77777777" w:rsidR="007F0AE0" w:rsidRPr="000E6F62" w:rsidRDefault="007F0AE0" w:rsidP="007F0AE0"/>
    <w:tbl>
      <w:tblPr>
        <w:tblW w:w="5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8"/>
        <w:gridCol w:w="1048"/>
        <w:gridCol w:w="1043"/>
      </w:tblGrid>
      <w:tr w:rsidR="007F0AE0" w:rsidRPr="00494051" w14:paraId="52249340" w14:textId="77777777" w:rsidTr="00453DE3">
        <w:trPr>
          <w:trHeight w:val="288"/>
        </w:trPr>
        <w:tc>
          <w:tcPr>
            <w:tcW w:w="3188" w:type="dxa"/>
            <w:shd w:val="clear" w:color="auto" w:fill="44546A" w:themeFill="text2"/>
            <w:noWrap/>
            <w:vAlign w:val="bottom"/>
            <w:hideMark/>
          </w:tcPr>
          <w:p w14:paraId="50F7F868" w14:textId="77777777" w:rsidR="007F0AE0" w:rsidRPr="00494051" w:rsidRDefault="007F0AE0" w:rsidP="00453DE3">
            <w:pPr>
              <w:spacing w:line="240" w:lineRule="auto"/>
              <w:contextualSpacing/>
              <w:rPr>
                <w:rFonts w:cstheme="minorHAnsi"/>
                <w:b/>
                <w:bCs/>
                <w:color w:val="FFFFFF"/>
                <w:sz w:val="18"/>
                <w:szCs w:val="18"/>
              </w:rPr>
            </w:pPr>
            <w:r w:rsidRPr="00494051">
              <w:rPr>
                <w:rFonts w:cstheme="minorHAnsi"/>
                <w:b/>
                <w:bCs/>
                <w:color w:val="FFFFFF"/>
                <w:sz w:val="18"/>
                <w:szCs w:val="18"/>
              </w:rPr>
              <w:t>Study Quality</w:t>
            </w:r>
          </w:p>
        </w:tc>
        <w:tc>
          <w:tcPr>
            <w:tcW w:w="1048" w:type="dxa"/>
            <w:shd w:val="clear" w:color="auto" w:fill="44546A" w:themeFill="text2"/>
            <w:noWrap/>
            <w:vAlign w:val="bottom"/>
            <w:hideMark/>
          </w:tcPr>
          <w:p w14:paraId="54019029" w14:textId="77777777" w:rsidR="007F0AE0" w:rsidRPr="00494051" w:rsidRDefault="007F0AE0" w:rsidP="00453DE3">
            <w:pPr>
              <w:spacing w:line="240" w:lineRule="auto"/>
              <w:contextualSpacing/>
              <w:jc w:val="center"/>
              <w:rPr>
                <w:rFonts w:cstheme="minorHAnsi"/>
                <w:b/>
                <w:bCs/>
                <w:color w:val="FFFFFF"/>
                <w:sz w:val="18"/>
                <w:szCs w:val="18"/>
              </w:rPr>
            </w:pPr>
            <w:r w:rsidRPr="00494051">
              <w:rPr>
                <w:rFonts w:cstheme="minorHAnsi"/>
                <w:b/>
                <w:bCs/>
                <w:color w:val="FFFFFF"/>
                <w:sz w:val="18"/>
                <w:szCs w:val="18"/>
              </w:rPr>
              <w:t>N</w:t>
            </w:r>
          </w:p>
        </w:tc>
        <w:tc>
          <w:tcPr>
            <w:tcW w:w="1043" w:type="dxa"/>
            <w:shd w:val="clear" w:color="auto" w:fill="44546A" w:themeFill="text2"/>
            <w:noWrap/>
            <w:vAlign w:val="bottom"/>
            <w:hideMark/>
          </w:tcPr>
          <w:p w14:paraId="5B0461B0" w14:textId="77777777" w:rsidR="007F0AE0" w:rsidRPr="00494051" w:rsidRDefault="007F0AE0" w:rsidP="00453DE3">
            <w:pPr>
              <w:spacing w:line="240" w:lineRule="auto"/>
              <w:contextualSpacing/>
              <w:jc w:val="center"/>
              <w:rPr>
                <w:rFonts w:cstheme="minorHAnsi"/>
                <w:b/>
                <w:bCs/>
                <w:color w:val="FFFFFF"/>
                <w:sz w:val="18"/>
                <w:szCs w:val="18"/>
              </w:rPr>
            </w:pPr>
            <w:r w:rsidRPr="00494051">
              <w:rPr>
                <w:rFonts w:cstheme="minorHAnsi"/>
                <w:b/>
                <w:bCs/>
                <w:color w:val="FFFFFF"/>
                <w:sz w:val="18"/>
                <w:szCs w:val="18"/>
              </w:rPr>
              <w:t>%</w:t>
            </w:r>
          </w:p>
        </w:tc>
      </w:tr>
      <w:tr w:rsidR="007F0AE0" w:rsidRPr="00494051" w14:paraId="17030862" w14:textId="77777777" w:rsidTr="00453DE3">
        <w:trPr>
          <w:trHeight w:val="288"/>
        </w:trPr>
        <w:tc>
          <w:tcPr>
            <w:tcW w:w="3188" w:type="dxa"/>
            <w:shd w:val="clear" w:color="D9E1F2" w:fill="D9E1F2"/>
            <w:noWrap/>
            <w:vAlign w:val="bottom"/>
          </w:tcPr>
          <w:p w14:paraId="6031D0D2" w14:textId="77777777" w:rsidR="007F0AE0" w:rsidRPr="00494051" w:rsidRDefault="007F0AE0" w:rsidP="00453DE3">
            <w:pPr>
              <w:spacing w:line="240" w:lineRule="auto"/>
              <w:contextualSpacing/>
              <w:rPr>
                <w:rFonts w:cstheme="minorHAnsi"/>
                <w:color w:val="000000"/>
                <w:sz w:val="18"/>
                <w:szCs w:val="18"/>
              </w:rPr>
            </w:pPr>
            <w:r w:rsidRPr="00494051">
              <w:rPr>
                <w:rFonts w:cstheme="minorHAnsi"/>
                <w:color w:val="000000"/>
                <w:sz w:val="18"/>
                <w:szCs w:val="18"/>
              </w:rPr>
              <w:t>Excellent</w:t>
            </w:r>
          </w:p>
        </w:tc>
        <w:tc>
          <w:tcPr>
            <w:tcW w:w="1048" w:type="dxa"/>
            <w:shd w:val="clear" w:color="D9E1F2" w:fill="D9E1F2"/>
            <w:noWrap/>
            <w:vAlign w:val="bottom"/>
          </w:tcPr>
          <w:p w14:paraId="7224E892"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0</w:t>
            </w:r>
          </w:p>
        </w:tc>
        <w:tc>
          <w:tcPr>
            <w:tcW w:w="1043" w:type="dxa"/>
            <w:shd w:val="clear" w:color="D9E1F2" w:fill="D9E1F2"/>
            <w:noWrap/>
            <w:vAlign w:val="bottom"/>
          </w:tcPr>
          <w:p w14:paraId="0CFB128B"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0%</w:t>
            </w:r>
          </w:p>
        </w:tc>
      </w:tr>
      <w:tr w:rsidR="007F0AE0" w:rsidRPr="00494051" w14:paraId="69457AC0" w14:textId="77777777" w:rsidTr="00453DE3">
        <w:trPr>
          <w:trHeight w:val="288"/>
        </w:trPr>
        <w:tc>
          <w:tcPr>
            <w:tcW w:w="3188" w:type="dxa"/>
            <w:shd w:val="clear" w:color="auto" w:fill="auto"/>
            <w:noWrap/>
            <w:vAlign w:val="bottom"/>
          </w:tcPr>
          <w:p w14:paraId="6A655FAE" w14:textId="77777777" w:rsidR="007F0AE0" w:rsidRPr="00494051" w:rsidRDefault="007F0AE0" w:rsidP="00453DE3">
            <w:pPr>
              <w:spacing w:line="240" w:lineRule="auto"/>
              <w:contextualSpacing/>
              <w:rPr>
                <w:rFonts w:cstheme="minorHAnsi"/>
                <w:color w:val="000000"/>
                <w:sz w:val="18"/>
                <w:szCs w:val="18"/>
              </w:rPr>
            </w:pPr>
            <w:r w:rsidRPr="00494051">
              <w:rPr>
                <w:rFonts w:cstheme="minorHAnsi"/>
                <w:color w:val="000000"/>
                <w:sz w:val="18"/>
                <w:szCs w:val="18"/>
              </w:rPr>
              <w:t>Good</w:t>
            </w:r>
          </w:p>
        </w:tc>
        <w:tc>
          <w:tcPr>
            <w:tcW w:w="1048" w:type="dxa"/>
            <w:shd w:val="clear" w:color="auto" w:fill="auto"/>
            <w:noWrap/>
            <w:vAlign w:val="bottom"/>
          </w:tcPr>
          <w:p w14:paraId="4E148C5F"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2</w:t>
            </w:r>
            <w:r>
              <w:rPr>
                <w:rFonts w:cstheme="minorHAnsi"/>
                <w:color w:val="000000"/>
                <w:sz w:val="18"/>
                <w:szCs w:val="18"/>
              </w:rPr>
              <w:t>7</w:t>
            </w:r>
          </w:p>
        </w:tc>
        <w:tc>
          <w:tcPr>
            <w:tcW w:w="1043" w:type="dxa"/>
            <w:shd w:val="clear" w:color="auto" w:fill="auto"/>
            <w:noWrap/>
            <w:vAlign w:val="bottom"/>
          </w:tcPr>
          <w:p w14:paraId="055A0383"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4</w:t>
            </w:r>
            <w:r>
              <w:rPr>
                <w:rFonts w:cstheme="minorHAnsi"/>
                <w:color w:val="000000"/>
                <w:sz w:val="18"/>
                <w:szCs w:val="18"/>
              </w:rPr>
              <w:t>7.4</w:t>
            </w:r>
            <w:r w:rsidRPr="00494051">
              <w:rPr>
                <w:rFonts w:cstheme="minorHAnsi"/>
                <w:color w:val="000000"/>
                <w:sz w:val="18"/>
                <w:szCs w:val="18"/>
              </w:rPr>
              <w:t>%</w:t>
            </w:r>
          </w:p>
        </w:tc>
      </w:tr>
      <w:tr w:rsidR="007F0AE0" w:rsidRPr="00494051" w14:paraId="364143E7" w14:textId="77777777" w:rsidTr="00453DE3">
        <w:trPr>
          <w:trHeight w:val="288"/>
        </w:trPr>
        <w:tc>
          <w:tcPr>
            <w:tcW w:w="3188" w:type="dxa"/>
            <w:shd w:val="clear" w:color="D9E1F2" w:fill="D9E1F2"/>
            <w:noWrap/>
            <w:vAlign w:val="bottom"/>
          </w:tcPr>
          <w:p w14:paraId="29830080" w14:textId="77777777" w:rsidR="007F0AE0" w:rsidRPr="00494051" w:rsidRDefault="007F0AE0" w:rsidP="00453DE3">
            <w:pPr>
              <w:spacing w:line="240" w:lineRule="auto"/>
              <w:contextualSpacing/>
              <w:rPr>
                <w:rFonts w:cstheme="minorHAnsi"/>
                <w:color w:val="000000"/>
                <w:sz w:val="18"/>
                <w:szCs w:val="18"/>
              </w:rPr>
            </w:pPr>
            <w:r w:rsidRPr="00494051">
              <w:rPr>
                <w:rFonts w:cstheme="minorHAnsi"/>
                <w:color w:val="000000"/>
                <w:sz w:val="18"/>
                <w:szCs w:val="18"/>
              </w:rPr>
              <w:t>Fair</w:t>
            </w:r>
          </w:p>
        </w:tc>
        <w:tc>
          <w:tcPr>
            <w:tcW w:w="1048" w:type="dxa"/>
            <w:shd w:val="clear" w:color="D9E1F2" w:fill="D9E1F2"/>
            <w:noWrap/>
            <w:vAlign w:val="bottom"/>
          </w:tcPr>
          <w:p w14:paraId="21B705CB"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2</w:t>
            </w:r>
            <w:r>
              <w:rPr>
                <w:rFonts w:cstheme="minorHAnsi"/>
                <w:color w:val="000000"/>
                <w:sz w:val="18"/>
                <w:szCs w:val="18"/>
              </w:rPr>
              <w:t>7</w:t>
            </w:r>
          </w:p>
        </w:tc>
        <w:tc>
          <w:tcPr>
            <w:tcW w:w="1043" w:type="dxa"/>
            <w:shd w:val="clear" w:color="D9E1F2" w:fill="D9E1F2"/>
            <w:noWrap/>
            <w:vAlign w:val="bottom"/>
          </w:tcPr>
          <w:p w14:paraId="056607AE"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4</w:t>
            </w:r>
            <w:r>
              <w:rPr>
                <w:rFonts w:cstheme="minorHAnsi"/>
                <w:color w:val="000000"/>
                <w:sz w:val="18"/>
                <w:szCs w:val="18"/>
              </w:rPr>
              <w:t>7.4</w:t>
            </w:r>
            <w:r w:rsidRPr="00494051">
              <w:rPr>
                <w:rFonts w:cstheme="minorHAnsi"/>
                <w:color w:val="000000"/>
                <w:sz w:val="18"/>
                <w:szCs w:val="18"/>
              </w:rPr>
              <w:t>%</w:t>
            </w:r>
          </w:p>
        </w:tc>
      </w:tr>
      <w:tr w:rsidR="007F0AE0" w:rsidRPr="00494051" w14:paraId="7DEB0EF3" w14:textId="77777777" w:rsidTr="00453DE3">
        <w:trPr>
          <w:trHeight w:val="288"/>
        </w:trPr>
        <w:tc>
          <w:tcPr>
            <w:tcW w:w="3188" w:type="dxa"/>
            <w:shd w:val="clear" w:color="auto" w:fill="auto"/>
            <w:noWrap/>
            <w:vAlign w:val="bottom"/>
          </w:tcPr>
          <w:p w14:paraId="00D6B669" w14:textId="77777777" w:rsidR="007F0AE0" w:rsidRPr="00494051" w:rsidRDefault="007F0AE0" w:rsidP="00453DE3">
            <w:pPr>
              <w:spacing w:line="240" w:lineRule="auto"/>
              <w:contextualSpacing/>
              <w:rPr>
                <w:rFonts w:cstheme="minorHAnsi"/>
                <w:color w:val="000000"/>
                <w:sz w:val="18"/>
                <w:szCs w:val="18"/>
              </w:rPr>
            </w:pPr>
            <w:r w:rsidRPr="00494051">
              <w:rPr>
                <w:rFonts w:cstheme="minorHAnsi"/>
                <w:color w:val="000000"/>
                <w:sz w:val="18"/>
                <w:szCs w:val="18"/>
              </w:rPr>
              <w:t>Poor</w:t>
            </w:r>
          </w:p>
        </w:tc>
        <w:tc>
          <w:tcPr>
            <w:tcW w:w="1048" w:type="dxa"/>
            <w:shd w:val="clear" w:color="auto" w:fill="auto"/>
            <w:noWrap/>
            <w:vAlign w:val="bottom"/>
          </w:tcPr>
          <w:p w14:paraId="4820842E" w14:textId="77777777" w:rsidR="007F0AE0" w:rsidRPr="00494051" w:rsidRDefault="007F0AE0" w:rsidP="00453DE3">
            <w:pPr>
              <w:spacing w:line="240" w:lineRule="auto"/>
              <w:contextualSpacing/>
              <w:jc w:val="center"/>
              <w:rPr>
                <w:rFonts w:cstheme="minorHAnsi"/>
                <w:color w:val="000000"/>
                <w:sz w:val="18"/>
                <w:szCs w:val="18"/>
              </w:rPr>
            </w:pPr>
            <w:r w:rsidRPr="00494051">
              <w:rPr>
                <w:rFonts w:cstheme="minorHAnsi"/>
                <w:color w:val="000000"/>
                <w:sz w:val="18"/>
                <w:szCs w:val="18"/>
              </w:rPr>
              <w:t>3</w:t>
            </w:r>
          </w:p>
        </w:tc>
        <w:tc>
          <w:tcPr>
            <w:tcW w:w="1043" w:type="dxa"/>
            <w:shd w:val="clear" w:color="auto" w:fill="auto"/>
            <w:noWrap/>
            <w:vAlign w:val="bottom"/>
          </w:tcPr>
          <w:p w14:paraId="227BAEBB" w14:textId="77777777" w:rsidR="007F0AE0" w:rsidRPr="00494051" w:rsidRDefault="007F0AE0" w:rsidP="00453DE3">
            <w:pPr>
              <w:spacing w:line="240" w:lineRule="auto"/>
              <w:contextualSpacing/>
              <w:jc w:val="center"/>
              <w:rPr>
                <w:rFonts w:cstheme="minorHAnsi"/>
                <w:color w:val="000000"/>
                <w:sz w:val="18"/>
                <w:szCs w:val="18"/>
              </w:rPr>
            </w:pPr>
            <w:r>
              <w:rPr>
                <w:rFonts w:cstheme="minorHAnsi"/>
                <w:color w:val="000000"/>
                <w:sz w:val="18"/>
                <w:szCs w:val="18"/>
              </w:rPr>
              <w:t>5.2</w:t>
            </w:r>
            <w:r w:rsidRPr="00494051">
              <w:rPr>
                <w:rFonts w:cstheme="minorHAnsi"/>
                <w:color w:val="000000"/>
                <w:sz w:val="18"/>
                <w:szCs w:val="18"/>
              </w:rPr>
              <w:t>%</w:t>
            </w:r>
          </w:p>
        </w:tc>
      </w:tr>
      <w:tr w:rsidR="007F0AE0" w:rsidRPr="00494051" w14:paraId="41DD9AA9" w14:textId="77777777" w:rsidTr="00453DE3">
        <w:trPr>
          <w:trHeight w:val="288"/>
        </w:trPr>
        <w:tc>
          <w:tcPr>
            <w:tcW w:w="3188" w:type="dxa"/>
            <w:shd w:val="clear" w:color="D9E1F2" w:fill="D9E1F2"/>
            <w:noWrap/>
            <w:vAlign w:val="bottom"/>
            <w:hideMark/>
          </w:tcPr>
          <w:p w14:paraId="3DA98A5F" w14:textId="77777777" w:rsidR="007F0AE0" w:rsidRPr="00494051" w:rsidRDefault="007F0AE0" w:rsidP="00453DE3">
            <w:pPr>
              <w:spacing w:line="240" w:lineRule="auto"/>
              <w:contextualSpacing/>
              <w:rPr>
                <w:rFonts w:cstheme="minorHAnsi"/>
                <w:b/>
                <w:color w:val="000000"/>
                <w:sz w:val="18"/>
                <w:szCs w:val="18"/>
              </w:rPr>
            </w:pPr>
            <w:r w:rsidRPr="00494051">
              <w:rPr>
                <w:rFonts w:cstheme="minorHAnsi"/>
                <w:b/>
                <w:color w:val="000000"/>
                <w:sz w:val="18"/>
                <w:szCs w:val="18"/>
              </w:rPr>
              <w:t>Total</w:t>
            </w:r>
          </w:p>
        </w:tc>
        <w:tc>
          <w:tcPr>
            <w:tcW w:w="1048" w:type="dxa"/>
            <w:shd w:val="clear" w:color="D9E1F2" w:fill="D9E1F2"/>
            <w:noWrap/>
            <w:vAlign w:val="bottom"/>
            <w:hideMark/>
          </w:tcPr>
          <w:p w14:paraId="2C2E2F5C" w14:textId="77777777" w:rsidR="007F0AE0" w:rsidRPr="00494051" w:rsidRDefault="007F0AE0" w:rsidP="00453DE3">
            <w:pPr>
              <w:spacing w:line="240" w:lineRule="auto"/>
              <w:contextualSpacing/>
              <w:jc w:val="center"/>
              <w:rPr>
                <w:rFonts w:cstheme="minorHAnsi"/>
                <w:b/>
                <w:color w:val="000000"/>
                <w:sz w:val="18"/>
                <w:szCs w:val="18"/>
              </w:rPr>
            </w:pPr>
            <w:r w:rsidRPr="00494051">
              <w:rPr>
                <w:rFonts w:cstheme="minorHAnsi"/>
                <w:b/>
                <w:color w:val="000000"/>
                <w:sz w:val="18"/>
                <w:szCs w:val="18"/>
              </w:rPr>
              <w:t>5</w:t>
            </w:r>
            <w:r>
              <w:rPr>
                <w:rFonts w:cstheme="minorHAnsi"/>
                <w:b/>
                <w:color w:val="000000"/>
                <w:sz w:val="18"/>
                <w:szCs w:val="18"/>
              </w:rPr>
              <w:t>7</w:t>
            </w:r>
          </w:p>
        </w:tc>
        <w:tc>
          <w:tcPr>
            <w:tcW w:w="1043" w:type="dxa"/>
            <w:shd w:val="clear" w:color="D9E1F2" w:fill="D9E1F2"/>
            <w:noWrap/>
            <w:vAlign w:val="bottom"/>
            <w:hideMark/>
          </w:tcPr>
          <w:p w14:paraId="02DBB5E4" w14:textId="77777777" w:rsidR="007F0AE0" w:rsidRPr="00494051" w:rsidRDefault="007F0AE0" w:rsidP="00453DE3">
            <w:pPr>
              <w:spacing w:line="240" w:lineRule="auto"/>
              <w:contextualSpacing/>
              <w:jc w:val="center"/>
              <w:rPr>
                <w:rFonts w:cstheme="minorHAnsi"/>
                <w:b/>
                <w:color w:val="000000"/>
                <w:sz w:val="18"/>
                <w:szCs w:val="18"/>
              </w:rPr>
            </w:pPr>
            <w:r w:rsidRPr="00494051">
              <w:rPr>
                <w:rFonts w:cstheme="minorHAnsi"/>
                <w:b/>
                <w:color w:val="000000"/>
                <w:sz w:val="18"/>
                <w:szCs w:val="18"/>
              </w:rPr>
              <w:t>100%</w:t>
            </w:r>
          </w:p>
        </w:tc>
      </w:tr>
    </w:tbl>
    <w:p w14:paraId="6D830D07" w14:textId="77777777" w:rsidR="007F0AE0" w:rsidRDefault="007F0AE0" w:rsidP="007F0AE0">
      <w:pPr>
        <w:spacing w:after="120" w:line="240" w:lineRule="auto"/>
        <w:jc w:val="both"/>
        <w:rPr>
          <w:rFonts w:cstheme="minorHAnsi"/>
          <w:b/>
          <w:color w:val="000000" w:themeColor="text1"/>
        </w:rPr>
        <w:sectPr w:rsidR="007F0AE0" w:rsidSect="007D08E2">
          <w:pgSz w:w="15840" w:h="12240" w:orient="landscape"/>
          <w:pgMar w:top="1440" w:right="1440" w:bottom="1440" w:left="1440" w:header="720" w:footer="720" w:gutter="0"/>
          <w:cols w:space="720"/>
          <w:titlePg/>
          <w:docGrid w:linePitch="360"/>
        </w:sectPr>
      </w:pPr>
    </w:p>
    <w:p w14:paraId="5797A8E6" w14:textId="77777777" w:rsidR="007F0AE0" w:rsidRPr="000F3C17" w:rsidRDefault="007F0AE0" w:rsidP="007F0AE0">
      <w:pPr>
        <w:spacing w:after="240" w:line="240" w:lineRule="auto"/>
        <w:jc w:val="center"/>
      </w:pPr>
      <w:r>
        <w:rPr>
          <w:rFonts w:cstheme="minorHAnsi"/>
          <w:b/>
        </w:rPr>
        <w:lastRenderedPageBreak/>
        <w:t>REFERENCES</w:t>
      </w:r>
    </w:p>
    <w:p w14:paraId="703753F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fldChar w:fldCharType="begin"/>
      </w:r>
      <w:r w:rsidRPr="000F3C17">
        <w:rPr>
          <w:rFonts w:ascii="Calibri" w:hAnsi="Calibri" w:cs="Calibri"/>
          <w:noProof/>
        </w:rPr>
        <w:instrText xml:space="preserve"> ADDIN EN.REFLIST </w:instrText>
      </w:r>
      <w:r w:rsidRPr="000F3C17">
        <w:rPr>
          <w:rFonts w:ascii="Calibri" w:hAnsi="Calibri" w:cs="Calibri"/>
          <w:noProof/>
        </w:rPr>
        <w:fldChar w:fldCharType="separate"/>
      </w:r>
      <w:r w:rsidRPr="000F3C17">
        <w:rPr>
          <w:rFonts w:ascii="Calibri" w:hAnsi="Calibri" w:cs="Calibri"/>
          <w:noProof/>
        </w:rPr>
        <w:t>Alexander, L.A., Crawford, T., Mendiondo, M.S., 2010. Occupational status, work-site cessation programs and policies and menthol smoking on quitting behaviors of US smokers. Addiction 105 Suppl 1, 95-104.</w:t>
      </w:r>
    </w:p>
    <w:p w14:paraId="159E52A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Berg, C.J., Thomas, J.L., Guo, H., An, L.C., Okuyemi, K.S., Collins, T.C., Ahluwalia, J.S., 2010. Predictors of smoking reduction among Blacks. Nicotine Tob Res 12(4), 423-431.</w:t>
      </w:r>
    </w:p>
    <w:p w14:paraId="75D6863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Blot, W.J., Cohen, S.S., Aldrich, M., McLaughlin, J.K., Hargreaves, M.K., Signorello, L.B., 2011. Lung cancer risk among smokers of menthol cigarettes. J Natl Cancer Inst 103(10), 810-816.</w:t>
      </w:r>
    </w:p>
    <w:p w14:paraId="41E713B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Brooks, D.R., Palmer, J.R., Strom, B.L., Rosenberg, L., 2003. Menthol cigarettes and risk of lung cancer. Am J Epidemiol 158(7), 609-616; discussion 617-620.</w:t>
      </w:r>
    </w:p>
    <w:p w14:paraId="58EC2E8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Cropsey, K.L., Weaver, M.F., Eldridge, G.D., Villalobos, G.C., Best, A.M., Stitzer, M.L., 2009. Differential success rates in racial groups: results of a clinical trial of smoking cessation among female prisoners. Nicotine Tob Res 11(6), 690-697.</w:t>
      </w:r>
    </w:p>
    <w:p w14:paraId="77C1726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Cubbin, C., Soobader, M.J., LeClere, F.B., 2010. The intersection of gender and race/ethnicity in smoking behaviors among menthol and non-menthol smokers in the United States. Addiction 105 Suppl 1, 32-38.</w:t>
      </w:r>
    </w:p>
    <w:p w14:paraId="534E4A8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D'Silva, J., Boyle, R.G., Lien, R., Rode, P., Okuyemi, K.S., 2012. Cessation outcomes among treatment-seeking menthol and nonmenthol smokers. Am J Prev Med 43(5 Suppl 3), S242-248.</w:t>
      </w:r>
    </w:p>
    <w:p w14:paraId="7D8D318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2CB1A26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Gundersen, D.A., Hrywna, M., Echeverria, S.E., Steinberg, M.B., 2011. Smoking-cessation prevalence among U.S. smokers of menthol versus non-menthol cigarettes. Am J Prev Med 41(4), 357-365.</w:t>
      </w:r>
    </w:p>
    <w:p w14:paraId="35B0BA5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Delnevo, C.D., Villanti, A.C., Wackowski, O.A., Gundersen, D.A., Giovenco, D.P., 2015. The influence of menthol, e-cigarettes and other tobacco products on young adults' self-reported changes in past year smoking. Tob Control.</w:t>
      </w:r>
    </w:p>
    <w:p w14:paraId="57E867E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Augustson, E., Backinger, C.L., O'Connell, M.E., Vollinger, R.E., Jr., Kaufman, A., Gibson, J.T., 2007. Quit attempts and intention to quit cigarette smoking among young adults in the United States. Am J Public Health 97(8), 1412-1420.</w:t>
      </w:r>
    </w:p>
    <w:p w14:paraId="09E7D94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Moolchan, E.T., Hart, A., Jr., Rose, A., Lawrence, D., Shavers, V.L., Gibson, J.T., 2010. Nicotine dependence and quitting behaviors among menthol and non-menthol smokers with similar consumptive patterns. Addiction 105 Suppl 1, 55-74.</w:t>
      </w:r>
    </w:p>
    <w:p w14:paraId="1E8714A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Fagan, P., Pohkrel, P., Herzog, T., Pagano, I., Vallone, D., Trinidad, D.R., Sakuma, K.L., Sterling, K., Fryer, C.S., Moolchan, E., 2015. Comparisons of three nicotine dependence scales in a multiethnic sample of young adult menthol and non-menthol smokers. Drug Alcohol Depend 149, 203-211.</w:t>
      </w:r>
    </w:p>
    <w:p w14:paraId="3F30AD7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Faseru, B., Choi, W.S., Krebill, R., Mayo, M.S., Nollen, N.L., Okuyemi, K.S., Ahluwalia, J.S., Cox, L.S., 2011. Factors associated with smoking menthol cigarettes among treatment-seeking African American light smokers. Addict Behav 36(12), 1321-1324.</w:t>
      </w:r>
    </w:p>
    <w:p w14:paraId="497BF47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Faseru, B., Nollen, N.L., Mayo, M.S., Krebill, R., Choi, W.S., Benowitz, N.L., Tyndale, R.F., Okuyemi, K.S., Ahluwalia, J.S., Sanderson Cox, L., 2013. Predictors of cessation in African American light smokers enrolled in a bupropion clinical trial. Addict Behav 38(3), 1796-1803.</w:t>
      </w:r>
    </w:p>
    <w:p w14:paraId="335F511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Foulds, J., Gandhi, K.K., Steinberg, M.B., Richardson, D.L., Williams, J.M., Burke, M.V., Rhoads, G.G., 2006. Factors associated with quitting smoking at a tobacco dependence treatment clinic. Am J Health Behav 30(4), 400-412.</w:t>
      </w:r>
    </w:p>
    <w:p w14:paraId="6AB634C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Fu, S.S., Okuyemi, K.S., Partin, M.R., Ahluwalia, J.S., Nelson, D.B., Clothier, B.A., Joseph, A.M., 2008. Menthol cigarettes and smoking cessation during an aided quit attempt. Nicotine Tob Res 10(3), 457-462.</w:t>
      </w:r>
    </w:p>
    <w:p w14:paraId="6B14495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Gandhi, K.K., Foulds, J., Steinberg, M.B., Lu, S.E., Williams, J.M., 2009. Lower quit rates among African American and Latino menthol cigarette smokers at a tobacco treatment clinic. Int J Clin Pract 63(3), 360-367.</w:t>
      </w:r>
    </w:p>
    <w:p w14:paraId="044EFA5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Gubner, N.R., Williams, D.D., Pagano, A., Campbell, B.K., Guydish, J., 2018. Menthol cigarette smoking among individuals in treatment for substance use disorders. Addictive behaviors 80, 135-141.</w:t>
      </w:r>
    </w:p>
    <w:p w14:paraId="64E6537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Gundersen, D.A., Delnevo, C.D., Wackowski, O., 2009. Exploring the relationship between race/ethnicity, menthol smoking, and cessation, in a nationally representative sample of adults. Prev Med 49(6), 553-557.</w:t>
      </w:r>
    </w:p>
    <w:p w14:paraId="731BD13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Harris, K.J., Okuyemi, K.S., Catley, D., Mayo, M.S., Ge, B., Ahluwalia, J.S., 2004. Predictors of smoking cessation among African-Americans enrolled in a randomized controlled trial of bupropion. Prev Med 38(4), 498-502.</w:t>
      </w:r>
    </w:p>
    <w:p w14:paraId="0D37246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Hersey, J.C., Ng, S.W., Nonnemaker, J.M., Mowery, P., Thomas, K.Y., Vilsaint, M.C., Allen, J.A., Haviland, M.L., 2006. Are menthol cigarettes a starter product for youth? Nicotine Tob Res 8(3), 403-413.</w:t>
      </w:r>
    </w:p>
    <w:p w14:paraId="177C0DB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Garten, S., Giovino, G.A., Cummings, K.M., 2002. Mentholated cigarettes and smoking cessation: Findings from COMMIT. Tob Control 11, 135-139.</w:t>
      </w:r>
    </w:p>
    <w:p w14:paraId="0D25C7F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Hyland, A., Rivard, C., 2010. Analysis of mentholated cigarettes using the COMMIT data -- summary. Department of Health Behavior, Roswell Park Cancer Institute.</w:t>
      </w:r>
    </w:p>
    <w:p w14:paraId="7D7637C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Jarvik, M.E., Tashkin, D.P., Caskey, N.H., McCarthy, W.J., Rosenblatt, M.R., 1994. Mentholated cigarettes decrease puff volume of smoke and increase carbon monoxide absorption. Physiol Behav 56(3), 563-570.</w:t>
      </w:r>
    </w:p>
    <w:p w14:paraId="3B47E68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Kahende, J.W., Malarcher, A.M., Teplinskaya, A., Asman, K.J., 2011. Quit attempt correlates among smokers by race/ethnicity. International journal of environmental research and public health 8(10), 3871-3888.</w:t>
      </w:r>
    </w:p>
    <w:p w14:paraId="50648DD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Kanyuch, J.A., Bercz, P.A., Chang, J., Martinez, F.J., Criner, G.J., Lawrence, M.J., Tomko, P.A., Foreman, M.G., Silverman, E., Crapo, J.D., Sciurba, F.C., Investigators, C., 2011. Menthol cigarette use among African Americans associated with persistent tobacco use. Am J Respir Crit Care Med, p. A4568.</w:t>
      </w:r>
    </w:p>
    <w:p w14:paraId="3CA2F43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Kasza, K.A., Hyland, A.J., Bansal-Travers, M., Vogl, L.M., Chen, J., Evans, S.E., Fong, G.T., Cummings, K.M., O'Connor, R.J., 2014. Switching between menthol and nonmenthol cigarettes: findings from the U.S. Cohort of the International Tobacco Control Four Country Survey. Nicotine Tob Res 16(9), 1255-1265.</w:t>
      </w:r>
    </w:p>
    <w:p w14:paraId="527F737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 Yao, T., Ong, M.K., Sung, H.-Y., 2017. The Association of Menthol Cigarette Use With Quit Attempts, Successful Cessation, and Intention to Quit Across Racial/Ethnic Groups in the United States. Nicotine &amp; tobacco research : official journal of the Society for Research on Nicotine and Tobacco 19(12), 1450-1464.</w:t>
      </w:r>
    </w:p>
    <w:p w14:paraId="7E7C75E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Keeler, C., Max, W., Yerger, V.B., Yao, T., Wang, Y., Ong, M.K., Sung, H.-Y., 2018. Effects of cigarette prices on intention to quit, quit attempts, and successful cessation among African American smokers. Nicotine &amp; tobacco research : official journal of the Society for Research on Nicotine and Tobacco.</w:t>
      </w:r>
    </w:p>
    <w:p w14:paraId="07C37C6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King, A., Cao, D., Matthews, A., 2011. Influence of menthol use on smoking cessation outcomes in a smoking cessation treatment program.</w:t>
      </w:r>
    </w:p>
    <w:p w14:paraId="718752E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Levy, D.T., Blackman, K., Tauras, J., Chaloupka, F.J., Villanti, A.C., Niaura, R.S., Vallone, D.M., Abrams, D.B., 2011. Quit attempts and quit rates among menthol and nonmenthol smokers in the United States. Am J Public Health 101(7), 1241-1247.</w:t>
      </w:r>
    </w:p>
    <w:p w14:paraId="6F84549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42AD00D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Mendiondo, M.S., Alexander, L.A., Crawford, T., 2010. Health profile differences for menthol and non-menthol smokers: findings from the National Health Interview Survey. Addiction 105 Suppl 1, 124-140.</w:t>
      </w:r>
    </w:p>
    <w:p w14:paraId="0205FA9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Miller, G.E., Jarvik, M.E., Caskey, N.H., Segerstrom, S.C., Rosenblatt, M.R., McCarthy, W.J., 1994. Cigarette mentholation increases smokers' exhaled carbon monoxide levels. Exp Clin Psychopharm 2(2), 154-160.</w:t>
      </w:r>
    </w:p>
    <w:p w14:paraId="3A6A6AF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Muench, C., Juliano, L.M., 2017. Predictors of smoking lapse during a 48-hour laboratory analogue smoking cessation attempt. Psychology of addictive behaviors : journal of the Society of Psychologists in Addictive Behaviors 31(4), 415-422.</w:t>
      </w:r>
    </w:p>
    <w:p w14:paraId="1F95400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Murray, R.P., Connett, J.E., Skeans, M.A., Tashkin, D.P., 2007. Menthol cigarettes and health risks in Lung Health Study data. Nicotine Tob Res 9(1), 101-107.</w:t>
      </w:r>
    </w:p>
    <w:p w14:paraId="3BC4FD1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Muscat, J.E., Richie, J.P., Jr., Stellman, S.D., 2002. Mentholated cigarettes and smoking habits in whites and blacks. Tob Control 11, 368-371.</w:t>
      </w:r>
    </w:p>
    <w:p w14:paraId="0F2D507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Nonnemaker, J., Hersey, J., Homsi, G., Busey, A., Allen, J., Vallone, D., 2012. Initiation with menthol cigarettes and youth smoking uptake. Addiction 108(1), 171-178.</w:t>
      </w:r>
    </w:p>
    <w:p w14:paraId="5873BBA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O'Connor, R.J., Bansal-Travers, M., Carter, L.P., Cummings, K.M., 2012. What would menthol smokers do if menthol in cigarettes were banned? Behavioral intentions and simulated demand. Addiction 107(7), 1330-1338.</w:t>
      </w:r>
    </w:p>
    <w:p w14:paraId="6AF366E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Ahluwalia, J.S., Ebersole-Robinson, M., Catley, D., Mayo, M.S., Resnicow, K., 2003. Does menthol attenuate the effect of bupropion among African American smokers? Addiction 98, 1387-1393.</w:t>
      </w:r>
    </w:p>
    <w:p w14:paraId="16C0DA89"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Ebersole-Robinson, M., Nazir, N., Ahluwalia, J.S., 2004. African-American menthol and nonmenthol smokers: Differences in smoking and cessation experiences. J Natl Med Assoc 96(9), 1208-1211.</w:t>
      </w:r>
    </w:p>
    <w:p w14:paraId="7F8C690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Okuyemi, K.S., Faseru, B., Sanderson Cox, L., Bronars, C.A., Ahluwalia, J.S., 2007. Relationship between menthol cigarettes and smoking cessation among African American light smokers. Addiction 102(12), 1979-1986.</w:t>
      </w:r>
    </w:p>
    <w:p w14:paraId="48A6E2C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Park, J.-Y., 2017. Tobacco use behaviors among vulnerable populations. Dissertation Abstracts International: Section B: The Sciences and Engineering 77(12-B(E)), No-Specified.</w:t>
      </w:r>
    </w:p>
    <w:p w14:paraId="4557AC9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2011. Public reaction to potential food and drug administration actions under the family smoking prevention and tobacco control act: Regulating e-cigarettes, banning menthol, and reducing cigarette nicotine content. Johns Hopkins University, p. 142.</w:t>
      </w:r>
    </w:p>
    <w:p w14:paraId="4F85CA37"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Pearson, J.L., Abrams, D.B., Niaura, R.S., Richardson, A., Vallone, D., 2012. A ban on menthol cigarettes: Impact on public opinion and smokers' intention to quit. Am J Public Health 102(11), e107-e114.</w:t>
      </w:r>
    </w:p>
    <w:p w14:paraId="5AAB8F3F"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Pletcher, M.J., Hulley, B.J., Houston, T., Kiefe, C.I., Benowitz, N., Sidney, S., 2006. Menthol cigarettes, smoking cessation, atherosclerosis, and pulmonary function: the Coronary Artery Risk Development in Young Adults (CARDIA) Study. Arch Intern Med 166, 1915-1922.</w:t>
      </w:r>
    </w:p>
    <w:p w14:paraId="02A359FA"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Rath, J.M., Villanti, A.C., Williams, V.F., Richardson, A., Pearson, J.L., Vallone, D.M., 2015. Patterns of Longitudinal Transitions in Menthol Use Among US Young Adult Smokers. Nicotine Tob Res 17(7), 839-846.</w:t>
      </w:r>
    </w:p>
    <w:p w14:paraId="4FBF897C"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2011a. Menthol cigarettes, tobacco dependence, and smoking cessation: Project BREAK FREE final report. The University of Texas, MD Anderson Cancer Center.</w:t>
      </w:r>
    </w:p>
    <w:p w14:paraId="020A46B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2011b. Menthol cigarettes, tobacco dependence, and smoking cessation: Project CARE final report. University of Texas, MD Anderson Cancer Center.</w:t>
      </w:r>
    </w:p>
    <w:p w14:paraId="5F46F3AD"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2011c. Menthol cigarettes, tobacco dependence, and smoking cessation: Project MOM final report. The University of Texas, MD Anderson Cancer Center.</w:t>
      </w:r>
    </w:p>
    <w:p w14:paraId="3FFF2BF6"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Li, Y., Stewart, D.W., Cao, Y., Wetter, D.W., Waters, A.J., Vidrine, J.I., 2013. Race moderates the effect of menthol cigarette use on short-term smoking abstinence. Nicotine Tob Res 15(5), 883-889.</w:t>
      </w:r>
    </w:p>
    <w:p w14:paraId="3B464D5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Reitzel, L.R., Nguyen, N., Cao, Y., Vidrine, J.I., Daza, P., Mullen, P.D., Velasquez, M.M., Li, Y., Cinciripini, P.M., Cofta-Woerpel, L., Wetter, D.W., 2011. Race/ethnicity moderates the effect of prepartum menthol cigarette use on postpartum smoking abstinence. Nicotine Tob Res 13(12), 1305-1310.</w:t>
      </w:r>
    </w:p>
    <w:p w14:paraId="1312D03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lastRenderedPageBreak/>
        <w:t>Rojewski, A.M., Toll, B.A., O'Malley, S.S., 2014. Menthol cigarette use predicts treatment outcomes of weight-concerned smokers. Nicotine Tob Res 16(1), 115-119.</w:t>
      </w:r>
    </w:p>
    <w:p w14:paraId="53C98E63"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Rosenbloom, J., Rees, V.W., Reid, K., Wong, J., Kinnunen, T., 2012. A cross-sectional study on tobacco use and dependence among women: Does menthol matter? Tob Induc Dis 10(19), 1-6.</w:t>
      </w:r>
    </w:p>
    <w:p w14:paraId="76685AB5"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Sidney, S., Tekawa, I.S., Friedman, G.D., 1989. Mentholated cigarette use among multiphasic examinees, 1979-86. Am J Public Health 79, 1415-1416.</w:t>
      </w:r>
    </w:p>
    <w:p w14:paraId="1C6CBD6E"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Smith, S.S., Fiore, M.C., Baker, T.B., 2014. Smoking cessation in smokers who smoke menthol and non-menthol cigarettes. Addiction 109(12), 2107-2117.</w:t>
      </w:r>
    </w:p>
    <w:p w14:paraId="12ABD93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Stahre, M., Okuyemi, K.S., Joseph, A.M., Fu, S.S., 2010. Racial/ethnic differences in menthol cigarette smoking, population quit ratios and utilization of evidence-based tobacco cessation treatments. Addiction 105 Suppl 1, 75-83.</w:t>
      </w:r>
    </w:p>
    <w:p w14:paraId="65B7D110"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Steinberg, M.B., Bover, M.T., Richardson, D.L., Schmelzer, A.C., Williams, J.M., Foulds, J., 2011. Abstinence and psychological distress in co-morbid smokers using various pharmacotherapies. Drug Alcohol Depend 114(1), 77-81.</w:t>
      </w:r>
    </w:p>
    <w:p w14:paraId="57DC4FB8"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Sulsky, S.I., Fuller, W.G., Van Landingham, C., Ogden, M.W., Swauger, J.E., Curtin, G.M., 2014. Evaluating the association between menthol cigarette use and the likelihood of being a former versus current smoker. Regul Toxicol Pharmacol 70(1), 231-241.</w:t>
      </w:r>
    </w:p>
    <w:p w14:paraId="39EB17D1"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Thihalolipavan, S., Jung, M., Jasek, J., Chamany, S., 2014. Menthol smokers in large-scale nicotine replacement therapy program. Am J Public Health 104(11), e3-4.</w:t>
      </w:r>
    </w:p>
    <w:p w14:paraId="0AFD7BD4"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Trinidad, D.R., Perez-Stable, E.J., Messer, K., White, M.M., Pierce, J.P., 2010. Menthol cigarettes and smoking cessation among racial/ethnic groups in the United States. Addiction 105 Suppl 1, 84-94.</w:t>
      </w:r>
    </w:p>
    <w:p w14:paraId="398431C2"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Webb Hooper, M., Zhao, W., Byrne, M.M., Davila, E., Caban-Martinez, A., Dietz, N.A., Parker, D.F., Huang, Y., Messiah, A., Lee, D.J., 2011. Menthol cigarette smoking and health, Florida 2007 BRFSS. Am J Health Behav 31(1), 3-14.</w:t>
      </w:r>
    </w:p>
    <w:p w14:paraId="1F75ACBB" w14:textId="77777777" w:rsidR="007F0AE0" w:rsidRPr="000F3C17" w:rsidRDefault="007F0AE0" w:rsidP="007F0AE0">
      <w:pPr>
        <w:spacing w:after="240" w:line="240" w:lineRule="auto"/>
        <w:rPr>
          <w:rFonts w:ascii="Calibri" w:hAnsi="Calibri" w:cs="Calibri"/>
          <w:noProof/>
        </w:rPr>
      </w:pPr>
      <w:r w:rsidRPr="000F3C17">
        <w:rPr>
          <w:rFonts w:ascii="Calibri" w:hAnsi="Calibri" w:cs="Calibri"/>
          <w:noProof/>
        </w:rPr>
        <w:t>Winhusen, T.M., Adinoff, B., Lewis, D.F., Brigham, G.S., Gardin, J.G., 2nd, Sonne, S.C., Theobald, J., Ghitza, U., 2013. A tale of two stimulants: mentholated cigarettes may play a role in cocaine, but not methamphetamine, dependence. Drug Alcohol Depend 133(3), 845-851.</w:t>
      </w:r>
    </w:p>
    <w:p w14:paraId="00703FD4" w14:textId="77777777" w:rsidR="007F0AE0" w:rsidRPr="00494051" w:rsidRDefault="007F0AE0" w:rsidP="007F0AE0">
      <w:pPr>
        <w:spacing w:after="120" w:line="240" w:lineRule="auto"/>
        <w:jc w:val="both"/>
        <w:rPr>
          <w:rFonts w:cstheme="minorHAnsi"/>
          <w:b/>
          <w:color w:val="000000" w:themeColor="text1"/>
        </w:rPr>
        <w:sectPr w:rsidR="007F0AE0" w:rsidRPr="00494051" w:rsidSect="00D119D6">
          <w:pgSz w:w="12240" w:h="15840"/>
          <w:pgMar w:top="1440" w:right="1440" w:bottom="1440" w:left="1440" w:header="720" w:footer="720" w:gutter="0"/>
          <w:cols w:space="720"/>
          <w:titlePg/>
          <w:docGrid w:linePitch="360"/>
        </w:sectPr>
      </w:pPr>
      <w:r w:rsidRPr="000F3C17">
        <w:fldChar w:fldCharType="end"/>
      </w:r>
    </w:p>
    <w:p w14:paraId="6D4D5CD6" w14:textId="77777777" w:rsidR="007F0AE0" w:rsidRPr="00494051" w:rsidRDefault="007F0AE0" w:rsidP="007F0AE0">
      <w:pPr>
        <w:spacing w:after="120" w:line="240" w:lineRule="auto"/>
        <w:outlineLvl w:val="0"/>
        <w:rPr>
          <w:rFonts w:cstheme="minorHAnsi"/>
          <w:b/>
        </w:rPr>
      </w:pPr>
      <w:bookmarkStart w:id="28" w:name="Supp9"/>
      <w:r w:rsidRPr="00494051">
        <w:rPr>
          <w:rFonts w:cstheme="minorHAnsi"/>
          <w:b/>
        </w:rPr>
        <w:lastRenderedPageBreak/>
        <w:t xml:space="preserve">SUPPLEMENTAL SECTION </w:t>
      </w:r>
      <w:r>
        <w:rPr>
          <w:rFonts w:cstheme="minorHAnsi"/>
          <w:b/>
        </w:rPr>
        <w:t>12</w:t>
      </w:r>
      <w:r w:rsidRPr="00494051">
        <w:rPr>
          <w:rFonts w:cstheme="minorHAnsi"/>
          <w:b/>
        </w:rPr>
        <w:t>: Additional Study Quality Methods</w:t>
      </w:r>
    </w:p>
    <w:bookmarkEnd w:id="28"/>
    <w:p w14:paraId="4BEF801E" w14:textId="77777777" w:rsidR="007F0AE0" w:rsidRPr="00494051" w:rsidRDefault="007F0AE0" w:rsidP="007F0AE0">
      <w:pPr>
        <w:spacing w:after="120" w:line="240" w:lineRule="auto"/>
        <w:jc w:val="both"/>
        <w:outlineLvl w:val="1"/>
        <w:rPr>
          <w:rFonts w:cstheme="minorHAnsi"/>
          <w:i/>
          <w:color w:val="000000" w:themeColor="text1"/>
          <w:u w:val="single"/>
        </w:rPr>
      </w:pPr>
      <w:r w:rsidRPr="00494051">
        <w:rPr>
          <w:rFonts w:cstheme="minorHAnsi"/>
          <w:i/>
          <w:color w:val="000000" w:themeColor="text1"/>
          <w:u w:val="single"/>
        </w:rPr>
        <w:t>Study Quality Rating</w:t>
      </w:r>
    </w:p>
    <w:p w14:paraId="3E12E660"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A random and sufficient sample of included studies was assessed independently by two members of the review team. The level of agreement between those researchers was evaluated based on the mean difference in scores between the two reviewers. The mean difference was 0.25 points (95% CI, -0.53 to 1.03), indicating that, on average, reviewers had a high level of agreement with 95 percent confidence that the true mean difference was no greater than one point on the scale. In addition, the difference in score across the sample of studies was distributed normally, indicating that there was no systematic bias and that one reviewer was not consistently higher or lower than the other. Based on the high level of agreement, the ratings were not found to be subject to individual reviewer bias, and a single reviewer reviewed the remaining included studies. </w:t>
      </w:r>
    </w:p>
    <w:p w14:paraId="761CC4CB" w14:textId="77777777" w:rsidR="007F0AE0" w:rsidRPr="00494051" w:rsidRDefault="007F0AE0" w:rsidP="007F0AE0">
      <w:pPr>
        <w:spacing w:after="120" w:line="240" w:lineRule="auto"/>
        <w:jc w:val="both"/>
        <w:outlineLvl w:val="1"/>
        <w:rPr>
          <w:rFonts w:cstheme="minorHAnsi"/>
          <w:i/>
          <w:color w:val="000000" w:themeColor="text1"/>
          <w:u w:val="single"/>
        </w:rPr>
      </w:pPr>
      <w:r w:rsidRPr="00494051">
        <w:rPr>
          <w:rFonts w:cstheme="minorHAnsi"/>
          <w:i/>
          <w:color w:val="000000" w:themeColor="text1"/>
          <w:u w:val="single"/>
        </w:rPr>
        <w:t>Downs and Black Checklist</w:t>
      </w:r>
    </w:p>
    <w:p w14:paraId="48B68A5E"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The Downs and Black checklist (presented in </w:t>
      </w:r>
      <w:hyperlink w:anchor="Table9_1" w:history="1">
        <w:r w:rsidRPr="007217B6">
          <w:rPr>
            <w:rStyle w:val="Hyperlink"/>
            <w:rFonts w:cstheme="minorHAnsi"/>
            <w:b/>
          </w:rPr>
          <w:t xml:space="preserve">Table </w:t>
        </w:r>
        <w:r>
          <w:rPr>
            <w:rStyle w:val="Hyperlink"/>
            <w:rFonts w:cstheme="minorHAnsi"/>
            <w:b/>
          </w:rPr>
          <w:t>12</w:t>
        </w:r>
        <w:r w:rsidRPr="007217B6">
          <w:rPr>
            <w:rStyle w:val="Hyperlink"/>
            <w:rFonts w:cstheme="minorHAnsi"/>
            <w:b/>
          </w:rPr>
          <w:t>-1</w:t>
        </w:r>
      </w:hyperlink>
      <w:r w:rsidRPr="007217B6">
        <w:rPr>
          <w:rFonts w:cstheme="minorHAnsi"/>
          <w:b/>
        </w:rPr>
        <w:t xml:space="preserve"> </w:t>
      </w:r>
      <w:r w:rsidRPr="007217B6">
        <w:rPr>
          <w:rFonts w:cstheme="minorHAnsi"/>
        </w:rPr>
        <w:t>below</w:t>
      </w:r>
      <w:r w:rsidRPr="00494051">
        <w:rPr>
          <w:rFonts w:cstheme="minorHAnsi"/>
        </w:rPr>
        <w:t>) is</w:t>
      </w:r>
      <w:r w:rsidRPr="00494051">
        <w:rPr>
          <w:rFonts w:cstheme="minorHAnsi"/>
          <w:color w:val="000000" w:themeColor="text1"/>
        </w:rPr>
        <w:t xml:space="preserve"> a comprehensive instrument that includes 27 items divided into the following five domains: (1) study reporting [10 items]; (2) external validity [3 items]; (3) internal validity – related to measurement bias (outcome and exposure) [7 items]; (4) internal validity – related to confounding bias [6 items]; and (5) power [1 item]. The instrument was used as reported in the original publication, with only one adaptation of the power question as to whether the study was adequately powered (yes/no). The maximum achievable score for a study was 27, and score ranges were grouped into the following four quality levels: </w:t>
      </w:r>
      <w:r>
        <w:rPr>
          <w:rFonts w:cstheme="minorHAnsi"/>
          <w:color w:val="000000" w:themeColor="text1"/>
        </w:rPr>
        <w:t>“</w:t>
      </w:r>
      <w:r w:rsidRPr="00494051">
        <w:rPr>
          <w:rFonts w:cstheme="minorHAnsi"/>
          <w:color w:val="000000" w:themeColor="text1"/>
        </w:rPr>
        <w:t>excellent</w:t>
      </w:r>
      <w:r>
        <w:rPr>
          <w:rFonts w:cstheme="minorHAnsi"/>
          <w:color w:val="000000" w:themeColor="text1"/>
        </w:rPr>
        <w:t>”</w:t>
      </w:r>
      <w:r w:rsidRPr="00494051">
        <w:rPr>
          <w:rFonts w:cstheme="minorHAnsi"/>
          <w:color w:val="000000" w:themeColor="text1"/>
        </w:rPr>
        <w:t xml:space="preserve"> (26-28); </w:t>
      </w:r>
      <w:r>
        <w:rPr>
          <w:rFonts w:cstheme="minorHAnsi"/>
          <w:color w:val="000000" w:themeColor="text1"/>
        </w:rPr>
        <w:t>“</w:t>
      </w:r>
      <w:r w:rsidRPr="00494051">
        <w:rPr>
          <w:rFonts w:cstheme="minorHAnsi"/>
          <w:color w:val="000000" w:themeColor="text1"/>
        </w:rPr>
        <w:t xml:space="preserve">good </w:t>
      </w:r>
      <w:r>
        <w:rPr>
          <w:rFonts w:cstheme="minorHAnsi"/>
          <w:color w:val="000000" w:themeColor="text1"/>
        </w:rPr>
        <w:t>“</w:t>
      </w:r>
      <w:r w:rsidRPr="00494051">
        <w:rPr>
          <w:rFonts w:cstheme="minorHAnsi"/>
          <w:color w:val="000000" w:themeColor="text1"/>
        </w:rPr>
        <w:t xml:space="preserve">(20-25); </w:t>
      </w:r>
      <w:r>
        <w:rPr>
          <w:rFonts w:cstheme="minorHAnsi"/>
          <w:color w:val="000000" w:themeColor="text1"/>
        </w:rPr>
        <w:t>“</w:t>
      </w:r>
      <w:r w:rsidRPr="00494051">
        <w:rPr>
          <w:rFonts w:cstheme="minorHAnsi"/>
          <w:color w:val="000000" w:themeColor="text1"/>
        </w:rPr>
        <w:t>fair</w:t>
      </w:r>
      <w:r>
        <w:rPr>
          <w:rFonts w:cstheme="minorHAnsi"/>
          <w:color w:val="000000" w:themeColor="text1"/>
        </w:rPr>
        <w:t>”</w:t>
      </w:r>
      <w:r w:rsidRPr="00494051">
        <w:rPr>
          <w:rFonts w:cstheme="minorHAnsi"/>
          <w:color w:val="000000" w:themeColor="text1"/>
        </w:rPr>
        <w:t xml:space="preserve"> (15-19); and </w:t>
      </w:r>
      <w:r>
        <w:rPr>
          <w:rFonts w:cstheme="minorHAnsi"/>
          <w:color w:val="000000" w:themeColor="text1"/>
        </w:rPr>
        <w:t>“</w:t>
      </w:r>
      <w:r w:rsidRPr="00494051">
        <w:rPr>
          <w:rFonts w:cstheme="minorHAnsi"/>
          <w:color w:val="000000" w:themeColor="text1"/>
        </w:rPr>
        <w:t>poor</w:t>
      </w:r>
      <w:r>
        <w:rPr>
          <w:rFonts w:cstheme="minorHAnsi"/>
          <w:color w:val="000000" w:themeColor="text1"/>
        </w:rPr>
        <w:t>”</w:t>
      </w:r>
      <w:r w:rsidRPr="00494051">
        <w:rPr>
          <w:rFonts w:cstheme="minorHAnsi"/>
          <w:color w:val="000000" w:themeColor="text1"/>
        </w:rPr>
        <w:t xml:space="preserve"> (≤14). When data from a single study were reported in multiple references, all references were considered to determine an overall rating for the study.</w:t>
      </w:r>
    </w:p>
    <w:p w14:paraId="1DE72446" w14:textId="77777777" w:rsidR="007F0AE0" w:rsidRPr="00494051" w:rsidRDefault="007F0AE0" w:rsidP="007F0AE0">
      <w:pPr>
        <w:spacing w:after="120" w:line="240" w:lineRule="auto"/>
        <w:jc w:val="both"/>
        <w:outlineLvl w:val="1"/>
        <w:rPr>
          <w:rFonts w:cstheme="minorHAnsi"/>
          <w:i/>
          <w:color w:val="000000" w:themeColor="text1"/>
          <w:u w:val="single"/>
        </w:rPr>
      </w:pPr>
      <w:r w:rsidRPr="00494051">
        <w:rPr>
          <w:rFonts w:cstheme="minorHAnsi"/>
          <w:i/>
          <w:color w:val="000000" w:themeColor="text1"/>
          <w:u w:val="single"/>
        </w:rPr>
        <w:t>Assessment of Confounding</w:t>
      </w:r>
    </w:p>
    <w:p w14:paraId="47674907"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To evaluate confounding in this body of literature, the following steps were taken in accordance with Cochrane guidelines for systematic reviews </w:t>
      </w:r>
      <w:r w:rsidRPr="00494051">
        <w:rPr>
          <w:rFonts w:cstheme="minorHAnsi"/>
          <w:color w:val="000000" w:themeColor="text1"/>
        </w:rPr>
        <w:fldChar w:fldCharType="begin"/>
      </w:r>
      <w:r>
        <w:rPr>
          <w:rFonts w:cstheme="minorHAnsi"/>
          <w:color w:val="000000" w:themeColor="text1"/>
        </w:rPr>
        <w:instrText xml:space="preserve"> ADDIN EN.CITE &lt;EndNote&gt;&lt;Cite&gt;&lt;Author&gt;Higgins&lt;/Author&gt;&lt;Year&gt;2011&lt;/Year&gt;&lt;RecNum&gt;226&lt;/RecNum&gt;&lt;DisplayText&gt;(11)&lt;/DisplayText&gt;&lt;record&gt;&lt;rec-number&gt;226&lt;/rec-number&gt;&lt;foreign-keys&gt;&lt;key app="EN" db-id="a2vz2dfp8xrad6exes75zwpiw5rxwa0vwapv" timestamp="1477585365"&gt;226&lt;/key&gt;&lt;/foreign-keys&gt;&lt;ref-type name="Book Section"&gt;5&lt;/ref-type&gt;&lt;contributors&gt;&lt;authors&gt;&lt;author&gt;Higgins, J.P.T.&lt;/author&gt;&lt;author&gt;Altman, D.G.&lt;/author&gt;&lt;author&gt;Sterne, J.A.C&lt;/author&gt;&lt;/authors&gt;&lt;secondary-authors&gt;&lt;author&gt;Higgins, J.P.T.&lt;/author&gt;&lt;author&gt;Green, S.&lt;/author&gt;&lt;/secondary-authors&gt;&lt;/contributors&gt;&lt;titles&gt;&lt;title&gt;Section 13.5. Assessing risk of bias in non-randomized studies&lt;/title&gt;&lt;secondary-title&gt;Cochrane Handbook for Systematic Reviews of Interventions&lt;/secondary-title&gt;&lt;/titles&gt;&lt;volume&gt;Version 5.1.0&lt;/volume&gt;&lt;dates&gt;&lt;year&gt;2011&lt;/year&gt;&lt;/dates&gt;&lt;publisher&gt;The Cochrane Collaboration&lt;/publisher&gt;&lt;urls&gt;&lt;/urls&gt;&lt;/record&gt;&lt;/Cite&gt;&lt;/EndNote&gt;</w:instrText>
      </w:r>
      <w:r w:rsidRPr="00494051">
        <w:rPr>
          <w:rFonts w:cstheme="minorHAnsi"/>
          <w:color w:val="000000" w:themeColor="text1"/>
        </w:rPr>
        <w:fldChar w:fldCharType="separate"/>
      </w:r>
      <w:r>
        <w:rPr>
          <w:rFonts w:cstheme="minorHAnsi"/>
          <w:noProof/>
          <w:color w:val="000000" w:themeColor="text1"/>
        </w:rPr>
        <w:t>(</w:t>
      </w:r>
      <w:hyperlink w:anchor="_ENREF_11" w:tooltip="Higgins, 2011 #226" w:history="1">
        <w:r>
          <w:rPr>
            <w:rFonts w:cstheme="minorHAnsi"/>
            <w:noProof/>
            <w:color w:val="000000" w:themeColor="text1"/>
          </w:rPr>
          <w:t>11</w:t>
        </w:r>
      </w:hyperlink>
      <w:r>
        <w:rPr>
          <w:rFonts w:cstheme="minorHAnsi"/>
          <w:noProof/>
          <w:color w:val="000000" w:themeColor="text1"/>
        </w:rPr>
        <w:t>)</w:t>
      </w:r>
      <w:r w:rsidRPr="00494051">
        <w:rPr>
          <w:rFonts w:cstheme="minorHAnsi"/>
          <w:color w:val="000000" w:themeColor="text1"/>
        </w:rPr>
        <w:fldChar w:fldCharType="end"/>
      </w:r>
      <w:r w:rsidRPr="00494051">
        <w:rPr>
          <w:rFonts w:cstheme="minorHAnsi"/>
          <w:color w:val="000000" w:themeColor="text1"/>
        </w:rPr>
        <w:t xml:space="preserve">: </w:t>
      </w:r>
    </w:p>
    <w:p w14:paraId="606962D7"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During protocol writing, a list of potential confounding factors was identified </w:t>
      </w:r>
      <w:r w:rsidRPr="00494051">
        <w:rPr>
          <w:rFonts w:cstheme="minorHAnsi"/>
          <w:i/>
          <w:color w:val="000000" w:themeColor="text1"/>
        </w:rPr>
        <w:t xml:space="preserve">a priori </w:t>
      </w:r>
      <w:r w:rsidRPr="00494051">
        <w:rPr>
          <w:rFonts w:cstheme="minorHAnsi"/>
          <w:color w:val="000000" w:themeColor="text1"/>
        </w:rPr>
        <w:t>based on evidence and expert opinion from members of the research team and external advisors;</w:t>
      </w:r>
    </w:p>
    <w:p w14:paraId="4601AF04" w14:textId="77777777" w:rsidR="007F0AE0" w:rsidRPr="00494051" w:rsidRDefault="007F0AE0" w:rsidP="007F0AE0">
      <w:pPr>
        <w:pStyle w:val="ListParagraph"/>
        <w:numPr>
          <w:ilvl w:val="0"/>
          <w:numId w:val="5"/>
        </w:numPr>
        <w:spacing w:after="120" w:line="240" w:lineRule="auto"/>
        <w:contextualSpacing w:val="0"/>
        <w:jc w:val="both"/>
        <w:rPr>
          <w:rFonts w:cstheme="minorHAnsi"/>
          <w:color w:val="000000" w:themeColor="text1"/>
        </w:rPr>
      </w:pPr>
      <w:r w:rsidRPr="00494051">
        <w:rPr>
          <w:rFonts w:cstheme="minorHAnsi"/>
          <w:color w:val="000000" w:themeColor="text1"/>
        </w:rPr>
        <w:t xml:space="preserve">During the systematic review process, the variables that individual study authors considered were recorded for additional </w:t>
      </w:r>
      <w:r w:rsidRPr="00494051">
        <w:rPr>
          <w:rFonts w:cstheme="minorHAnsi"/>
          <w:i/>
          <w:color w:val="000000" w:themeColor="text1"/>
        </w:rPr>
        <w:t xml:space="preserve">post hoc </w:t>
      </w:r>
      <w:r w:rsidRPr="00494051">
        <w:rPr>
          <w:rFonts w:cstheme="minorHAnsi"/>
          <w:color w:val="000000" w:themeColor="text1"/>
        </w:rPr>
        <w:t>consideration.</w:t>
      </w:r>
    </w:p>
    <w:p w14:paraId="49A40F49"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This review assessed empirical evidence that adequately controlled for confounding bias according to the pre-determined, three confounders (</w:t>
      </w:r>
      <w:r w:rsidRPr="00494051">
        <w:rPr>
          <w:rFonts w:cstheme="minorHAnsi"/>
        </w:rPr>
        <w:t>age, race/ethnicity, and gender</w:t>
      </w:r>
      <w:r w:rsidRPr="00494051">
        <w:rPr>
          <w:rFonts w:cstheme="minorHAnsi"/>
          <w:color w:val="000000" w:themeColor="text1"/>
        </w:rPr>
        <w:t xml:space="preserve">). Studies that also adjusted for additional potential </w:t>
      </w:r>
      <w:r w:rsidRPr="00494051">
        <w:rPr>
          <w:rFonts w:cstheme="minorHAnsi"/>
          <w:i/>
          <w:color w:val="000000" w:themeColor="text1"/>
        </w:rPr>
        <w:t>meso</w:t>
      </w:r>
      <w:r w:rsidRPr="00494051">
        <w:rPr>
          <w:rFonts w:cstheme="minorHAnsi"/>
          <w:color w:val="000000" w:themeColor="text1"/>
        </w:rPr>
        <w:t xml:space="preserve">- (e.g., living with a smoker) or </w:t>
      </w:r>
      <w:r w:rsidRPr="00494051">
        <w:rPr>
          <w:rFonts w:cstheme="minorHAnsi"/>
          <w:i/>
          <w:color w:val="000000" w:themeColor="text1"/>
        </w:rPr>
        <w:t>macro</w:t>
      </w:r>
      <w:r w:rsidRPr="00494051">
        <w:rPr>
          <w:rFonts w:cstheme="minorHAnsi"/>
          <w:color w:val="000000" w:themeColor="text1"/>
        </w:rPr>
        <w:t>-level factors (e.g., cigarette taxes) were flagged for inclusion in sensitivity analyses. Studies with potential overadjustment or adjustment for factors in the causal pathway were also flagged for further examination in sensitivity analyses.</w:t>
      </w:r>
    </w:p>
    <w:p w14:paraId="35EB2D66" w14:textId="77777777" w:rsidR="007F0AE0" w:rsidRPr="00494051" w:rsidRDefault="007F0AE0" w:rsidP="007F0AE0">
      <w:pPr>
        <w:spacing w:after="120" w:line="240" w:lineRule="auto"/>
        <w:jc w:val="both"/>
        <w:outlineLvl w:val="1"/>
        <w:rPr>
          <w:rFonts w:cstheme="minorHAnsi"/>
          <w:i/>
          <w:color w:val="000000" w:themeColor="text1"/>
          <w:u w:val="single"/>
        </w:rPr>
      </w:pPr>
      <w:r w:rsidRPr="00494051">
        <w:rPr>
          <w:rFonts w:cstheme="minorHAnsi"/>
          <w:i/>
          <w:color w:val="000000" w:themeColor="text1"/>
          <w:u w:val="single"/>
        </w:rPr>
        <w:t>Statistical Significance</w:t>
      </w:r>
    </w:p>
    <w:p w14:paraId="1A397FA5"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In this review, estimates of the difference between menthol and non-menthol smokers are presented with the best measure of precision (i.e., 95% confidence intervals) or statistical significance (i.e., p-value) reported in the included studies. The words “</w:t>
      </w:r>
      <w:r w:rsidRPr="00494051">
        <w:rPr>
          <w:rFonts w:cstheme="minorHAnsi"/>
          <w:i/>
          <w:color w:val="000000" w:themeColor="text1"/>
        </w:rPr>
        <w:t>significant</w:t>
      </w:r>
      <w:r w:rsidRPr="00494051">
        <w:rPr>
          <w:rFonts w:cstheme="minorHAnsi"/>
          <w:color w:val="000000" w:themeColor="text1"/>
        </w:rPr>
        <w:t>” and “</w:t>
      </w:r>
      <w:r w:rsidRPr="00494051">
        <w:rPr>
          <w:rFonts w:cstheme="minorHAnsi"/>
          <w:i/>
          <w:color w:val="000000" w:themeColor="text1"/>
        </w:rPr>
        <w:t>significantly</w:t>
      </w:r>
      <w:r w:rsidRPr="00494051">
        <w:rPr>
          <w:rFonts w:cstheme="minorHAnsi"/>
          <w:color w:val="000000" w:themeColor="text1"/>
        </w:rPr>
        <w:t xml:space="preserve">” are used herein to indicate </w:t>
      </w:r>
      <w:r w:rsidRPr="00494051">
        <w:rPr>
          <w:rFonts w:cstheme="minorHAnsi"/>
          <w:i/>
          <w:color w:val="000000" w:themeColor="text1"/>
        </w:rPr>
        <w:t>statistical</w:t>
      </w:r>
      <w:r w:rsidRPr="00494051">
        <w:rPr>
          <w:rFonts w:cstheme="minorHAnsi"/>
          <w:color w:val="000000" w:themeColor="text1"/>
        </w:rPr>
        <w:t xml:space="preserve"> significance (i.e., p&lt;0.05 and/or confidence interval excludes 1.0). An "increase" or "decrease" that is </w:t>
      </w:r>
      <w:r w:rsidRPr="00494051">
        <w:rPr>
          <w:rFonts w:cstheme="minorHAnsi"/>
          <w:i/>
          <w:color w:val="000000" w:themeColor="text1"/>
        </w:rPr>
        <w:t>not</w:t>
      </w:r>
      <w:r w:rsidRPr="00494051">
        <w:rPr>
          <w:rFonts w:cstheme="minorHAnsi"/>
          <w:color w:val="000000" w:themeColor="text1"/>
        </w:rPr>
        <w:t xml:space="preserve"> also described as "</w:t>
      </w:r>
      <w:r w:rsidRPr="00494051">
        <w:rPr>
          <w:rFonts w:cstheme="minorHAnsi"/>
          <w:i/>
          <w:color w:val="000000" w:themeColor="text1"/>
        </w:rPr>
        <w:t>significant</w:t>
      </w:r>
      <w:r w:rsidRPr="00494051">
        <w:rPr>
          <w:rFonts w:cstheme="minorHAnsi"/>
          <w:color w:val="000000" w:themeColor="text1"/>
        </w:rPr>
        <w:t>" is either a non-statistically significant increase or decrease or statistical significance was not reported in the data source.</w:t>
      </w:r>
      <w:r>
        <w:rPr>
          <w:rFonts w:cstheme="minorHAnsi"/>
          <w:color w:val="000000" w:themeColor="text1"/>
        </w:rPr>
        <w:t xml:space="preserve"> </w:t>
      </w:r>
    </w:p>
    <w:p w14:paraId="2AE28B66" w14:textId="77777777" w:rsidR="007F0AE0" w:rsidRPr="00494051" w:rsidRDefault="007F0AE0" w:rsidP="007F0AE0">
      <w:pPr>
        <w:pStyle w:val="ChapterHeading"/>
        <w:spacing w:after="120"/>
        <w:rPr>
          <w:rFonts w:asciiTheme="minorHAnsi" w:hAnsiTheme="minorHAnsi" w:cstheme="minorHAnsi"/>
          <w:color w:val="000000" w:themeColor="text1"/>
        </w:rPr>
        <w:sectPr w:rsidR="007F0AE0" w:rsidRPr="00494051" w:rsidSect="00760FEF">
          <w:pgSz w:w="12240" w:h="15840"/>
          <w:pgMar w:top="1440" w:right="1440" w:bottom="1440" w:left="1440" w:header="720" w:footer="720" w:gutter="0"/>
          <w:cols w:space="720"/>
          <w:titlePg/>
          <w:docGrid w:linePitch="360"/>
        </w:sectPr>
      </w:pPr>
    </w:p>
    <w:p w14:paraId="500A9335" w14:textId="77777777" w:rsidR="007F0AE0" w:rsidRPr="00F52E88" w:rsidRDefault="007F0AE0" w:rsidP="007F0AE0">
      <w:pPr>
        <w:spacing w:after="120" w:line="240" w:lineRule="auto"/>
        <w:jc w:val="both"/>
        <w:outlineLvl w:val="1"/>
        <w:rPr>
          <w:rFonts w:cstheme="minorHAnsi"/>
          <w:b/>
          <w:color w:val="000000" w:themeColor="text1"/>
        </w:rPr>
      </w:pPr>
      <w:bookmarkStart w:id="29" w:name="Table9_1"/>
      <w:r w:rsidRPr="00F52E88">
        <w:rPr>
          <w:rFonts w:cstheme="minorHAnsi"/>
          <w:b/>
          <w:color w:val="000000" w:themeColor="text1"/>
        </w:rPr>
        <w:lastRenderedPageBreak/>
        <w:t>T</w:t>
      </w:r>
      <w:r>
        <w:rPr>
          <w:rFonts w:cstheme="minorHAnsi"/>
          <w:b/>
          <w:color w:val="000000" w:themeColor="text1"/>
        </w:rPr>
        <w:t>able</w:t>
      </w:r>
      <w:r w:rsidRPr="00F52E88">
        <w:rPr>
          <w:rFonts w:cstheme="minorHAnsi"/>
          <w:b/>
          <w:color w:val="000000" w:themeColor="text1"/>
        </w:rPr>
        <w:t xml:space="preserve"> </w:t>
      </w:r>
      <w:r>
        <w:rPr>
          <w:rFonts w:cstheme="minorHAnsi"/>
          <w:b/>
          <w:color w:val="000000" w:themeColor="text1"/>
        </w:rPr>
        <w:t>12</w:t>
      </w:r>
      <w:r w:rsidRPr="00F52E88">
        <w:rPr>
          <w:rFonts w:cstheme="minorHAnsi"/>
          <w:b/>
          <w:color w:val="000000" w:themeColor="text1"/>
        </w:rPr>
        <w:t>-1: Downs and Black Checklist</w:t>
      </w:r>
    </w:p>
    <w:tbl>
      <w:tblPr>
        <w:tblStyle w:val="TableGrid"/>
        <w:tblW w:w="0" w:type="auto"/>
        <w:tblLayout w:type="fixed"/>
        <w:tblLook w:val="04A0" w:firstRow="1" w:lastRow="0" w:firstColumn="1" w:lastColumn="0" w:noHBand="0" w:noVBand="1"/>
      </w:tblPr>
      <w:tblGrid>
        <w:gridCol w:w="1075"/>
        <w:gridCol w:w="2250"/>
        <w:gridCol w:w="630"/>
        <w:gridCol w:w="900"/>
        <w:gridCol w:w="669"/>
        <w:gridCol w:w="1134"/>
        <w:gridCol w:w="3777"/>
        <w:gridCol w:w="2515"/>
      </w:tblGrid>
      <w:tr w:rsidR="007F0AE0" w:rsidRPr="00494051" w14:paraId="7CBDCC4F" w14:textId="77777777" w:rsidTr="00453DE3">
        <w:trPr>
          <w:trHeight w:val="1140"/>
          <w:tblHeader/>
        </w:trPr>
        <w:tc>
          <w:tcPr>
            <w:tcW w:w="1075" w:type="dxa"/>
            <w:shd w:val="clear" w:color="auto" w:fill="323E4F" w:themeFill="text2" w:themeFillShade="BF"/>
            <w:tcMar>
              <w:top w:w="62" w:type="dxa"/>
              <w:left w:w="62" w:type="dxa"/>
              <w:bottom w:w="62" w:type="dxa"/>
              <w:right w:w="62" w:type="dxa"/>
            </w:tcMar>
            <w:vAlign w:val="center"/>
            <w:hideMark/>
          </w:tcPr>
          <w:bookmarkEnd w:id="29"/>
          <w:p w14:paraId="40BE3936" w14:textId="77777777" w:rsidR="007F0AE0" w:rsidRPr="00494051" w:rsidRDefault="007F0AE0" w:rsidP="00453DE3">
            <w:pPr>
              <w:jc w:val="center"/>
              <w:rPr>
                <w:rFonts w:cstheme="minorHAnsi"/>
                <w:b/>
                <w:bCs/>
                <w:sz w:val="18"/>
                <w:szCs w:val="18"/>
              </w:rPr>
            </w:pPr>
            <w:r w:rsidRPr="00494051">
              <w:rPr>
                <w:rFonts w:cstheme="minorHAnsi"/>
                <w:b/>
                <w:bCs/>
                <w:sz w:val="18"/>
                <w:szCs w:val="18"/>
              </w:rPr>
              <w:t>Question Number</w:t>
            </w:r>
          </w:p>
        </w:tc>
        <w:tc>
          <w:tcPr>
            <w:tcW w:w="2250" w:type="dxa"/>
            <w:shd w:val="clear" w:color="auto" w:fill="323E4F" w:themeFill="text2" w:themeFillShade="BF"/>
            <w:noWrap/>
            <w:tcMar>
              <w:top w:w="62" w:type="dxa"/>
              <w:left w:w="62" w:type="dxa"/>
              <w:bottom w:w="62" w:type="dxa"/>
              <w:right w:w="62" w:type="dxa"/>
            </w:tcMar>
            <w:vAlign w:val="center"/>
            <w:hideMark/>
          </w:tcPr>
          <w:p w14:paraId="5CA5A81A" w14:textId="77777777" w:rsidR="007F0AE0" w:rsidRPr="00494051" w:rsidRDefault="007F0AE0" w:rsidP="00453DE3">
            <w:pPr>
              <w:jc w:val="center"/>
              <w:rPr>
                <w:rFonts w:cstheme="minorHAnsi"/>
                <w:b/>
                <w:bCs/>
                <w:sz w:val="18"/>
                <w:szCs w:val="18"/>
              </w:rPr>
            </w:pPr>
            <w:r w:rsidRPr="00494051">
              <w:rPr>
                <w:rFonts w:cstheme="minorHAnsi"/>
                <w:b/>
                <w:bCs/>
                <w:sz w:val="18"/>
                <w:szCs w:val="18"/>
              </w:rPr>
              <w:t>Questions</w:t>
            </w:r>
          </w:p>
        </w:tc>
        <w:tc>
          <w:tcPr>
            <w:tcW w:w="630" w:type="dxa"/>
            <w:shd w:val="clear" w:color="auto" w:fill="323E4F" w:themeFill="text2" w:themeFillShade="BF"/>
            <w:noWrap/>
            <w:tcMar>
              <w:top w:w="62" w:type="dxa"/>
              <w:left w:w="62" w:type="dxa"/>
              <w:bottom w:w="62" w:type="dxa"/>
              <w:right w:w="62" w:type="dxa"/>
            </w:tcMar>
            <w:vAlign w:val="center"/>
            <w:hideMark/>
          </w:tcPr>
          <w:p w14:paraId="5A2EE554" w14:textId="77777777" w:rsidR="007F0AE0" w:rsidRPr="00494051" w:rsidRDefault="007F0AE0" w:rsidP="00453DE3">
            <w:pPr>
              <w:jc w:val="center"/>
              <w:rPr>
                <w:rFonts w:cstheme="minorHAnsi"/>
                <w:b/>
                <w:bCs/>
                <w:sz w:val="18"/>
                <w:szCs w:val="18"/>
              </w:rPr>
            </w:pPr>
            <w:r w:rsidRPr="00494051">
              <w:rPr>
                <w:rFonts w:cstheme="minorHAnsi"/>
                <w:b/>
                <w:bCs/>
                <w:sz w:val="18"/>
                <w:szCs w:val="18"/>
              </w:rPr>
              <w:t>Yes</w:t>
            </w:r>
          </w:p>
        </w:tc>
        <w:tc>
          <w:tcPr>
            <w:tcW w:w="900" w:type="dxa"/>
            <w:shd w:val="clear" w:color="auto" w:fill="323E4F" w:themeFill="text2" w:themeFillShade="BF"/>
            <w:noWrap/>
            <w:tcMar>
              <w:top w:w="62" w:type="dxa"/>
              <w:left w:w="62" w:type="dxa"/>
              <w:bottom w:w="62" w:type="dxa"/>
              <w:right w:w="62" w:type="dxa"/>
            </w:tcMar>
            <w:vAlign w:val="center"/>
            <w:hideMark/>
          </w:tcPr>
          <w:p w14:paraId="5420B955" w14:textId="77777777" w:rsidR="007F0AE0" w:rsidRPr="00494051" w:rsidRDefault="007F0AE0" w:rsidP="00453DE3">
            <w:pPr>
              <w:jc w:val="center"/>
              <w:rPr>
                <w:rFonts w:cstheme="minorHAnsi"/>
                <w:b/>
                <w:bCs/>
                <w:sz w:val="18"/>
                <w:szCs w:val="18"/>
              </w:rPr>
            </w:pPr>
            <w:r w:rsidRPr="00494051">
              <w:rPr>
                <w:rFonts w:cstheme="minorHAnsi"/>
                <w:b/>
                <w:bCs/>
                <w:sz w:val="18"/>
                <w:szCs w:val="18"/>
              </w:rPr>
              <w:t>Partially</w:t>
            </w:r>
          </w:p>
        </w:tc>
        <w:tc>
          <w:tcPr>
            <w:tcW w:w="669" w:type="dxa"/>
            <w:shd w:val="clear" w:color="auto" w:fill="323E4F" w:themeFill="text2" w:themeFillShade="BF"/>
            <w:noWrap/>
            <w:tcMar>
              <w:top w:w="62" w:type="dxa"/>
              <w:left w:w="62" w:type="dxa"/>
              <w:bottom w:w="62" w:type="dxa"/>
              <w:right w:w="62" w:type="dxa"/>
            </w:tcMar>
            <w:vAlign w:val="center"/>
            <w:hideMark/>
          </w:tcPr>
          <w:p w14:paraId="0672C85A" w14:textId="77777777" w:rsidR="007F0AE0" w:rsidRPr="00494051" w:rsidRDefault="007F0AE0" w:rsidP="00453DE3">
            <w:pPr>
              <w:jc w:val="center"/>
              <w:rPr>
                <w:rFonts w:cstheme="minorHAnsi"/>
                <w:b/>
                <w:bCs/>
                <w:sz w:val="18"/>
                <w:szCs w:val="18"/>
              </w:rPr>
            </w:pPr>
            <w:r w:rsidRPr="00494051">
              <w:rPr>
                <w:rFonts w:cstheme="minorHAnsi"/>
                <w:b/>
                <w:bCs/>
                <w:sz w:val="18"/>
                <w:szCs w:val="18"/>
              </w:rPr>
              <w:t>No</w:t>
            </w:r>
          </w:p>
        </w:tc>
        <w:tc>
          <w:tcPr>
            <w:tcW w:w="1134" w:type="dxa"/>
            <w:shd w:val="clear" w:color="auto" w:fill="323E4F" w:themeFill="text2" w:themeFillShade="BF"/>
            <w:tcMar>
              <w:top w:w="62" w:type="dxa"/>
              <w:left w:w="62" w:type="dxa"/>
              <w:bottom w:w="62" w:type="dxa"/>
              <w:right w:w="62" w:type="dxa"/>
            </w:tcMar>
            <w:vAlign w:val="center"/>
            <w:hideMark/>
          </w:tcPr>
          <w:p w14:paraId="7C7CC955" w14:textId="77777777" w:rsidR="007F0AE0" w:rsidRPr="00494051" w:rsidRDefault="007F0AE0" w:rsidP="00453DE3">
            <w:pPr>
              <w:jc w:val="center"/>
              <w:rPr>
                <w:rFonts w:cstheme="minorHAnsi"/>
                <w:b/>
                <w:bCs/>
                <w:sz w:val="18"/>
                <w:szCs w:val="18"/>
              </w:rPr>
            </w:pPr>
            <w:r w:rsidRPr="00494051">
              <w:rPr>
                <w:rFonts w:cstheme="minorHAnsi"/>
                <w:b/>
                <w:bCs/>
                <w:sz w:val="18"/>
                <w:szCs w:val="18"/>
              </w:rPr>
              <w:t>Unable to determine</w:t>
            </w:r>
          </w:p>
        </w:tc>
        <w:tc>
          <w:tcPr>
            <w:tcW w:w="3777" w:type="dxa"/>
            <w:shd w:val="clear" w:color="auto" w:fill="323E4F" w:themeFill="text2" w:themeFillShade="BF"/>
            <w:noWrap/>
            <w:tcMar>
              <w:top w:w="62" w:type="dxa"/>
              <w:left w:w="62" w:type="dxa"/>
              <w:bottom w:w="62" w:type="dxa"/>
              <w:right w:w="62" w:type="dxa"/>
            </w:tcMar>
            <w:vAlign w:val="center"/>
            <w:hideMark/>
          </w:tcPr>
          <w:p w14:paraId="5A44BB43" w14:textId="77777777" w:rsidR="007F0AE0" w:rsidRPr="00494051" w:rsidRDefault="007F0AE0" w:rsidP="00453DE3">
            <w:pPr>
              <w:jc w:val="center"/>
              <w:rPr>
                <w:rFonts w:cstheme="minorHAnsi"/>
                <w:b/>
                <w:bCs/>
                <w:sz w:val="18"/>
                <w:szCs w:val="18"/>
              </w:rPr>
            </w:pPr>
            <w:r w:rsidRPr="00494051">
              <w:rPr>
                <w:rFonts w:cstheme="minorHAnsi"/>
                <w:b/>
                <w:bCs/>
                <w:sz w:val="18"/>
                <w:szCs w:val="18"/>
              </w:rPr>
              <w:t>Clarifying Questions / Comments</w:t>
            </w:r>
          </w:p>
        </w:tc>
        <w:tc>
          <w:tcPr>
            <w:tcW w:w="2515" w:type="dxa"/>
            <w:shd w:val="clear" w:color="auto" w:fill="323E4F" w:themeFill="text2" w:themeFillShade="BF"/>
            <w:noWrap/>
            <w:tcMar>
              <w:top w:w="62" w:type="dxa"/>
              <w:left w:w="62" w:type="dxa"/>
              <w:bottom w:w="62" w:type="dxa"/>
              <w:right w:w="62" w:type="dxa"/>
            </w:tcMar>
            <w:vAlign w:val="center"/>
            <w:hideMark/>
          </w:tcPr>
          <w:p w14:paraId="19D0DD12" w14:textId="77777777" w:rsidR="007F0AE0" w:rsidRPr="00494051" w:rsidRDefault="007F0AE0" w:rsidP="00453DE3">
            <w:pPr>
              <w:jc w:val="center"/>
              <w:rPr>
                <w:rFonts w:cstheme="minorHAnsi"/>
                <w:b/>
                <w:bCs/>
                <w:sz w:val="18"/>
                <w:szCs w:val="18"/>
              </w:rPr>
            </w:pPr>
            <w:r w:rsidRPr="00494051">
              <w:rPr>
                <w:rFonts w:cstheme="minorHAnsi"/>
                <w:b/>
                <w:bCs/>
                <w:sz w:val="18"/>
                <w:szCs w:val="18"/>
              </w:rPr>
              <w:t>Study-Specific Notes</w:t>
            </w:r>
          </w:p>
        </w:tc>
      </w:tr>
      <w:tr w:rsidR="007F0AE0" w:rsidRPr="00494051" w14:paraId="7938FBCE" w14:textId="77777777" w:rsidTr="00453DE3">
        <w:trPr>
          <w:trHeight w:val="672"/>
        </w:trPr>
        <w:tc>
          <w:tcPr>
            <w:tcW w:w="1075" w:type="dxa"/>
            <w:noWrap/>
            <w:tcMar>
              <w:top w:w="62" w:type="dxa"/>
              <w:left w:w="62" w:type="dxa"/>
              <w:bottom w:w="62" w:type="dxa"/>
              <w:right w:w="62" w:type="dxa"/>
            </w:tcMar>
            <w:hideMark/>
          </w:tcPr>
          <w:p w14:paraId="1853EB90" w14:textId="77777777" w:rsidR="007F0AE0" w:rsidRPr="00494051" w:rsidRDefault="007F0AE0" w:rsidP="00453DE3">
            <w:pPr>
              <w:jc w:val="center"/>
              <w:rPr>
                <w:rFonts w:cstheme="minorHAnsi"/>
                <w:b/>
                <w:bCs/>
                <w:sz w:val="18"/>
                <w:szCs w:val="18"/>
              </w:rPr>
            </w:pPr>
            <w:r w:rsidRPr="00494051">
              <w:rPr>
                <w:rFonts w:cstheme="minorHAnsi"/>
                <w:b/>
                <w:bCs/>
                <w:sz w:val="18"/>
                <w:szCs w:val="18"/>
              </w:rPr>
              <w:t>Q1</w:t>
            </w:r>
          </w:p>
        </w:tc>
        <w:tc>
          <w:tcPr>
            <w:tcW w:w="2250" w:type="dxa"/>
            <w:tcMar>
              <w:top w:w="62" w:type="dxa"/>
              <w:left w:w="62" w:type="dxa"/>
              <w:bottom w:w="62" w:type="dxa"/>
              <w:right w:w="62" w:type="dxa"/>
            </w:tcMar>
            <w:hideMark/>
          </w:tcPr>
          <w:p w14:paraId="6680A656" w14:textId="77777777" w:rsidR="007F0AE0" w:rsidRPr="00494051" w:rsidRDefault="007F0AE0" w:rsidP="00453DE3">
            <w:pPr>
              <w:rPr>
                <w:rFonts w:cstheme="minorHAnsi"/>
                <w:b/>
                <w:bCs/>
                <w:sz w:val="18"/>
                <w:szCs w:val="18"/>
              </w:rPr>
            </w:pPr>
            <w:r w:rsidRPr="00494051">
              <w:rPr>
                <w:rFonts w:cstheme="minorHAnsi"/>
                <w:b/>
                <w:bCs/>
                <w:sz w:val="18"/>
                <w:szCs w:val="18"/>
              </w:rPr>
              <w:t>Is the hypothesis/aim/</w:t>
            </w:r>
            <w:r w:rsidRPr="00494051">
              <w:rPr>
                <w:rFonts w:cstheme="minorHAnsi"/>
                <w:b/>
                <w:bCs/>
                <w:sz w:val="18"/>
                <w:szCs w:val="18"/>
              </w:rPr>
              <w:br/>
              <w:t>objective of the study clearly described?</w:t>
            </w:r>
          </w:p>
        </w:tc>
        <w:tc>
          <w:tcPr>
            <w:tcW w:w="630" w:type="dxa"/>
            <w:noWrap/>
            <w:tcMar>
              <w:top w:w="62" w:type="dxa"/>
              <w:left w:w="62" w:type="dxa"/>
              <w:bottom w:w="62" w:type="dxa"/>
              <w:right w:w="62" w:type="dxa"/>
            </w:tcMar>
            <w:hideMark/>
          </w:tcPr>
          <w:p w14:paraId="707A25D4"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190A2822"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35B26C68"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8F59345" w14:textId="77777777" w:rsidR="007F0AE0" w:rsidRPr="00494051" w:rsidRDefault="007F0AE0" w:rsidP="00453DE3">
            <w:pPr>
              <w:jc w:val="center"/>
              <w:rPr>
                <w:rFonts w:cstheme="minorHAnsi"/>
                <w:sz w:val="18"/>
                <w:szCs w:val="18"/>
              </w:rPr>
            </w:pPr>
          </w:p>
        </w:tc>
        <w:tc>
          <w:tcPr>
            <w:tcW w:w="3777" w:type="dxa"/>
            <w:noWrap/>
            <w:tcMar>
              <w:top w:w="62" w:type="dxa"/>
              <w:left w:w="62" w:type="dxa"/>
              <w:bottom w:w="62" w:type="dxa"/>
              <w:right w:w="62" w:type="dxa"/>
            </w:tcMar>
            <w:hideMark/>
          </w:tcPr>
          <w:p w14:paraId="201F8E77" w14:textId="77777777" w:rsidR="007F0AE0" w:rsidRPr="00494051" w:rsidRDefault="007F0AE0" w:rsidP="00453DE3">
            <w:pPr>
              <w:rPr>
                <w:rFonts w:cstheme="minorHAnsi"/>
                <w:sz w:val="18"/>
                <w:szCs w:val="18"/>
              </w:rPr>
            </w:pPr>
            <w:r w:rsidRPr="00494051">
              <w:rPr>
                <w:rFonts w:cstheme="minorHAnsi"/>
                <w:sz w:val="18"/>
                <w:szCs w:val="18"/>
              </w:rPr>
              <w:t>Usually listed in last paragraph of Introduction, or abstract.</w:t>
            </w:r>
          </w:p>
        </w:tc>
        <w:tc>
          <w:tcPr>
            <w:tcW w:w="2515" w:type="dxa"/>
            <w:noWrap/>
            <w:tcMar>
              <w:top w:w="62" w:type="dxa"/>
              <w:left w:w="62" w:type="dxa"/>
              <w:bottom w:w="62" w:type="dxa"/>
              <w:right w:w="62" w:type="dxa"/>
            </w:tcMar>
            <w:hideMark/>
          </w:tcPr>
          <w:p w14:paraId="75A9413F" w14:textId="77777777" w:rsidR="007F0AE0" w:rsidRPr="00494051" w:rsidRDefault="007F0AE0" w:rsidP="00453DE3">
            <w:pPr>
              <w:rPr>
                <w:rFonts w:cstheme="minorHAnsi"/>
                <w:sz w:val="18"/>
                <w:szCs w:val="18"/>
              </w:rPr>
            </w:pPr>
          </w:p>
        </w:tc>
      </w:tr>
      <w:tr w:rsidR="007F0AE0" w:rsidRPr="00494051" w14:paraId="3F957C55" w14:textId="77777777" w:rsidTr="00453DE3">
        <w:trPr>
          <w:trHeight w:val="1058"/>
        </w:trPr>
        <w:tc>
          <w:tcPr>
            <w:tcW w:w="1075" w:type="dxa"/>
            <w:noWrap/>
            <w:tcMar>
              <w:top w:w="62" w:type="dxa"/>
              <w:left w:w="62" w:type="dxa"/>
              <w:bottom w:w="62" w:type="dxa"/>
              <w:right w:w="62" w:type="dxa"/>
            </w:tcMar>
            <w:hideMark/>
          </w:tcPr>
          <w:p w14:paraId="1A20F9A9" w14:textId="77777777" w:rsidR="007F0AE0" w:rsidRPr="00494051" w:rsidRDefault="007F0AE0" w:rsidP="00453DE3">
            <w:pPr>
              <w:jc w:val="center"/>
              <w:rPr>
                <w:rFonts w:cstheme="minorHAnsi"/>
                <w:b/>
                <w:bCs/>
                <w:sz w:val="18"/>
                <w:szCs w:val="18"/>
              </w:rPr>
            </w:pPr>
            <w:r w:rsidRPr="00494051">
              <w:rPr>
                <w:rFonts w:cstheme="minorHAnsi"/>
                <w:b/>
                <w:bCs/>
                <w:sz w:val="18"/>
                <w:szCs w:val="18"/>
              </w:rPr>
              <w:t>Q2</w:t>
            </w:r>
          </w:p>
        </w:tc>
        <w:tc>
          <w:tcPr>
            <w:tcW w:w="2250" w:type="dxa"/>
            <w:tcMar>
              <w:top w:w="62" w:type="dxa"/>
              <w:left w:w="62" w:type="dxa"/>
              <w:bottom w:w="62" w:type="dxa"/>
              <w:right w:w="62" w:type="dxa"/>
            </w:tcMar>
            <w:hideMark/>
          </w:tcPr>
          <w:p w14:paraId="7E168A8E" w14:textId="77777777" w:rsidR="007F0AE0" w:rsidRPr="00494051" w:rsidRDefault="007F0AE0" w:rsidP="00453DE3">
            <w:pPr>
              <w:rPr>
                <w:rFonts w:cstheme="minorHAnsi"/>
                <w:b/>
                <w:bCs/>
                <w:sz w:val="18"/>
                <w:szCs w:val="18"/>
              </w:rPr>
            </w:pPr>
            <w:r w:rsidRPr="00494051">
              <w:rPr>
                <w:rFonts w:cstheme="minorHAnsi"/>
                <w:b/>
                <w:bCs/>
                <w:sz w:val="18"/>
                <w:szCs w:val="18"/>
              </w:rPr>
              <w:t>Are the main outcomes to be measured clearly described in the Introduction or Methods section?</w:t>
            </w:r>
          </w:p>
        </w:tc>
        <w:tc>
          <w:tcPr>
            <w:tcW w:w="630" w:type="dxa"/>
            <w:noWrap/>
            <w:tcMar>
              <w:top w:w="62" w:type="dxa"/>
              <w:left w:w="62" w:type="dxa"/>
              <w:bottom w:w="62" w:type="dxa"/>
              <w:right w:w="62" w:type="dxa"/>
            </w:tcMar>
            <w:hideMark/>
          </w:tcPr>
          <w:p w14:paraId="41CE5256"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233984B0"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70A40670"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5F97E0DC"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609A4098" w14:textId="77777777" w:rsidR="007F0AE0" w:rsidRPr="00494051" w:rsidRDefault="007F0AE0" w:rsidP="00453DE3">
            <w:pPr>
              <w:rPr>
                <w:rFonts w:cstheme="minorHAnsi"/>
                <w:sz w:val="18"/>
                <w:szCs w:val="18"/>
              </w:rPr>
            </w:pPr>
            <w:r w:rsidRPr="00494051">
              <w:rPr>
                <w:rFonts w:cstheme="minorHAnsi"/>
                <w:sz w:val="18"/>
                <w:szCs w:val="18"/>
              </w:rPr>
              <w:t>If the main outcomes are first mentioned in the Results section, the question should be answered no.</w:t>
            </w:r>
          </w:p>
        </w:tc>
        <w:tc>
          <w:tcPr>
            <w:tcW w:w="2515" w:type="dxa"/>
            <w:noWrap/>
            <w:tcMar>
              <w:top w:w="62" w:type="dxa"/>
              <w:left w:w="62" w:type="dxa"/>
              <w:bottom w:w="62" w:type="dxa"/>
              <w:right w:w="62" w:type="dxa"/>
            </w:tcMar>
            <w:hideMark/>
          </w:tcPr>
          <w:p w14:paraId="18ACFDE8" w14:textId="77777777" w:rsidR="007F0AE0" w:rsidRPr="00494051" w:rsidRDefault="007F0AE0" w:rsidP="00453DE3">
            <w:pPr>
              <w:rPr>
                <w:rFonts w:cstheme="minorHAnsi"/>
                <w:sz w:val="18"/>
                <w:szCs w:val="18"/>
              </w:rPr>
            </w:pPr>
          </w:p>
        </w:tc>
      </w:tr>
      <w:tr w:rsidR="007F0AE0" w:rsidRPr="00494051" w14:paraId="634DB25A" w14:textId="77777777" w:rsidTr="00453DE3">
        <w:trPr>
          <w:trHeight w:val="1260"/>
        </w:trPr>
        <w:tc>
          <w:tcPr>
            <w:tcW w:w="1075" w:type="dxa"/>
            <w:noWrap/>
            <w:tcMar>
              <w:top w:w="62" w:type="dxa"/>
              <w:left w:w="62" w:type="dxa"/>
              <w:bottom w:w="62" w:type="dxa"/>
              <w:right w:w="62" w:type="dxa"/>
            </w:tcMar>
            <w:hideMark/>
          </w:tcPr>
          <w:p w14:paraId="64CF948E" w14:textId="77777777" w:rsidR="007F0AE0" w:rsidRPr="00494051" w:rsidRDefault="007F0AE0" w:rsidP="00453DE3">
            <w:pPr>
              <w:jc w:val="center"/>
              <w:rPr>
                <w:rFonts w:cstheme="minorHAnsi"/>
                <w:b/>
                <w:bCs/>
                <w:sz w:val="18"/>
                <w:szCs w:val="18"/>
              </w:rPr>
            </w:pPr>
            <w:r w:rsidRPr="00494051">
              <w:rPr>
                <w:rFonts w:cstheme="minorHAnsi"/>
                <w:b/>
                <w:bCs/>
                <w:sz w:val="18"/>
                <w:szCs w:val="18"/>
              </w:rPr>
              <w:t>Q3</w:t>
            </w:r>
          </w:p>
        </w:tc>
        <w:tc>
          <w:tcPr>
            <w:tcW w:w="2250" w:type="dxa"/>
            <w:tcMar>
              <w:top w:w="62" w:type="dxa"/>
              <w:left w:w="62" w:type="dxa"/>
              <w:bottom w:w="62" w:type="dxa"/>
              <w:right w:w="62" w:type="dxa"/>
            </w:tcMar>
            <w:hideMark/>
          </w:tcPr>
          <w:p w14:paraId="0A82F6F6" w14:textId="77777777" w:rsidR="007F0AE0" w:rsidRPr="00494051" w:rsidRDefault="007F0AE0" w:rsidP="00453DE3">
            <w:pPr>
              <w:rPr>
                <w:rFonts w:cstheme="minorHAnsi"/>
                <w:b/>
                <w:bCs/>
                <w:sz w:val="18"/>
                <w:szCs w:val="18"/>
              </w:rPr>
            </w:pPr>
            <w:r w:rsidRPr="00494051">
              <w:rPr>
                <w:rFonts w:cstheme="minorHAnsi"/>
                <w:b/>
                <w:bCs/>
                <w:sz w:val="18"/>
                <w:szCs w:val="18"/>
              </w:rPr>
              <w:t>Are the characteristics of the patients included in the study clearly described?</w:t>
            </w:r>
          </w:p>
        </w:tc>
        <w:tc>
          <w:tcPr>
            <w:tcW w:w="630" w:type="dxa"/>
            <w:noWrap/>
            <w:tcMar>
              <w:top w:w="62" w:type="dxa"/>
              <w:left w:w="62" w:type="dxa"/>
              <w:bottom w:w="62" w:type="dxa"/>
              <w:right w:w="62" w:type="dxa"/>
            </w:tcMar>
            <w:hideMark/>
          </w:tcPr>
          <w:p w14:paraId="5D48FA01"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53ABF2DF"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06912E2E"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0AA55409"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03958F07" w14:textId="77777777" w:rsidR="007F0AE0" w:rsidRPr="00494051" w:rsidRDefault="007F0AE0" w:rsidP="00453DE3">
            <w:pPr>
              <w:rPr>
                <w:rFonts w:cstheme="minorHAnsi"/>
                <w:sz w:val="18"/>
                <w:szCs w:val="18"/>
              </w:rPr>
            </w:pPr>
            <w:r w:rsidRPr="00494051">
              <w:rPr>
                <w:rFonts w:cstheme="minorHAnsi"/>
                <w:sz w:val="18"/>
                <w:szCs w:val="18"/>
              </w:rPr>
              <w:t>In cohort studies and trials, inclusion and/or exclusion criteria should be given. In case-control studies, a case-definition and the source for controls should be given. Description of where cases are from and a breakdown of participant characteristics is given.</w:t>
            </w:r>
          </w:p>
        </w:tc>
        <w:tc>
          <w:tcPr>
            <w:tcW w:w="2515" w:type="dxa"/>
            <w:noWrap/>
            <w:tcMar>
              <w:top w:w="62" w:type="dxa"/>
              <w:left w:w="62" w:type="dxa"/>
              <w:bottom w:w="62" w:type="dxa"/>
              <w:right w:w="62" w:type="dxa"/>
            </w:tcMar>
            <w:hideMark/>
          </w:tcPr>
          <w:p w14:paraId="1B9CA409" w14:textId="77777777" w:rsidR="007F0AE0" w:rsidRPr="00494051" w:rsidRDefault="007F0AE0" w:rsidP="00453DE3">
            <w:pPr>
              <w:rPr>
                <w:rFonts w:cstheme="minorHAnsi"/>
                <w:sz w:val="18"/>
                <w:szCs w:val="18"/>
              </w:rPr>
            </w:pPr>
          </w:p>
        </w:tc>
      </w:tr>
      <w:tr w:rsidR="007F0AE0" w:rsidRPr="00494051" w14:paraId="21D1A51E" w14:textId="77777777" w:rsidTr="00453DE3">
        <w:trPr>
          <w:trHeight w:val="1200"/>
        </w:trPr>
        <w:tc>
          <w:tcPr>
            <w:tcW w:w="1075" w:type="dxa"/>
            <w:noWrap/>
            <w:tcMar>
              <w:top w:w="62" w:type="dxa"/>
              <w:left w:w="62" w:type="dxa"/>
              <w:bottom w:w="62" w:type="dxa"/>
              <w:right w:w="62" w:type="dxa"/>
            </w:tcMar>
            <w:hideMark/>
          </w:tcPr>
          <w:p w14:paraId="36C012AB" w14:textId="77777777" w:rsidR="007F0AE0" w:rsidRPr="00494051" w:rsidRDefault="007F0AE0" w:rsidP="00453DE3">
            <w:pPr>
              <w:jc w:val="center"/>
              <w:rPr>
                <w:rFonts w:cstheme="minorHAnsi"/>
                <w:b/>
                <w:bCs/>
                <w:sz w:val="18"/>
                <w:szCs w:val="18"/>
              </w:rPr>
            </w:pPr>
            <w:r w:rsidRPr="00494051">
              <w:rPr>
                <w:rFonts w:cstheme="minorHAnsi"/>
                <w:b/>
                <w:bCs/>
                <w:sz w:val="18"/>
                <w:szCs w:val="18"/>
              </w:rPr>
              <w:t>Q4</w:t>
            </w:r>
          </w:p>
        </w:tc>
        <w:tc>
          <w:tcPr>
            <w:tcW w:w="2250" w:type="dxa"/>
            <w:tcMar>
              <w:top w:w="62" w:type="dxa"/>
              <w:left w:w="62" w:type="dxa"/>
              <w:bottom w:w="62" w:type="dxa"/>
              <w:right w:w="62" w:type="dxa"/>
            </w:tcMar>
            <w:hideMark/>
          </w:tcPr>
          <w:p w14:paraId="0198FA26" w14:textId="77777777" w:rsidR="007F0AE0" w:rsidRPr="00494051" w:rsidRDefault="007F0AE0" w:rsidP="00453DE3">
            <w:pPr>
              <w:rPr>
                <w:rFonts w:cstheme="minorHAnsi"/>
                <w:b/>
                <w:bCs/>
                <w:sz w:val="18"/>
                <w:szCs w:val="18"/>
              </w:rPr>
            </w:pPr>
            <w:r w:rsidRPr="00494051">
              <w:rPr>
                <w:rFonts w:cstheme="minorHAnsi"/>
                <w:b/>
                <w:bCs/>
                <w:sz w:val="18"/>
                <w:szCs w:val="18"/>
              </w:rPr>
              <w:t>Are the interventions of interest clearly described?</w:t>
            </w:r>
          </w:p>
        </w:tc>
        <w:tc>
          <w:tcPr>
            <w:tcW w:w="630" w:type="dxa"/>
            <w:noWrap/>
            <w:tcMar>
              <w:top w:w="62" w:type="dxa"/>
              <w:left w:w="62" w:type="dxa"/>
              <w:bottom w:w="62" w:type="dxa"/>
              <w:right w:w="62" w:type="dxa"/>
            </w:tcMar>
            <w:hideMark/>
          </w:tcPr>
          <w:p w14:paraId="64C136FB" w14:textId="77777777" w:rsidR="007F0AE0" w:rsidRPr="00494051" w:rsidRDefault="007F0AE0" w:rsidP="00453DE3">
            <w:pPr>
              <w:jc w:val="center"/>
              <w:rPr>
                <w:rFonts w:cstheme="minorHAnsi"/>
                <w:b/>
                <w:bCs/>
                <w:sz w:val="18"/>
                <w:szCs w:val="18"/>
              </w:rPr>
            </w:pPr>
          </w:p>
        </w:tc>
        <w:tc>
          <w:tcPr>
            <w:tcW w:w="900" w:type="dxa"/>
            <w:noWrap/>
            <w:tcMar>
              <w:top w:w="62" w:type="dxa"/>
              <w:left w:w="62" w:type="dxa"/>
              <w:bottom w:w="62" w:type="dxa"/>
              <w:right w:w="62" w:type="dxa"/>
            </w:tcMar>
            <w:hideMark/>
          </w:tcPr>
          <w:p w14:paraId="63671758"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04F7804F" w14:textId="77777777" w:rsidR="007F0AE0" w:rsidRPr="00494051" w:rsidRDefault="007F0AE0" w:rsidP="00453DE3">
            <w:pPr>
              <w:jc w:val="center"/>
              <w:rPr>
                <w:rFonts w:cstheme="minorHAnsi"/>
                <w:sz w:val="18"/>
                <w:szCs w:val="18"/>
              </w:rPr>
            </w:pPr>
          </w:p>
        </w:tc>
        <w:tc>
          <w:tcPr>
            <w:tcW w:w="1134" w:type="dxa"/>
            <w:noWrap/>
            <w:tcMar>
              <w:top w:w="62" w:type="dxa"/>
              <w:left w:w="62" w:type="dxa"/>
              <w:bottom w:w="62" w:type="dxa"/>
              <w:right w:w="62" w:type="dxa"/>
            </w:tcMar>
            <w:hideMark/>
          </w:tcPr>
          <w:p w14:paraId="26021B69"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39E25446" w14:textId="77777777" w:rsidR="007F0AE0" w:rsidRPr="00494051" w:rsidRDefault="007F0AE0" w:rsidP="00453DE3">
            <w:pPr>
              <w:rPr>
                <w:rFonts w:cstheme="minorHAnsi"/>
                <w:sz w:val="18"/>
                <w:szCs w:val="18"/>
              </w:rPr>
            </w:pPr>
            <w:r w:rsidRPr="00494051">
              <w:rPr>
                <w:rFonts w:cstheme="minorHAnsi"/>
                <w:sz w:val="18"/>
                <w:szCs w:val="18"/>
              </w:rPr>
              <w:t>Treatments and placebo (where relevant) hat are to be compared should be clearly described. For observational studies, exposure should be clearly described.</w:t>
            </w:r>
          </w:p>
        </w:tc>
        <w:tc>
          <w:tcPr>
            <w:tcW w:w="2515" w:type="dxa"/>
            <w:tcMar>
              <w:top w:w="62" w:type="dxa"/>
              <w:left w:w="62" w:type="dxa"/>
              <w:bottom w:w="62" w:type="dxa"/>
              <w:right w:w="62" w:type="dxa"/>
            </w:tcMar>
            <w:hideMark/>
          </w:tcPr>
          <w:p w14:paraId="3AC7E60F" w14:textId="77777777" w:rsidR="007F0AE0" w:rsidRPr="00494051" w:rsidRDefault="007F0AE0" w:rsidP="00453DE3">
            <w:pPr>
              <w:rPr>
                <w:rFonts w:cstheme="minorHAnsi"/>
                <w:sz w:val="18"/>
                <w:szCs w:val="18"/>
              </w:rPr>
            </w:pPr>
            <w:r w:rsidRPr="00494051">
              <w:rPr>
                <w:rFonts w:cstheme="minorHAnsi"/>
                <w:sz w:val="18"/>
                <w:szCs w:val="18"/>
              </w:rPr>
              <w:t>Exposure definition should be clearly described.</w:t>
            </w:r>
            <w:r>
              <w:rPr>
                <w:rFonts w:cstheme="minorHAnsi"/>
                <w:sz w:val="18"/>
                <w:szCs w:val="18"/>
              </w:rPr>
              <w:t xml:space="preserve"> </w:t>
            </w:r>
            <w:r w:rsidRPr="00494051">
              <w:rPr>
                <w:rFonts w:cstheme="minorHAnsi"/>
                <w:sz w:val="18"/>
                <w:szCs w:val="18"/>
              </w:rPr>
              <w:t>Specific questions from surveys should be provided, e.g. "What is your usual brand?"</w:t>
            </w:r>
          </w:p>
        </w:tc>
      </w:tr>
      <w:tr w:rsidR="007F0AE0" w:rsidRPr="00494051" w14:paraId="7F84500F" w14:textId="77777777" w:rsidTr="00453DE3">
        <w:trPr>
          <w:trHeight w:val="1298"/>
        </w:trPr>
        <w:tc>
          <w:tcPr>
            <w:tcW w:w="1075" w:type="dxa"/>
            <w:noWrap/>
            <w:tcMar>
              <w:top w:w="62" w:type="dxa"/>
              <w:left w:w="62" w:type="dxa"/>
              <w:bottom w:w="62" w:type="dxa"/>
              <w:right w:w="62" w:type="dxa"/>
            </w:tcMar>
            <w:hideMark/>
          </w:tcPr>
          <w:p w14:paraId="02B8374F" w14:textId="77777777" w:rsidR="007F0AE0" w:rsidRPr="00494051" w:rsidRDefault="007F0AE0" w:rsidP="00453DE3">
            <w:pPr>
              <w:jc w:val="center"/>
              <w:rPr>
                <w:rFonts w:cstheme="minorHAnsi"/>
                <w:b/>
                <w:bCs/>
                <w:sz w:val="18"/>
                <w:szCs w:val="18"/>
              </w:rPr>
            </w:pPr>
            <w:r w:rsidRPr="00494051">
              <w:rPr>
                <w:rFonts w:cstheme="minorHAnsi"/>
                <w:b/>
                <w:bCs/>
                <w:sz w:val="18"/>
                <w:szCs w:val="18"/>
              </w:rPr>
              <w:t>Q5</w:t>
            </w:r>
          </w:p>
        </w:tc>
        <w:tc>
          <w:tcPr>
            <w:tcW w:w="2250" w:type="dxa"/>
            <w:tcMar>
              <w:top w:w="62" w:type="dxa"/>
              <w:left w:w="62" w:type="dxa"/>
              <w:bottom w:w="62" w:type="dxa"/>
              <w:right w:w="62" w:type="dxa"/>
            </w:tcMar>
            <w:hideMark/>
          </w:tcPr>
          <w:p w14:paraId="702E8925" w14:textId="77777777" w:rsidR="007F0AE0" w:rsidRPr="00494051" w:rsidRDefault="007F0AE0" w:rsidP="00453DE3">
            <w:pPr>
              <w:rPr>
                <w:rFonts w:cstheme="minorHAnsi"/>
                <w:b/>
                <w:bCs/>
                <w:sz w:val="18"/>
                <w:szCs w:val="18"/>
              </w:rPr>
            </w:pPr>
            <w:r w:rsidRPr="00494051">
              <w:rPr>
                <w:rFonts w:cstheme="minorHAnsi"/>
                <w:b/>
                <w:bCs/>
                <w:sz w:val="18"/>
                <w:szCs w:val="18"/>
              </w:rPr>
              <w:t>Are the distributions of principal confounders in each group of subjects to be compared clearly described?</w:t>
            </w:r>
          </w:p>
        </w:tc>
        <w:tc>
          <w:tcPr>
            <w:tcW w:w="630" w:type="dxa"/>
            <w:noWrap/>
            <w:tcMar>
              <w:top w:w="62" w:type="dxa"/>
              <w:left w:w="62" w:type="dxa"/>
              <w:bottom w:w="62" w:type="dxa"/>
              <w:right w:w="62" w:type="dxa"/>
            </w:tcMar>
            <w:hideMark/>
          </w:tcPr>
          <w:p w14:paraId="44503A2B" w14:textId="77777777" w:rsidR="007F0AE0" w:rsidRPr="00494051" w:rsidRDefault="007F0AE0" w:rsidP="00453DE3">
            <w:pPr>
              <w:jc w:val="center"/>
              <w:rPr>
                <w:rFonts w:cstheme="minorHAnsi"/>
                <w:sz w:val="18"/>
                <w:szCs w:val="18"/>
              </w:rPr>
            </w:pPr>
            <w:r w:rsidRPr="00494051">
              <w:rPr>
                <w:rFonts w:cstheme="minorHAnsi"/>
                <w:sz w:val="18"/>
                <w:szCs w:val="18"/>
              </w:rPr>
              <w:t>2</w:t>
            </w:r>
          </w:p>
        </w:tc>
        <w:tc>
          <w:tcPr>
            <w:tcW w:w="900" w:type="dxa"/>
            <w:noWrap/>
            <w:tcMar>
              <w:top w:w="62" w:type="dxa"/>
              <w:left w:w="62" w:type="dxa"/>
              <w:bottom w:w="62" w:type="dxa"/>
              <w:right w:w="62" w:type="dxa"/>
            </w:tcMar>
            <w:hideMark/>
          </w:tcPr>
          <w:p w14:paraId="54D4596A"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669" w:type="dxa"/>
            <w:noWrap/>
            <w:tcMar>
              <w:top w:w="62" w:type="dxa"/>
              <w:left w:w="62" w:type="dxa"/>
              <w:bottom w:w="62" w:type="dxa"/>
              <w:right w:w="62" w:type="dxa"/>
            </w:tcMar>
            <w:hideMark/>
          </w:tcPr>
          <w:p w14:paraId="71771085"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7FC1B66C"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45805408" w14:textId="77777777" w:rsidR="007F0AE0" w:rsidRPr="00494051" w:rsidRDefault="007F0AE0" w:rsidP="00453DE3">
            <w:pPr>
              <w:rPr>
                <w:rFonts w:cstheme="minorHAnsi"/>
                <w:sz w:val="18"/>
                <w:szCs w:val="18"/>
              </w:rPr>
            </w:pPr>
            <w:r w:rsidRPr="00494051">
              <w:rPr>
                <w:rFonts w:cstheme="minorHAnsi"/>
                <w:sz w:val="18"/>
                <w:szCs w:val="18"/>
              </w:rPr>
              <w:t>A list of principal confounders is provided. Mark 2 if list is comprehensive, mark 1 if only one or two are identified, or if they mention they are controlling for "demographic" or other types of confounders, but do not specifically enumerate what they are.</w:t>
            </w:r>
          </w:p>
        </w:tc>
        <w:tc>
          <w:tcPr>
            <w:tcW w:w="2515" w:type="dxa"/>
            <w:tcMar>
              <w:top w:w="62" w:type="dxa"/>
              <w:left w:w="62" w:type="dxa"/>
              <w:bottom w:w="62" w:type="dxa"/>
              <w:right w:w="62" w:type="dxa"/>
            </w:tcMar>
            <w:hideMark/>
          </w:tcPr>
          <w:p w14:paraId="6724880D" w14:textId="77777777" w:rsidR="007F0AE0" w:rsidRPr="00494051" w:rsidRDefault="007F0AE0" w:rsidP="00453DE3">
            <w:pPr>
              <w:rPr>
                <w:rFonts w:cstheme="minorHAnsi"/>
                <w:sz w:val="18"/>
                <w:szCs w:val="18"/>
              </w:rPr>
            </w:pPr>
            <w:r w:rsidRPr="00494051">
              <w:rPr>
                <w:rFonts w:cstheme="minorHAnsi"/>
                <w:sz w:val="18"/>
                <w:szCs w:val="18"/>
              </w:rPr>
              <w:t>By exposure (menthol/non-menthol) or by outcome.</w:t>
            </w:r>
          </w:p>
        </w:tc>
      </w:tr>
      <w:tr w:rsidR="007F0AE0" w:rsidRPr="00494051" w14:paraId="623B4E63" w14:textId="77777777" w:rsidTr="00453DE3">
        <w:trPr>
          <w:trHeight w:val="530"/>
        </w:trPr>
        <w:tc>
          <w:tcPr>
            <w:tcW w:w="1075" w:type="dxa"/>
            <w:noWrap/>
            <w:tcMar>
              <w:top w:w="62" w:type="dxa"/>
              <w:left w:w="62" w:type="dxa"/>
              <w:bottom w:w="62" w:type="dxa"/>
              <w:right w:w="62" w:type="dxa"/>
            </w:tcMar>
            <w:hideMark/>
          </w:tcPr>
          <w:p w14:paraId="12003A86" w14:textId="77777777" w:rsidR="007F0AE0" w:rsidRPr="00494051" w:rsidRDefault="007F0AE0" w:rsidP="00453DE3">
            <w:pPr>
              <w:jc w:val="center"/>
              <w:rPr>
                <w:rFonts w:cstheme="minorHAnsi"/>
                <w:b/>
                <w:bCs/>
                <w:sz w:val="18"/>
                <w:szCs w:val="18"/>
              </w:rPr>
            </w:pPr>
            <w:r w:rsidRPr="00494051">
              <w:rPr>
                <w:rFonts w:cstheme="minorHAnsi"/>
                <w:b/>
                <w:bCs/>
                <w:sz w:val="18"/>
                <w:szCs w:val="18"/>
              </w:rPr>
              <w:t>Q6</w:t>
            </w:r>
          </w:p>
        </w:tc>
        <w:tc>
          <w:tcPr>
            <w:tcW w:w="2250" w:type="dxa"/>
            <w:tcMar>
              <w:top w:w="62" w:type="dxa"/>
              <w:left w:w="62" w:type="dxa"/>
              <w:bottom w:w="62" w:type="dxa"/>
              <w:right w:w="62" w:type="dxa"/>
            </w:tcMar>
            <w:hideMark/>
          </w:tcPr>
          <w:p w14:paraId="2DD1EFE3" w14:textId="77777777" w:rsidR="007F0AE0" w:rsidRPr="00494051" w:rsidRDefault="007F0AE0" w:rsidP="00453DE3">
            <w:pPr>
              <w:rPr>
                <w:rFonts w:cstheme="minorHAnsi"/>
                <w:b/>
                <w:bCs/>
                <w:sz w:val="18"/>
                <w:szCs w:val="18"/>
              </w:rPr>
            </w:pPr>
            <w:r w:rsidRPr="00494051">
              <w:rPr>
                <w:rFonts w:cstheme="minorHAnsi"/>
                <w:b/>
                <w:bCs/>
                <w:sz w:val="18"/>
                <w:szCs w:val="18"/>
              </w:rPr>
              <w:t>Are the main findings of the study clearly described?</w:t>
            </w:r>
          </w:p>
        </w:tc>
        <w:tc>
          <w:tcPr>
            <w:tcW w:w="630" w:type="dxa"/>
            <w:noWrap/>
            <w:tcMar>
              <w:top w:w="62" w:type="dxa"/>
              <w:left w:w="62" w:type="dxa"/>
              <w:bottom w:w="62" w:type="dxa"/>
              <w:right w:w="62" w:type="dxa"/>
            </w:tcMar>
            <w:hideMark/>
          </w:tcPr>
          <w:p w14:paraId="69EC9CB2"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35445293"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19209930"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2A17A5E"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57E016E7" w14:textId="77777777" w:rsidR="007F0AE0" w:rsidRPr="00494051" w:rsidRDefault="007F0AE0" w:rsidP="00453DE3">
            <w:pPr>
              <w:rPr>
                <w:rFonts w:cstheme="minorHAnsi"/>
                <w:sz w:val="18"/>
                <w:szCs w:val="18"/>
              </w:rPr>
            </w:pPr>
            <w:r w:rsidRPr="00494051">
              <w:rPr>
                <w:rFonts w:cstheme="minorHAnsi"/>
                <w:sz w:val="18"/>
                <w:szCs w:val="18"/>
              </w:rPr>
              <w:t xml:space="preserve">Simple outcome data (including denominators and numerators) should be reported for all major findings so that the reader can check the major analyses and conclusions. (This question does not </w:t>
            </w:r>
            <w:r w:rsidRPr="00494051">
              <w:rPr>
                <w:rFonts w:cstheme="minorHAnsi"/>
                <w:sz w:val="18"/>
                <w:szCs w:val="18"/>
              </w:rPr>
              <w:lastRenderedPageBreak/>
              <w:t>cover statistical tests which are considered below).</w:t>
            </w:r>
          </w:p>
        </w:tc>
        <w:tc>
          <w:tcPr>
            <w:tcW w:w="2515" w:type="dxa"/>
            <w:noWrap/>
            <w:tcMar>
              <w:top w:w="62" w:type="dxa"/>
              <w:left w:w="62" w:type="dxa"/>
              <w:bottom w:w="62" w:type="dxa"/>
              <w:right w:w="62" w:type="dxa"/>
            </w:tcMar>
            <w:hideMark/>
          </w:tcPr>
          <w:p w14:paraId="4ADB82F2" w14:textId="77777777" w:rsidR="007F0AE0" w:rsidRPr="00494051" w:rsidRDefault="007F0AE0" w:rsidP="00453DE3">
            <w:pPr>
              <w:rPr>
                <w:rFonts w:cstheme="minorHAnsi"/>
                <w:sz w:val="18"/>
                <w:szCs w:val="18"/>
              </w:rPr>
            </w:pPr>
          </w:p>
        </w:tc>
      </w:tr>
      <w:tr w:rsidR="007F0AE0" w:rsidRPr="00494051" w14:paraId="6DEAEE7C" w14:textId="77777777" w:rsidTr="00453DE3">
        <w:trPr>
          <w:trHeight w:val="1524"/>
        </w:trPr>
        <w:tc>
          <w:tcPr>
            <w:tcW w:w="1075" w:type="dxa"/>
            <w:noWrap/>
            <w:tcMar>
              <w:top w:w="62" w:type="dxa"/>
              <w:left w:w="62" w:type="dxa"/>
              <w:bottom w:w="62" w:type="dxa"/>
              <w:right w:w="62" w:type="dxa"/>
            </w:tcMar>
            <w:hideMark/>
          </w:tcPr>
          <w:p w14:paraId="183B08F4" w14:textId="77777777" w:rsidR="007F0AE0" w:rsidRPr="00494051" w:rsidRDefault="007F0AE0" w:rsidP="00453DE3">
            <w:pPr>
              <w:jc w:val="center"/>
              <w:rPr>
                <w:rFonts w:cstheme="minorHAnsi"/>
                <w:b/>
                <w:bCs/>
                <w:sz w:val="18"/>
                <w:szCs w:val="18"/>
              </w:rPr>
            </w:pPr>
            <w:r w:rsidRPr="00494051">
              <w:rPr>
                <w:rFonts w:cstheme="minorHAnsi"/>
                <w:b/>
                <w:bCs/>
                <w:sz w:val="18"/>
                <w:szCs w:val="18"/>
              </w:rPr>
              <w:t>Q7</w:t>
            </w:r>
          </w:p>
        </w:tc>
        <w:tc>
          <w:tcPr>
            <w:tcW w:w="2250" w:type="dxa"/>
            <w:tcMar>
              <w:top w:w="62" w:type="dxa"/>
              <w:left w:w="62" w:type="dxa"/>
              <w:bottom w:w="62" w:type="dxa"/>
              <w:right w:w="62" w:type="dxa"/>
            </w:tcMar>
            <w:hideMark/>
          </w:tcPr>
          <w:p w14:paraId="2BD33C14" w14:textId="77777777" w:rsidR="007F0AE0" w:rsidRPr="00494051" w:rsidRDefault="007F0AE0" w:rsidP="00453DE3">
            <w:pPr>
              <w:rPr>
                <w:rFonts w:cstheme="minorHAnsi"/>
                <w:b/>
                <w:bCs/>
                <w:sz w:val="18"/>
                <w:szCs w:val="18"/>
              </w:rPr>
            </w:pPr>
            <w:r w:rsidRPr="00494051">
              <w:rPr>
                <w:rFonts w:cstheme="minorHAnsi"/>
                <w:b/>
                <w:bCs/>
                <w:sz w:val="18"/>
                <w:szCs w:val="18"/>
              </w:rPr>
              <w:t>Does the study provide estimates of the random variability in the data for the main outcomes?</w:t>
            </w:r>
          </w:p>
        </w:tc>
        <w:tc>
          <w:tcPr>
            <w:tcW w:w="630" w:type="dxa"/>
            <w:noWrap/>
            <w:tcMar>
              <w:top w:w="62" w:type="dxa"/>
              <w:left w:w="62" w:type="dxa"/>
              <w:bottom w:w="62" w:type="dxa"/>
              <w:right w:w="62" w:type="dxa"/>
            </w:tcMar>
            <w:hideMark/>
          </w:tcPr>
          <w:p w14:paraId="61B49106"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672C7123"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2EFD4360"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450E96C9"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5BBB7FD9" w14:textId="77777777" w:rsidR="007F0AE0" w:rsidRPr="00494051" w:rsidRDefault="007F0AE0" w:rsidP="00453DE3">
            <w:pPr>
              <w:rPr>
                <w:rFonts w:cstheme="minorHAnsi"/>
                <w:sz w:val="18"/>
                <w:szCs w:val="18"/>
              </w:rPr>
            </w:pPr>
            <w:r w:rsidRPr="00494051">
              <w:rPr>
                <w:rFonts w:cstheme="minorHAnsi"/>
                <w:sz w:val="18"/>
                <w:szCs w:val="18"/>
              </w:rPr>
              <w:t>In non-normally distributed data the inter-quartile range of results should be reported. In normally distributed data the standard error, standard deviation or confidence intervals should be reported. If the distribution of the data is not described, it must be assumed that the estimates used were appropriate and the question should be answered yes.</w:t>
            </w:r>
          </w:p>
        </w:tc>
        <w:tc>
          <w:tcPr>
            <w:tcW w:w="2515" w:type="dxa"/>
            <w:noWrap/>
            <w:tcMar>
              <w:top w:w="62" w:type="dxa"/>
              <w:left w:w="62" w:type="dxa"/>
              <w:bottom w:w="62" w:type="dxa"/>
              <w:right w:w="62" w:type="dxa"/>
            </w:tcMar>
            <w:hideMark/>
          </w:tcPr>
          <w:p w14:paraId="43249813" w14:textId="77777777" w:rsidR="007F0AE0" w:rsidRPr="00494051" w:rsidRDefault="007F0AE0" w:rsidP="00453DE3">
            <w:pPr>
              <w:rPr>
                <w:rFonts w:cstheme="minorHAnsi"/>
                <w:sz w:val="18"/>
                <w:szCs w:val="18"/>
              </w:rPr>
            </w:pPr>
          </w:p>
        </w:tc>
      </w:tr>
      <w:tr w:rsidR="007F0AE0" w:rsidRPr="00494051" w14:paraId="59983908" w14:textId="77777777" w:rsidTr="00453DE3">
        <w:trPr>
          <w:trHeight w:val="1425"/>
        </w:trPr>
        <w:tc>
          <w:tcPr>
            <w:tcW w:w="1075" w:type="dxa"/>
            <w:noWrap/>
            <w:tcMar>
              <w:top w:w="62" w:type="dxa"/>
              <w:left w:w="62" w:type="dxa"/>
              <w:bottom w:w="62" w:type="dxa"/>
              <w:right w:w="62" w:type="dxa"/>
            </w:tcMar>
            <w:hideMark/>
          </w:tcPr>
          <w:p w14:paraId="68CC063A" w14:textId="77777777" w:rsidR="007F0AE0" w:rsidRPr="00494051" w:rsidRDefault="007F0AE0" w:rsidP="00453DE3">
            <w:pPr>
              <w:jc w:val="center"/>
              <w:rPr>
                <w:rFonts w:cstheme="minorHAnsi"/>
                <w:b/>
                <w:bCs/>
                <w:sz w:val="18"/>
                <w:szCs w:val="18"/>
              </w:rPr>
            </w:pPr>
            <w:r w:rsidRPr="00494051">
              <w:rPr>
                <w:rFonts w:cstheme="minorHAnsi"/>
                <w:b/>
                <w:bCs/>
                <w:sz w:val="18"/>
                <w:szCs w:val="18"/>
              </w:rPr>
              <w:t>Q8</w:t>
            </w:r>
          </w:p>
        </w:tc>
        <w:tc>
          <w:tcPr>
            <w:tcW w:w="2250" w:type="dxa"/>
            <w:tcMar>
              <w:top w:w="62" w:type="dxa"/>
              <w:left w:w="62" w:type="dxa"/>
              <w:bottom w:w="62" w:type="dxa"/>
              <w:right w:w="62" w:type="dxa"/>
            </w:tcMar>
            <w:hideMark/>
          </w:tcPr>
          <w:p w14:paraId="7617D095" w14:textId="77777777" w:rsidR="007F0AE0" w:rsidRPr="00494051" w:rsidRDefault="007F0AE0" w:rsidP="00453DE3">
            <w:pPr>
              <w:rPr>
                <w:rFonts w:cstheme="minorHAnsi"/>
                <w:b/>
                <w:bCs/>
                <w:sz w:val="18"/>
                <w:szCs w:val="18"/>
              </w:rPr>
            </w:pPr>
            <w:r w:rsidRPr="00494051">
              <w:rPr>
                <w:rFonts w:cstheme="minorHAnsi"/>
                <w:b/>
                <w:bCs/>
                <w:sz w:val="18"/>
                <w:szCs w:val="18"/>
              </w:rPr>
              <w:t>Have all important adverse events that may be a consequence of the intervention (i.e. exposure) been reported?</w:t>
            </w:r>
          </w:p>
        </w:tc>
        <w:tc>
          <w:tcPr>
            <w:tcW w:w="630" w:type="dxa"/>
            <w:noWrap/>
            <w:tcMar>
              <w:top w:w="62" w:type="dxa"/>
              <w:left w:w="62" w:type="dxa"/>
              <w:bottom w:w="62" w:type="dxa"/>
              <w:right w:w="62" w:type="dxa"/>
            </w:tcMar>
            <w:hideMark/>
          </w:tcPr>
          <w:p w14:paraId="0AA9EB74"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33BA766A"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135D9FF8"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09CEB04F"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594E778D" w14:textId="77777777" w:rsidR="007F0AE0" w:rsidRPr="00494051" w:rsidRDefault="007F0AE0" w:rsidP="00453DE3">
            <w:pPr>
              <w:rPr>
                <w:rFonts w:cstheme="minorHAnsi"/>
                <w:sz w:val="18"/>
                <w:szCs w:val="18"/>
              </w:rPr>
            </w:pPr>
            <w:r w:rsidRPr="00494051">
              <w:rPr>
                <w:rFonts w:cstheme="minorHAnsi"/>
                <w:sz w:val="18"/>
                <w:szCs w:val="18"/>
              </w:rPr>
              <w:t xml:space="preserve">This should be answered yes if the study demonstrates that there was a comprehensive attempt to measure adverse events. (A list of possible adverse events is provided). </w:t>
            </w:r>
          </w:p>
        </w:tc>
        <w:tc>
          <w:tcPr>
            <w:tcW w:w="2515" w:type="dxa"/>
            <w:tcMar>
              <w:top w:w="62" w:type="dxa"/>
              <w:left w:w="62" w:type="dxa"/>
              <w:bottom w:w="62" w:type="dxa"/>
              <w:right w:w="62" w:type="dxa"/>
            </w:tcMar>
            <w:hideMark/>
          </w:tcPr>
          <w:p w14:paraId="324D468C" w14:textId="77777777" w:rsidR="007F0AE0" w:rsidRPr="00494051" w:rsidRDefault="007F0AE0" w:rsidP="00453DE3">
            <w:pPr>
              <w:rPr>
                <w:rFonts w:cstheme="minorHAnsi"/>
                <w:sz w:val="18"/>
                <w:szCs w:val="18"/>
              </w:rPr>
            </w:pPr>
            <w:r w:rsidRPr="00494051">
              <w:rPr>
                <w:rFonts w:cstheme="minorHAnsi"/>
                <w:sz w:val="18"/>
                <w:szCs w:val="18"/>
              </w:rPr>
              <w:t>Doesn't apply to behavioral research in observational setting</w:t>
            </w:r>
            <w:r>
              <w:rPr>
                <w:rFonts w:cstheme="minorHAnsi"/>
                <w:sz w:val="18"/>
                <w:szCs w:val="18"/>
              </w:rPr>
              <w:t xml:space="preserve"> </w:t>
            </w:r>
            <w:r w:rsidRPr="00494051">
              <w:rPr>
                <w:rFonts w:cstheme="minorHAnsi"/>
                <w:sz w:val="18"/>
                <w:szCs w:val="18"/>
              </w:rPr>
              <w:t>- select no.</w:t>
            </w:r>
          </w:p>
        </w:tc>
      </w:tr>
      <w:tr w:rsidR="007F0AE0" w:rsidRPr="00494051" w14:paraId="024024C1" w14:textId="77777777" w:rsidTr="00453DE3">
        <w:trPr>
          <w:trHeight w:val="1200"/>
        </w:trPr>
        <w:tc>
          <w:tcPr>
            <w:tcW w:w="1075" w:type="dxa"/>
            <w:noWrap/>
            <w:tcMar>
              <w:top w:w="62" w:type="dxa"/>
              <w:left w:w="62" w:type="dxa"/>
              <w:bottom w:w="62" w:type="dxa"/>
              <w:right w:w="62" w:type="dxa"/>
            </w:tcMar>
            <w:hideMark/>
          </w:tcPr>
          <w:p w14:paraId="3FD0CF62" w14:textId="77777777" w:rsidR="007F0AE0" w:rsidRPr="00494051" w:rsidRDefault="007F0AE0" w:rsidP="00453DE3">
            <w:pPr>
              <w:jc w:val="center"/>
              <w:rPr>
                <w:rFonts w:cstheme="minorHAnsi"/>
                <w:b/>
                <w:bCs/>
                <w:sz w:val="18"/>
                <w:szCs w:val="18"/>
              </w:rPr>
            </w:pPr>
            <w:r w:rsidRPr="00494051">
              <w:rPr>
                <w:rFonts w:cstheme="minorHAnsi"/>
                <w:b/>
                <w:bCs/>
                <w:sz w:val="18"/>
                <w:szCs w:val="18"/>
              </w:rPr>
              <w:t>Q9</w:t>
            </w:r>
          </w:p>
        </w:tc>
        <w:tc>
          <w:tcPr>
            <w:tcW w:w="2250" w:type="dxa"/>
            <w:tcMar>
              <w:top w:w="62" w:type="dxa"/>
              <w:left w:w="62" w:type="dxa"/>
              <w:bottom w:w="62" w:type="dxa"/>
              <w:right w:w="62" w:type="dxa"/>
            </w:tcMar>
            <w:hideMark/>
          </w:tcPr>
          <w:p w14:paraId="48B0B685" w14:textId="77777777" w:rsidR="007F0AE0" w:rsidRPr="00494051" w:rsidRDefault="007F0AE0" w:rsidP="00453DE3">
            <w:pPr>
              <w:rPr>
                <w:rFonts w:cstheme="minorHAnsi"/>
                <w:b/>
                <w:bCs/>
                <w:sz w:val="18"/>
                <w:szCs w:val="18"/>
              </w:rPr>
            </w:pPr>
            <w:r w:rsidRPr="00494051">
              <w:rPr>
                <w:rFonts w:cstheme="minorHAnsi"/>
                <w:b/>
                <w:bCs/>
                <w:sz w:val="18"/>
                <w:szCs w:val="18"/>
              </w:rPr>
              <w:t>Have the characteristics of patients lost to follow-up been described?</w:t>
            </w:r>
          </w:p>
        </w:tc>
        <w:tc>
          <w:tcPr>
            <w:tcW w:w="630" w:type="dxa"/>
            <w:noWrap/>
            <w:tcMar>
              <w:top w:w="62" w:type="dxa"/>
              <w:left w:w="62" w:type="dxa"/>
              <w:bottom w:w="62" w:type="dxa"/>
              <w:right w:w="62" w:type="dxa"/>
            </w:tcMar>
            <w:hideMark/>
          </w:tcPr>
          <w:p w14:paraId="3E56F6F1"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294C413C"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6D6F71C9"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676D27CD" w14:textId="77777777" w:rsidR="007F0AE0" w:rsidRPr="00494051" w:rsidRDefault="007F0AE0" w:rsidP="00453DE3">
            <w:pPr>
              <w:jc w:val="center"/>
              <w:rPr>
                <w:rFonts w:cstheme="minorHAnsi"/>
                <w:sz w:val="18"/>
                <w:szCs w:val="18"/>
              </w:rPr>
            </w:pPr>
          </w:p>
        </w:tc>
        <w:tc>
          <w:tcPr>
            <w:tcW w:w="3777" w:type="dxa"/>
            <w:tcMar>
              <w:top w:w="62" w:type="dxa"/>
              <w:left w:w="62" w:type="dxa"/>
              <w:bottom w:w="62" w:type="dxa"/>
              <w:right w:w="62" w:type="dxa"/>
            </w:tcMar>
            <w:hideMark/>
          </w:tcPr>
          <w:p w14:paraId="619CC002" w14:textId="77777777" w:rsidR="007F0AE0" w:rsidRPr="00494051" w:rsidRDefault="007F0AE0" w:rsidP="00453DE3">
            <w:pPr>
              <w:rPr>
                <w:rFonts w:cstheme="minorHAnsi"/>
                <w:sz w:val="18"/>
                <w:szCs w:val="18"/>
              </w:rPr>
            </w:pPr>
            <w:r w:rsidRPr="00494051">
              <w:rPr>
                <w:rFonts w:cstheme="minorHAnsi"/>
                <w:sz w:val="18"/>
                <w:szCs w:val="18"/>
              </w:rPr>
              <w:t>This should be answered yes where there were no losses to follow-up or where losses to follow-up were so small that findings would be unaffected by their inclusion. This should be answered nowhere a study does not report the number of patients lost to follow-up.</w:t>
            </w:r>
          </w:p>
        </w:tc>
        <w:tc>
          <w:tcPr>
            <w:tcW w:w="2515" w:type="dxa"/>
            <w:noWrap/>
            <w:tcMar>
              <w:top w:w="62" w:type="dxa"/>
              <w:left w:w="62" w:type="dxa"/>
              <w:bottom w:w="62" w:type="dxa"/>
              <w:right w:w="62" w:type="dxa"/>
            </w:tcMar>
            <w:hideMark/>
          </w:tcPr>
          <w:p w14:paraId="557EF314" w14:textId="77777777" w:rsidR="007F0AE0" w:rsidRPr="00494051" w:rsidRDefault="007F0AE0" w:rsidP="00453DE3">
            <w:pPr>
              <w:rPr>
                <w:rFonts w:cstheme="minorHAnsi"/>
                <w:sz w:val="18"/>
                <w:szCs w:val="18"/>
              </w:rPr>
            </w:pPr>
          </w:p>
        </w:tc>
      </w:tr>
      <w:tr w:rsidR="007F0AE0" w:rsidRPr="00494051" w14:paraId="0982D7F2" w14:textId="77777777" w:rsidTr="00453DE3">
        <w:trPr>
          <w:trHeight w:val="1452"/>
        </w:trPr>
        <w:tc>
          <w:tcPr>
            <w:tcW w:w="1075" w:type="dxa"/>
            <w:noWrap/>
            <w:tcMar>
              <w:top w:w="62" w:type="dxa"/>
              <w:left w:w="62" w:type="dxa"/>
              <w:bottom w:w="62" w:type="dxa"/>
              <w:right w:w="62" w:type="dxa"/>
            </w:tcMar>
            <w:hideMark/>
          </w:tcPr>
          <w:p w14:paraId="71CEB576" w14:textId="77777777" w:rsidR="007F0AE0" w:rsidRPr="00494051" w:rsidRDefault="007F0AE0" w:rsidP="00453DE3">
            <w:pPr>
              <w:jc w:val="center"/>
              <w:rPr>
                <w:rFonts w:cstheme="minorHAnsi"/>
                <w:b/>
                <w:bCs/>
                <w:sz w:val="18"/>
                <w:szCs w:val="18"/>
              </w:rPr>
            </w:pPr>
            <w:r w:rsidRPr="00494051">
              <w:rPr>
                <w:rFonts w:cstheme="minorHAnsi"/>
                <w:b/>
                <w:bCs/>
                <w:sz w:val="18"/>
                <w:szCs w:val="18"/>
              </w:rPr>
              <w:t>Q10</w:t>
            </w:r>
          </w:p>
        </w:tc>
        <w:tc>
          <w:tcPr>
            <w:tcW w:w="2250" w:type="dxa"/>
            <w:tcMar>
              <w:top w:w="62" w:type="dxa"/>
              <w:left w:w="62" w:type="dxa"/>
              <w:bottom w:w="62" w:type="dxa"/>
              <w:right w:w="62" w:type="dxa"/>
            </w:tcMar>
            <w:hideMark/>
          </w:tcPr>
          <w:p w14:paraId="2214564C" w14:textId="77777777" w:rsidR="007F0AE0" w:rsidRPr="00494051" w:rsidRDefault="007F0AE0" w:rsidP="00453DE3">
            <w:pPr>
              <w:rPr>
                <w:rFonts w:cstheme="minorHAnsi"/>
                <w:b/>
                <w:bCs/>
                <w:sz w:val="18"/>
                <w:szCs w:val="18"/>
              </w:rPr>
            </w:pPr>
            <w:r w:rsidRPr="00494051">
              <w:rPr>
                <w:rFonts w:cstheme="minorHAnsi"/>
                <w:b/>
                <w:bCs/>
                <w:sz w:val="18"/>
                <w:szCs w:val="18"/>
              </w:rPr>
              <w:t>Have actual probability values been reported (e.g. 0.035 rather than &lt;0.05) for the main outcomes except where the probability value is less than 0.001?</w:t>
            </w:r>
          </w:p>
        </w:tc>
        <w:tc>
          <w:tcPr>
            <w:tcW w:w="630" w:type="dxa"/>
            <w:noWrap/>
            <w:tcMar>
              <w:top w:w="62" w:type="dxa"/>
              <w:left w:w="62" w:type="dxa"/>
              <w:bottom w:w="62" w:type="dxa"/>
              <w:right w:w="62" w:type="dxa"/>
            </w:tcMar>
            <w:hideMark/>
          </w:tcPr>
          <w:p w14:paraId="013F77B5"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7AE002EA"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7EDCB2A2"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73BDDE52" w14:textId="77777777" w:rsidR="007F0AE0" w:rsidRPr="00494051" w:rsidRDefault="007F0AE0" w:rsidP="00453DE3">
            <w:pPr>
              <w:jc w:val="center"/>
              <w:rPr>
                <w:rFonts w:cstheme="minorHAnsi"/>
                <w:sz w:val="18"/>
                <w:szCs w:val="18"/>
              </w:rPr>
            </w:pPr>
          </w:p>
        </w:tc>
        <w:tc>
          <w:tcPr>
            <w:tcW w:w="3777" w:type="dxa"/>
            <w:noWrap/>
            <w:tcMar>
              <w:top w:w="62" w:type="dxa"/>
              <w:left w:w="62" w:type="dxa"/>
              <w:bottom w:w="62" w:type="dxa"/>
              <w:right w:w="62" w:type="dxa"/>
            </w:tcMar>
            <w:hideMark/>
          </w:tcPr>
          <w:p w14:paraId="5606D82A" w14:textId="77777777" w:rsidR="007F0AE0" w:rsidRPr="00494051" w:rsidRDefault="007F0AE0" w:rsidP="00453DE3">
            <w:pPr>
              <w:rPr>
                <w:rFonts w:cstheme="minorHAnsi"/>
                <w:sz w:val="18"/>
                <w:szCs w:val="18"/>
              </w:rPr>
            </w:pPr>
            <w:r w:rsidRPr="00494051">
              <w:rPr>
                <w:rFonts w:cstheme="minorHAnsi"/>
                <w:sz w:val="18"/>
                <w:szCs w:val="18"/>
              </w:rPr>
              <w:t>Confidence limits are similarly acceptable in lieu of actual p values.</w:t>
            </w:r>
          </w:p>
        </w:tc>
        <w:tc>
          <w:tcPr>
            <w:tcW w:w="2515" w:type="dxa"/>
            <w:noWrap/>
            <w:tcMar>
              <w:top w:w="62" w:type="dxa"/>
              <w:left w:w="62" w:type="dxa"/>
              <w:bottom w:w="62" w:type="dxa"/>
              <w:right w:w="62" w:type="dxa"/>
            </w:tcMar>
            <w:hideMark/>
          </w:tcPr>
          <w:p w14:paraId="5F9F9E25" w14:textId="77777777" w:rsidR="007F0AE0" w:rsidRPr="00494051" w:rsidRDefault="007F0AE0" w:rsidP="00453DE3">
            <w:pPr>
              <w:rPr>
                <w:rFonts w:cstheme="minorHAnsi"/>
                <w:sz w:val="18"/>
                <w:szCs w:val="18"/>
              </w:rPr>
            </w:pPr>
            <w:r w:rsidRPr="00494051">
              <w:rPr>
                <w:rFonts w:cstheme="minorHAnsi"/>
                <w:sz w:val="18"/>
                <w:szCs w:val="18"/>
              </w:rPr>
              <w:t>Confidence limits are acceptable</w:t>
            </w:r>
          </w:p>
        </w:tc>
      </w:tr>
      <w:tr w:rsidR="007F0AE0" w:rsidRPr="00494051" w14:paraId="5809D37C" w14:textId="77777777" w:rsidTr="00453DE3">
        <w:trPr>
          <w:trHeight w:val="2772"/>
        </w:trPr>
        <w:tc>
          <w:tcPr>
            <w:tcW w:w="1075" w:type="dxa"/>
            <w:noWrap/>
            <w:tcMar>
              <w:top w:w="62" w:type="dxa"/>
              <w:left w:w="62" w:type="dxa"/>
              <w:bottom w:w="62" w:type="dxa"/>
              <w:right w:w="62" w:type="dxa"/>
            </w:tcMar>
            <w:hideMark/>
          </w:tcPr>
          <w:p w14:paraId="7BA324F8" w14:textId="77777777" w:rsidR="007F0AE0" w:rsidRPr="00494051" w:rsidRDefault="007F0AE0" w:rsidP="00453DE3">
            <w:pPr>
              <w:jc w:val="center"/>
              <w:rPr>
                <w:rFonts w:cstheme="minorHAnsi"/>
                <w:b/>
                <w:bCs/>
                <w:sz w:val="18"/>
                <w:szCs w:val="18"/>
              </w:rPr>
            </w:pPr>
            <w:r w:rsidRPr="00494051">
              <w:rPr>
                <w:rFonts w:cstheme="minorHAnsi"/>
                <w:b/>
                <w:bCs/>
                <w:sz w:val="18"/>
                <w:szCs w:val="18"/>
              </w:rPr>
              <w:lastRenderedPageBreak/>
              <w:t>Q11</w:t>
            </w:r>
          </w:p>
        </w:tc>
        <w:tc>
          <w:tcPr>
            <w:tcW w:w="2250" w:type="dxa"/>
            <w:tcMar>
              <w:top w:w="62" w:type="dxa"/>
              <w:left w:w="62" w:type="dxa"/>
              <w:bottom w:w="62" w:type="dxa"/>
              <w:right w:w="62" w:type="dxa"/>
            </w:tcMar>
            <w:hideMark/>
          </w:tcPr>
          <w:p w14:paraId="3CCE37ED" w14:textId="77777777" w:rsidR="007F0AE0" w:rsidRPr="00494051" w:rsidRDefault="007F0AE0" w:rsidP="00453DE3">
            <w:pPr>
              <w:rPr>
                <w:rFonts w:cstheme="minorHAnsi"/>
                <w:b/>
                <w:bCs/>
                <w:sz w:val="18"/>
                <w:szCs w:val="18"/>
              </w:rPr>
            </w:pPr>
            <w:r w:rsidRPr="00494051">
              <w:rPr>
                <w:rFonts w:cstheme="minorHAnsi"/>
                <w:b/>
                <w:bCs/>
                <w:sz w:val="18"/>
                <w:szCs w:val="18"/>
              </w:rPr>
              <w:t>Were the subjects asked to participate in the study representative of the entire population from which they were recruited?</w:t>
            </w:r>
          </w:p>
        </w:tc>
        <w:tc>
          <w:tcPr>
            <w:tcW w:w="630" w:type="dxa"/>
            <w:noWrap/>
            <w:tcMar>
              <w:top w:w="62" w:type="dxa"/>
              <w:left w:w="62" w:type="dxa"/>
              <w:bottom w:w="62" w:type="dxa"/>
              <w:right w:w="62" w:type="dxa"/>
            </w:tcMar>
            <w:hideMark/>
          </w:tcPr>
          <w:p w14:paraId="4E44666C"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311A2995"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53BA05A1"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2276DCCA"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4500E90E" w14:textId="77777777" w:rsidR="007F0AE0" w:rsidRPr="00494051" w:rsidRDefault="007F0AE0" w:rsidP="00453DE3">
            <w:pPr>
              <w:rPr>
                <w:rFonts w:cstheme="minorHAnsi"/>
                <w:sz w:val="18"/>
                <w:szCs w:val="18"/>
              </w:rPr>
            </w:pPr>
            <w:r w:rsidRPr="00494051">
              <w:rPr>
                <w:rFonts w:cstheme="minorHAnsi"/>
                <w:sz w:val="18"/>
                <w:szCs w:val="18"/>
              </w:rPr>
              <w:t>The study must identify the source population for patients and describe how the patients were selected. Patients would be representative if they comprised the entire source population, an unselected sample of consecutive patients, or a random sample. Random sampling is only feasible where a list of all members of the relevant population exists. Where a study does not report the proportion of the source population from which the patients are derived, the question should be answered as unable to determine. Oversampling of certain populations makes the patients not representative.</w:t>
            </w:r>
          </w:p>
        </w:tc>
        <w:tc>
          <w:tcPr>
            <w:tcW w:w="2515" w:type="dxa"/>
            <w:noWrap/>
            <w:tcMar>
              <w:top w:w="62" w:type="dxa"/>
              <w:left w:w="62" w:type="dxa"/>
              <w:bottom w:w="62" w:type="dxa"/>
              <w:right w:w="62" w:type="dxa"/>
            </w:tcMar>
            <w:hideMark/>
          </w:tcPr>
          <w:p w14:paraId="4EF9965A" w14:textId="77777777" w:rsidR="007F0AE0" w:rsidRPr="00494051" w:rsidRDefault="007F0AE0" w:rsidP="00453DE3">
            <w:pPr>
              <w:rPr>
                <w:rFonts w:cstheme="minorHAnsi"/>
                <w:sz w:val="18"/>
                <w:szCs w:val="18"/>
              </w:rPr>
            </w:pPr>
          </w:p>
        </w:tc>
      </w:tr>
      <w:tr w:rsidR="007F0AE0" w:rsidRPr="00494051" w14:paraId="2586CABB" w14:textId="77777777" w:rsidTr="00453DE3">
        <w:trPr>
          <w:trHeight w:val="2160"/>
        </w:trPr>
        <w:tc>
          <w:tcPr>
            <w:tcW w:w="1075" w:type="dxa"/>
            <w:noWrap/>
            <w:tcMar>
              <w:top w:w="62" w:type="dxa"/>
              <w:left w:w="62" w:type="dxa"/>
              <w:bottom w:w="62" w:type="dxa"/>
              <w:right w:w="62" w:type="dxa"/>
            </w:tcMar>
            <w:hideMark/>
          </w:tcPr>
          <w:p w14:paraId="0C031F41" w14:textId="77777777" w:rsidR="007F0AE0" w:rsidRPr="00494051" w:rsidRDefault="007F0AE0" w:rsidP="00453DE3">
            <w:pPr>
              <w:jc w:val="center"/>
              <w:rPr>
                <w:rFonts w:cstheme="minorHAnsi"/>
                <w:b/>
                <w:bCs/>
                <w:sz w:val="18"/>
                <w:szCs w:val="18"/>
              </w:rPr>
            </w:pPr>
            <w:r w:rsidRPr="00494051">
              <w:rPr>
                <w:rFonts w:cstheme="minorHAnsi"/>
                <w:b/>
                <w:bCs/>
                <w:sz w:val="18"/>
                <w:szCs w:val="18"/>
              </w:rPr>
              <w:t>Q12</w:t>
            </w:r>
          </w:p>
        </w:tc>
        <w:tc>
          <w:tcPr>
            <w:tcW w:w="2250" w:type="dxa"/>
            <w:tcMar>
              <w:top w:w="62" w:type="dxa"/>
              <w:left w:w="62" w:type="dxa"/>
              <w:bottom w:w="62" w:type="dxa"/>
              <w:right w:w="62" w:type="dxa"/>
            </w:tcMar>
            <w:hideMark/>
          </w:tcPr>
          <w:p w14:paraId="6ED2C6F8" w14:textId="77777777" w:rsidR="007F0AE0" w:rsidRPr="00494051" w:rsidRDefault="007F0AE0" w:rsidP="00453DE3">
            <w:pPr>
              <w:rPr>
                <w:rFonts w:cstheme="minorHAnsi"/>
                <w:b/>
                <w:bCs/>
                <w:sz w:val="18"/>
                <w:szCs w:val="18"/>
              </w:rPr>
            </w:pPr>
            <w:r w:rsidRPr="00494051">
              <w:rPr>
                <w:rFonts w:cstheme="minorHAnsi"/>
                <w:b/>
                <w:bCs/>
                <w:sz w:val="18"/>
                <w:szCs w:val="18"/>
              </w:rPr>
              <w:t>Were those subjects who were prepared to participate representative of the entire population from which they were recruited?</w:t>
            </w:r>
          </w:p>
        </w:tc>
        <w:tc>
          <w:tcPr>
            <w:tcW w:w="630" w:type="dxa"/>
            <w:noWrap/>
            <w:tcMar>
              <w:top w:w="62" w:type="dxa"/>
              <w:left w:w="62" w:type="dxa"/>
              <w:bottom w:w="62" w:type="dxa"/>
              <w:right w:w="62" w:type="dxa"/>
            </w:tcMar>
            <w:hideMark/>
          </w:tcPr>
          <w:p w14:paraId="27280770"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45B22A88"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5F166AE3"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7A0F6B3D"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3C920F20" w14:textId="77777777" w:rsidR="007F0AE0" w:rsidRPr="00494051" w:rsidRDefault="007F0AE0" w:rsidP="00453DE3">
            <w:pPr>
              <w:rPr>
                <w:rFonts w:cstheme="minorHAnsi"/>
                <w:sz w:val="18"/>
                <w:szCs w:val="18"/>
              </w:rPr>
            </w:pPr>
            <w:r w:rsidRPr="00494051">
              <w:rPr>
                <w:rFonts w:cstheme="minorHAnsi"/>
                <w:sz w:val="18"/>
                <w:szCs w:val="18"/>
              </w:rPr>
              <w:t>The proportion of those asked who agreed should be stated. Validation that the sample was representative would include demonstrating that the distribution of the main confounding factors was the same in the study sample and the source population. Unless the authors stated the sample was representative of the entire population from which they were recruited or provided high percentages of enrollment and Q12 was a yes, mark unclear or no, as appropriate.</w:t>
            </w:r>
          </w:p>
        </w:tc>
        <w:tc>
          <w:tcPr>
            <w:tcW w:w="2515" w:type="dxa"/>
            <w:noWrap/>
            <w:tcMar>
              <w:top w:w="62" w:type="dxa"/>
              <w:left w:w="62" w:type="dxa"/>
              <w:bottom w:w="62" w:type="dxa"/>
              <w:right w:w="62" w:type="dxa"/>
            </w:tcMar>
            <w:hideMark/>
          </w:tcPr>
          <w:p w14:paraId="4A5B2427" w14:textId="77777777" w:rsidR="007F0AE0" w:rsidRPr="00494051" w:rsidRDefault="007F0AE0" w:rsidP="00453DE3">
            <w:pPr>
              <w:rPr>
                <w:rFonts w:cstheme="minorHAnsi"/>
                <w:sz w:val="18"/>
                <w:szCs w:val="18"/>
              </w:rPr>
            </w:pPr>
          </w:p>
        </w:tc>
      </w:tr>
      <w:tr w:rsidR="007F0AE0" w:rsidRPr="00494051" w14:paraId="38FA0820" w14:textId="77777777" w:rsidTr="00453DE3">
        <w:trPr>
          <w:trHeight w:val="1692"/>
        </w:trPr>
        <w:tc>
          <w:tcPr>
            <w:tcW w:w="1075" w:type="dxa"/>
            <w:noWrap/>
            <w:tcMar>
              <w:top w:w="62" w:type="dxa"/>
              <w:left w:w="62" w:type="dxa"/>
              <w:bottom w:w="62" w:type="dxa"/>
              <w:right w:w="62" w:type="dxa"/>
            </w:tcMar>
            <w:hideMark/>
          </w:tcPr>
          <w:p w14:paraId="3F1C2440" w14:textId="77777777" w:rsidR="007F0AE0" w:rsidRPr="00494051" w:rsidRDefault="007F0AE0" w:rsidP="00453DE3">
            <w:pPr>
              <w:jc w:val="center"/>
              <w:rPr>
                <w:rFonts w:cstheme="minorHAnsi"/>
                <w:b/>
                <w:bCs/>
                <w:sz w:val="18"/>
                <w:szCs w:val="18"/>
              </w:rPr>
            </w:pPr>
            <w:r w:rsidRPr="00494051">
              <w:rPr>
                <w:rFonts w:cstheme="minorHAnsi"/>
                <w:b/>
                <w:bCs/>
                <w:sz w:val="18"/>
                <w:szCs w:val="18"/>
              </w:rPr>
              <w:t>Q13</w:t>
            </w:r>
          </w:p>
        </w:tc>
        <w:tc>
          <w:tcPr>
            <w:tcW w:w="2250" w:type="dxa"/>
            <w:tcMar>
              <w:top w:w="62" w:type="dxa"/>
              <w:left w:w="62" w:type="dxa"/>
              <w:bottom w:w="62" w:type="dxa"/>
              <w:right w:w="62" w:type="dxa"/>
            </w:tcMar>
            <w:hideMark/>
          </w:tcPr>
          <w:p w14:paraId="35A78D8F" w14:textId="77777777" w:rsidR="007F0AE0" w:rsidRPr="00494051" w:rsidRDefault="007F0AE0" w:rsidP="00453DE3">
            <w:pPr>
              <w:rPr>
                <w:rFonts w:cstheme="minorHAnsi"/>
                <w:b/>
                <w:bCs/>
                <w:sz w:val="18"/>
                <w:szCs w:val="18"/>
              </w:rPr>
            </w:pPr>
            <w:r w:rsidRPr="00494051">
              <w:rPr>
                <w:rFonts w:cstheme="minorHAnsi"/>
                <w:b/>
                <w:bCs/>
                <w:sz w:val="18"/>
                <w:szCs w:val="18"/>
              </w:rPr>
              <w:t>Were the staff, places, and facilities where the patients were treated, representative of the treatment the majority of patients receive?</w:t>
            </w:r>
          </w:p>
        </w:tc>
        <w:tc>
          <w:tcPr>
            <w:tcW w:w="630" w:type="dxa"/>
            <w:noWrap/>
            <w:tcMar>
              <w:top w:w="62" w:type="dxa"/>
              <w:left w:w="62" w:type="dxa"/>
              <w:bottom w:w="62" w:type="dxa"/>
              <w:right w:w="62" w:type="dxa"/>
            </w:tcMar>
            <w:hideMark/>
          </w:tcPr>
          <w:p w14:paraId="77EE6669"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FDBC495"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7D11341C"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80907EA"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2D816BA8" w14:textId="77777777" w:rsidR="007F0AE0" w:rsidRPr="00494051" w:rsidRDefault="007F0AE0" w:rsidP="00453DE3">
            <w:pPr>
              <w:rPr>
                <w:rFonts w:cstheme="minorHAnsi"/>
                <w:sz w:val="18"/>
                <w:szCs w:val="18"/>
              </w:rPr>
            </w:pPr>
            <w:r w:rsidRPr="00494051">
              <w:rPr>
                <w:rFonts w:cstheme="minorHAnsi"/>
                <w:sz w:val="18"/>
                <w:szCs w:val="18"/>
              </w:rPr>
              <w:t xml:space="preserve">For the question to be answered yes the study should demonstrate that the intervention was representative of that in use in the source population. The question should be answered no if, for example, the intervention was undertaken in a specialist center unrepresentative of the hospitals most of the source population would attend. </w:t>
            </w:r>
          </w:p>
        </w:tc>
        <w:tc>
          <w:tcPr>
            <w:tcW w:w="2515" w:type="dxa"/>
            <w:tcMar>
              <w:top w:w="62" w:type="dxa"/>
              <w:left w:w="62" w:type="dxa"/>
              <w:bottom w:w="62" w:type="dxa"/>
              <w:right w:w="62" w:type="dxa"/>
            </w:tcMar>
            <w:hideMark/>
          </w:tcPr>
          <w:p w14:paraId="590BE917" w14:textId="77777777" w:rsidR="007F0AE0" w:rsidRPr="00494051" w:rsidRDefault="007F0AE0" w:rsidP="00453DE3">
            <w:pPr>
              <w:rPr>
                <w:rFonts w:cstheme="minorHAnsi"/>
                <w:sz w:val="18"/>
                <w:szCs w:val="18"/>
              </w:rPr>
            </w:pPr>
            <w:r w:rsidRPr="00494051">
              <w:rPr>
                <w:rFonts w:cstheme="minorHAnsi"/>
                <w:sz w:val="18"/>
                <w:szCs w:val="18"/>
              </w:rPr>
              <w:t xml:space="preserve">If this was a telephone, computer, or paper self-report completed at home, mark no. </w:t>
            </w:r>
          </w:p>
        </w:tc>
      </w:tr>
      <w:tr w:rsidR="007F0AE0" w:rsidRPr="00494051" w14:paraId="23D3F3B9" w14:textId="77777777" w:rsidTr="00453DE3">
        <w:trPr>
          <w:trHeight w:val="620"/>
        </w:trPr>
        <w:tc>
          <w:tcPr>
            <w:tcW w:w="1075" w:type="dxa"/>
            <w:noWrap/>
            <w:tcMar>
              <w:top w:w="62" w:type="dxa"/>
              <w:left w:w="62" w:type="dxa"/>
              <w:bottom w:w="62" w:type="dxa"/>
              <w:right w:w="62" w:type="dxa"/>
            </w:tcMar>
            <w:hideMark/>
          </w:tcPr>
          <w:p w14:paraId="6B167543" w14:textId="77777777" w:rsidR="007F0AE0" w:rsidRPr="00494051" w:rsidRDefault="007F0AE0" w:rsidP="00453DE3">
            <w:pPr>
              <w:jc w:val="center"/>
              <w:rPr>
                <w:rFonts w:cstheme="minorHAnsi"/>
                <w:b/>
                <w:bCs/>
                <w:sz w:val="18"/>
                <w:szCs w:val="18"/>
              </w:rPr>
            </w:pPr>
            <w:r w:rsidRPr="00494051">
              <w:rPr>
                <w:rFonts w:cstheme="minorHAnsi"/>
                <w:b/>
                <w:bCs/>
                <w:sz w:val="18"/>
                <w:szCs w:val="18"/>
              </w:rPr>
              <w:lastRenderedPageBreak/>
              <w:t>Q14</w:t>
            </w:r>
          </w:p>
        </w:tc>
        <w:tc>
          <w:tcPr>
            <w:tcW w:w="2250" w:type="dxa"/>
            <w:tcMar>
              <w:top w:w="62" w:type="dxa"/>
              <w:left w:w="62" w:type="dxa"/>
              <w:bottom w:w="62" w:type="dxa"/>
              <w:right w:w="62" w:type="dxa"/>
            </w:tcMar>
            <w:hideMark/>
          </w:tcPr>
          <w:p w14:paraId="579D69AC" w14:textId="77777777" w:rsidR="007F0AE0" w:rsidRPr="00494051" w:rsidRDefault="007F0AE0" w:rsidP="00453DE3">
            <w:pPr>
              <w:rPr>
                <w:rFonts w:cstheme="minorHAnsi"/>
                <w:b/>
                <w:bCs/>
                <w:sz w:val="18"/>
                <w:szCs w:val="18"/>
              </w:rPr>
            </w:pPr>
            <w:r w:rsidRPr="00494051">
              <w:rPr>
                <w:rFonts w:cstheme="minorHAnsi"/>
                <w:b/>
                <w:bCs/>
                <w:sz w:val="18"/>
                <w:szCs w:val="18"/>
              </w:rPr>
              <w:t>Was an attempt made to blind study subjects to the intervention they have received?</w:t>
            </w:r>
          </w:p>
        </w:tc>
        <w:tc>
          <w:tcPr>
            <w:tcW w:w="630" w:type="dxa"/>
            <w:noWrap/>
            <w:tcMar>
              <w:top w:w="62" w:type="dxa"/>
              <w:left w:w="62" w:type="dxa"/>
              <w:bottom w:w="62" w:type="dxa"/>
              <w:right w:w="62" w:type="dxa"/>
            </w:tcMar>
            <w:hideMark/>
          </w:tcPr>
          <w:p w14:paraId="4CEBDFB3"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FF1A54E"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445F5B8E"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9483599"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023CEE5A" w14:textId="77777777" w:rsidR="007F0AE0" w:rsidRPr="00494051" w:rsidRDefault="007F0AE0" w:rsidP="00453DE3">
            <w:pPr>
              <w:rPr>
                <w:rFonts w:cstheme="minorHAnsi"/>
                <w:sz w:val="18"/>
                <w:szCs w:val="18"/>
              </w:rPr>
            </w:pPr>
            <w:r w:rsidRPr="00494051">
              <w:rPr>
                <w:rFonts w:cstheme="minorHAnsi"/>
                <w:sz w:val="18"/>
                <w:szCs w:val="18"/>
              </w:rPr>
              <w:t>For studies where the patients would have no way of knowing which intervention they received, this should be answered yes.</w:t>
            </w:r>
            <w:r>
              <w:rPr>
                <w:rFonts w:cstheme="minorHAnsi"/>
                <w:sz w:val="18"/>
                <w:szCs w:val="18"/>
              </w:rPr>
              <w:t xml:space="preserve"> </w:t>
            </w:r>
          </w:p>
        </w:tc>
        <w:tc>
          <w:tcPr>
            <w:tcW w:w="2515" w:type="dxa"/>
            <w:tcMar>
              <w:top w:w="62" w:type="dxa"/>
              <w:left w:w="62" w:type="dxa"/>
              <w:bottom w:w="62" w:type="dxa"/>
              <w:right w:w="62" w:type="dxa"/>
            </w:tcMar>
            <w:hideMark/>
          </w:tcPr>
          <w:p w14:paraId="769095E9" w14:textId="77777777" w:rsidR="007F0AE0" w:rsidRPr="00494051" w:rsidRDefault="007F0AE0" w:rsidP="00453DE3">
            <w:pPr>
              <w:rPr>
                <w:rFonts w:cstheme="minorHAnsi"/>
                <w:sz w:val="18"/>
                <w:szCs w:val="18"/>
              </w:rPr>
            </w:pPr>
            <w:r w:rsidRPr="00494051">
              <w:rPr>
                <w:rFonts w:cstheme="minorHAnsi"/>
                <w:sz w:val="18"/>
                <w:szCs w:val="18"/>
              </w:rPr>
              <w:t xml:space="preserve">For observational studies, were subjects blinded to the purposes of the research? Secondary analyses of previously collected data should be marked yes since data was collected before the study question was developed. </w:t>
            </w:r>
          </w:p>
        </w:tc>
      </w:tr>
      <w:tr w:rsidR="007F0AE0" w:rsidRPr="00494051" w14:paraId="66B4587B" w14:textId="77777777" w:rsidTr="00453DE3">
        <w:trPr>
          <w:trHeight w:val="960"/>
        </w:trPr>
        <w:tc>
          <w:tcPr>
            <w:tcW w:w="1075" w:type="dxa"/>
            <w:noWrap/>
            <w:tcMar>
              <w:top w:w="62" w:type="dxa"/>
              <w:left w:w="62" w:type="dxa"/>
              <w:bottom w:w="62" w:type="dxa"/>
              <w:right w:w="62" w:type="dxa"/>
            </w:tcMar>
            <w:hideMark/>
          </w:tcPr>
          <w:p w14:paraId="1539D627" w14:textId="77777777" w:rsidR="007F0AE0" w:rsidRPr="00494051" w:rsidRDefault="007F0AE0" w:rsidP="00453DE3">
            <w:pPr>
              <w:jc w:val="center"/>
              <w:rPr>
                <w:rFonts w:cstheme="minorHAnsi"/>
                <w:b/>
                <w:bCs/>
                <w:sz w:val="18"/>
                <w:szCs w:val="18"/>
              </w:rPr>
            </w:pPr>
            <w:r w:rsidRPr="00494051">
              <w:rPr>
                <w:rFonts w:cstheme="minorHAnsi"/>
                <w:b/>
                <w:bCs/>
                <w:sz w:val="18"/>
                <w:szCs w:val="18"/>
              </w:rPr>
              <w:t>Q15</w:t>
            </w:r>
          </w:p>
        </w:tc>
        <w:tc>
          <w:tcPr>
            <w:tcW w:w="2250" w:type="dxa"/>
            <w:tcMar>
              <w:top w:w="62" w:type="dxa"/>
              <w:left w:w="62" w:type="dxa"/>
              <w:bottom w:w="62" w:type="dxa"/>
              <w:right w:w="62" w:type="dxa"/>
            </w:tcMar>
            <w:hideMark/>
          </w:tcPr>
          <w:p w14:paraId="66D956C1" w14:textId="77777777" w:rsidR="007F0AE0" w:rsidRPr="00494051" w:rsidRDefault="007F0AE0" w:rsidP="00453DE3">
            <w:pPr>
              <w:rPr>
                <w:rFonts w:cstheme="minorHAnsi"/>
                <w:b/>
                <w:bCs/>
                <w:sz w:val="18"/>
                <w:szCs w:val="18"/>
              </w:rPr>
            </w:pPr>
            <w:r w:rsidRPr="00494051">
              <w:rPr>
                <w:rFonts w:cstheme="minorHAnsi"/>
                <w:b/>
                <w:bCs/>
                <w:sz w:val="18"/>
                <w:szCs w:val="18"/>
              </w:rPr>
              <w:t>Was an attempt made to blind those measuring the main outcomes of the intervention?</w:t>
            </w:r>
          </w:p>
        </w:tc>
        <w:tc>
          <w:tcPr>
            <w:tcW w:w="630" w:type="dxa"/>
            <w:noWrap/>
            <w:tcMar>
              <w:top w:w="62" w:type="dxa"/>
              <w:left w:w="62" w:type="dxa"/>
              <w:bottom w:w="62" w:type="dxa"/>
              <w:right w:w="62" w:type="dxa"/>
            </w:tcMar>
            <w:hideMark/>
          </w:tcPr>
          <w:p w14:paraId="3AE219FB"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F0B934B"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4A1E674E"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0B6E0AFC"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17A80B63" w14:textId="77777777" w:rsidR="007F0AE0" w:rsidRPr="00494051" w:rsidRDefault="007F0AE0" w:rsidP="00453DE3">
            <w:pPr>
              <w:rPr>
                <w:rFonts w:cstheme="minorHAnsi"/>
                <w:sz w:val="18"/>
                <w:szCs w:val="18"/>
              </w:rPr>
            </w:pPr>
            <w:r w:rsidRPr="00494051">
              <w:rPr>
                <w:rFonts w:cstheme="minorHAnsi"/>
                <w:sz w:val="18"/>
                <w:szCs w:val="18"/>
              </w:rPr>
              <w:t xml:space="preserve">Secondary analyses of previously collected data should be marked yes since data was collected before the study question was developed. </w:t>
            </w:r>
          </w:p>
        </w:tc>
        <w:tc>
          <w:tcPr>
            <w:tcW w:w="2515" w:type="dxa"/>
            <w:noWrap/>
            <w:tcMar>
              <w:top w:w="62" w:type="dxa"/>
              <w:left w:w="62" w:type="dxa"/>
              <w:bottom w:w="62" w:type="dxa"/>
              <w:right w:w="62" w:type="dxa"/>
            </w:tcMar>
            <w:hideMark/>
          </w:tcPr>
          <w:p w14:paraId="24C9A464" w14:textId="77777777" w:rsidR="007F0AE0" w:rsidRPr="00494051" w:rsidRDefault="007F0AE0" w:rsidP="00453DE3">
            <w:pPr>
              <w:rPr>
                <w:rFonts w:cstheme="minorHAnsi"/>
                <w:sz w:val="18"/>
                <w:szCs w:val="18"/>
              </w:rPr>
            </w:pPr>
          </w:p>
        </w:tc>
      </w:tr>
      <w:tr w:rsidR="007F0AE0" w:rsidRPr="00494051" w14:paraId="27B8337A" w14:textId="77777777" w:rsidTr="00453DE3">
        <w:trPr>
          <w:trHeight w:val="1500"/>
        </w:trPr>
        <w:tc>
          <w:tcPr>
            <w:tcW w:w="1075" w:type="dxa"/>
            <w:noWrap/>
            <w:tcMar>
              <w:top w:w="62" w:type="dxa"/>
              <w:left w:w="62" w:type="dxa"/>
              <w:bottom w:w="62" w:type="dxa"/>
              <w:right w:w="62" w:type="dxa"/>
            </w:tcMar>
            <w:hideMark/>
          </w:tcPr>
          <w:p w14:paraId="2FB363D1" w14:textId="77777777" w:rsidR="007F0AE0" w:rsidRPr="00494051" w:rsidRDefault="007F0AE0" w:rsidP="00453DE3">
            <w:pPr>
              <w:jc w:val="center"/>
              <w:rPr>
                <w:rFonts w:cstheme="minorHAnsi"/>
                <w:b/>
                <w:bCs/>
                <w:sz w:val="18"/>
                <w:szCs w:val="18"/>
              </w:rPr>
            </w:pPr>
            <w:r w:rsidRPr="00494051">
              <w:rPr>
                <w:rFonts w:cstheme="minorHAnsi"/>
                <w:b/>
                <w:bCs/>
                <w:sz w:val="18"/>
                <w:szCs w:val="18"/>
              </w:rPr>
              <w:t>Q16</w:t>
            </w:r>
          </w:p>
        </w:tc>
        <w:tc>
          <w:tcPr>
            <w:tcW w:w="2250" w:type="dxa"/>
            <w:tcMar>
              <w:top w:w="62" w:type="dxa"/>
              <w:left w:w="62" w:type="dxa"/>
              <w:bottom w:w="62" w:type="dxa"/>
              <w:right w:w="62" w:type="dxa"/>
            </w:tcMar>
            <w:hideMark/>
          </w:tcPr>
          <w:p w14:paraId="10090971" w14:textId="77777777" w:rsidR="007F0AE0" w:rsidRPr="00494051" w:rsidRDefault="007F0AE0" w:rsidP="00453DE3">
            <w:pPr>
              <w:rPr>
                <w:rFonts w:cstheme="minorHAnsi"/>
                <w:b/>
                <w:bCs/>
                <w:sz w:val="18"/>
                <w:szCs w:val="18"/>
              </w:rPr>
            </w:pPr>
            <w:r w:rsidRPr="00494051">
              <w:rPr>
                <w:rFonts w:cstheme="minorHAnsi"/>
                <w:b/>
                <w:bCs/>
                <w:sz w:val="18"/>
                <w:szCs w:val="18"/>
              </w:rPr>
              <w:t>If any of the results of the study were based on "data dredging", was this made clear?</w:t>
            </w:r>
          </w:p>
        </w:tc>
        <w:tc>
          <w:tcPr>
            <w:tcW w:w="630" w:type="dxa"/>
            <w:noWrap/>
            <w:tcMar>
              <w:top w:w="62" w:type="dxa"/>
              <w:left w:w="62" w:type="dxa"/>
              <w:bottom w:w="62" w:type="dxa"/>
              <w:right w:w="62" w:type="dxa"/>
            </w:tcMar>
            <w:hideMark/>
          </w:tcPr>
          <w:p w14:paraId="45BBF696"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56EFBDB8"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464E24E5"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3EEA31FE"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398CBE15" w14:textId="77777777" w:rsidR="007F0AE0" w:rsidRPr="00494051" w:rsidRDefault="007F0AE0" w:rsidP="00453DE3">
            <w:pPr>
              <w:rPr>
                <w:rFonts w:cstheme="minorHAnsi"/>
                <w:sz w:val="18"/>
                <w:szCs w:val="18"/>
              </w:rPr>
            </w:pPr>
            <w:r w:rsidRPr="00494051">
              <w:rPr>
                <w:rFonts w:cstheme="minorHAnsi"/>
                <w:sz w:val="18"/>
                <w:szCs w:val="18"/>
              </w:rPr>
              <w:t>Any analyses that had not been planned at the outset of the study should be clearly indicated. If no retrospective unplanned subgroup analyses were reported, then answer yes. If at the beginning of the article, authors forewarned about exploratory analyses completed later on, mark yes.</w:t>
            </w:r>
          </w:p>
        </w:tc>
        <w:tc>
          <w:tcPr>
            <w:tcW w:w="2515" w:type="dxa"/>
            <w:tcMar>
              <w:top w:w="62" w:type="dxa"/>
              <w:left w:w="62" w:type="dxa"/>
              <w:bottom w:w="62" w:type="dxa"/>
              <w:right w:w="62" w:type="dxa"/>
            </w:tcMar>
            <w:hideMark/>
          </w:tcPr>
          <w:p w14:paraId="6764F92D" w14:textId="77777777" w:rsidR="007F0AE0" w:rsidRPr="00494051" w:rsidRDefault="007F0AE0" w:rsidP="00453DE3">
            <w:pPr>
              <w:rPr>
                <w:rFonts w:cstheme="minorHAnsi"/>
                <w:sz w:val="18"/>
                <w:szCs w:val="18"/>
              </w:rPr>
            </w:pPr>
            <w:r w:rsidRPr="00494051">
              <w:rPr>
                <w:rFonts w:cstheme="minorHAnsi"/>
                <w:sz w:val="18"/>
                <w:szCs w:val="18"/>
              </w:rPr>
              <w:t>If exploratory analyses and lots of subgroup analyses were conducted in exploratory fashion, were the authors clear about this in the title and overall study objectives?</w:t>
            </w:r>
          </w:p>
        </w:tc>
      </w:tr>
      <w:tr w:rsidR="007F0AE0" w:rsidRPr="00494051" w14:paraId="139E6C0D" w14:textId="77777777" w:rsidTr="00453DE3">
        <w:trPr>
          <w:trHeight w:val="1883"/>
        </w:trPr>
        <w:tc>
          <w:tcPr>
            <w:tcW w:w="1075" w:type="dxa"/>
            <w:noWrap/>
            <w:tcMar>
              <w:top w:w="62" w:type="dxa"/>
              <w:left w:w="62" w:type="dxa"/>
              <w:bottom w:w="62" w:type="dxa"/>
              <w:right w:w="62" w:type="dxa"/>
            </w:tcMar>
            <w:hideMark/>
          </w:tcPr>
          <w:p w14:paraId="609B9A06" w14:textId="77777777" w:rsidR="007F0AE0" w:rsidRPr="00494051" w:rsidRDefault="007F0AE0" w:rsidP="00453DE3">
            <w:pPr>
              <w:jc w:val="center"/>
              <w:rPr>
                <w:rFonts w:cstheme="minorHAnsi"/>
                <w:b/>
                <w:bCs/>
                <w:sz w:val="18"/>
                <w:szCs w:val="18"/>
              </w:rPr>
            </w:pPr>
            <w:r w:rsidRPr="00494051">
              <w:rPr>
                <w:rFonts w:cstheme="minorHAnsi"/>
                <w:b/>
                <w:bCs/>
                <w:sz w:val="18"/>
                <w:szCs w:val="18"/>
              </w:rPr>
              <w:t>Q17</w:t>
            </w:r>
          </w:p>
        </w:tc>
        <w:tc>
          <w:tcPr>
            <w:tcW w:w="2250" w:type="dxa"/>
            <w:tcMar>
              <w:top w:w="62" w:type="dxa"/>
              <w:left w:w="62" w:type="dxa"/>
              <w:bottom w:w="62" w:type="dxa"/>
              <w:right w:w="62" w:type="dxa"/>
            </w:tcMar>
            <w:hideMark/>
          </w:tcPr>
          <w:p w14:paraId="4C70B5B1" w14:textId="77777777" w:rsidR="007F0AE0" w:rsidRPr="00494051" w:rsidRDefault="007F0AE0" w:rsidP="00453DE3">
            <w:pPr>
              <w:rPr>
                <w:rFonts w:cstheme="minorHAnsi"/>
                <w:b/>
                <w:bCs/>
                <w:sz w:val="18"/>
                <w:szCs w:val="18"/>
              </w:rPr>
            </w:pPr>
            <w:r w:rsidRPr="00494051">
              <w:rPr>
                <w:rFonts w:cstheme="minorHAnsi"/>
                <w:b/>
                <w:bCs/>
                <w:sz w:val="18"/>
                <w:szCs w:val="18"/>
              </w:rPr>
              <w:t>In trials and cohort studies, do the analyses adjust for different lengths of follow-up of patients, or in case-control studies, is the time period between the intervention (exposure) and outcome the same for cases and controls?</w:t>
            </w:r>
          </w:p>
        </w:tc>
        <w:tc>
          <w:tcPr>
            <w:tcW w:w="630" w:type="dxa"/>
            <w:noWrap/>
            <w:tcMar>
              <w:top w:w="62" w:type="dxa"/>
              <w:left w:w="62" w:type="dxa"/>
              <w:bottom w:w="62" w:type="dxa"/>
              <w:right w:w="62" w:type="dxa"/>
            </w:tcMar>
            <w:hideMark/>
          </w:tcPr>
          <w:p w14:paraId="1AF71527"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13F34872"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772EF7A1"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5FDEE0DC"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04653E0E" w14:textId="77777777" w:rsidR="007F0AE0" w:rsidRPr="00494051" w:rsidRDefault="007F0AE0" w:rsidP="00453DE3">
            <w:pPr>
              <w:rPr>
                <w:rFonts w:cstheme="minorHAnsi"/>
                <w:sz w:val="18"/>
                <w:szCs w:val="18"/>
              </w:rPr>
            </w:pPr>
            <w:r w:rsidRPr="00494051">
              <w:rPr>
                <w:rFonts w:cstheme="minorHAnsi"/>
                <w:sz w:val="18"/>
                <w:szCs w:val="18"/>
              </w:rPr>
              <w:t xml:space="preserve">Where follow-up was the same for all study patients the answer should yes. If different lengths of follow-up were adjusted for by, for example, survival analysis the answer should be yes. Studies where differences in follow-up are ignored should be answered no. Cross sectional study designs should be marked yes. </w:t>
            </w:r>
          </w:p>
        </w:tc>
        <w:tc>
          <w:tcPr>
            <w:tcW w:w="2515" w:type="dxa"/>
            <w:noWrap/>
            <w:tcMar>
              <w:top w:w="62" w:type="dxa"/>
              <w:left w:w="62" w:type="dxa"/>
              <w:bottom w:w="62" w:type="dxa"/>
              <w:right w:w="62" w:type="dxa"/>
            </w:tcMar>
            <w:hideMark/>
          </w:tcPr>
          <w:p w14:paraId="3B0A424E" w14:textId="77777777" w:rsidR="007F0AE0" w:rsidRPr="00494051" w:rsidRDefault="007F0AE0" w:rsidP="00453DE3">
            <w:pPr>
              <w:rPr>
                <w:rFonts w:cstheme="minorHAnsi"/>
                <w:sz w:val="18"/>
                <w:szCs w:val="18"/>
              </w:rPr>
            </w:pPr>
          </w:p>
        </w:tc>
      </w:tr>
      <w:tr w:rsidR="007F0AE0" w:rsidRPr="00494051" w14:paraId="21D83CF0" w14:textId="77777777" w:rsidTr="00453DE3">
        <w:trPr>
          <w:trHeight w:val="2243"/>
        </w:trPr>
        <w:tc>
          <w:tcPr>
            <w:tcW w:w="1075" w:type="dxa"/>
            <w:noWrap/>
            <w:tcMar>
              <w:top w:w="62" w:type="dxa"/>
              <w:left w:w="62" w:type="dxa"/>
              <w:bottom w:w="62" w:type="dxa"/>
              <w:right w:w="62" w:type="dxa"/>
            </w:tcMar>
            <w:hideMark/>
          </w:tcPr>
          <w:p w14:paraId="3FA3EDAA" w14:textId="77777777" w:rsidR="007F0AE0" w:rsidRPr="00494051" w:rsidRDefault="007F0AE0" w:rsidP="00453DE3">
            <w:pPr>
              <w:jc w:val="center"/>
              <w:rPr>
                <w:rFonts w:cstheme="minorHAnsi"/>
                <w:b/>
                <w:bCs/>
                <w:sz w:val="18"/>
                <w:szCs w:val="18"/>
              </w:rPr>
            </w:pPr>
            <w:r w:rsidRPr="00494051">
              <w:rPr>
                <w:rFonts w:cstheme="minorHAnsi"/>
                <w:b/>
                <w:bCs/>
                <w:sz w:val="18"/>
                <w:szCs w:val="18"/>
              </w:rPr>
              <w:lastRenderedPageBreak/>
              <w:t>Q18</w:t>
            </w:r>
          </w:p>
        </w:tc>
        <w:tc>
          <w:tcPr>
            <w:tcW w:w="2250" w:type="dxa"/>
            <w:tcMar>
              <w:top w:w="62" w:type="dxa"/>
              <w:left w:w="62" w:type="dxa"/>
              <w:bottom w:w="62" w:type="dxa"/>
              <w:right w:w="62" w:type="dxa"/>
            </w:tcMar>
            <w:hideMark/>
          </w:tcPr>
          <w:p w14:paraId="0EE15C6A" w14:textId="77777777" w:rsidR="007F0AE0" w:rsidRPr="00494051" w:rsidRDefault="007F0AE0" w:rsidP="00453DE3">
            <w:pPr>
              <w:rPr>
                <w:rFonts w:cstheme="minorHAnsi"/>
                <w:b/>
                <w:bCs/>
                <w:sz w:val="18"/>
                <w:szCs w:val="18"/>
              </w:rPr>
            </w:pPr>
            <w:r w:rsidRPr="00494051">
              <w:rPr>
                <w:rFonts w:cstheme="minorHAnsi"/>
                <w:b/>
                <w:bCs/>
                <w:sz w:val="18"/>
                <w:szCs w:val="18"/>
              </w:rPr>
              <w:t>Were the statistical tests used to assess the main outcomes appropriate?</w:t>
            </w:r>
          </w:p>
        </w:tc>
        <w:tc>
          <w:tcPr>
            <w:tcW w:w="630" w:type="dxa"/>
            <w:noWrap/>
            <w:tcMar>
              <w:top w:w="62" w:type="dxa"/>
              <w:left w:w="62" w:type="dxa"/>
              <w:bottom w:w="62" w:type="dxa"/>
              <w:right w:w="62" w:type="dxa"/>
            </w:tcMar>
            <w:hideMark/>
          </w:tcPr>
          <w:p w14:paraId="76A3172F"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69BD6D9E"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232336DE"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8FCAEC7"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30C9D0C0" w14:textId="77777777" w:rsidR="007F0AE0" w:rsidRPr="00494051" w:rsidRDefault="007F0AE0" w:rsidP="00453DE3">
            <w:pPr>
              <w:rPr>
                <w:rFonts w:cstheme="minorHAnsi"/>
                <w:sz w:val="18"/>
                <w:szCs w:val="18"/>
              </w:rPr>
            </w:pPr>
            <w:r w:rsidRPr="00494051">
              <w:rPr>
                <w:rFonts w:cstheme="minorHAnsi"/>
                <w:sz w:val="18"/>
                <w:szCs w:val="18"/>
              </w:rPr>
              <w:t xml:space="preserve">The statistical techniques used must be appropriate to the data. For example nonparametric methods should be used for small sample sizes. Where little statistical analysis has been undertaken but where there is no evidence of bias, the question should be answered yes. If the distribution of the data (normal or not) is not described it must be assumed that the estimates used were appropriate and the question should be answered yes (vast majority of cases). </w:t>
            </w:r>
          </w:p>
        </w:tc>
        <w:tc>
          <w:tcPr>
            <w:tcW w:w="2515" w:type="dxa"/>
            <w:tcMar>
              <w:top w:w="62" w:type="dxa"/>
              <w:left w:w="62" w:type="dxa"/>
              <w:bottom w:w="62" w:type="dxa"/>
              <w:right w:w="62" w:type="dxa"/>
            </w:tcMar>
            <w:hideMark/>
          </w:tcPr>
          <w:p w14:paraId="495A2207" w14:textId="77777777" w:rsidR="007F0AE0" w:rsidRPr="00494051" w:rsidRDefault="007F0AE0" w:rsidP="00453DE3">
            <w:pPr>
              <w:rPr>
                <w:rFonts w:cstheme="minorHAnsi"/>
                <w:sz w:val="18"/>
                <w:szCs w:val="18"/>
              </w:rPr>
            </w:pPr>
            <w:r w:rsidRPr="00494051">
              <w:rPr>
                <w:rFonts w:cstheme="minorHAnsi"/>
                <w:sz w:val="18"/>
                <w:szCs w:val="18"/>
              </w:rPr>
              <w:t>If the reasoning behind the statistical methods used is explained, choose yes.</w:t>
            </w:r>
          </w:p>
        </w:tc>
      </w:tr>
      <w:tr w:rsidR="007F0AE0" w:rsidRPr="00494051" w14:paraId="723C9AC4" w14:textId="77777777" w:rsidTr="00453DE3">
        <w:trPr>
          <w:trHeight w:val="2700"/>
        </w:trPr>
        <w:tc>
          <w:tcPr>
            <w:tcW w:w="1075" w:type="dxa"/>
            <w:noWrap/>
            <w:tcMar>
              <w:top w:w="62" w:type="dxa"/>
              <w:left w:w="62" w:type="dxa"/>
              <w:bottom w:w="62" w:type="dxa"/>
              <w:right w:w="62" w:type="dxa"/>
            </w:tcMar>
            <w:hideMark/>
          </w:tcPr>
          <w:p w14:paraId="7FA68738" w14:textId="77777777" w:rsidR="007F0AE0" w:rsidRPr="00494051" w:rsidRDefault="007F0AE0" w:rsidP="00453DE3">
            <w:pPr>
              <w:jc w:val="center"/>
              <w:rPr>
                <w:rFonts w:cstheme="minorHAnsi"/>
                <w:b/>
                <w:bCs/>
                <w:sz w:val="18"/>
                <w:szCs w:val="18"/>
              </w:rPr>
            </w:pPr>
            <w:r w:rsidRPr="00494051">
              <w:rPr>
                <w:rFonts w:cstheme="minorHAnsi"/>
                <w:b/>
                <w:bCs/>
                <w:sz w:val="18"/>
                <w:szCs w:val="18"/>
              </w:rPr>
              <w:t>Q19</w:t>
            </w:r>
          </w:p>
        </w:tc>
        <w:tc>
          <w:tcPr>
            <w:tcW w:w="2250" w:type="dxa"/>
            <w:tcMar>
              <w:top w:w="62" w:type="dxa"/>
              <w:left w:w="62" w:type="dxa"/>
              <w:bottom w:w="62" w:type="dxa"/>
              <w:right w:w="62" w:type="dxa"/>
            </w:tcMar>
            <w:hideMark/>
          </w:tcPr>
          <w:p w14:paraId="329E6CDA" w14:textId="77777777" w:rsidR="007F0AE0" w:rsidRPr="00494051" w:rsidRDefault="007F0AE0" w:rsidP="00453DE3">
            <w:pPr>
              <w:rPr>
                <w:rFonts w:cstheme="minorHAnsi"/>
                <w:b/>
                <w:bCs/>
                <w:sz w:val="18"/>
                <w:szCs w:val="18"/>
              </w:rPr>
            </w:pPr>
            <w:r w:rsidRPr="00494051">
              <w:rPr>
                <w:rFonts w:cstheme="minorHAnsi"/>
                <w:b/>
                <w:bCs/>
                <w:sz w:val="18"/>
                <w:szCs w:val="18"/>
              </w:rPr>
              <w:t>Was compliance with the intervention/s reliable?</w:t>
            </w:r>
          </w:p>
        </w:tc>
        <w:tc>
          <w:tcPr>
            <w:tcW w:w="630" w:type="dxa"/>
            <w:noWrap/>
            <w:tcMar>
              <w:top w:w="62" w:type="dxa"/>
              <w:left w:w="62" w:type="dxa"/>
              <w:bottom w:w="62" w:type="dxa"/>
              <w:right w:w="62" w:type="dxa"/>
            </w:tcMar>
            <w:hideMark/>
          </w:tcPr>
          <w:p w14:paraId="02C2A444"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024799B"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1259EBEE"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1EBCD1EA"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4CCDBA06" w14:textId="77777777" w:rsidR="007F0AE0" w:rsidRPr="00494051" w:rsidRDefault="007F0AE0" w:rsidP="00453DE3">
            <w:pPr>
              <w:rPr>
                <w:rFonts w:cstheme="minorHAnsi"/>
                <w:sz w:val="18"/>
                <w:szCs w:val="18"/>
              </w:rPr>
            </w:pPr>
            <w:r w:rsidRPr="00494051">
              <w:rPr>
                <w:rFonts w:cstheme="minorHAnsi"/>
                <w:sz w:val="18"/>
                <w:szCs w:val="18"/>
              </w:rPr>
              <w:t>Where there was non-compliance with the allocated treatment or where there was contamination of one group, the question should be answered no. For studies where the effect of any misclassification was likely to bias any association to the null, the question should be answered yes.</w:t>
            </w:r>
            <w:r>
              <w:rPr>
                <w:rFonts w:cstheme="minorHAnsi"/>
                <w:sz w:val="18"/>
                <w:szCs w:val="18"/>
              </w:rPr>
              <w:t xml:space="preserve"> </w:t>
            </w:r>
          </w:p>
        </w:tc>
        <w:tc>
          <w:tcPr>
            <w:tcW w:w="2515" w:type="dxa"/>
            <w:tcMar>
              <w:top w:w="62" w:type="dxa"/>
              <w:left w:w="62" w:type="dxa"/>
              <w:bottom w:w="62" w:type="dxa"/>
              <w:right w:w="62" w:type="dxa"/>
            </w:tcMar>
            <w:hideMark/>
          </w:tcPr>
          <w:p w14:paraId="0B6664FB" w14:textId="77777777" w:rsidR="007F0AE0" w:rsidRPr="00494051" w:rsidRDefault="007F0AE0" w:rsidP="00453DE3">
            <w:pPr>
              <w:rPr>
                <w:rFonts w:cstheme="minorHAnsi"/>
                <w:sz w:val="18"/>
                <w:szCs w:val="18"/>
              </w:rPr>
            </w:pPr>
            <w:r w:rsidRPr="00494051">
              <w:rPr>
                <w:rFonts w:cstheme="minorHAnsi"/>
                <w:sz w:val="18"/>
                <w:szCs w:val="18"/>
              </w:rPr>
              <w:t>For observational studies, can we reasonably rule out differential exposure misclassification?</w:t>
            </w:r>
            <w:r w:rsidRPr="00494051">
              <w:rPr>
                <w:rFonts w:cstheme="minorHAnsi"/>
                <w:sz w:val="18"/>
                <w:szCs w:val="18"/>
              </w:rPr>
              <w:br/>
            </w:r>
            <w:r w:rsidRPr="00494051">
              <w:rPr>
                <w:rFonts w:cstheme="minorHAnsi"/>
                <w:sz w:val="18"/>
                <w:szCs w:val="18"/>
              </w:rPr>
              <w:br/>
              <w:t xml:space="preserve">Studies in which authors mention they believe there was no differential exposure misclassification or self-report is verified through biochemical measures, mark yes. </w:t>
            </w:r>
          </w:p>
        </w:tc>
      </w:tr>
      <w:tr w:rsidR="007F0AE0" w:rsidRPr="00494051" w14:paraId="434BFE4A" w14:textId="77777777" w:rsidTr="00453DE3">
        <w:trPr>
          <w:trHeight w:val="1800"/>
        </w:trPr>
        <w:tc>
          <w:tcPr>
            <w:tcW w:w="1075" w:type="dxa"/>
            <w:noWrap/>
            <w:tcMar>
              <w:top w:w="62" w:type="dxa"/>
              <w:left w:w="62" w:type="dxa"/>
              <w:bottom w:w="62" w:type="dxa"/>
              <w:right w:w="62" w:type="dxa"/>
            </w:tcMar>
            <w:hideMark/>
          </w:tcPr>
          <w:p w14:paraId="1A0A4A24" w14:textId="77777777" w:rsidR="007F0AE0" w:rsidRPr="00494051" w:rsidRDefault="007F0AE0" w:rsidP="00453DE3">
            <w:pPr>
              <w:jc w:val="center"/>
              <w:rPr>
                <w:rFonts w:cstheme="minorHAnsi"/>
                <w:b/>
                <w:bCs/>
                <w:sz w:val="18"/>
                <w:szCs w:val="18"/>
              </w:rPr>
            </w:pPr>
            <w:r w:rsidRPr="00494051">
              <w:rPr>
                <w:rFonts w:cstheme="minorHAnsi"/>
                <w:b/>
                <w:bCs/>
                <w:sz w:val="18"/>
                <w:szCs w:val="18"/>
              </w:rPr>
              <w:t>Q20</w:t>
            </w:r>
          </w:p>
        </w:tc>
        <w:tc>
          <w:tcPr>
            <w:tcW w:w="2250" w:type="dxa"/>
            <w:tcMar>
              <w:top w:w="62" w:type="dxa"/>
              <w:left w:w="62" w:type="dxa"/>
              <w:bottom w:w="62" w:type="dxa"/>
              <w:right w:w="62" w:type="dxa"/>
            </w:tcMar>
            <w:hideMark/>
          </w:tcPr>
          <w:p w14:paraId="17CB0126" w14:textId="77777777" w:rsidR="007F0AE0" w:rsidRPr="00494051" w:rsidRDefault="007F0AE0" w:rsidP="00453DE3">
            <w:pPr>
              <w:rPr>
                <w:rFonts w:cstheme="minorHAnsi"/>
                <w:b/>
                <w:bCs/>
                <w:sz w:val="18"/>
                <w:szCs w:val="18"/>
              </w:rPr>
            </w:pPr>
            <w:r w:rsidRPr="00494051">
              <w:rPr>
                <w:rFonts w:cstheme="minorHAnsi"/>
                <w:b/>
                <w:bCs/>
                <w:sz w:val="18"/>
                <w:szCs w:val="18"/>
              </w:rPr>
              <w:t>Were the main outcome measures used accurate (valid and reliable)?</w:t>
            </w:r>
          </w:p>
        </w:tc>
        <w:tc>
          <w:tcPr>
            <w:tcW w:w="630" w:type="dxa"/>
            <w:noWrap/>
            <w:tcMar>
              <w:top w:w="62" w:type="dxa"/>
              <w:left w:w="62" w:type="dxa"/>
              <w:bottom w:w="62" w:type="dxa"/>
              <w:right w:w="62" w:type="dxa"/>
            </w:tcMar>
            <w:hideMark/>
          </w:tcPr>
          <w:p w14:paraId="61F7DFE0"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7D5482BE"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2E28A238"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67E40719"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31F1323C" w14:textId="77777777" w:rsidR="007F0AE0" w:rsidRPr="00494051" w:rsidRDefault="007F0AE0" w:rsidP="00453DE3">
            <w:pPr>
              <w:rPr>
                <w:rFonts w:cstheme="minorHAnsi"/>
                <w:sz w:val="18"/>
                <w:szCs w:val="18"/>
              </w:rPr>
            </w:pPr>
            <w:r w:rsidRPr="00494051">
              <w:rPr>
                <w:rFonts w:cstheme="minorHAnsi"/>
                <w:sz w:val="18"/>
                <w:szCs w:val="18"/>
              </w:rPr>
              <w:t>For studies where the outcome measures are clearly described, the question should be answered yes. For studies which refer to other work or that demonstrates the outcome measures are accurate, the question should be answered as yes.</w:t>
            </w:r>
          </w:p>
        </w:tc>
        <w:tc>
          <w:tcPr>
            <w:tcW w:w="2515" w:type="dxa"/>
            <w:tcMar>
              <w:top w:w="62" w:type="dxa"/>
              <w:left w:w="62" w:type="dxa"/>
              <w:bottom w:w="62" w:type="dxa"/>
              <w:right w:w="62" w:type="dxa"/>
            </w:tcMar>
            <w:hideMark/>
          </w:tcPr>
          <w:p w14:paraId="0D20EDB5" w14:textId="77777777" w:rsidR="007F0AE0" w:rsidRPr="00494051" w:rsidRDefault="007F0AE0" w:rsidP="00453DE3">
            <w:pPr>
              <w:rPr>
                <w:rFonts w:cstheme="minorHAnsi"/>
                <w:sz w:val="18"/>
                <w:szCs w:val="18"/>
              </w:rPr>
            </w:pPr>
            <w:r w:rsidRPr="00494051">
              <w:rPr>
                <w:rFonts w:cstheme="minorHAnsi"/>
                <w:sz w:val="18"/>
                <w:szCs w:val="18"/>
              </w:rPr>
              <w:t xml:space="preserve">A validated scale based on self-reported questions, mark yes. If most of the measures taken are taken through uses of validated scales, but there are a few non-essential self-reported questions, mark yes. </w:t>
            </w:r>
          </w:p>
        </w:tc>
      </w:tr>
      <w:tr w:rsidR="007F0AE0" w:rsidRPr="00494051" w14:paraId="1E9436B5" w14:textId="77777777" w:rsidTr="00453DE3">
        <w:trPr>
          <w:trHeight w:val="1849"/>
        </w:trPr>
        <w:tc>
          <w:tcPr>
            <w:tcW w:w="1075" w:type="dxa"/>
            <w:noWrap/>
            <w:tcMar>
              <w:top w:w="62" w:type="dxa"/>
              <w:left w:w="62" w:type="dxa"/>
              <w:bottom w:w="62" w:type="dxa"/>
              <w:right w:w="62" w:type="dxa"/>
            </w:tcMar>
            <w:hideMark/>
          </w:tcPr>
          <w:p w14:paraId="556725F0" w14:textId="77777777" w:rsidR="007F0AE0" w:rsidRPr="00494051" w:rsidRDefault="007F0AE0" w:rsidP="00453DE3">
            <w:pPr>
              <w:jc w:val="center"/>
              <w:rPr>
                <w:rFonts w:cstheme="minorHAnsi"/>
                <w:b/>
                <w:bCs/>
                <w:sz w:val="18"/>
                <w:szCs w:val="18"/>
              </w:rPr>
            </w:pPr>
            <w:r w:rsidRPr="00494051">
              <w:rPr>
                <w:rFonts w:cstheme="minorHAnsi"/>
                <w:b/>
                <w:bCs/>
                <w:sz w:val="18"/>
                <w:szCs w:val="18"/>
              </w:rPr>
              <w:lastRenderedPageBreak/>
              <w:t>Q21</w:t>
            </w:r>
          </w:p>
        </w:tc>
        <w:tc>
          <w:tcPr>
            <w:tcW w:w="2250" w:type="dxa"/>
            <w:tcMar>
              <w:top w:w="62" w:type="dxa"/>
              <w:left w:w="62" w:type="dxa"/>
              <w:bottom w:w="62" w:type="dxa"/>
              <w:right w:w="62" w:type="dxa"/>
            </w:tcMar>
            <w:hideMark/>
          </w:tcPr>
          <w:p w14:paraId="712745D8" w14:textId="77777777" w:rsidR="007F0AE0" w:rsidRPr="00494051" w:rsidRDefault="007F0AE0" w:rsidP="00453DE3">
            <w:pPr>
              <w:rPr>
                <w:rFonts w:cstheme="minorHAnsi"/>
                <w:b/>
                <w:bCs/>
                <w:sz w:val="18"/>
                <w:szCs w:val="18"/>
              </w:rPr>
            </w:pPr>
            <w:r w:rsidRPr="00494051">
              <w:rPr>
                <w:rFonts w:cstheme="minorHAnsi"/>
                <w:b/>
                <w:bCs/>
                <w:sz w:val="18"/>
                <w:szCs w:val="18"/>
              </w:rPr>
              <w:t>Were the patients in different intervention groups (trials and cohort studies) or were the cases and controls (case-control studies) recruited from the same population?</w:t>
            </w:r>
          </w:p>
        </w:tc>
        <w:tc>
          <w:tcPr>
            <w:tcW w:w="630" w:type="dxa"/>
            <w:noWrap/>
            <w:tcMar>
              <w:top w:w="62" w:type="dxa"/>
              <w:left w:w="62" w:type="dxa"/>
              <w:bottom w:w="62" w:type="dxa"/>
              <w:right w:w="62" w:type="dxa"/>
            </w:tcMar>
            <w:hideMark/>
          </w:tcPr>
          <w:p w14:paraId="0AAF719F"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7A6A7DF"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1F82D7F3"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79A3591E"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0A9EDDEC" w14:textId="77777777" w:rsidR="007F0AE0" w:rsidRPr="00494051" w:rsidRDefault="007F0AE0" w:rsidP="00453DE3">
            <w:pPr>
              <w:rPr>
                <w:rFonts w:cstheme="minorHAnsi"/>
                <w:sz w:val="18"/>
                <w:szCs w:val="18"/>
              </w:rPr>
            </w:pPr>
            <w:r w:rsidRPr="00494051">
              <w:rPr>
                <w:rFonts w:cstheme="minorHAnsi"/>
                <w:sz w:val="18"/>
                <w:szCs w:val="18"/>
              </w:rPr>
              <w:t xml:space="preserve">For example, patients for all comparison groups should be selected from the same hospital. The question should be answered unable to determine for cohort and case- control studies where there is no information concerning the source of patients included in the study. In a secondary data analysis, if the source of the controls is not specifically mentioned, assume the controls are also taken from the same data. </w:t>
            </w:r>
          </w:p>
        </w:tc>
        <w:tc>
          <w:tcPr>
            <w:tcW w:w="2515" w:type="dxa"/>
            <w:noWrap/>
            <w:tcMar>
              <w:top w:w="62" w:type="dxa"/>
              <w:left w:w="62" w:type="dxa"/>
              <w:bottom w:w="62" w:type="dxa"/>
              <w:right w:w="62" w:type="dxa"/>
            </w:tcMar>
            <w:hideMark/>
          </w:tcPr>
          <w:p w14:paraId="0BB44A54" w14:textId="77777777" w:rsidR="007F0AE0" w:rsidRPr="00494051" w:rsidRDefault="007F0AE0" w:rsidP="00453DE3">
            <w:pPr>
              <w:rPr>
                <w:rFonts w:cstheme="minorHAnsi"/>
                <w:sz w:val="18"/>
                <w:szCs w:val="18"/>
              </w:rPr>
            </w:pPr>
          </w:p>
        </w:tc>
      </w:tr>
      <w:tr w:rsidR="007F0AE0" w:rsidRPr="00494051" w14:paraId="0EC7D7B0" w14:textId="77777777" w:rsidTr="00453DE3">
        <w:trPr>
          <w:trHeight w:val="1680"/>
        </w:trPr>
        <w:tc>
          <w:tcPr>
            <w:tcW w:w="1075" w:type="dxa"/>
            <w:noWrap/>
            <w:tcMar>
              <w:top w:w="62" w:type="dxa"/>
              <w:left w:w="62" w:type="dxa"/>
              <w:bottom w:w="62" w:type="dxa"/>
              <w:right w:w="62" w:type="dxa"/>
            </w:tcMar>
            <w:hideMark/>
          </w:tcPr>
          <w:p w14:paraId="37038E74" w14:textId="77777777" w:rsidR="007F0AE0" w:rsidRPr="00494051" w:rsidRDefault="007F0AE0" w:rsidP="00453DE3">
            <w:pPr>
              <w:jc w:val="center"/>
              <w:rPr>
                <w:rFonts w:cstheme="minorHAnsi"/>
                <w:b/>
                <w:bCs/>
                <w:sz w:val="18"/>
                <w:szCs w:val="18"/>
              </w:rPr>
            </w:pPr>
            <w:r w:rsidRPr="00494051">
              <w:rPr>
                <w:rFonts w:cstheme="minorHAnsi"/>
                <w:b/>
                <w:bCs/>
                <w:sz w:val="18"/>
                <w:szCs w:val="18"/>
              </w:rPr>
              <w:t>Q22</w:t>
            </w:r>
          </w:p>
        </w:tc>
        <w:tc>
          <w:tcPr>
            <w:tcW w:w="2250" w:type="dxa"/>
            <w:tcMar>
              <w:top w:w="62" w:type="dxa"/>
              <w:left w:w="62" w:type="dxa"/>
              <w:bottom w:w="62" w:type="dxa"/>
              <w:right w:w="62" w:type="dxa"/>
            </w:tcMar>
            <w:hideMark/>
          </w:tcPr>
          <w:p w14:paraId="1E7CC3AC" w14:textId="77777777" w:rsidR="007F0AE0" w:rsidRPr="00494051" w:rsidRDefault="007F0AE0" w:rsidP="00453DE3">
            <w:pPr>
              <w:rPr>
                <w:rFonts w:cstheme="minorHAnsi"/>
                <w:b/>
                <w:bCs/>
                <w:sz w:val="18"/>
                <w:szCs w:val="18"/>
              </w:rPr>
            </w:pPr>
            <w:r w:rsidRPr="00494051">
              <w:rPr>
                <w:rFonts w:cstheme="minorHAnsi"/>
                <w:b/>
                <w:bCs/>
                <w:sz w:val="18"/>
                <w:szCs w:val="18"/>
              </w:rPr>
              <w:t>Were study subjects in different intervention groups (trials and cohort studies) or were the cases and controls (case-control studies) recruited over the same period of time?</w:t>
            </w:r>
          </w:p>
        </w:tc>
        <w:tc>
          <w:tcPr>
            <w:tcW w:w="630" w:type="dxa"/>
            <w:noWrap/>
            <w:tcMar>
              <w:top w:w="62" w:type="dxa"/>
              <w:left w:w="62" w:type="dxa"/>
              <w:bottom w:w="62" w:type="dxa"/>
              <w:right w:w="62" w:type="dxa"/>
            </w:tcMar>
            <w:hideMark/>
          </w:tcPr>
          <w:p w14:paraId="336B548F"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3797B8D5"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529A96C6"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0F970A24"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306CC33F" w14:textId="77777777" w:rsidR="007F0AE0" w:rsidRPr="00494051" w:rsidRDefault="007F0AE0" w:rsidP="00453DE3">
            <w:pPr>
              <w:rPr>
                <w:rFonts w:cstheme="minorHAnsi"/>
                <w:sz w:val="18"/>
                <w:szCs w:val="18"/>
              </w:rPr>
            </w:pPr>
            <w:r w:rsidRPr="00494051">
              <w:rPr>
                <w:rFonts w:cstheme="minorHAnsi"/>
                <w:sz w:val="18"/>
                <w:szCs w:val="18"/>
              </w:rPr>
              <w:t>For a study which does not specify the time period over which patients were recruited, the question should be answered as unable to determine. If the study gives a year or a range of dates during which data was collected, mark yes.</w:t>
            </w:r>
          </w:p>
        </w:tc>
        <w:tc>
          <w:tcPr>
            <w:tcW w:w="2515" w:type="dxa"/>
            <w:noWrap/>
            <w:tcMar>
              <w:top w:w="62" w:type="dxa"/>
              <w:left w:w="62" w:type="dxa"/>
              <w:bottom w:w="62" w:type="dxa"/>
              <w:right w:w="62" w:type="dxa"/>
            </w:tcMar>
            <w:hideMark/>
          </w:tcPr>
          <w:p w14:paraId="578B1C41" w14:textId="77777777" w:rsidR="007F0AE0" w:rsidRPr="00494051" w:rsidRDefault="007F0AE0" w:rsidP="00453DE3">
            <w:pPr>
              <w:rPr>
                <w:rFonts w:cstheme="minorHAnsi"/>
                <w:sz w:val="18"/>
                <w:szCs w:val="18"/>
              </w:rPr>
            </w:pPr>
          </w:p>
        </w:tc>
      </w:tr>
      <w:tr w:rsidR="007F0AE0" w:rsidRPr="00494051" w14:paraId="24834CAE" w14:textId="77777777" w:rsidTr="00453DE3">
        <w:trPr>
          <w:trHeight w:val="1332"/>
        </w:trPr>
        <w:tc>
          <w:tcPr>
            <w:tcW w:w="1075" w:type="dxa"/>
            <w:noWrap/>
            <w:tcMar>
              <w:top w:w="62" w:type="dxa"/>
              <w:left w:w="62" w:type="dxa"/>
              <w:bottom w:w="62" w:type="dxa"/>
              <w:right w:w="62" w:type="dxa"/>
            </w:tcMar>
            <w:hideMark/>
          </w:tcPr>
          <w:p w14:paraId="23AA27E6" w14:textId="77777777" w:rsidR="007F0AE0" w:rsidRPr="00494051" w:rsidRDefault="007F0AE0" w:rsidP="00453DE3">
            <w:pPr>
              <w:jc w:val="center"/>
              <w:rPr>
                <w:rFonts w:cstheme="minorHAnsi"/>
                <w:b/>
                <w:bCs/>
                <w:sz w:val="18"/>
                <w:szCs w:val="18"/>
              </w:rPr>
            </w:pPr>
            <w:r w:rsidRPr="00494051">
              <w:rPr>
                <w:rFonts w:cstheme="minorHAnsi"/>
                <w:b/>
                <w:bCs/>
                <w:sz w:val="18"/>
                <w:szCs w:val="18"/>
              </w:rPr>
              <w:t>Q23</w:t>
            </w:r>
          </w:p>
        </w:tc>
        <w:tc>
          <w:tcPr>
            <w:tcW w:w="2250" w:type="dxa"/>
            <w:tcMar>
              <w:top w:w="62" w:type="dxa"/>
              <w:left w:w="62" w:type="dxa"/>
              <w:bottom w:w="62" w:type="dxa"/>
              <w:right w:w="62" w:type="dxa"/>
            </w:tcMar>
            <w:hideMark/>
          </w:tcPr>
          <w:p w14:paraId="51C9556E" w14:textId="77777777" w:rsidR="007F0AE0" w:rsidRPr="00494051" w:rsidRDefault="007F0AE0" w:rsidP="00453DE3">
            <w:pPr>
              <w:rPr>
                <w:rFonts w:cstheme="minorHAnsi"/>
                <w:b/>
                <w:bCs/>
                <w:sz w:val="18"/>
                <w:szCs w:val="18"/>
              </w:rPr>
            </w:pPr>
            <w:r w:rsidRPr="00494051">
              <w:rPr>
                <w:rFonts w:cstheme="minorHAnsi"/>
                <w:b/>
                <w:bCs/>
                <w:sz w:val="18"/>
                <w:szCs w:val="18"/>
              </w:rPr>
              <w:t>Were study subjects randomized to intervention groups?</w:t>
            </w:r>
          </w:p>
        </w:tc>
        <w:tc>
          <w:tcPr>
            <w:tcW w:w="630" w:type="dxa"/>
            <w:noWrap/>
            <w:tcMar>
              <w:top w:w="62" w:type="dxa"/>
              <w:left w:w="62" w:type="dxa"/>
              <w:bottom w:w="62" w:type="dxa"/>
              <w:right w:w="62" w:type="dxa"/>
            </w:tcMar>
            <w:hideMark/>
          </w:tcPr>
          <w:p w14:paraId="33DF439D"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1731B208"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6887A822"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374A0847"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2E2C6329" w14:textId="77777777" w:rsidR="007F0AE0" w:rsidRPr="00494051" w:rsidRDefault="007F0AE0" w:rsidP="00453DE3">
            <w:pPr>
              <w:rPr>
                <w:rFonts w:cstheme="minorHAnsi"/>
                <w:sz w:val="18"/>
                <w:szCs w:val="18"/>
              </w:rPr>
            </w:pPr>
            <w:r w:rsidRPr="00494051">
              <w:rPr>
                <w:rFonts w:cstheme="minorHAnsi"/>
                <w:sz w:val="18"/>
                <w:szCs w:val="18"/>
              </w:rPr>
              <w:t>Studies which state that subjects were randomized should be answered yes except where method of randomization would not ensure random allocation. For example alternate allocation would score no because it is predictable. Observational studies</w:t>
            </w:r>
            <w:r>
              <w:rPr>
                <w:rFonts w:cstheme="minorHAnsi"/>
                <w:sz w:val="18"/>
                <w:szCs w:val="18"/>
              </w:rPr>
              <w:t>=</w:t>
            </w:r>
            <w:r w:rsidRPr="00494051">
              <w:rPr>
                <w:rFonts w:cstheme="minorHAnsi"/>
                <w:sz w:val="18"/>
                <w:szCs w:val="18"/>
              </w:rPr>
              <w:t>no.</w:t>
            </w:r>
          </w:p>
        </w:tc>
        <w:tc>
          <w:tcPr>
            <w:tcW w:w="2515" w:type="dxa"/>
            <w:noWrap/>
            <w:tcMar>
              <w:top w:w="62" w:type="dxa"/>
              <w:left w:w="62" w:type="dxa"/>
              <w:bottom w:w="62" w:type="dxa"/>
              <w:right w:w="62" w:type="dxa"/>
            </w:tcMar>
            <w:hideMark/>
          </w:tcPr>
          <w:p w14:paraId="77E4EDCA" w14:textId="77777777" w:rsidR="007F0AE0" w:rsidRPr="00494051" w:rsidRDefault="007F0AE0" w:rsidP="00453DE3">
            <w:pPr>
              <w:rPr>
                <w:rFonts w:cstheme="minorHAnsi"/>
                <w:sz w:val="18"/>
                <w:szCs w:val="18"/>
              </w:rPr>
            </w:pPr>
          </w:p>
        </w:tc>
      </w:tr>
      <w:tr w:rsidR="007F0AE0" w:rsidRPr="00494051" w14:paraId="4BB78213" w14:textId="77777777" w:rsidTr="00453DE3">
        <w:trPr>
          <w:trHeight w:val="1680"/>
        </w:trPr>
        <w:tc>
          <w:tcPr>
            <w:tcW w:w="1075" w:type="dxa"/>
            <w:noWrap/>
            <w:tcMar>
              <w:top w:w="62" w:type="dxa"/>
              <w:left w:w="62" w:type="dxa"/>
              <w:bottom w:w="62" w:type="dxa"/>
              <w:right w:w="62" w:type="dxa"/>
            </w:tcMar>
            <w:hideMark/>
          </w:tcPr>
          <w:p w14:paraId="5C217112" w14:textId="77777777" w:rsidR="007F0AE0" w:rsidRPr="00494051" w:rsidRDefault="007F0AE0" w:rsidP="00453DE3">
            <w:pPr>
              <w:jc w:val="center"/>
              <w:rPr>
                <w:rFonts w:cstheme="minorHAnsi"/>
                <w:b/>
                <w:bCs/>
                <w:sz w:val="18"/>
                <w:szCs w:val="18"/>
              </w:rPr>
            </w:pPr>
            <w:r w:rsidRPr="00494051">
              <w:rPr>
                <w:rFonts w:cstheme="minorHAnsi"/>
                <w:b/>
                <w:bCs/>
                <w:sz w:val="18"/>
                <w:szCs w:val="18"/>
              </w:rPr>
              <w:t>Q24</w:t>
            </w:r>
          </w:p>
        </w:tc>
        <w:tc>
          <w:tcPr>
            <w:tcW w:w="2250" w:type="dxa"/>
            <w:tcMar>
              <w:top w:w="62" w:type="dxa"/>
              <w:left w:w="62" w:type="dxa"/>
              <w:bottom w:w="62" w:type="dxa"/>
              <w:right w:w="62" w:type="dxa"/>
            </w:tcMar>
            <w:hideMark/>
          </w:tcPr>
          <w:p w14:paraId="09FBB2C8" w14:textId="77777777" w:rsidR="007F0AE0" w:rsidRPr="00494051" w:rsidRDefault="007F0AE0" w:rsidP="00453DE3">
            <w:pPr>
              <w:rPr>
                <w:rFonts w:cstheme="minorHAnsi"/>
                <w:b/>
                <w:bCs/>
                <w:sz w:val="18"/>
                <w:szCs w:val="18"/>
              </w:rPr>
            </w:pPr>
            <w:r w:rsidRPr="00494051">
              <w:rPr>
                <w:rFonts w:cstheme="minorHAnsi"/>
                <w:b/>
                <w:bCs/>
                <w:sz w:val="18"/>
                <w:szCs w:val="18"/>
              </w:rPr>
              <w:t>Was the randomized intervention assignment concealed from both patients and health care staff until recruitment was complete and</w:t>
            </w:r>
            <w:r w:rsidRPr="00494051">
              <w:rPr>
                <w:rFonts w:cstheme="minorHAnsi"/>
                <w:b/>
                <w:bCs/>
                <w:sz w:val="18"/>
                <w:szCs w:val="18"/>
              </w:rPr>
              <w:br/>
              <w:t>irrevocable?</w:t>
            </w:r>
          </w:p>
        </w:tc>
        <w:tc>
          <w:tcPr>
            <w:tcW w:w="630" w:type="dxa"/>
            <w:noWrap/>
            <w:tcMar>
              <w:top w:w="62" w:type="dxa"/>
              <w:left w:w="62" w:type="dxa"/>
              <w:bottom w:w="62" w:type="dxa"/>
              <w:right w:w="62" w:type="dxa"/>
            </w:tcMar>
            <w:hideMark/>
          </w:tcPr>
          <w:p w14:paraId="18066412"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4839CFF8"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6CEC373B"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3D0FBFFB"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2044C93E" w14:textId="77777777" w:rsidR="007F0AE0" w:rsidRPr="00494051" w:rsidRDefault="007F0AE0" w:rsidP="00453DE3">
            <w:pPr>
              <w:rPr>
                <w:rFonts w:cstheme="minorHAnsi"/>
                <w:sz w:val="18"/>
                <w:szCs w:val="18"/>
              </w:rPr>
            </w:pPr>
            <w:r w:rsidRPr="00494051">
              <w:rPr>
                <w:rFonts w:cstheme="minorHAnsi"/>
                <w:sz w:val="18"/>
                <w:szCs w:val="18"/>
              </w:rPr>
              <w:t>All non-randomized studies should be answered no. If assignment was concealed from patients but not from staff, it should be answered no. Double-blind RCTs</w:t>
            </w:r>
            <w:r>
              <w:rPr>
                <w:rFonts w:cstheme="minorHAnsi"/>
                <w:sz w:val="18"/>
                <w:szCs w:val="18"/>
              </w:rPr>
              <w:t>=</w:t>
            </w:r>
            <w:r w:rsidRPr="00494051">
              <w:rPr>
                <w:rFonts w:cstheme="minorHAnsi"/>
                <w:sz w:val="18"/>
                <w:szCs w:val="18"/>
              </w:rPr>
              <w:t>yes; Observational studies</w:t>
            </w:r>
            <w:r>
              <w:rPr>
                <w:rFonts w:cstheme="minorHAnsi"/>
                <w:sz w:val="18"/>
                <w:szCs w:val="18"/>
              </w:rPr>
              <w:t>=</w:t>
            </w:r>
            <w:r w:rsidRPr="00494051">
              <w:rPr>
                <w:rFonts w:cstheme="minorHAnsi"/>
                <w:sz w:val="18"/>
                <w:szCs w:val="18"/>
              </w:rPr>
              <w:t>no.</w:t>
            </w:r>
          </w:p>
        </w:tc>
        <w:tc>
          <w:tcPr>
            <w:tcW w:w="2515" w:type="dxa"/>
            <w:noWrap/>
            <w:tcMar>
              <w:top w:w="62" w:type="dxa"/>
              <w:left w:w="62" w:type="dxa"/>
              <w:bottom w:w="62" w:type="dxa"/>
              <w:right w:w="62" w:type="dxa"/>
            </w:tcMar>
            <w:hideMark/>
          </w:tcPr>
          <w:p w14:paraId="09E906D3" w14:textId="77777777" w:rsidR="007F0AE0" w:rsidRPr="00494051" w:rsidRDefault="007F0AE0" w:rsidP="00453DE3">
            <w:pPr>
              <w:rPr>
                <w:rFonts w:cstheme="minorHAnsi"/>
                <w:sz w:val="18"/>
                <w:szCs w:val="18"/>
              </w:rPr>
            </w:pPr>
          </w:p>
        </w:tc>
      </w:tr>
      <w:tr w:rsidR="007F0AE0" w:rsidRPr="00494051" w14:paraId="32494127" w14:textId="77777777" w:rsidTr="00453DE3">
        <w:trPr>
          <w:trHeight w:val="2963"/>
        </w:trPr>
        <w:tc>
          <w:tcPr>
            <w:tcW w:w="1075" w:type="dxa"/>
            <w:noWrap/>
            <w:tcMar>
              <w:top w:w="62" w:type="dxa"/>
              <w:left w:w="62" w:type="dxa"/>
              <w:bottom w:w="62" w:type="dxa"/>
              <w:right w:w="62" w:type="dxa"/>
            </w:tcMar>
            <w:hideMark/>
          </w:tcPr>
          <w:p w14:paraId="5A06004C" w14:textId="77777777" w:rsidR="007F0AE0" w:rsidRPr="00494051" w:rsidRDefault="007F0AE0" w:rsidP="00453DE3">
            <w:pPr>
              <w:jc w:val="center"/>
              <w:rPr>
                <w:rFonts w:cstheme="minorHAnsi"/>
                <w:b/>
                <w:bCs/>
                <w:sz w:val="18"/>
                <w:szCs w:val="18"/>
              </w:rPr>
            </w:pPr>
            <w:r w:rsidRPr="00494051">
              <w:rPr>
                <w:rFonts w:cstheme="minorHAnsi"/>
                <w:b/>
                <w:bCs/>
                <w:sz w:val="18"/>
                <w:szCs w:val="18"/>
              </w:rPr>
              <w:lastRenderedPageBreak/>
              <w:t>Q25</w:t>
            </w:r>
          </w:p>
        </w:tc>
        <w:tc>
          <w:tcPr>
            <w:tcW w:w="2250" w:type="dxa"/>
            <w:tcMar>
              <w:top w:w="62" w:type="dxa"/>
              <w:left w:w="62" w:type="dxa"/>
              <w:bottom w:w="62" w:type="dxa"/>
              <w:right w:w="62" w:type="dxa"/>
            </w:tcMar>
            <w:hideMark/>
          </w:tcPr>
          <w:p w14:paraId="334644F1" w14:textId="77777777" w:rsidR="007F0AE0" w:rsidRPr="00494051" w:rsidRDefault="007F0AE0" w:rsidP="00453DE3">
            <w:pPr>
              <w:rPr>
                <w:rFonts w:cstheme="minorHAnsi"/>
                <w:b/>
                <w:bCs/>
                <w:sz w:val="18"/>
                <w:szCs w:val="18"/>
              </w:rPr>
            </w:pPr>
            <w:r w:rsidRPr="00494051">
              <w:rPr>
                <w:rFonts w:cstheme="minorHAnsi"/>
                <w:b/>
                <w:bCs/>
                <w:sz w:val="18"/>
                <w:szCs w:val="18"/>
              </w:rPr>
              <w:t>Was there adequate adjustment for confounding in the analyses from which the main findings were drawn?</w:t>
            </w:r>
          </w:p>
        </w:tc>
        <w:tc>
          <w:tcPr>
            <w:tcW w:w="630" w:type="dxa"/>
            <w:noWrap/>
            <w:tcMar>
              <w:top w:w="62" w:type="dxa"/>
              <w:left w:w="62" w:type="dxa"/>
              <w:bottom w:w="62" w:type="dxa"/>
              <w:right w:w="62" w:type="dxa"/>
            </w:tcMar>
            <w:hideMark/>
          </w:tcPr>
          <w:p w14:paraId="29CFA985"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1EA7103C"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0A269B20"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0619DF7D"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299F6F1E" w14:textId="77777777" w:rsidR="007F0AE0" w:rsidRPr="00494051" w:rsidRDefault="007F0AE0" w:rsidP="00453DE3">
            <w:pPr>
              <w:rPr>
                <w:rFonts w:cstheme="minorHAnsi"/>
                <w:sz w:val="18"/>
                <w:szCs w:val="18"/>
              </w:rPr>
            </w:pPr>
            <w:r w:rsidRPr="00494051">
              <w:rPr>
                <w:rFonts w:cstheme="minorHAnsi"/>
                <w:sz w:val="18"/>
                <w:szCs w:val="18"/>
              </w:rPr>
              <w:t>This question should be answered no for trials if: the main conclusions of the study were based on analyses of treatment rather than intention to treat; the distribution of known confounders in the different treatment groups was not described; or the distribution of known confounders differed between the treatment groups but was not taken into account in the analyses. In non-randomized studies if the effect of the main confounders was not investigated or confounding was demonstrated but no adjustment was made in the analyses the question should be answered as no.</w:t>
            </w:r>
          </w:p>
        </w:tc>
        <w:tc>
          <w:tcPr>
            <w:tcW w:w="2515" w:type="dxa"/>
            <w:tcMar>
              <w:top w:w="62" w:type="dxa"/>
              <w:left w:w="62" w:type="dxa"/>
              <w:bottom w:w="62" w:type="dxa"/>
              <w:right w:w="62" w:type="dxa"/>
            </w:tcMar>
            <w:hideMark/>
          </w:tcPr>
          <w:p w14:paraId="647687EB" w14:textId="77777777" w:rsidR="007F0AE0" w:rsidRPr="00494051" w:rsidRDefault="007F0AE0" w:rsidP="00453DE3">
            <w:pPr>
              <w:rPr>
                <w:rFonts w:cstheme="minorHAnsi"/>
                <w:sz w:val="18"/>
                <w:szCs w:val="18"/>
              </w:rPr>
            </w:pPr>
            <w:r w:rsidRPr="00494051">
              <w:rPr>
                <w:rFonts w:cstheme="minorHAnsi"/>
                <w:sz w:val="18"/>
                <w:szCs w:val="18"/>
              </w:rPr>
              <w:t xml:space="preserve"> For purposes of this review, main confounders are considered to be: age, race, gender. Additional confounders should be flagged. No mention of any adjustment for confounders is marked as unable to determine.</w:t>
            </w:r>
          </w:p>
        </w:tc>
      </w:tr>
      <w:tr w:rsidR="007F0AE0" w:rsidRPr="00494051" w14:paraId="7438C533" w14:textId="77777777" w:rsidTr="00453DE3">
        <w:trPr>
          <w:trHeight w:val="1838"/>
        </w:trPr>
        <w:tc>
          <w:tcPr>
            <w:tcW w:w="1075" w:type="dxa"/>
            <w:noWrap/>
            <w:tcMar>
              <w:top w:w="62" w:type="dxa"/>
              <w:left w:w="62" w:type="dxa"/>
              <w:bottom w:w="62" w:type="dxa"/>
              <w:right w:w="62" w:type="dxa"/>
            </w:tcMar>
            <w:hideMark/>
          </w:tcPr>
          <w:p w14:paraId="3F553588" w14:textId="77777777" w:rsidR="007F0AE0" w:rsidRPr="00494051" w:rsidRDefault="007F0AE0" w:rsidP="00453DE3">
            <w:pPr>
              <w:jc w:val="center"/>
              <w:rPr>
                <w:rFonts w:cstheme="minorHAnsi"/>
                <w:b/>
                <w:bCs/>
                <w:sz w:val="18"/>
                <w:szCs w:val="18"/>
              </w:rPr>
            </w:pPr>
            <w:r w:rsidRPr="00494051">
              <w:rPr>
                <w:rFonts w:cstheme="minorHAnsi"/>
                <w:b/>
                <w:bCs/>
                <w:sz w:val="18"/>
                <w:szCs w:val="18"/>
              </w:rPr>
              <w:t>Q26</w:t>
            </w:r>
          </w:p>
        </w:tc>
        <w:tc>
          <w:tcPr>
            <w:tcW w:w="2250" w:type="dxa"/>
            <w:tcMar>
              <w:top w:w="62" w:type="dxa"/>
              <w:left w:w="62" w:type="dxa"/>
              <w:bottom w:w="62" w:type="dxa"/>
              <w:right w:w="62" w:type="dxa"/>
            </w:tcMar>
            <w:hideMark/>
          </w:tcPr>
          <w:p w14:paraId="42F37D5F" w14:textId="77777777" w:rsidR="007F0AE0" w:rsidRPr="00494051" w:rsidRDefault="007F0AE0" w:rsidP="00453DE3">
            <w:pPr>
              <w:rPr>
                <w:rFonts w:cstheme="minorHAnsi"/>
                <w:b/>
                <w:bCs/>
                <w:sz w:val="18"/>
                <w:szCs w:val="18"/>
              </w:rPr>
            </w:pPr>
            <w:r w:rsidRPr="00494051">
              <w:rPr>
                <w:rFonts w:cstheme="minorHAnsi"/>
                <w:b/>
                <w:bCs/>
                <w:sz w:val="18"/>
                <w:szCs w:val="18"/>
              </w:rPr>
              <w:t>Were losses of patients to follow-up taken into account?</w:t>
            </w:r>
          </w:p>
        </w:tc>
        <w:tc>
          <w:tcPr>
            <w:tcW w:w="630" w:type="dxa"/>
            <w:noWrap/>
            <w:tcMar>
              <w:top w:w="62" w:type="dxa"/>
              <w:left w:w="62" w:type="dxa"/>
              <w:bottom w:w="62" w:type="dxa"/>
              <w:right w:w="62" w:type="dxa"/>
            </w:tcMar>
            <w:hideMark/>
          </w:tcPr>
          <w:p w14:paraId="121D6C9F"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0DDCD1B4"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6B6593DF"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32E6B5AB"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57D42B13" w14:textId="77777777" w:rsidR="007F0AE0" w:rsidRPr="00494051" w:rsidRDefault="007F0AE0" w:rsidP="00453DE3">
            <w:pPr>
              <w:rPr>
                <w:rFonts w:cstheme="minorHAnsi"/>
                <w:sz w:val="18"/>
                <w:szCs w:val="18"/>
              </w:rPr>
            </w:pPr>
            <w:r w:rsidRPr="00494051">
              <w:rPr>
                <w:rFonts w:cstheme="minorHAnsi"/>
                <w:sz w:val="18"/>
                <w:szCs w:val="18"/>
              </w:rPr>
              <w:t xml:space="preserve">If the numbers of patients lost to follow-up are not reported, the question should be answered as unable to determine. If the proportion lost to follow-up was too small to affect the main findings or if the losses to follow up were taken into account in a way that would only bias results towards the null, the question should be answered yes. </w:t>
            </w:r>
          </w:p>
        </w:tc>
        <w:tc>
          <w:tcPr>
            <w:tcW w:w="2515" w:type="dxa"/>
            <w:tcMar>
              <w:top w:w="62" w:type="dxa"/>
              <w:left w:w="62" w:type="dxa"/>
              <w:bottom w:w="62" w:type="dxa"/>
              <w:right w:w="62" w:type="dxa"/>
            </w:tcMar>
            <w:hideMark/>
          </w:tcPr>
          <w:p w14:paraId="01855C76" w14:textId="77777777" w:rsidR="007F0AE0" w:rsidRPr="00494051" w:rsidRDefault="007F0AE0" w:rsidP="00453DE3">
            <w:pPr>
              <w:rPr>
                <w:rFonts w:cstheme="minorHAnsi"/>
                <w:sz w:val="18"/>
                <w:szCs w:val="18"/>
              </w:rPr>
            </w:pPr>
            <w:r w:rsidRPr="00494051">
              <w:rPr>
                <w:rFonts w:cstheme="minorHAnsi"/>
                <w:sz w:val="18"/>
                <w:szCs w:val="18"/>
              </w:rPr>
              <w:t xml:space="preserve">In a smoking cessation trial, if those who were lost to follow up were assumed to have relapsed, and counted as such in the analysis, mark yes. </w:t>
            </w:r>
          </w:p>
        </w:tc>
      </w:tr>
      <w:tr w:rsidR="007F0AE0" w:rsidRPr="00494051" w14:paraId="70D5E9E0" w14:textId="77777777" w:rsidTr="00453DE3">
        <w:trPr>
          <w:trHeight w:val="1849"/>
        </w:trPr>
        <w:tc>
          <w:tcPr>
            <w:tcW w:w="1075" w:type="dxa"/>
            <w:noWrap/>
            <w:tcMar>
              <w:top w:w="62" w:type="dxa"/>
              <w:left w:w="62" w:type="dxa"/>
              <w:bottom w:w="62" w:type="dxa"/>
              <w:right w:w="62" w:type="dxa"/>
            </w:tcMar>
            <w:hideMark/>
          </w:tcPr>
          <w:p w14:paraId="40F2276B" w14:textId="77777777" w:rsidR="007F0AE0" w:rsidRPr="00494051" w:rsidRDefault="007F0AE0" w:rsidP="00453DE3">
            <w:pPr>
              <w:jc w:val="center"/>
              <w:rPr>
                <w:rFonts w:cstheme="minorHAnsi"/>
                <w:b/>
                <w:bCs/>
                <w:sz w:val="18"/>
                <w:szCs w:val="18"/>
              </w:rPr>
            </w:pPr>
            <w:r w:rsidRPr="00494051">
              <w:rPr>
                <w:rFonts w:cstheme="minorHAnsi"/>
                <w:b/>
                <w:bCs/>
                <w:sz w:val="18"/>
                <w:szCs w:val="18"/>
              </w:rPr>
              <w:t>Q27</w:t>
            </w:r>
          </w:p>
        </w:tc>
        <w:tc>
          <w:tcPr>
            <w:tcW w:w="2250" w:type="dxa"/>
            <w:tcMar>
              <w:top w:w="62" w:type="dxa"/>
              <w:left w:w="62" w:type="dxa"/>
              <w:bottom w:w="62" w:type="dxa"/>
              <w:right w:w="62" w:type="dxa"/>
            </w:tcMar>
            <w:hideMark/>
          </w:tcPr>
          <w:p w14:paraId="24DF1CD9" w14:textId="77777777" w:rsidR="007F0AE0" w:rsidRPr="00494051" w:rsidRDefault="007F0AE0" w:rsidP="00453DE3">
            <w:pPr>
              <w:rPr>
                <w:rFonts w:cstheme="minorHAnsi"/>
                <w:b/>
                <w:bCs/>
                <w:sz w:val="18"/>
                <w:szCs w:val="18"/>
              </w:rPr>
            </w:pPr>
            <w:r w:rsidRPr="00494051">
              <w:rPr>
                <w:rFonts w:cstheme="minorHAnsi"/>
                <w:b/>
                <w:bCs/>
                <w:sz w:val="18"/>
                <w:szCs w:val="18"/>
              </w:rPr>
              <w:t>Did the study have sufficient power to detect a clinically important effect where the probability value for a difference being due to chance is less than 5%?</w:t>
            </w:r>
          </w:p>
        </w:tc>
        <w:tc>
          <w:tcPr>
            <w:tcW w:w="630" w:type="dxa"/>
            <w:noWrap/>
            <w:tcMar>
              <w:top w:w="62" w:type="dxa"/>
              <w:left w:w="62" w:type="dxa"/>
              <w:bottom w:w="62" w:type="dxa"/>
              <w:right w:w="62" w:type="dxa"/>
            </w:tcMar>
            <w:hideMark/>
          </w:tcPr>
          <w:p w14:paraId="1E6276AB" w14:textId="77777777" w:rsidR="007F0AE0" w:rsidRPr="00494051" w:rsidRDefault="007F0AE0" w:rsidP="00453DE3">
            <w:pPr>
              <w:jc w:val="center"/>
              <w:rPr>
                <w:rFonts w:cstheme="minorHAnsi"/>
                <w:sz w:val="18"/>
                <w:szCs w:val="18"/>
              </w:rPr>
            </w:pPr>
            <w:r w:rsidRPr="00494051">
              <w:rPr>
                <w:rFonts w:cstheme="minorHAnsi"/>
                <w:sz w:val="18"/>
                <w:szCs w:val="18"/>
              </w:rPr>
              <w:t>1</w:t>
            </w:r>
          </w:p>
        </w:tc>
        <w:tc>
          <w:tcPr>
            <w:tcW w:w="900" w:type="dxa"/>
            <w:noWrap/>
            <w:tcMar>
              <w:top w:w="62" w:type="dxa"/>
              <w:left w:w="62" w:type="dxa"/>
              <w:bottom w:w="62" w:type="dxa"/>
              <w:right w:w="62" w:type="dxa"/>
            </w:tcMar>
            <w:hideMark/>
          </w:tcPr>
          <w:p w14:paraId="426F3CB0" w14:textId="77777777" w:rsidR="007F0AE0" w:rsidRPr="00494051" w:rsidRDefault="007F0AE0" w:rsidP="00453DE3">
            <w:pPr>
              <w:jc w:val="center"/>
              <w:rPr>
                <w:rFonts w:cstheme="minorHAnsi"/>
                <w:sz w:val="18"/>
                <w:szCs w:val="18"/>
              </w:rPr>
            </w:pPr>
          </w:p>
        </w:tc>
        <w:tc>
          <w:tcPr>
            <w:tcW w:w="669" w:type="dxa"/>
            <w:noWrap/>
            <w:tcMar>
              <w:top w:w="62" w:type="dxa"/>
              <w:left w:w="62" w:type="dxa"/>
              <w:bottom w:w="62" w:type="dxa"/>
              <w:right w:w="62" w:type="dxa"/>
            </w:tcMar>
            <w:hideMark/>
          </w:tcPr>
          <w:p w14:paraId="4077F91D" w14:textId="77777777" w:rsidR="007F0AE0" w:rsidRPr="00494051" w:rsidRDefault="007F0AE0" w:rsidP="00453DE3">
            <w:pPr>
              <w:jc w:val="center"/>
              <w:rPr>
                <w:rFonts w:cstheme="minorHAnsi"/>
                <w:sz w:val="18"/>
                <w:szCs w:val="18"/>
              </w:rPr>
            </w:pPr>
            <w:r w:rsidRPr="00494051">
              <w:rPr>
                <w:rFonts w:cstheme="minorHAnsi"/>
                <w:sz w:val="18"/>
                <w:szCs w:val="18"/>
              </w:rPr>
              <w:t>0</w:t>
            </w:r>
          </w:p>
        </w:tc>
        <w:tc>
          <w:tcPr>
            <w:tcW w:w="1134" w:type="dxa"/>
            <w:noWrap/>
            <w:tcMar>
              <w:top w:w="62" w:type="dxa"/>
              <w:left w:w="62" w:type="dxa"/>
              <w:bottom w:w="62" w:type="dxa"/>
              <w:right w:w="62" w:type="dxa"/>
            </w:tcMar>
            <w:hideMark/>
          </w:tcPr>
          <w:p w14:paraId="559CAAD2" w14:textId="77777777" w:rsidR="007F0AE0" w:rsidRPr="00494051" w:rsidRDefault="007F0AE0" w:rsidP="00453DE3">
            <w:pPr>
              <w:jc w:val="center"/>
              <w:rPr>
                <w:rFonts w:cstheme="minorHAnsi"/>
                <w:sz w:val="18"/>
                <w:szCs w:val="18"/>
              </w:rPr>
            </w:pPr>
            <w:r w:rsidRPr="00494051">
              <w:rPr>
                <w:rFonts w:cstheme="minorHAnsi"/>
                <w:sz w:val="18"/>
                <w:szCs w:val="18"/>
              </w:rPr>
              <w:t>U</w:t>
            </w:r>
          </w:p>
        </w:tc>
        <w:tc>
          <w:tcPr>
            <w:tcW w:w="3777" w:type="dxa"/>
            <w:tcMar>
              <w:top w:w="62" w:type="dxa"/>
              <w:left w:w="62" w:type="dxa"/>
              <w:bottom w:w="62" w:type="dxa"/>
              <w:right w:w="62" w:type="dxa"/>
            </w:tcMar>
            <w:hideMark/>
          </w:tcPr>
          <w:p w14:paraId="76521998" w14:textId="77777777" w:rsidR="007F0AE0" w:rsidRPr="00494051" w:rsidRDefault="007F0AE0" w:rsidP="00453DE3">
            <w:pPr>
              <w:rPr>
                <w:rFonts w:cstheme="minorHAnsi"/>
                <w:sz w:val="18"/>
                <w:szCs w:val="18"/>
              </w:rPr>
            </w:pPr>
            <w:r w:rsidRPr="00494051">
              <w:rPr>
                <w:rFonts w:cstheme="minorHAnsi"/>
                <w:sz w:val="18"/>
                <w:szCs w:val="18"/>
              </w:rPr>
              <w:t>Yes/No.</w:t>
            </w:r>
            <w:r>
              <w:rPr>
                <w:rFonts w:cstheme="minorHAnsi"/>
                <w:sz w:val="18"/>
                <w:szCs w:val="18"/>
              </w:rPr>
              <w:t xml:space="preserve"> </w:t>
            </w:r>
          </w:p>
        </w:tc>
        <w:tc>
          <w:tcPr>
            <w:tcW w:w="2515" w:type="dxa"/>
            <w:tcMar>
              <w:top w:w="62" w:type="dxa"/>
              <w:left w:w="62" w:type="dxa"/>
              <w:bottom w:w="62" w:type="dxa"/>
              <w:right w:w="62" w:type="dxa"/>
            </w:tcMar>
            <w:hideMark/>
          </w:tcPr>
          <w:p w14:paraId="46ACDE38" w14:textId="77777777" w:rsidR="007F0AE0" w:rsidRPr="00494051" w:rsidRDefault="007F0AE0" w:rsidP="00453DE3">
            <w:pPr>
              <w:rPr>
                <w:rFonts w:cstheme="minorHAnsi"/>
                <w:sz w:val="18"/>
                <w:szCs w:val="18"/>
              </w:rPr>
            </w:pPr>
            <w:r w:rsidRPr="00494051">
              <w:rPr>
                <w:rFonts w:cstheme="minorHAnsi"/>
                <w:sz w:val="18"/>
                <w:szCs w:val="18"/>
              </w:rPr>
              <w:t>If the study is a large national survey with clearly adequate power, mark</w:t>
            </w:r>
            <w:r>
              <w:rPr>
                <w:rFonts w:cstheme="minorHAnsi"/>
                <w:sz w:val="18"/>
                <w:szCs w:val="18"/>
              </w:rPr>
              <w:t xml:space="preserve"> </w:t>
            </w:r>
            <w:r w:rsidRPr="00494051">
              <w:rPr>
                <w:rFonts w:cstheme="minorHAnsi"/>
                <w:sz w:val="18"/>
                <w:szCs w:val="18"/>
              </w:rPr>
              <w:t>yes; if the study is not a large national survey and does not address power, select no.</w:t>
            </w:r>
          </w:p>
        </w:tc>
      </w:tr>
    </w:tbl>
    <w:p w14:paraId="597A26EB" w14:textId="77777777" w:rsidR="007F0AE0" w:rsidRDefault="007F0AE0" w:rsidP="007F0AE0">
      <w:pPr>
        <w:rPr>
          <w:rFonts w:cstheme="minorHAnsi"/>
          <w:sz w:val="18"/>
          <w:szCs w:val="18"/>
        </w:rPr>
        <w:sectPr w:rsidR="007F0AE0" w:rsidSect="00265486">
          <w:pgSz w:w="15840" w:h="12240" w:orient="landscape"/>
          <w:pgMar w:top="1440" w:right="1440" w:bottom="1440" w:left="1440" w:header="720" w:footer="720" w:gutter="0"/>
          <w:cols w:space="720"/>
          <w:titlePg/>
          <w:docGrid w:linePitch="360"/>
        </w:sectPr>
      </w:pPr>
    </w:p>
    <w:p w14:paraId="3E33D89E" w14:textId="77777777" w:rsidR="007F0AE0" w:rsidRPr="00470284" w:rsidRDefault="007F0AE0" w:rsidP="007F0AE0">
      <w:pPr>
        <w:spacing w:after="240" w:line="240" w:lineRule="auto"/>
        <w:jc w:val="center"/>
      </w:pPr>
      <w:r w:rsidRPr="00470284">
        <w:rPr>
          <w:rFonts w:cstheme="minorHAnsi"/>
          <w:b/>
        </w:rPr>
        <w:lastRenderedPageBreak/>
        <w:t>REFERENCES</w:t>
      </w:r>
    </w:p>
    <w:p w14:paraId="6609F7AB" w14:textId="77777777" w:rsidR="007F0AE0" w:rsidRPr="00470284" w:rsidRDefault="007F0AE0" w:rsidP="007F0AE0">
      <w:pPr>
        <w:spacing w:after="240" w:line="240" w:lineRule="auto"/>
        <w:rPr>
          <w:rFonts w:ascii="Calibri" w:hAnsi="Calibri" w:cs="Calibri"/>
          <w:noProof/>
        </w:rPr>
      </w:pPr>
      <w:r w:rsidRPr="00470284">
        <w:rPr>
          <w:rFonts w:ascii="Calibri" w:hAnsi="Calibri" w:cs="Calibri"/>
          <w:noProof/>
        </w:rPr>
        <w:fldChar w:fldCharType="begin"/>
      </w:r>
      <w:r w:rsidRPr="00470284">
        <w:rPr>
          <w:rFonts w:ascii="Calibri" w:hAnsi="Calibri" w:cs="Calibri"/>
          <w:noProof/>
        </w:rPr>
        <w:instrText xml:space="preserve"> ADDIN EN.REFLIST </w:instrText>
      </w:r>
      <w:r w:rsidRPr="00470284">
        <w:rPr>
          <w:rFonts w:ascii="Calibri" w:hAnsi="Calibri" w:cs="Calibri"/>
          <w:noProof/>
        </w:rPr>
        <w:fldChar w:fldCharType="separate"/>
      </w:r>
      <w:r w:rsidRPr="00470284">
        <w:rPr>
          <w:rFonts w:ascii="Calibri" w:hAnsi="Calibri" w:cs="Calibri"/>
          <w:noProof/>
        </w:rPr>
        <w:t>Higgins, J.P.T., Altman, D.G., Sterne, J.A.C., 2011. Section 13.5. Assessing risk of bias in non-randomized studies, in: Higgins, J.P.T., Green, S. (Eds.), Cochrane Handbook for Systematic Reviews of Interventions. The Cochrane Collaboration.</w:t>
      </w:r>
    </w:p>
    <w:p w14:paraId="276F45E5" w14:textId="77777777" w:rsidR="007F0AE0" w:rsidRPr="00494051" w:rsidRDefault="007F0AE0" w:rsidP="007F0AE0">
      <w:pPr>
        <w:spacing w:after="240" w:line="240" w:lineRule="auto"/>
        <w:rPr>
          <w:rFonts w:cstheme="minorHAnsi"/>
        </w:rPr>
        <w:sectPr w:rsidR="007F0AE0" w:rsidRPr="00494051" w:rsidSect="00470284">
          <w:pgSz w:w="12240" w:h="15840"/>
          <w:pgMar w:top="1440" w:right="1440" w:bottom="1440" w:left="1440" w:header="720" w:footer="720" w:gutter="0"/>
          <w:cols w:space="720"/>
          <w:titlePg/>
          <w:docGrid w:linePitch="360"/>
        </w:sectPr>
      </w:pPr>
      <w:r w:rsidRPr="00470284">
        <w:fldChar w:fldCharType="end"/>
      </w:r>
    </w:p>
    <w:p w14:paraId="72D935CF" w14:textId="77777777" w:rsidR="007F0AE0" w:rsidRPr="00494051" w:rsidRDefault="007F0AE0" w:rsidP="007F0AE0">
      <w:pPr>
        <w:spacing w:after="120" w:line="240" w:lineRule="auto"/>
        <w:outlineLvl w:val="0"/>
        <w:rPr>
          <w:rFonts w:cstheme="minorHAnsi"/>
          <w:b/>
        </w:rPr>
      </w:pPr>
      <w:bookmarkStart w:id="30" w:name="Supp10"/>
      <w:r w:rsidRPr="00494051">
        <w:rPr>
          <w:rFonts w:cstheme="minorHAnsi"/>
          <w:b/>
        </w:rPr>
        <w:lastRenderedPageBreak/>
        <w:t xml:space="preserve">SUPPLEMENTAL SECTION </w:t>
      </w:r>
      <w:r>
        <w:rPr>
          <w:rFonts w:cstheme="minorHAnsi"/>
          <w:b/>
        </w:rPr>
        <w:t>13</w:t>
      </w:r>
      <w:r w:rsidRPr="00494051">
        <w:rPr>
          <w:rFonts w:cstheme="minorHAnsi"/>
          <w:b/>
        </w:rPr>
        <w:t>: Strength of Evidence</w:t>
      </w:r>
    </w:p>
    <w:bookmarkEnd w:id="30"/>
    <w:p w14:paraId="11F23B51" w14:textId="77777777" w:rsidR="007F0AE0" w:rsidRDefault="007F0AE0" w:rsidP="007F0AE0">
      <w:pPr>
        <w:pStyle w:val="BodyText"/>
        <w:jc w:val="both"/>
        <w:rPr>
          <w:rFonts w:asciiTheme="minorHAnsi" w:hAnsiTheme="minorHAnsi" w:cstheme="minorHAnsi"/>
          <w:b/>
          <w:sz w:val="22"/>
          <w:szCs w:val="22"/>
        </w:rPr>
      </w:pPr>
      <w:r w:rsidRPr="00494051">
        <w:rPr>
          <w:rFonts w:asciiTheme="minorHAnsi" w:hAnsiTheme="minorHAnsi" w:cstheme="minorHAnsi"/>
          <w:b/>
          <w:sz w:val="22"/>
          <w:szCs w:val="22"/>
        </w:rPr>
        <w:t>Strength of Evidence Definitions</w:t>
      </w:r>
    </w:p>
    <w:p w14:paraId="14DA424F" w14:textId="77777777" w:rsidR="007F0AE0" w:rsidRPr="00494051" w:rsidRDefault="007F0AE0" w:rsidP="007F0AE0">
      <w:pPr>
        <w:spacing w:after="120" w:line="240" w:lineRule="auto"/>
        <w:jc w:val="both"/>
        <w:rPr>
          <w:rFonts w:cstheme="minorHAnsi"/>
          <w:color w:val="000000" w:themeColor="text1"/>
        </w:rPr>
      </w:pPr>
      <w:r w:rsidRPr="00494051">
        <w:rPr>
          <w:rFonts w:cstheme="minorHAnsi"/>
          <w:color w:val="000000" w:themeColor="text1"/>
        </w:rPr>
        <w:t xml:space="preserve">Recognizing inherent limitations in assessing the confidence in empirical conclusions based on observational data </w:t>
      </w:r>
      <w:r w:rsidRPr="00494051">
        <w:rPr>
          <w:rFonts w:cstheme="minorHAnsi"/>
          <w:color w:val="000000" w:themeColor="text1"/>
        </w:rPr>
        <w:fldChar w:fldCharType="begin">
          <w:fldData xml:space="preserve">PEVuZE5vdGU+PENpdGU+PEF1dGhvcj5XZWxsczwvQXV0aG9yPjxZZWFyPjIwMTM8L1llYXI+PFJl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PEVuZE5vdGU+PENpdGU+PEF1dGhvcj5XZWxsczwvQXV0aG9yPjxZZWFyPjIwMTM8L1llYXI+PFJl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494051">
        <w:rPr>
          <w:rFonts w:cstheme="minorHAnsi"/>
          <w:color w:val="000000" w:themeColor="text1"/>
        </w:rPr>
        <w:fldChar w:fldCharType="separate"/>
      </w:r>
      <w:r>
        <w:rPr>
          <w:rFonts w:cstheme="minorHAnsi"/>
          <w:noProof/>
          <w:color w:val="000000" w:themeColor="text1"/>
        </w:rPr>
        <w:t>(</w:t>
      </w:r>
      <w:hyperlink w:anchor="_ENREF_122" w:tooltip="Wells, 2013 #246" w:history="1">
        <w:r>
          <w:rPr>
            <w:rFonts w:cstheme="minorHAnsi"/>
            <w:noProof/>
            <w:color w:val="000000" w:themeColor="text1"/>
          </w:rPr>
          <w:t>122-125</w:t>
        </w:r>
      </w:hyperlink>
      <w:r>
        <w:rPr>
          <w:rFonts w:cstheme="minorHAnsi"/>
          <w:noProof/>
          <w:color w:val="000000" w:themeColor="text1"/>
        </w:rPr>
        <w:t>)</w:t>
      </w:r>
      <w:r w:rsidRPr="00494051">
        <w:rPr>
          <w:rFonts w:cstheme="minorHAnsi"/>
          <w:color w:val="000000" w:themeColor="text1"/>
        </w:rPr>
        <w:fldChar w:fldCharType="end"/>
      </w:r>
      <w:r w:rsidRPr="00494051">
        <w:rPr>
          <w:rFonts w:cstheme="minorHAnsi"/>
          <w:color w:val="000000" w:themeColor="text1"/>
        </w:rPr>
        <w:t>, the Agency for Healthcare Research and Quality (AHRQ) Evidence-Based Practice Center (EPC) approach, which is based largely on the methods developed by the Grading of Recommendations Assessment, Development and Evaluation (GRADE) Working Group</w:t>
      </w:r>
      <w:r>
        <w:rPr>
          <w:rFonts w:cstheme="minorHAnsi"/>
          <w:color w:val="000000" w:themeColor="text1"/>
        </w:rPr>
        <w:t xml:space="preserve"> </w:t>
      </w:r>
      <w:r>
        <w:rPr>
          <w:rFonts w:cstheme="minorHAnsi"/>
          <w:color w:val="000000" w:themeColor="text1"/>
        </w:rPr>
        <w:fldChar w:fldCharType="begin"/>
      </w:r>
      <w:r>
        <w:rPr>
          <w:rFonts w:cstheme="minorHAnsi"/>
          <w:color w:val="000000" w:themeColor="text1"/>
        </w:rPr>
        <w:instrText xml:space="preserve"> ADDIN EN.CITE &lt;EndNote&gt;&lt;Cite&gt;&lt;Author&gt;Group&lt;/Author&gt;&lt;Year&gt;2004&lt;/Year&gt;&lt;RecNum&gt;1997&lt;/RecNum&gt;&lt;DisplayText&gt;(126)&lt;/DisplayText&gt;&lt;record&gt;&lt;rec-number&gt;1997&lt;/rec-number&gt;&lt;foreign-keys&gt;&lt;key app="EN" db-id="a2vz2dfp8xrad6exes75zwpiw5rxwa0vwapv" timestamp="1552590855"&gt;1997&lt;/key&gt;&lt;/foreign-keys&gt;&lt;ref-type name="Journal Article"&gt;17&lt;/ref-type&gt;&lt;contributors&gt;&lt;authors&gt;&lt;author&gt;Grade Working Group&lt;/author&gt;&lt;/authors&gt;&lt;/contributors&gt;&lt;titles&gt;&lt;title&gt;Grading quality of evidence and strength of recommendations&lt;/title&gt;&lt;secondary-title&gt;BMJ : British Medical Journal&lt;/secondary-title&gt;&lt;/titles&gt;&lt;periodical&gt;&lt;full-title&gt;BMJ : British Medical Journal&lt;/full-title&gt;&lt;/periodical&gt;&lt;pages&gt;1490-1490&lt;/pages&gt;&lt;volume&gt;328&lt;/volume&gt;&lt;number&gt;7454&lt;/number&gt;&lt;dates&gt;&lt;year&gt;2004&lt;/year&gt;&lt;pub-dates&gt;&lt;date&gt;03/05/accepted&lt;/date&gt;&lt;/pub-dates&gt;&lt;/dates&gt;&lt;publisher&gt;BMJ Publishing Group Ltd.&lt;/publisher&gt;&lt;isbn&gt;0959-8138&amp;#xD;1468-5833&lt;/isbn&gt;&lt;accession-num&gt;PMC428525&lt;/accession-num&gt;&lt;urls&gt;&lt;related-urls&gt;&lt;url&gt;http://www.ncbi.nlm.nih.gov/pmc/articles/PMC428525/&lt;/url&gt;&lt;/related-urls&gt;&lt;/urls&gt;&lt;remote-database-name&gt;PMC&lt;/remote-database-name&gt;&lt;/record&gt;&lt;/Cite&gt;&lt;/EndNote&gt;</w:instrText>
      </w:r>
      <w:r>
        <w:rPr>
          <w:rFonts w:cstheme="minorHAnsi"/>
          <w:color w:val="000000" w:themeColor="text1"/>
        </w:rPr>
        <w:fldChar w:fldCharType="separate"/>
      </w:r>
      <w:r>
        <w:rPr>
          <w:rFonts w:cstheme="minorHAnsi"/>
          <w:noProof/>
          <w:color w:val="000000" w:themeColor="text1"/>
        </w:rPr>
        <w:t>(</w:t>
      </w:r>
      <w:hyperlink w:anchor="_ENREF_126" w:tooltip="Group, 2004 #1997" w:history="1">
        <w:r>
          <w:rPr>
            <w:rFonts w:cstheme="minorHAnsi"/>
            <w:noProof/>
            <w:color w:val="000000" w:themeColor="text1"/>
          </w:rPr>
          <w:t>126</w:t>
        </w:r>
      </w:hyperlink>
      <w:r>
        <w:rPr>
          <w:rFonts w:cstheme="minorHAnsi"/>
          <w:noProof/>
          <w:color w:val="000000" w:themeColor="text1"/>
        </w:rPr>
        <w:t>)</w:t>
      </w:r>
      <w:r>
        <w:rPr>
          <w:rFonts w:cstheme="minorHAnsi"/>
          <w:color w:val="000000" w:themeColor="text1"/>
        </w:rPr>
        <w:fldChar w:fldCharType="end"/>
      </w:r>
      <w:r w:rsidRPr="00494051">
        <w:rPr>
          <w:rFonts w:cstheme="minorHAnsi"/>
          <w:color w:val="000000" w:themeColor="text1"/>
        </w:rPr>
        <w:t xml:space="preserve">, was deemed acceptable for this review. Strength of evidence for this review was evaluated based on the four required domains: (1) study limitations (previously called risk of bias), (2) directness, (3) consistency, and (4) precision.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3225"/>
        <w:gridCol w:w="4961"/>
      </w:tblGrid>
      <w:tr w:rsidR="007F0AE0" w:rsidRPr="00AA34CA" w14:paraId="12DEEF94" w14:textId="77777777" w:rsidTr="00453DE3">
        <w:tc>
          <w:tcPr>
            <w:tcW w:w="1165" w:type="dxa"/>
            <w:shd w:val="clear" w:color="auto" w:fill="44546A" w:themeFill="text2"/>
            <w:tcMar>
              <w:top w:w="62" w:type="dxa"/>
              <w:left w:w="62" w:type="dxa"/>
              <w:bottom w:w="62" w:type="dxa"/>
              <w:right w:w="62" w:type="dxa"/>
            </w:tcMar>
          </w:tcPr>
          <w:p w14:paraId="142E86CD" w14:textId="77777777" w:rsidR="007F0AE0" w:rsidRPr="00F52E88" w:rsidRDefault="007F0AE0" w:rsidP="00453DE3">
            <w:pPr>
              <w:autoSpaceDE w:val="0"/>
              <w:autoSpaceDN w:val="0"/>
              <w:adjustRightInd w:val="0"/>
              <w:jc w:val="center"/>
              <w:rPr>
                <w:rFonts w:cstheme="minorHAnsi"/>
                <w:b/>
                <w:color w:val="FFFFFF" w:themeColor="background1"/>
                <w:sz w:val="18"/>
                <w:szCs w:val="18"/>
              </w:rPr>
            </w:pPr>
            <w:r w:rsidRPr="00F52E88">
              <w:rPr>
                <w:rFonts w:cstheme="minorHAnsi"/>
                <w:b/>
                <w:color w:val="FFFFFF" w:themeColor="background1"/>
                <w:sz w:val="18"/>
                <w:szCs w:val="18"/>
              </w:rPr>
              <w:t>Grade</w:t>
            </w:r>
          </w:p>
        </w:tc>
        <w:tc>
          <w:tcPr>
            <w:tcW w:w="3225" w:type="dxa"/>
            <w:shd w:val="clear" w:color="auto" w:fill="44546A" w:themeFill="text2"/>
            <w:tcMar>
              <w:top w:w="62" w:type="dxa"/>
              <w:left w:w="62" w:type="dxa"/>
              <w:bottom w:w="62" w:type="dxa"/>
              <w:right w:w="62" w:type="dxa"/>
            </w:tcMar>
          </w:tcPr>
          <w:p w14:paraId="57F61F7E" w14:textId="77777777" w:rsidR="007F0AE0" w:rsidRPr="00F52E88" w:rsidRDefault="007F0AE0" w:rsidP="00453DE3">
            <w:pPr>
              <w:autoSpaceDE w:val="0"/>
              <w:autoSpaceDN w:val="0"/>
              <w:adjustRightInd w:val="0"/>
              <w:jc w:val="center"/>
              <w:rPr>
                <w:rFonts w:cstheme="minorHAnsi"/>
                <w:b/>
                <w:color w:val="FFFFFF" w:themeColor="background1"/>
                <w:sz w:val="18"/>
                <w:szCs w:val="18"/>
              </w:rPr>
            </w:pPr>
            <w:r w:rsidRPr="00F52E88">
              <w:rPr>
                <w:rFonts w:cstheme="minorHAnsi"/>
                <w:b/>
                <w:color w:val="FFFFFF" w:themeColor="background1"/>
                <w:sz w:val="18"/>
                <w:szCs w:val="18"/>
              </w:rPr>
              <w:t>Interpretation</w:t>
            </w:r>
          </w:p>
        </w:tc>
        <w:tc>
          <w:tcPr>
            <w:tcW w:w="4961" w:type="dxa"/>
            <w:shd w:val="clear" w:color="auto" w:fill="44546A" w:themeFill="text2"/>
            <w:tcMar>
              <w:top w:w="62" w:type="dxa"/>
              <w:left w:w="62" w:type="dxa"/>
              <w:bottom w:w="62" w:type="dxa"/>
              <w:right w:w="62" w:type="dxa"/>
            </w:tcMar>
          </w:tcPr>
          <w:p w14:paraId="18230762" w14:textId="77777777" w:rsidR="007F0AE0" w:rsidRPr="00F52E88" w:rsidRDefault="007F0AE0" w:rsidP="00453DE3">
            <w:pPr>
              <w:autoSpaceDE w:val="0"/>
              <w:autoSpaceDN w:val="0"/>
              <w:adjustRightInd w:val="0"/>
              <w:jc w:val="center"/>
              <w:rPr>
                <w:rFonts w:cstheme="minorHAnsi"/>
                <w:b/>
                <w:color w:val="FFFFFF" w:themeColor="background1"/>
                <w:sz w:val="18"/>
                <w:szCs w:val="18"/>
              </w:rPr>
            </w:pPr>
            <w:r w:rsidRPr="00F52E88">
              <w:rPr>
                <w:rFonts w:cstheme="minorHAnsi"/>
                <w:b/>
                <w:color w:val="FFFFFF" w:themeColor="background1"/>
                <w:sz w:val="18"/>
                <w:szCs w:val="18"/>
              </w:rPr>
              <w:t>Description</w:t>
            </w:r>
          </w:p>
        </w:tc>
      </w:tr>
      <w:tr w:rsidR="007F0AE0" w:rsidRPr="00AA34CA" w14:paraId="1A2A47A7" w14:textId="77777777" w:rsidTr="00453DE3">
        <w:tc>
          <w:tcPr>
            <w:tcW w:w="1165" w:type="dxa"/>
            <w:shd w:val="clear" w:color="auto" w:fill="E7E6E6"/>
            <w:tcMar>
              <w:top w:w="62" w:type="dxa"/>
              <w:left w:w="62" w:type="dxa"/>
              <w:bottom w:w="62" w:type="dxa"/>
              <w:right w:w="62" w:type="dxa"/>
            </w:tcMar>
          </w:tcPr>
          <w:p w14:paraId="0D99C45B" w14:textId="77777777" w:rsidR="007F0AE0" w:rsidRPr="00F52E88" w:rsidRDefault="007F0AE0" w:rsidP="00453DE3">
            <w:pPr>
              <w:autoSpaceDE w:val="0"/>
              <w:autoSpaceDN w:val="0"/>
              <w:adjustRightInd w:val="0"/>
              <w:jc w:val="center"/>
              <w:rPr>
                <w:rFonts w:cstheme="minorHAnsi"/>
                <w:b/>
                <w:color w:val="000000" w:themeColor="text1"/>
                <w:sz w:val="18"/>
                <w:szCs w:val="18"/>
              </w:rPr>
            </w:pPr>
            <w:r w:rsidRPr="00F52E88">
              <w:rPr>
                <w:rFonts w:cstheme="minorHAnsi"/>
                <w:b/>
                <w:color w:val="000000" w:themeColor="text1"/>
                <w:sz w:val="18"/>
                <w:szCs w:val="18"/>
              </w:rPr>
              <w:t>High</w:t>
            </w:r>
          </w:p>
        </w:tc>
        <w:tc>
          <w:tcPr>
            <w:tcW w:w="3225" w:type="dxa"/>
            <w:shd w:val="clear" w:color="auto" w:fill="FFFFFF" w:themeFill="background1"/>
            <w:tcMar>
              <w:top w:w="62" w:type="dxa"/>
              <w:left w:w="62" w:type="dxa"/>
              <w:bottom w:w="62" w:type="dxa"/>
              <w:right w:w="62" w:type="dxa"/>
            </w:tcMar>
          </w:tcPr>
          <w:p w14:paraId="5F0E8463" w14:textId="77777777" w:rsidR="007F0AE0" w:rsidRPr="00F52E88" w:rsidRDefault="007F0AE0" w:rsidP="00453DE3">
            <w:pPr>
              <w:autoSpaceDE w:val="0"/>
              <w:autoSpaceDN w:val="0"/>
              <w:adjustRightInd w:val="0"/>
              <w:rPr>
                <w:rFonts w:cstheme="minorHAnsi"/>
                <w:color w:val="000000" w:themeColor="text1"/>
                <w:sz w:val="18"/>
                <w:szCs w:val="18"/>
              </w:rPr>
            </w:pPr>
            <w:r w:rsidRPr="00F52E88">
              <w:rPr>
                <w:rFonts w:cstheme="minorHAnsi"/>
                <w:color w:val="000000" w:themeColor="text1"/>
                <w:sz w:val="18"/>
                <w:szCs w:val="18"/>
              </w:rPr>
              <w:t>Very confident that the estimate of effect lies close to the true effect for this outcome.</w:t>
            </w:r>
          </w:p>
        </w:tc>
        <w:tc>
          <w:tcPr>
            <w:tcW w:w="4961" w:type="dxa"/>
            <w:shd w:val="clear" w:color="auto" w:fill="FFFFFF" w:themeFill="background1"/>
            <w:tcMar>
              <w:top w:w="62" w:type="dxa"/>
              <w:left w:w="62" w:type="dxa"/>
              <w:bottom w:w="62" w:type="dxa"/>
              <w:right w:w="62" w:type="dxa"/>
            </w:tcMar>
          </w:tcPr>
          <w:p w14:paraId="4AF9C60C"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The body of evidence has few or no deficiencies.</w:t>
            </w:r>
          </w:p>
          <w:p w14:paraId="6B2F8C67"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We believe that the findings are stable, that is, another study would not change the conclusions.</w:t>
            </w:r>
          </w:p>
        </w:tc>
      </w:tr>
      <w:tr w:rsidR="007F0AE0" w:rsidRPr="00AA34CA" w14:paraId="7B348FE6" w14:textId="77777777" w:rsidTr="00453DE3">
        <w:tc>
          <w:tcPr>
            <w:tcW w:w="1165" w:type="dxa"/>
            <w:shd w:val="clear" w:color="auto" w:fill="E7E6E6"/>
            <w:tcMar>
              <w:top w:w="62" w:type="dxa"/>
              <w:left w:w="62" w:type="dxa"/>
              <w:bottom w:w="62" w:type="dxa"/>
              <w:right w:w="62" w:type="dxa"/>
            </w:tcMar>
          </w:tcPr>
          <w:p w14:paraId="630B8B70" w14:textId="77777777" w:rsidR="007F0AE0" w:rsidRPr="00F52E88" w:rsidRDefault="007F0AE0" w:rsidP="00453DE3">
            <w:pPr>
              <w:autoSpaceDE w:val="0"/>
              <w:autoSpaceDN w:val="0"/>
              <w:adjustRightInd w:val="0"/>
              <w:jc w:val="center"/>
              <w:rPr>
                <w:rFonts w:cstheme="minorHAnsi"/>
                <w:b/>
                <w:color w:val="000000" w:themeColor="text1"/>
                <w:sz w:val="18"/>
                <w:szCs w:val="18"/>
              </w:rPr>
            </w:pPr>
            <w:r w:rsidRPr="00F52E88">
              <w:rPr>
                <w:rFonts w:cstheme="minorHAnsi"/>
                <w:b/>
                <w:color w:val="000000" w:themeColor="text1"/>
                <w:sz w:val="18"/>
                <w:szCs w:val="18"/>
              </w:rPr>
              <w:t>Moderate</w:t>
            </w:r>
          </w:p>
        </w:tc>
        <w:tc>
          <w:tcPr>
            <w:tcW w:w="3225" w:type="dxa"/>
            <w:shd w:val="clear" w:color="auto" w:fill="FFFFFF" w:themeFill="background1"/>
            <w:tcMar>
              <w:top w:w="62" w:type="dxa"/>
              <w:left w:w="62" w:type="dxa"/>
              <w:bottom w:w="62" w:type="dxa"/>
              <w:right w:w="62" w:type="dxa"/>
            </w:tcMar>
          </w:tcPr>
          <w:p w14:paraId="4CF12340" w14:textId="77777777" w:rsidR="007F0AE0" w:rsidRPr="00F52E88" w:rsidRDefault="007F0AE0" w:rsidP="00453DE3">
            <w:pPr>
              <w:autoSpaceDE w:val="0"/>
              <w:autoSpaceDN w:val="0"/>
              <w:adjustRightInd w:val="0"/>
              <w:rPr>
                <w:rFonts w:cstheme="minorHAnsi"/>
                <w:color w:val="000000" w:themeColor="text1"/>
                <w:sz w:val="18"/>
                <w:szCs w:val="18"/>
              </w:rPr>
            </w:pPr>
            <w:r w:rsidRPr="00F52E88">
              <w:rPr>
                <w:rFonts w:cstheme="minorHAnsi"/>
                <w:color w:val="000000" w:themeColor="text1"/>
                <w:sz w:val="18"/>
                <w:szCs w:val="18"/>
              </w:rPr>
              <w:t>Moderately confident that the estimate of effect lies close to the true effect for this outcome.</w:t>
            </w:r>
          </w:p>
        </w:tc>
        <w:tc>
          <w:tcPr>
            <w:tcW w:w="4961" w:type="dxa"/>
            <w:shd w:val="clear" w:color="auto" w:fill="FFFFFF" w:themeFill="background1"/>
            <w:tcMar>
              <w:top w:w="62" w:type="dxa"/>
              <w:left w:w="62" w:type="dxa"/>
              <w:bottom w:w="62" w:type="dxa"/>
              <w:right w:w="62" w:type="dxa"/>
            </w:tcMar>
          </w:tcPr>
          <w:p w14:paraId="59E226BD"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The body of evidence has some deficiencies.</w:t>
            </w:r>
          </w:p>
          <w:p w14:paraId="53F50E5B"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We believe that the findings are likely to be stable, but some doubt remains.</w:t>
            </w:r>
          </w:p>
        </w:tc>
      </w:tr>
      <w:tr w:rsidR="007F0AE0" w:rsidRPr="00AA34CA" w14:paraId="7DDB0814" w14:textId="77777777" w:rsidTr="00453DE3">
        <w:tc>
          <w:tcPr>
            <w:tcW w:w="1165" w:type="dxa"/>
            <w:shd w:val="clear" w:color="auto" w:fill="E7E6E6"/>
            <w:tcMar>
              <w:top w:w="62" w:type="dxa"/>
              <w:left w:w="62" w:type="dxa"/>
              <w:bottom w:w="62" w:type="dxa"/>
              <w:right w:w="62" w:type="dxa"/>
            </w:tcMar>
          </w:tcPr>
          <w:p w14:paraId="2A815867" w14:textId="77777777" w:rsidR="007F0AE0" w:rsidRPr="00F52E88" w:rsidRDefault="007F0AE0" w:rsidP="00453DE3">
            <w:pPr>
              <w:autoSpaceDE w:val="0"/>
              <w:autoSpaceDN w:val="0"/>
              <w:adjustRightInd w:val="0"/>
              <w:jc w:val="center"/>
              <w:rPr>
                <w:rFonts w:cstheme="minorHAnsi"/>
                <w:b/>
                <w:color w:val="000000" w:themeColor="text1"/>
                <w:sz w:val="18"/>
                <w:szCs w:val="18"/>
              </w:rPr>
            </w:pPr>
            <w:r w:rsidRPr="00F52E88">
              <w:rPr>
                <w:rFonts w:cstheme="minorHAnsi"/>
                <w:b/>
                <w:color w:val="000000" w:themeColor="text1"/>
                <w:sz w:val="18"/>
                <w:szCs w:val="18"/>
              </w:rPr>
              <w:t>Low</w:t>
            </w:r>
          </w:p>
        </w:tc>
        <w:tc>
          <w:tcPr>
            <w:tcW w:w="3225" w:type="dxa"/>
            <w:shd w:val="clear" w:color="auto" w:fill="FFFFFF" w:themeFill="background1"/>
            <w:tcMar>
              <w:top w:w="62" w:type="dxa"/>
              <w:left w:w="62" w:type="dxa"/>
              <w:bottom w:w="62" w:type="dxa"/>
              <w:right w:w="62" w:type="dxa"/>
            </w:tcMar>
          </w:tcPr>
          <w:p w14:paraId="3F2925FC" w14:textId="77777777" w:rsidR="007F0AE0" w:rsidRPr="00F52E88" w:rsidRDefault="007F0AE0" w:rsidP="00453DE3">
            <w:pPr>
              <w:autoSpaceDE w:val="0"/>
              <w:autoSpaceDN w:val="0"/>
              <w:adjustRightInd w:val="0"/>
              <w:rPr>
                <w:rFonts w:cstheme="minorHAnsi"/>
                <w:color w:val="000000" w:themeColor="text1"/>
                <w:sz w:val="18"/>
                <w:szCs w:val="18"/>
              </w:rPr>
            </w:pPr>
            <w:r w:rsidRPr="00F52E88">
              <w:rPr>
                <w:rFonts w:cstheme="minorHAnsi"/>
                <w:color w:val="000000" w:themeColor="text1"/>
                <w:sz w:val="18"/>
                <w:szCs w:val="18"/>
              </w:rPr>
              <w:t>Limited confidence that the estimate of effect lies close to the true effect for this outcome.</w:t>
            </w:r>
          </w:p>
        </w:tc>
        <w:tc>
          <w:tcPr>
            <w:tcW w:w="4961" w:type="dxa"/>
            <w:shd w:val="clear" w:color="auto" w:fill="FFFFFF" w:themeFill="background1"/>
            <w:tcMar>
              <w:top w:w="62" w:type="dxa"/>
              <w:left w:w="62" w:type="dxa"/>
              <w:bottom w:w="62" w:type="dxa"/>
              <w:right w:w="62" w:type="dxa"/>
            </w:tcMar>
          </w:tcPr>
          <w:p w14:paraId="28A301BA"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The body of evidence has major or numerous deficiencies (or both).</w:t>
            </w:r>
          </w:p>
          <w:p w14:paraId="1085F37F"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We believe that additional evidence is needed before concluding either that the findings are stable or that the estimate of effect is close to the true effect.</w:t>
            </w:r>
          </w:p>
        </w:tc>
      </w:tr>
      <w:tr w:rsidR="007F0AE0" w:rsidRPr="00AA34CA" w14:paraId="2A726FB4" w14:textId="77777777" w:rsidTr="00453DE3">
        <w:tc>
          <w:tcPr>
            <w:tcW w:w="1165" w:type="dxa"/>
            <w:shd w:val="clear" w:color="auto" w:fill="E7E6E6"/>
            <w:tcMar>
              <w:top w:w="62" w:type="dxa"/>
              <w:left w:w="62" w:type="dxa"/>
              <w:bottom w:w="62" w:type="dxa"/>
              <w:right w:w="62" w:type="dxa"/>
            </w:tcMar>
          </w:tcPr>
          <w:p w14:paraId="56D1E944" w14:textId="77777777" w:rsidR="007F0AE0" w:rsidRPr="00F52E88" w:rsidRDefault="007F0AE0" w:rsidP="00453DE3">
            <w:pPr>
              <w:autoSpaceDE w:val="0"/>
              <w:autoSpaceDN w:val="0"/>
              <w:adjustRightInd w:val="0"/>
              <w:jc w:val="center"/>
              <w:rPr>
                <w:rFonts w:cstheme="minorHAnsi"/>
                <w:b/>
                <w:color w:val="000000" w:themeColor="text1"/>
                <w:sz w:val="18"/>
                <w:szCs w:val="18"/>
              </w:rPr>
            </w:pPr>
            <w:r w:rsidRPr="00F52E88">
              <w:rPr>
                <w:rFonts w:cstheme="minorHAnsi"/>
                <w:b/>
                <w:color w:val="000000" w:themeColor="text1"/>
                <w:sz w:val="18"/>
                <w:szCs w:val="18"/>
              </w:rPr>
              <w:t>Insufficient</w:t>
            </w:r>
          </w:p>
        </w:tc>
        <w:tc>
          <w:tcPr>
            <w:tcW w:w="3225" w:type="dxa"/>
            <w:tcMar>
              <w:top w:w="62" w:type="dxa"/>
              <w:left w:w="62" w:type="dxa"/>
              <w:bottom w:w="62" w:type="dxa"/>
              <w:right w:w="62" w:type="dxa"/>
            </w:tcMar>
          </w:tcPr>
          <w:p w14:paraId="4DEEB53C" w14:textId="77777777" w:rsidR="007F0AE0" w:rsidRPr="00F52E88" w:rsidRDefault="007F0AE0" w:rsidP="00453DE3">
            <w:pPr>
              <w:autoSpaceDE w:val="0"/>
              <w:autoSpaceDN w:val="0"/>
              <w:adjustRightInd w:val="0"/>
              <w:rPr>
                <w:rFonts w:cstheme="minorHAnsi"/>
                <w:color w:val="000000" w:themeColor="text1"/>
                <w:sz w:val="18"/>
                <w:szCs w:val="18"/>
              </w:rPr>
            </w:pPr>
            <w:r w:rsidRPr="00F52E88">
              <w:rPr>
                <w:rFonts w:cstheme="minorHAnsi"/>
                <w:color w:val="000000" w:themeColor="text1"/>
                <w:sz w:val="18"/>
                <w:szCs w:val="18"/>
              </w:rPr>
              <w:t>No evidence; unable to estimate an effect, or no confidence in the estimate of effect for this outcome.</w:t>
            </w:r>
          </w:p>
        </w:tc>
        <w:tc>
          <w:tcPr>
            <w:tcW w:w="4961" w:type="dxa"/>
            <w:shd w:val="clear" w:color="auto" w:fill="FFFFFF" w:themeFill="background1"/>
            <w:tcMar>
              <w:top w:w="62" w:type="dxa"/>
              <w:left w:w="62" w:type="dxa"/>
              <w:bottom w:w="62" w:type="dxa"/>
              <w:right w:w="62" w:type="dxa"/>
            </w:tcMar>
          </w:tcPr>
          <w:p w14:paraId="59ABAF57" w14:textId="77777777" w:rsidR="007F0AE0" w:rsidRPr="00F52E88" w:rsidRDefault="007F0AE0" w:rsidP="00453DE3">
            <w:pPr>
              <w:pStyle w:val="ListParagraph"/>
              <w:numPr>
                <w:ilvl w:val="0"/>
                <w:numId w:val="1"/>
              </w:numPr>
              <w:autoSpaceDE w:val="0"/>
              <w:autoSpaceDN w:val="0"/>
              <w:adjustRightInd w:val="0"/>
              <w:spacing w:after="0" w:line="240" w:lineRule="auto"/>
              <w:ind w:left="187" w:hanging="187"/>
              <w:rPr>
                <w:rFonts w:cstheme="minorHAnsi"/>
                <w:color w:val="000000" w:themeColor="text1"/>
                <w:sz w:val="18"/>
                <w:szCs w:val="18"/>
              </w:rPr>
            </w:pPr>
            <w:r w:rsidRPr="00F52E88">
              <w:rPr>
                <w:rFonts w:cstheme="minorHAnsi"/>
                <w:color w:val="000000" w:themeColor="text1"/>
                <w:sz w:val="18"/>
                <w:szCs w:val="18"/>
              </w:rPr>
              <w:t>No evidence is available or the body of evidence has unacceptable deficiencies, precluding reaching a conclusion.</w:t>
            </w:r>
          </w:p>
        </w:tc>
      </w:tr>
    </w:tbl>
    <w:p w14:paraId="033410BB" w14:textId="77777777" w:rsidR="007F0AE0" w:rsidRPr="00494051" w:rsidRDefault="007F0AE0" w:rsidP="007F0AE0">
      <w:pPr>
        <w:pStyle w:val="BodyText"/>
        <w:jc w:val="both"/>
        <w:rPr>
          <w:rFonts w:asciiTheme="minorHAnsi" w:hAnsiTheme="minorHAnsi" w:cstheme="minorHAnsi"/>
          <w:sz w:val="22"/>
          <w:szCs w:val="22"/>
        </w:rPr>
      </w:pPr>
    </w:p>
    <w:p w14:paraId="7F727C38" w14:textId="77777777" w:rsidR="007F0AE0" w:rsidRPr="00494051" w:rsidRDefault="007F0AE0" w:rsidP="007F0AE0">
      <w:pPr>
        <w:pStyle w:val="BodyText"/>
        <w:jc w:val="both"/>
        <w:rPr>
          <w:rFonts w:asciiTheme="minorHAnsi" w:hAnsiTheme="minorHAnsi" w:cstheme="minorHAnsi"/>
          <w:color w:val="000000" w:themeColor="text1"/>
          <w:sz w:val="22"/>
          <w:szCs w:val="22"/>
        </w:rPr>
      </w:pPr>
      <w:r w:rsidRPr="00494051">
        <w:rPr>
          <w:rFonts w:asciiTheme="minorHAnsi" w:hAnsiTheme="minorHAnsi" w:cstheme="minorHAnsi"/>
          <w:color w:val="000000" w:themeColor="text1"/>
          <w:sz w:val="22"/>
          <w:szCs w:val="22"/>
        </w:rPr>
        <w:t xml:space="preserve">Reporting bias is one of the specific </w:t>
      </w:r>
      <w:r>
        <w:rPr>
          <w:rFonts w:asciiTheme="minorHAnsi" w:hAnsiTheme="minorHAnsi" w:cstheme="minorHAnsi"/>
          <w:color w:val="000000" w:themeColor="text1"/>
          <w:sz w:val="22"/>
          <w:szCs w:val="22"/>
        </w:rPr>
        <w:t>st</w:t>
      </w:r>
      <w:r w:rsidRPr="00494051">
        <w:rPr>
          <w:rFonts w:asciiTheme="minorHAnsi" w:hAnsiTheme="minorHAnsi" w:cstheme="minorHAnsi"/>
          <w:color w:val="000000" w:themeColor="text1"/>
          <w:sz w:val="22"/>
          <w:szCs w:val="22"/>
        </w:rPr>
        <w:t xml:space="preserve">rength of </w:t>
      </w:r>
      <w:r>
        <w:rPr>
          <w:rFonts w:asciiTheme="minorHAnsi" w:hAnsiTheme="minorHAnsi" w:cstheme="minorHAnsi"/>
          <w:color w:val="000000" w:themeColor="text1"/>
          <w:sz w:val="22"/>
          <w:szCs w:val="22"/>
        </w:rPr>
        <w:t>e</w:t>
      </w:r>
      <w:r w:rsidRPr="00494051">
        <w:rPr>
          <w:rFonts w:asciiTheme="minorHAnsi" w:hAnsiTheme="minorHAnsi" w:cstheme="minorHAnsi"/>
          <w:color w:val="000000" w:themeColor="text1"/>
          <w:sz w:val="22"/>
          <w:szCs w:val="22"/>
        </w:rPr>
        <w:t xml:space="preserve">vidence (SOE) domains typically assessed, but the methods used to detect it are designed for use with controlled trials. Although observational studies may be susceptible to reporting bias, no comparable methods exist for assessing reporting bias for those study designs. As a result, reporting bias was not assessed for the purposes of this systematic review, which comprised only observational studies, in accordance with methodological recommendations </w:t>
      </w:r>
      <w:r w:rsidRPr="00494051">
        <w:rPr>
          <w:rFonts w:asciiTheme="minorHAnsi" w:hAnsiTheme="minorHAnsi" w:cstheme="minorHAnsi"/>
          <w:color w:val="000000" w:themeColor="text1"/>
          <w:sz w:val="22"/>
          <w:szCs w:val="22"/>
        </w:rPr>
        <w:fldChar w:fldCharType="begin">
          <w:fldData xml:space="preserve">PEVuZE5vdGU+PENpdGU+PEF1dGhvcj5CZXJrbWFuPC9BdXRob3I+PFllYXI+MjAxNTwvWWVhcj48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PEVuZE5vdGU+PENpdGU+PEF1dGhvcj5CZXJrbWFuPC9BdXRob3I+PFllYXI+MjAxNTwvWWVhcj48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494051">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127" w:tooltip="Berkman, 2015 #195" w:history="1">
        <w:r>
          <w:rPr>
            <w:rFonts w:asciiTheme="minorHAnsi" w:hAnsiTheme="minorHAnsi" w:cstheme="minorHAnsi"/>
            <w:noProof/>
            <w:color w:val="000000" w:themeColor="text1"/>
            <w:sz w:val="22"/>
            <w:szCs w:val="22"/>
          </w:rPr>
          <w:t>127</w:t>
        </w:r>
      </w:hyperlink>
      <w:r>
        <w:rPr>
          <w:rFonts w:asciiTheme="minorHAnsi" w:hAnsiTheme="minorHAnsi" w:cstheme="minorHAnsi"/>
          <w:noProof/>
          <w:color w:val="000000" w:themeColor="text1"/>
          <w:sz w:val="22"/>
          <w:szCs w:val="22"/>
        </w:rPr>
        <w:t>)</w:t>
      </w:r>
      <w:r w:rsidRPr="00494051">
        <w:rPr>
          <w:rFonts w:asciiTheme="minorHAnsi" w:hAnsiTheme="minorHAnsi" w:cstheme="minorHAnsi"/>
          <w:color w:val="000000" w:themeColor="text1"/>
          <w:sz w:val="22"/>
          <w:szCs w:val="22"/>
        </w:rPr>
        <w:fldChar w:fldCharType="end"/>
      </w:r>
      <w:r w:rsidRPr="00494051">
        <w:rPr>
          <w:rFonts w:asciiTheme="minorHAnsi" w:hAnsiTheme="minorHAnsi" w:cstheme="minorHAnsi"/>
          <w:color w:val="000000" w:themeColor="text1"/>
          <w:sz w:val="22"/>
          <w:szCs w:val="22"/>
        </w:rPr>
        <w:t xml:space="preserve">. </w:t>
      </w:r>
    </w:p>
    <w:p w14:paraId="66146994" w14:textId="77777777" w:rsidR="007F0AE0" w:rsidRPr="00494051" w:rsidRDefault="007F0AE0" w:rsidP="007F0AE0">
      <w:pPr>
        <w:pStyle w:val="BodyText"/>
        <w:jc w:val="both"/>
        <w:rPr>
          <w:rFonts w:asciiTheme="minorHAnsi" w:hAnsiTheme="minorHAnsi" w:cstheme="minorHAnsi"/>
          <w:sz w:val="22"/>
          <w:szCs w:val="22"/>
        </w:rPr>
      </w:pPr>
      <w:r w:rsidRPr="00494051">
        <w:rPr>
          <w:rFonts w:asciiTheme="minorHAnsi" w:hAnsiTheme="minorHAnsi" w:cstheme="minorHAnsi"/>
          <w:sz w:val="22"/>
          <w:szCs w:val="22"/>
        </w:rPr>
        <w:t xml:space="preserve">For this review, the SOE was assessed in two ways for each outcome measure. First, SOE was assessed for the studies that adjusted for the key confounders of age, race/ethnicity, and gender (through multivariable modeling, sample stratifications, or predefined study inclusion criteria). Those results minimized the potential for confounding bias and represented the “best evidence” and may be more likely to represent the “true” association of menthol cigarettes with smoking behaviors. </w:t>
      </w:r>
    </w:p>
    <w:p w14:paraId="38233FA3" w14:textId="77777777" w:rsidR="007F0AE0" w:rsidRPr="00494051" w:rsidRDefault="007F0AE0" w:rsidP="007F0AE0">
      <w:pPr>
        <w:pStyle w:val="BodyText"/>
        <w:jc w:val="both"/>
        <w:rPr>
          <w:rFonts w:asciiTheme="minorHAnsi" w:hAnsiTheme="minorHAnsi" w:cstheme="minorHAnsi"/>
          <w:sz w:val="22"/>
          <w:szCs w:val="22"/>
        </w:rPr>
      </w:pPr>
      <w:r w:rsidRPr="00494051">
        <w:rPr>
          <w:rFonts w:asciiTheme="minorHAnsi" w:hAnsiTheme="minorHAnsi" w:cstheme="minorHAnsi"/>
          <w:sz w:val="22"/>
          <w:szCs w:val="22"/>
        </w:rPr>
        <w:t xml:space="preserve">Next, a sensitivity analysis was conducted, including the results from analyses that did not control for the key confounders. The unadjusted results reflected the effect of menthol but allow all other variables—measured and unmeasured—to vary, potentially obscuring the actual effect of menthol smoking. For some measures, </w:t>
      </w:r>
      <w:r w:rsidRPr="00494051">
        <w:rPr>
          <w:rFonts w:asciiTheme="minorHAnsi" w:hAnsiTheme="minorHAnsi" w:cstheme="minorHAnsi"/>
          <w:i/>
          <w:sz w:val="22"/>
          <w:szCs w:val="22"/>
        </w:rPr>
        <w:t>only</w:t>
      </w:r>
      <w:r w:rsidRPr="00494051">
        <w:rPr>
          <w:rFonts w:asciiTheme="minorHAnsi" w:hAnsiTheme="minorHAnsi" w:cstheme="minorHAnsi"/>
          <w:sz w:val="22"/>
          <w:szCs w:val="22"/>
        </w:rPr>
        <w:t xml:space="preserve"> unadjusted results were available. In those cases, unadjusted results represent the “best </w:t>
      </w:r>
      <w:r w:rsidRPr="00494051">
        <w:rPr>
          <w:rFonts w:asciiTheme="minorHAnsi" w:hAnsiTheme="minorHAnsi" w:cstheme="minorHAnsi"/>
          <w:i/>
          <w:sz w:val="22"/>
          <w:szCs w:val="22"/>
        </w:rPr>
        <w:t>available</w:t>
      </w:r>
      <w:r w:rsidRPr="00494051">
        <w:rPr>
          <w:rFonts w:asciiTheme="minorHAnsi" w:hAnsiTheme="minorHAnsi" w:cstheme="minorHAnsi"/>
          <w:sz w:val="22"/>
          <w:szCs w:val="22"/>
        </w:rPr>
        <w:t xml:space="preserve"> evidence” upon which the SOE was based; however, it was rare that SOE based on unadjusted results alone would be rated higher than “insufficient,” given the inability of unadjusted data to control for confounding. </w:t>
      </w:r>
    </w:p>
    <w:p w14:paraId="3B4D2722" w14:textId="77777777" w:rsidR="007F0AE0" w:rsidRPr="00494051" w:rsidRDefault="007F0AE0" w:rsidP="007F0AE0">
      <w:pPr>
        <w:pStyle w:val="BodyText"/>
        <w:jc w:val="both"/>
        <w:rPr>
          <w:rFonts w:asciiTheme="minorHAnsi" w:hAnsiTheme="minorHAnsi" w:cstheme="minorHAnsi"/>
          <w:sz w:val="22"/>
          <w:szCs w:val="22"/>
        </w:rPr>
      </w:pPr>
      <w:r w:rsidRPr="00494051">
        <w:rPr>
          <w:rFonts w:asciiTheme="minorHAnsi" w:hAnsiTheme="minorHAnsi" w:cstheme="minorHAnsi"/>
          <w:sz w:val="22"/>
          <w:szCs w:val="22"/>
        </w:rPr>
        <w:lastRenderedPageBreak/>
        <w:t>In both SOE assessments, measures with “acceptable” reliability and/or validity were weighed more heavily than the “inconclusive” measures (to minimize the impact of misclassification bias).</w:t>
      </w:r>
    </w:p>
    <w:p w14:paraId="19E311CE" w14:textId="77777777" w:rsidR="007F0AE0" w:rsidRDefault="007F0AE0" w:rsidP="007F0AE0">
      <w:pPr>
        <w:pStyle w:val="BodyText"/>
        <w:jc w:val="both"/>
        <w:rPr>
          <w:rFonts w:asciiTheme="minorHAnsi" w:hAnsiTheme="minorHAnsi" w:cstheme="minorHAnsi"/>
          <w:color w:val="000000" w:themeColor="text1"/>
          <w:sz w:val="22"/>
          <w:szCs w:val="22"/>
        </w:rPr>
      </w:pPr>
      <w:r w:rsidRPr="00494051">
        <w:rPr>
          <w:rFonts w:asciiTheme="minorHAnsi" w:hAnsiTheme="minorHAnsi" w:cstheme="minorHAnsi"/>
          <w:color w:val="000000" w:themeColor="text1"/>
          <w:sz w:val="22"/>
          <w:szCs w:val="22"/>
        </w:rPr>
        <w:t xml:space="preserve">The final SOE judgment was necessarily qualitative but reflected a sound, reasoned weighing of domain ratings. </w:t>
      </w:r>
    </w:p>
    <w:p w14:paraId="372EC622" w14:textId="77777777" w:rsidR="007F0AE0" w:rsidRDefault="007F0AE0" w:rsidP="007F0AE0">
      <w:pPr>
        <w:rPr>
          <w:rFonts w:eastAsia="Times New Roman" w:cstheme="minorHAnsi"/>
          <w:color w:val="000000" w:themeColor="text1"/>
        </w:rPr>
      </w:pPr>
      <w:r>
        <w:rPr>
          <w:rFonts w:cstheme="minorHAnsi"/>
          <w:color w:val="000000" w:themeColor="text1"/>
        </w:rPr>
        <w:br w:type="page"/>
      </w:r>
    </w:p>
    <w:p w14:paraId="1873C5F8" w14:textId="77777777" w:rsidR="007F0AE0" w:rsidRPr="002F2E64" w:rsidRDefault="007F0AE0" w:rsidP="007F0AE0">
      <w:pPr>
        <w:pStyle w:val="BodyText"/>
        <w:spacing w:after="240"/>
        <w:jc w:val="center"/>
        <w:rPr>
          <w:rFonts w:cstheme="minorHAnsi"/>
          <w:color w:val="000000" w:themeColor="text1"/>
        </w:rPr>
      </w:pPr>
      <w:r>
        <w:rPr>
          <w:rFonts w:asciiTheme="minorHAnsi" w:hAnsiTheme="minorHAnsi" w:cstheme="minorHAnsi"/>
          <w:b/>
          <w:color w:val="000000" w:themeColor="text1"/>
          <w:sz w:val="22"/>
          <w:szCs w:val="22"/>
        </w:rPr>
        <w:lastRenderedPageBreak/>
        <w:t>REFERENCES</w:t>
      </w:r>
    </w:p>
    <w:p w14:paraId="2C7E76BD"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fldChar w:fldCharType="begin"/>
      </w:r>
      <w:r w:rsidRPr="002F2E64">
        <w:rPr>
          <w:rFonts w:ascii="Calibri" w:hAnsi="Calibri" w:cs="Calibri"/>
          <w:noProof/>
        </w:rPr>
        <w:instrText xml:space="preserve"> ADDIN EN.REFLIST </w:instrText>
      </w:r>
      <w:r w:rsidRPr="002F2E64">
        <w:rPr>
          <w:rFonts w:ascii="Calibri" w:hAnsi="Calibri" w:cs="Calibri"/>
          <w:noProof/>
        </w:rPr>
        <w:fldChar w:fldCharType="separate"/>
      </w:r>
      <w:r w:rsidRPr="002F2E64">
        <w:rPr>
          <w:rFonts w:ascii="Calibri" w:hAnsi="Calibri" w:cs="Calibri"/>
          <w:noProof/>
        </w:rPr>
        <w:t>Berkman, N.D., Lohr, K.N., Ansari, M.T., Balk, E.M., Kane, R., McDonagh, M., Morton, S.C., Viswanathan, M., Bass, E.B., Butler, M., Gartlehner, G., Hartling, L., McPheeters, M., Morgan, L.C., Reston, J., Sista, P., Whitlock, E., Chang, S., 2015. Grading the strength of a body of evidence when assessing health care interventions: an EPC update. J Clin Epidemiol 68(11), 1312-1324.</w:t>
      </w:r>
    </w:p>
    <w:p w14:paraId="0A9DFA9E"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t>Group, G.W., 2004. Grading quality of evidence and strength of recommendations. BMJ : British Medical Journal 328(7454), 1490-1490.</w:t>
      </w:r>
    </w:p>
    <w:p w14:paraId="69A43D96"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t>Higgins, J.P., Ramsay, C., Reeves, B.C., Deeks, J.J., Shea, B., Valentine, J.C., Tugwell, P., Wells, G., 2013. Issues relating to study design and risk of bias when including non-randomized studies in systematic reviews on the effects of interventions. Res Synth Methods 4(1), 12-25.</w:t>
      </w:r>
    </w:p>
    <w:p w14:paraId="5CDB9A8D"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t>Norris, S.L., Moher, D., Reeves, B.C., Shea, B., Loke, Y., Garner, S., Anderson, L., Tugwell, P., Wells, G., 2013. Issues relating to selective reporting when including non-randomized studies in systematic reviews on the effects of healthcare interventions. Res Synth Methods 4(1), 36-47.</w:t>
      </w:r>
    </w:p>
    <w:p w14:paraId="6FC5051C"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t>Schunemann, H.J., Tugwell, P., Reeves, B.C., Akl, E.A., Santesso, N., Spencer, F.A., Shea, B., Wells, G., Helfand, M., 2013. Non-randomized studies as a source of complementary, sequential or replacement evidence for randomized controlled trials in systematic reviews on the effects of interventions. Res Synth Methods 4(1), 49-62.</w:t>
      </w:r>
    </w:p>
    <w:p w14:paraId="746206F8" w14:textId="77777777" w:rsidR="007F0AE0" w:rsidRPr="002F2E64" w:rsidRDefault="007F0AE0" w:rsidP="007F0AE0">
      <w:pPr>
        <w:spacing w:after="240" w:line="240" w:lineRule="auto"/>
        <w:rPr>
          <w:rFonts w:ascii="Calibri" w:hAnsi="Calibri" w:cs="Calibri"/>
          <w:noProof/>
        </w:rPr>
      </w:pPr>
      <w:r w:rsidRPr="002F2E64">
        <w:rPr>
          <w:rFonts w:ascii="Calibri" w:hAnsi="Calibri" w:cs="Calibri"/>
          <w:noProof/>
        </w:rPr>
        <w:t>Wells, G.A., Shea, B., Higgins, J.P., Sterne, J., Tugwell, P., Reeves, B.C., 2013. Checklists of methodological issues for review authors to consider when including non-randomized studies in systematic reviews. Res Synth Methods 4(1), 63-77.</w:t>
      </w:r>
    </w:p>
    <w:p w14:paraId="6FB24569" w14:textId="77777777" w:rsidR="007F0AE0" w:rsidRPr="002F2E64" w:rsidRDefault="007F0AE0" w:rsidP="007F0AE0">
      <w:pPr>
        <w:pStyle w:val="BodyText"/>
        <w:spacing w:after="240"/>
        <w:jc w:val="both"/>
        <w:rPr>
          <w:rFonts w:asciiTheme="minorHAnsi" w:hAnsiTheme="minorHAnsi" w:cstheme="minorHAnsi"/>
          <w:color w:val="000000" w:themeColor="text1"/>
          <w:sz w:val="22"/>
          <w:szCs w:val="22"/>
        </w:rPr>
        <w:sectPr w:rsidR="007F0AE0" w:rsidRPr="002F2E64" w:rsidSect="007A0C60">
          <w:pgSz w:w="12240" w:h="15840"/>
          <w:pgMar w:top="1440" w:right="1440" w:bottom="1440" w:left="1440" w:header="720" w:footer="720" w:gutter="0"/>
          <w:cols w:space="720"/>
          <w:titlePg/>
          <w:docGrid w:linePitch="360"/>
        </w:sectPr>
      </w:pPr>
      <w:r w:rsidRPr="002F2E64">
        <w:rPr>
          <w:rFonts w:asciiTheme="minorHAnsi" w:eastAsiaTheme="minorHAnsi" w:hAnsiTheme="minorHAnsi" w:cstheme="minorBidi"/>
          <w:sz w:val="22"/>
          <w:szCs w:val="22"/>
        </w:rPr>
        <w:fldChar w:fldCharType="end"/>
      </w:r>
    </w:p>
    <w:p w14:paraId="251DCDF3" w14:textId="77777777" w:rsidR="007F0AE0" w:rsidRPr="00DE2832" w:rsidRDefault="007F0AE0" w:rsidP="007F0AE0">
      <w:pPr>
        <w:spacing w:after="120" w:line="240" w:lineRule="auto"/>
        <w:outlineLvl w:val="0"/>
        <w:rPr>
          <w:rFonts w:eastAsia="Times New Roman" w:cstheme="minorHAnsi"/>
          <w:b/>
          <w:bCs/>
        </w:rPr>
      </w:pPr>
      <w:bookmarkStart w:id="31" w:name="Supp11"/>
      <w:r w:rsidRPr="00DE2832">
        <w:rPr>
          <w:rFonts w:cstheme="minorHAnsi"/>
          <w:b/>
        </w:rPr>
        <w:lastRenderedPageBreak/>
        <w:t>SUPPLEMENTAL</w:t>
      </w:r>
      <w:r w:rsidRPr="00DE2832">
        <w:rPr>
          <w:rFonts w:eastAsia="Times New Roman" w:cstheme="minorHAnsi"/>
          <w:b/>
          <w:bCs/>
        </w:rPr>
        <w:t xml:space="preserve"> SECTION 1</w:t>
      </w:r>
      <w:r>
        <w:rPr>
          <w:rFonts w:eastAsia="Times New Roman" w:cstheme="minorHAnsi"/>
          <w:b/>
          <w:bCs/>
        </w:rPr>
        <w:t>4</w:t>
      </w:r>
      <w:r w:rsidRPr="00DE2832">
        <w:rPr>
          <w:rFonts w:eastAsia="Times New Roman" w:cstheme="minorHAnsi"/>
          <w:b/>
          <w:bCs/>
        </w:rPr>
        <w:t xml:space="preserve">: Adjusted Subgroup Analyses by </w:t>
      </w:r>
      <w:bookmarkEnd w:id="31"/>
      <w:r w:rsidRPr="00DE2832">
        <w:rPr>
          <w:rFonts w:eastAsia="Times New Roman" w:cstheme="minorHAnsi"/>
          <w:b/>
          <w:bCs/>
        </w:rPr>
        <w:t xml:space="preserve">Outcome </w:t>
      </w:r>
    </w:p>
    <w:p w14:paraId="0372A00C"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Results presented in this section are from statistical subgroup analyses that accounted for, at minimum, the three key confounding factors. As described in the Methods, the words “significant” and “significantly” are used herein to indicate </w:t>
      </w:r>
      <w:r w:rsidRPr="00DE2832">
        <w:rPr>
          <w:rFonts w:eastAsia="Calibri" w:cstheme="minorHAnsi"/>
          <w:i/>
        </w:rPr>
        <w:t>statistical</w:t>
      </w:r>
      <w:r w:rsidRPr="00DE2832">
        <w:rPr>
          <w:rFonts w:eastAsia="Calibri" w:cstheme="minorHAnsi"/>
        </w:rPr>
        <w:t xml:space="preserve"> significance (i.e., p&lt;0.05 and/or confidence interval excludes 1.0). An "increase" or "decrease" that is </w:t>
      </w:r>
      <w:r w:rsidRPr="00DE2832">
        <w:rPr>
          <w:rFonts w:eastAsia="Calibri" w:cstheme="minorHAnsi"/>
          <w:i/>
        </w:rPr>
        <w:t>not</w:t>
      </w:r>
      <w:r w:rsidRPr="00DE2832">
        <w:rPr>
          <w:rFonts w:eastAsia="Calibri" w:cstheme="minorHAnsi"/>
        </w:rPr>
        <w:t xml:space="preserve"> also described as "significant" is either a non-statistically significant increase or decrease or statistical significance was not described in the data source.</w:t>
      </w:r>
    </w:p>
    <w:p w14:paraId="5F72ABBF" w14:textId="77777777" w:rsidR="007F0AE0" w:rsidRPr="00DE2832" w:rsidRDefault="007F0AE0" w:rsidP="007F0AE0">
      <w:pPr>
        <w:spacing w:after="120" w:line="240" w:lineRule="auto"/>
        <w:jc w:val="both"/>
        <w:outlineLvl w:val="1"/>
        <w:rPr>
          <w:rFonts w:cstheme="minorHAnsi"/>
          <w:i/>
          <w:color w:val="000000" w:themeColor="text1"/>
          <w:u w:val="single"/>
        </w:rPr>
      </w:pPr>
      <w:r w:rsidRPr="00DE2832">
        <w:rPr>
          <w:rFonts w:cstheme="minorHAnsi"/>
          <w:i/>
          <w:color w:val="000000" w:themeColor="text1"/>
          <w:u w:val="single"/>
        </w:rPr>
        <w:t>Adjusted Results: Cessation Measures by Race/Ethnicity</w:t>
      </w:r>
    </w:p>
    <w:p w14:paraId="4D33B1DA"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Whites</w:t>
      </w:r>
    </w:p>
    <w:p w14:paraId="533ACE83" w14:textId="77777777" w:rsidR="007F0AE0" w:rsidRPr="00DE2832" w:rsidRDefault="007F0AE0" w:rsidP="007F0AE0">
      <w:pPr>
        <w:spacing w:after="120" w:line="240" w:lineRule="auto"/>
        <w:jc w:val="both"/>
        <w:rPr>
          <w:rFonts w:cstheme="minorHAnsi"/>
          <w:i/>
          <w:color w:val="000000" w:themeColor="text1"/>
        </w:rPr>
      </w:pPr>
      <w:r w:rsidRPr="00DE2832">
        <w:rPr>
          <w:rFonts w:cstheme="minorHAnsi"/>
          <w:i/>
          <w:color w:val="000000" w:themeColor="text1"/>
        </w:rPr>
        <w:t>Fourteen studies (across seventeen references) reported adjusted results by White race/ethnicity</w:t>
      </w:r>
      <w:r>
        <w:rPr>
          <w:rFonts w:cstheme="minorHAnsi"/>
          <w:i/>
          <w:color w:val="000000" w:themeColor="text1"/>
        </w:rPr>
        <w:t xml:space="preserve"> </w:t>
      </w:r>
      <w:r>
        <w:rPr>
          <w:rFonts w:cstheme="minorHAnsi"/>
          <w:i/>
          <w:color w:val="000000" w:themeColor="text1"/>
        </w:rPr>
        <w:fldChar w:fldCharType="begin">
          <w:fldData xml:space="preserve">My4yMDEwLjAzMTg3Lng8L2VsZWN0cm9uaWMtcmVzb3VyY2UtbnVtPjxyZXNlYXJjaC1ub3Rlcz4j
Mjg2PC9yZXNlYXJjaC1ub3Rlcz48L3JlY29yZD48L0NpdGU+PC9FbmROb3RlPgB=
</w:fldData>
        </w:fldChar>
      </w:r>
      <w:r>
        <w:rPr>
          <w:rFonts w:cstheme="minorHAnsi"/>
          <w:i/>
          <w:color w:val="000000" w:themeColor="text1"/>
        </w:rPr>
        <w:instrText xml:space="preserve"> ADDIN EN.CITE </w:instrText>
      </w:r>
      <w:r>
        <w:rPr>
          <w:rFonts w:cstheme="minorHAnsi"/>
          <w:i/>
          <w:color w:val="000000" w:themeColor="text1"/>
        </w:rPr>
        <w:fldChar w:fldCharType="begin">
          <w:fldData xml:space="preserve">PEVuZE5vdGU+PENpdGU+PEF1dGhvcj5CbG90PC9BdXRob3I+PFllYXI+MjAxMTwvWWVhcj48UmVj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Q2l0ZT48Q2l0ZT48QXV0aG9yPkdhbmRoaTwvQXV0aG9yPjxZZWFyPjIwMDk8L1llYXI+PFJlY051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cmVjb3JkPjwvQ2l0ZT48Q2l0ZT48QXV0aG9yPktlZWxlcjwvQXV0aG9yPjxZZWFyPjIwMTg8L1ll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YXJjaC1ub3Rlcz48L3JlY29yZD48L0NpdGU+PENpdGU+PEF1dGhvcj5UcmluaWRhZDwvQXV0aG9y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==
</w:fldData>
        </w:fldChar>
      </w:r>
      <w:r>
        <w:rPr>
          <w:rFonts w:cstheme="minorHAnsi"/>
          <w:i/>
          <w:color w:val="000000" w:themeColor="text1"/>
        </w:rPr>
        <w:instrText xml:space="preserve"> ADDIN EN.CITE.DATA </w:instrText>
      </w:r>
      <w:r>
        <w:rPr>
          <w:rFonts w:cstheme="minorHAnsi"/>
          <w:i/>
          <w:color w:val="000000" w:themeColor="text1"/>
        </w:rPr>
      </w:r>
      <w:r>
        <w:rPr>
          <w:rFonts w:cstheme="minorHAnsi"/>
          <w:i/>
          <w:color w:val="000000" w:themeColor="text1"/>
        </w:rPr>
        <w:fldChar w:fldCharType="end"/>
      </w:r>
      <w:r>
        <w:rPr>
          <w:rFonts w:cstheme="minorHAnsi"/>
          <w:i/>
          <w:color w:val="000000" w:themeColor="text1"/>
        </w:rPr>
        <w:fldChar w:fldCharType="begin">
          <w:fldData xml:space="preserve">My4yMDEwLjAzMTg3Lng8L2VsZWN0cm9uaWMtcmVzb3VyY2UtbnVtPjxyZXNlYXJjaC1ub3Rlcz4j
Mjg2PC9yZXNlYXJjaC1ub3Rlcz48L3JlY29yZD48L0NpdGU+PC9FbmROb3RlPgB=
</w:fldData>
        </w:fldChar>
      </w:r>
      <w:r>
        <w:rPr>
          <w:rFonts w:cstheme="minorHAnsi"/>
          <w:i/>
          <w:color w:val="000000" w:themeColor="text1"/>
        </w:rPr>
        <w:instrText xml:space="preserve"> ADDIN EN.CITE.DATA </w:instrText>
      </w:r>
      <w:r>
        <w:rPr>
          <w:rFonts w:cstheme="minorHAnsi"/>
          <w:i/>
          <w:color w:val="000000" w:themeColor="text1"/>
        </w:rPr>
      </w:r>
      <w:r>
        <w:rPr>
          <w:rFonts w:cstheme="minorHAnsi"/>
          <w:i/>
          <w:color w:val="000000" w:themeColor="text1"/>
        </w:rPr>
        <w:fldChar w:fldCharType="end"/>
      </w:r>
      <w:r>
        <w:rPr>
          <w:rFonts w:cstheme="minorHAnsi"/>
          <w:i/>
          <w:color w:val="000000" w:themeColor="text1"/>
        </w:rPr>
        <w:fldChar w:fldCharType="separate"/>
      </w:r>
      <w:r>
        <w:rPr>
          <w:rFonts w:cstheme="minorHAnsi"/>
          <w:i/>
          <w:noProof/>
          <w:color w:val="000000" w:themeColor="text1"/>
        </w:rPr>
        <w:t>(</w:t>
      </w:r>
      <w:hyperlink w:anchor="_ENREF_20" w:tooltip="Cubbin, 2010 #53" w:history="1">
        <w:r>
          <w:rPr>
            <w:rFonts w:cstheme="minorHAnsi"/>
            <w:i/>
            <w:noProof/>
            <w:color w:val="000000" w:themeColor="text1"/>
          </w:rPr>
          <w:t>20</w:t>
        </w:r>
      </w:hyperlink>
      <w:r>
        <w:rPr>
          <w:rFonts w:cstheme="minorHAnsi"/>
          <w:i/>
          <w:noProof/>
          <w:color w:val="000000" w:themeColor="text1"/>
        </w:rPr>
        <w:t xml:space="preserve">, </w:t>
      </w:r>
      <w:hyperlink w:anchor="_ENREF_29" w:tooltip="Keeler, 2017 #660" w:history="1">
        <w:r>
          <w:rPr>
            <w:rFonts w:cstheme="minorHAnsi"/>
            <w:i/>
            <w:noProof/>
            <w:color w:val="000000" w:themeColor="text1"/>
          </w:rPr>
          <w:t>29</w:t>
        </w:r>
      </w:hyperlink>
      <w:r>
        <w:rPr>
          <w:rFonts w:cstheme="minorHAnsi"/>
          <w:i/>
          <w:noProof/>
          <w:color w:val="000000" w:themeColor="text1"/>
        </w:rPr>
        <w:t xml:space="preserve">, </w:t>
      </w:r>
      <w:hyperlink w:anchor="_ENREF_30" w:tooltip="Keeler, 2018 #537" w:history="1">
        <w:r>
          <w:rPr>
            <w:rFonts w:cstheme="minorHAnsi"/>
            <w:i/>
            <w:noProof/>
            <w:color w:val="000000" w:themeColor="text1"/>
          </w:rPr>
          <w:t>30</w:t>
        </w:r>
      </w:hyperlink>
      <w:r>
        <w:rPr>
          <w:rFonts w:cstheme="minorHAnsi"/>
          <w:i/>
          <w:noProof/>
          <w:color w:val="000000" w:themeColor="text1"/>
        </w:rPr>
        <w:t xml:space="preserve">, </w:t>
      </w:r>
      <w:hyperlink w:anchor="_ENREF_34" w:tooltip="Kahende, 2011 #43" w:history="1">
        <w:r>
          <w:rPr>
            <w:rFonts w:cstheme="minorHAnsi"/>
            <w:i/>
            <w:noProof/>
            <w:color w:val="000000" w:themeColor="text1"/>
          </w:rPr>
          <w:t>34</w:t>
        </w:r>
      </w:hyperlink>
      <w:r>
        <w:rPr>
          <w:rFonts w:cstheme="minorHAnsi"/>
          <w:i/>
          <w:noProof/>
          <w:color w:val="000000" w:themeColor="text1"/>
        </w:rPr>
        <w:t xml:space="preserve">, </w:t>
      </w:r>
      <w:hyperlink w:anchor="_ENREF_46" w:tooltip="Hyland, 2010 #100" w:history="1">
        <w:r>
          <w:rPr>
            <w:rFonts w:cstheme="minorHAnsi"/>
            <w:i/>
            <w:noProof/>
            <w:color w:val="000000" w:themeColor="text1"/>
          </w:rPr>
          <w:t>46</w:t>
        </w:r>
      </w:hyperlink>
      <w:r>
        <w:rPr>
          <w:rFonts w:cstheme="minorHAnsi"/>
          <w:i/>
          <w:noProof/>
          <w:color w:val="000000" w:themeColor="text1"/>
        </w:rPr>
        <w:t xml:space="preserve">, </w:t>
      </w:r>
      <w:hyperlink w:anchor="_ENREF_47" w:tooltip="Gandhi, 2009 #67" w:history="1">
        <w:r>
          <w:rPr>
            <w:rFonts w:cstheme="minorHAnsi"/>
            <w:i/>
            <w:noProof/>
            <w:color w:val="000000" w:themeColor="text1"/>
          </w:rPr>
          <w:t>47</w:t>
        </w:r>
      </w:hyperlink>
      <w:r>
        <w:rPr>
          <w:rFonts w:cstheme="minorHAnsi"/>
          <w:i/>
          <w:noProof/>
          <w:color w:val="000000" w:themeColor="text1"/>
        </w:rPr>
        <w:t xml:space="preserve">, </w:t>
      </w:r>
      <w:hyperlink w:anchor="_ENREF_50" w:tooltip="Hyland, 2002 #87" w:history="1">
        <w:r>
          <w:rPr>
            <w:rFonts w:cstheme="minorHAnsi"/>
            <w:i/>
            <w:noProof/>
            <w:color w:val="000000" w:themeColor="text1"/>
          </w:rPr>
          <w:t>50</w:t>
        </w:r>
      </w:hyperlink>
      <w:r>
        <w:rPr>
          <w:rFonts w:cstheme="minorHAnsi"/>
          <w:i/>
          <w:noProof/>
          <w:color w:val="000000" w:themeColor="text1"/>
        </w:rPr>
        <w:t xml:space="preserve">, </w:t>
      </w:r>
      <w:hyperlink w:anchor="_ENREF_52" w:tooltip="Trinidad, 2010 #58" w:history="1">
        <w:r>
          <w:rPr>
            <w:rFonts w:cstheme="minorHAnsi"/>
            <w:i/>
            <w:noProof/>
            <w:color w:val="000000" w:themeColor="text1"/>
          </w:rPr>
          <w:t>52</w:t>
        </w:r>
      </w:hyperlink>
      <w:r>
        <w:rPr>
          <w:rFonts w:cstheme="minorHAnsi"/>
          <w:i/>
          <w:noProof/>
          <w:color w:val="000000" w:themeColor="text1"/>
        </w:rPr>
        <w:t xml:space="preserve">, </w:t>
      </w:r>
      <w:hyperlink w:anchor="_ENREF_54" w:tooltip="Sulsky, 2014 #15" w:history="1">
        <w:r>
          <w:rPr>
            <w:rFonts w:cstheme="minorHAnsi"/>
            <w:i/>
            <w:noProof/>
            <w:color w:val="000000" w:themeColor="text1"/>
          </w:rPr>
          <w:t>54-59</w:t>
        </w:r>
      </w:hyperlink>
      <w:r>
        <w:rPr>
          <w:rFonts w:cstheme="minorHAnsi"/>
          <w:i/>
          <w:noProof/>
          <w:color w:val="000000" w:themeColor="text1"/>
        </w:rPr>
        <w:t xml:space="preserve">, </w:t>
      </w:r>
      <w:hyperlink w:anchor="_ENREF_68" w:tooltip="Reitzel, 2013 #28" w:history="1">
        <w:r>
          <w:rPr>
            <w:rFonts w:cstheme="minorHAnsi"/>
            <w:i/>
            <w:noProof/>
            <w:color w:val="000000" w:themeColor="text1"/>
          </w:rPr>
          <w:t>68</w:t>
        </w:r>
      </w:hyperlink>
      <w:r>
        <w:rPr>
          <w:rFonts w:cstheme="minorHAnsi"/>
          <w:i/>
          <w:noProof/>
          <w:color w:val="000000" w:themeColor="text1"/>
        </w:rPr>
        <w:t xml:space="preserve">, </w:t>
      </w:r>
      <w:hyperlink w:anchor="_ENREF_71" w:tooltip="Reitzel, 2011 #107" w:history="1">
        <w:r>
          <w:rPr>
            <w:rFonts w:cstheme="minorHAnsi"/>
            <w:i/>
            <w:noProof/>
            <w:color w:val="000000" w:themeColor="text1"/>
          </w:rPr>
          <w:t>71</w:t>
        </w:r>
      </w:hyperlink>
      <w:r>
        <w:rPr>
          <w:rFonts w:cstheme="minorHAnsi"/>
          <w:i/>
          <w:noProof/>
          <w:color w:val="000000" w:themeColor="text1"/>
        </w:rPr>
        <w:t xml:space="preserve">, </w:t>
      </w:r>
      <w:hyperlink w:anchor="_ENREF_75" w:tooltip="Reitzel, 2011 #41" w:history="1">
        <w:r>
          <w:rPr>
            <w:rFonts w:cstheme="minorHAnsi"/>
            <w:i/>
            <w:noProof/>
            <w:color w:val="000000" w:themeColor="text1"/>
          </w:rPr>
          <w:t>75</w:t>
        </w:r>
      </w:hyperlink>
      <w:r>
        <w:rPr>
          <w:rFonts w:cstheme="minorHAnsi"/>
          <w:i/>
          <w:noProof/>
          <w:color w:val="000000" w:themeColor="text1"/>
        </w:rPr>
        <w:t>)</w:t>
      </w:r>
      <w:r>
        <w:rPr>
          <w:rFonts w:cstheme="minorHAnsi"/>
          <w:i/>
          <w:color w:val="000000" w:themeColor="text1"/>
        </w:rPr>
        <w:fldChar w:fldCharType="end"/>
      </w:r>
      <w:r w:rsidRPr="00DE2832">
        <w:rPr>
          <w:rFonts w:cstheme="minorHAnsi"/>
          <w:i/>
          <w:noProof/>
          <w:color w:val="000000" w:themeColor="text1"/>
        </w:rPr>
        <w:t xml:space="preserve">. </w:t>
      </w:r>
      <w:r w:rsidRPr="00DE2832">
        <w:rPr>
          <w:rFonts w:cstheme="minorHAnsi"/>
          <w:i/>
          <w:color w:val="000000" w:themeColor="text1"/>
        </w:rPr>
        <w:t>Results for White smokers were inconsistent across the studies.</w:t>
      </w:r>
    </w:p>
    <w:p w14:paraId="12115B06" w14:textId="77777777" w:rsidR="007F0AE0" w:rsidRPr="00DE2832" w:rsidRDefault="007F0AE0" w:rsidP="007F0AE0">
      <w:pPr>
        <w:spacing w:after="120" w:line="240" w:lineRule="auto"/>
        <w:jc w:val="both"/>
        <w:rPr>
          <w:rFonts w:cstheme="minorHAnsi"/>
          <w:i/>
          <w:color w:val="000000" w:themeColor="text1"/>
        </w:rPr>
      </w:pPr>
      <w:r w:rsidRPr="00DE2832">
        <w:rPr>
          <w:rFonts w:cstheme="minorHAnsi"/>
          <w:i/>
          <w:color w:val="000000" w:themeColor="text1"/>
        </w:rPr>
        <w:t>Six studies (from seven references) reported no significant differences between menthol and non-menthol smokers in terms of various cessation outcomes, to include: rates of abstinence (ranging from 4 weeks to 1-3 years); odds of being a former versus current smoker; rates of quit attempts; and change</w:t>
      </w:r>
      <w:r>
        <w:rPr>
          <w:rFonts w:cstheme="minorHAnsi"/>
          <w:i/>
          <w:color w:val="000000" w:themeColor="text1"/>
        </w:rPr>
        <w:t>s</w:t>
      </w:r>
      <w:r w:rsidRPr="00DE2832">
        <w:rPr>
          <w:rFonts w:cstheme="minorHAnsi"/>
          <w:i/>
          <w:color w:val="000000" w:themeColor="text1"/>
        </w:rPr>
        <w:t xml:space="preserve"> in </w:t>
      </w:r>
      <w:r>
        <w:rPr>
          <w:rFonts w:cstheme="minorHAnsi"/>
          <w:i/>
          <w:color w:val="000000" w:themeColor="text1"/>
        </w:rPr>
        <w:t>CPD</w:t>
      </w:r>
      <w:r w:rsidRPr="00DE2832">
        <w:rPr>
          <w:rFonts w:cstheme="minorHAnsi"/>
          <w:i/>
          <w:color w:val="000000" w:themeColor="text1"/>
        </w:rPr>
        <w:t>.</w:t>
      </w:r>
    </w:p>
    <w:p w14:paraId="3EDDAA14" w14:textId="77777777" w:rsidR="007F0AE0" w:rsidRPr="00DE2832" w:rsidRDefault="007F0AE0" w:rsidP="007F0AE0">
      <w:pPr>
        <w:spacing w:after="120" w:line="240" w:lineRule="auto"/>
        <w:jc w:val="both"/>
        <w:rPr>
          <w:rFonts w:cstheme="minorHAnsi"/>
          <w:i/>
          <w:color w:val="000000" w:themeColor="text1"/>
        </w:rPr>
      </w:pPr>
      <w:r w:rsidRPr="00DE2832">
        <w:rPr>
          <w:rFonts w:cstheme="minorHAnsi"/>
          <w:i/>
          <w:color w:val="000000" w:themeColor="text1"/>
        </w:rPr>
        <w:t xml:space="preserve">Six studies (from seven references) reported significant differences in cessation-related outcomes between White menthol and non-menthol smokers. One study found </w:t>
      </w:r>
      <w:r>
        <w:rPr>
          <w:rFonts w:cstheme="minorHAnsi"/>
          <w:i/>
          <w:color w:val="000000" w:themeColor="text1"/>
        </w:rPr>
        <w:t>statistically significant</w:t>
      </w:r>
      <w:r w:rsidRPr="00DE2832">
        <w:rPr>
          <w:rFonts w:cstheme="minorHAnsi"/>
          <w:i/>
          <w:color w:val="000000" w:themeColor="text1"/>
        </w:rPr>
        <w:t xml:space="preserve"> lower odds of having made past-year quit attempts in White menthol smokers. Another study reported </w:t>
      </w:r>
      <w:r>
        <w:rPr>
          <w:rFonts w:cstheme="minorHAnsi"/>
          <w:i/>
          <w:color w:val="000000" w:themeColor="text1"/>
        </w:rPr>
        <w:t>statistically significant</w:t>
      </w:r>
      <w:r w:rsidRPr="00DE2832">
        <w:rPr>
          <w:rFonts w:cstheme="minorHAnsi"/>
          <w:i/>
          <w:color w:val="000000" w:themeColor="text1"/>
        </w:rPr>
        <w:t xml:space="preserve"> lower odds of 6-month abstinence among White menthol smokers. Two studies reported </w:t>
      </w:r>
      <w:r>
        <w:rPr>
          <w:rFonts w:cstheme="minorHAnsi"/>
          <w:i/>
          <w:color w:val="000000" w:themeColor="text1"/>
        </w:rPr>
        <w:t>statistically significant</w:t>
      </w:r>
      <w:r w:rsidRPr="00DE2832">
        <w:rPr>
          <w:rFonts w:cstheme="minorHAnsi"/>
          <w:i/>
          <w:color w:val="000000" w:themeColor="text1"/>
        </w:rPr>
        <w:t xml:space="preserve"> lower odds of continuous abstinence among White menthol smokers, with one study defining continuous abstinence as 26 weeks (postpartum), and the other as abstinence for the duration of their 3-week study; the latter also reported </w:t>
      </w:r>
      <w:r>
        <w:rPr>
          <w:rFonts w:cstheme="minorHAnsi"/>
          <w:i/>
          <w:color w:val="000000" w:themeColor="text1"/>
        </w:rPr>
        <w:t>statistically significant</w:t>
      </w:r>
      <w:r w:rsidRPr="00DE2832">
        <w:rPr>
          <w:rFonts w:cstheme="minorHAnsi"/>
          <w:i/>
          <w:color w:val="000000" w:themeColor="text1"/>
        </w:rPr>
        <w:t xml:space="preserve"> lower odds of 7-day PPA among White menthol smokers. Two studies reported a </w:t>
      </w:r>
      <w:r>
        <w:rPr>
          <w:rFonts w:cstheme="minorHAnsi"/>
          <w:i/>
          <w:color w:val="000000" w:themeColor="text1"/>
        </w:rPr>
        <w:t>statistically significant</w:t>
      </w:r>
      <w:r w:rsidRPr="00DE2832">
        <w:rPr>
          <w:rFonts w:cstheme="minorHAnsi"/>
          <w:i/>
          <w:color w:val="000000" w:themeColor="text1"/>
        </w:rPr>
        <w:t xml:space="preserve"> higher likelihood of being a former smoker among White menthol smokers, compared with White non-menthol smokers.</w:t>
      </w:r>
    </w:p>
    <w:p w14:paraId="58D2A43F" w14:textId="77777777" w:rsidR="007F0AE0" w:rsidRPr="00DE2832" w:rsidRDefault="007F0AE0" w:rsidP="007F0AE0">
      <w:pPr>
        <w:spacing w:after="120" w:line="240" w:lineRule="auto"/>
        <w:jc w:val="both"/>
        <w:rPr>
          <w:rFonts w:cstheme="minorHAnsi"/>
          <w:i/>
          <w:noProof/>
          <w:color w:val="000000" w:themeColor="text1"/>
        </w:rPr>
      </w:pPr>
      <w:r w:rsidRPr="00DE2832">
        <w:rPr>
          <w:rFonts w:cstheme="minorHAnsi"/>
          <w:i/>
          <w:color w:val="000000" w:themeColor="text1"/>
        </w:rPr>
        <w:t>In addition, two studies (from three references) reported mixed results.</w:t>
      </w:r>
      <w:r>
        <w:rPr>
          <w:rFonts w:cstheme="minorHAnsi"/>
          <w:i/>
          <w:color w:val="000000" w:themeColor="text1"/>
        </w:rPr>
        <w:t xml:space="preserve"> </w:t>
      </w:r>
      <w:r w:rsidRPr="00DE2832">
        <w:rPr>
          <w:rFonts w:cstheme="minorHAnsi"/>
          <w:i/>
          <w:color w:val="000000" w:themeColor="text1"/>
        </w:rPr>
        <w:t xml:space="preserve">One study reported a </w:t>
      </w:r>
      <w:r>
        <w:rPr>
          <w:rFonts w:cstheme="minorHAnsi"/>
          <w:i/>
          <w:color w:val="000000" w:themeColor="text1"/>
        </w:rPr>
        <w:t>statistically significant</w:t>
      </w:r>
      <w:r w:rsidRPr="00DE2832">
        <w:rPr>
          <w:rFonts w:cstheme="minorHAnsi"/>
          <w:i/>
          <w:color w:val="000000" w:themeColor="text1"/>
        </w:rPr>
        <w:t xml:space="preserve"> longer duration of abstinence among White female former menthol smokers, but no such difference among White male menthol smokers; this study also reported no significant difference in terms of rate of quit attempts for both White female menthol and non-menthol smokers, as well as White male menthol and non-menthol smokers. A second study (from two references) reported differing outcomes in terms of odds of being a former smoker, depending on which of their five sample restrictions were applied: in three restrictions reported </w:t>
      </w:r>
      <w:r>
        <w:rPr>
          <w:rFonts w:cstheme="minorHAnsi"/>
          <w:i/>
          <w:color w:val="000000" w:themeColor="text1"/>
        </w:rPr>
        <w:t>statistically significant</w:t>
      </w:r>
      <w:r w:rsidRPr="00DE2832">
        <w:rPr>
          <w:rFonts w:cstheme="minorHAnsi"/>
          <w:i/>
          <w:color w:val="000000" w:themeColor="text1"/>
        </w:rPr>
        <w:t xml:space="preserve"> lower odds of being a former smoker among White menthol smokers, while two restrictions reported no significant difference between White menthol and non-menthol smokers.</w:t>
      </w:r>
    </w:p>
    <w:p w14:paraId="23F3DCB4"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Sulsky et al. </w:t>
      </w:r>
      <w:r w:rsidRPr="00DE2832">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4" w:tooltip="Sulsky, 2014 #15" w:history="1">
        <w:r>
          <w:rPr>
            <w:rFonts w:asciiTheme="minorHAnsi" w:hAnsiTheme="minorHAnsi" w:cstheme="minorHAnsi"/>
            <w:noProof/>
            <w:color w:val="000000" w:themeColor="text1"/>
            <w:sz w:val="22"/>
            <w:szCs w:val="22"/>
          </w:rPr>
          <w:t>54</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completed a comprehensive cross-sectional analysis, examining and reporting various measures of cessation across data sources and populations. The results presented here compare current daily smokers (smoked every day in the past month) with “long-term former” smokers (defined as having not smoked in the past year; mean duration of abstinence was 18 years). In analyses of data from the 2005 and 2010 implementations of the National Health Interview Survey (NHIS) that adjusted for menthol cigarette use, gender, smoking initiation age, and current age, for White smokers, no difference was detected between menthol and non-menthol smokers in the odds of no past-year smoking (OR=1.06, 95% CI</w:t>
      </w:r>
      <w:r>
        <w:rPr>
          <w:rFonts w:asciiTheme="minorHAnsi" w:hAnsiTheme="minorHAnsi" w:cstheme="minorHAnsi"/>
          <w:color w:val="000000" w:themeColor="text1"/>
          <w:sz w:val="22"/>
          <w:szCs w:val="22"/>
        </w:rPr>
        <w:t>: 0.</w:t>
      </w:r>
      <w:r w:rsidRPr="00DE2832">
        <w:rPr>
          <w:rFonts w:asciiTheme="minorHAnsi" w:hAnsiTheme="minorHAnsi" w:cstheme="minorHAnsi"/>
          <w:color w:val="000000" w:themeColor="text1"/>
          <w:sz w:val="22"/>
          <w:szCs w:val="22"/>
        </w:rPr>
        <w:t>95</w:t>
      </w:r>
      <w:r>
        <w:rPr>
          <w:rFonts w:asciiTheme="minorHAnsi" w:hAnsiTheme="minorHAnsi" w:cstheme="minorHAnsi"/>
          <w:color w:val="000000" w:themeColor="text1"/>
          <w:sz w:val="22"/>
          <w:szCs w:val="22"/>
        </w:rPr>
        <w:t xml:space="preserve"> to </w:t>
      </w:r>
      <w:r w:rsidRPr="00DE2832">
        <w:rPr>
          <w:rFonts w:asciiTheme="minorHAnsi" w:hAnsiTheme="minorHAnsi" w:cstheme="minorHAnsi"/>
          <w:color w:val="000000" w:themeColor="text1"/>
          <w:sz w:val="22"/>
          <w:szCs w:val="22"/>
        </w:rPr>
        <w:t>1.18).</w:t>
      </w:r>
    </w:p>
    <w:p w14:paraId="5D66BABC"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Also analyzing 2005 NHIS data, Gundersen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9" w:tooltip="Gundersen, 2009 #65" w:history="1">
        <w:r>
          <w:rPr>
            <w:rFonts w:asciiTheme="minorHAnsi" w:hAnsiTheme="minorHAnsi" w:cstheme="minorHAnsi"/>
            <w:noProof/>
            <w:color w:val="000000" w:themeColor="text1"/>
            <w:sz w:val="22"/>
            <w:szCs w:val="22"/>
          </w:rPr>
          <w:t>59</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included White, Black, and Hispanic adult current and former smokers who had ever attempted to quit smoking and who did not currently use other tobacco products. Their multivariate logistic regression adjusted for age, education, gender, CPD, region, perceived risk of cancer, stratified by race/ethnicity. The odds of being a former smoker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higher for White menthol </w:t>
      </w:r>
      <w:r>
        <w:rPr>
          <w:rFonts w:asciiTheme="minorHAnsi" w:hAnsiTheme="minorHAnsi" w:cstheme="minorHAnsi"/>
          <w:color w:val="000000" w:themeColor="text1"/>
          <w:sz w:val="22"/>
          <w:szCs w:val="22"/>
        </w:rPr>
        <w:t>versus</w:t>
      </w:r>
      <w:r w:rsidRPr="00DE2832">
        <w:rPr>
          <w:rFonts w:asciiTheme="minorHAnsi" w:hAnsiTheme="minorHAnsi" w:cstheme="minorHAnsi"/>
          <w:color w:val="000000" w:themeColor="text1"/>
          <w:sz w:val="22"/>
          <w:szCs w:val="22"/>
        </w:rPr>
        <w:t xml:space="preserve"> non-menthol smokers (OR=1.17, 95% CI: 1.00, 1.36; p&lt;0.05).</w:t>
      </w:r>
    </w:p>
    <w:p w14:paraId="491693DD"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lastRenderedPageBreak/>
        <w:t xml:space="preserve">The following four studies analyzed data from the </w:t>
      </w:r>
      <w:r w:rsidRPr="00DE2832">
        <w:rPr>
          <w:rFonts w:asciiTheme="minorHAnsi" w:hAnsiTheme="minorHAnsi" w:cstheme="minorHAnsi"/>
          <w:sz w:val="22"/>
          <w:szCs w:val="22"/>
        </w:rPr>
        <w:t>Tobacco Use Supplement to the Current Population Survey</w:t>
      </w:r>
      <w:r w:rsidRPr="00DE2832">
        <w:rPr>
          <w:rFonts w:asciiTheme="minorHAnsi" w:hAnsiTheme="minorHAnsi" w:cstheme="minorHAnsi"/>
          <w:color w:val="000000" w:themeColor="text1"/>
          <w:sz w:val="22"/>
          <w:szCs w:val="22"/>
        </w:rPr>
        <w:t xml:space="preserve"> (TUS-CPS). </w:t>
      </w:r>
      <w:r>
        <w:rPr>
          <w:rFonts w:asciiTheme="minorHAnsi" w:hAnsiTheme="minorHAnsi" w:cstheme="minorHAnsi"/>
          <w:color w:val="000000" w:themeColor="text1"/>
          <w:sz w:val="22"/>
          <w:szCs w:val="22"/>
        </w:rPr>
        <w:t>In addition to the results from the NHIS data reported above,</w:t>
      </w:r>
      <w:r w:rsidRPr="00DE2832">
        <w:rPr>
          <w:rFonts w:asciiTheme="minorHAnsi" w:hAnsiTheme="minorHAnsi" w:cstheme="minorHAnsi"/>
          <w:color w:val="000000" w:themeColor="text1"/>
          <w:sz w:val="22"/>
          <w:szCs w:val="22"/>
        </w:rPr>
        <w:t xml:space="preserve"> Sulsky et al. </w:t>
      </w:r>
      <w:r w:rsidRPr="00DE2832">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4" w:tooltip="Sulsky, 2014 #15" w:history="1">
        <w:r>
          <w:rPr>
            <w:rFonts w:asciiTheme="minorHAnsi" w:hAnsiTheme="minorHAnsi" w:cstheme="minorHAnsi"/>
            <w:noProof/>
            <w:color w:val="000000" w:themeColor="text1"/>
            <w:sz w:val="22"/>
            <w:szCs w:val="22"/>
          </w:rPr>
          <w:t>54</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also </w:t>
      </w:r>
      <w:r w:rsidRPr="00DE2832">
        <w:rPr>
          <w:rFonts w:asciiTheme="minorHAnsi" w:hAnsiTheme="minorHAnsi" w:cstheme="minorHAnsi"/>
          <w:color w:val="000000" w:themeColor="text1"/>
          <w:sz w:val="22"/>
          <w:szCs w:val="22"/>
        </w:rPr>
        <w:t xml:space="preserve">analyzed data from the 2010/2011 TUS-CPS, stratifying by race/ethnicity. The results presented here compare current </w:t>
      </w:r>
      <w:r w:rsidRPr="00DE2832">
        <w:rPr>
          <w:rFonts w:asciiTheme="minorHAnsi" w:hAnsiTheme="minorHAnsi" w:cstheme="minorHAnsi"/>
          <w:i/>
          <w:color w:val="000000" w:themeColor="text1"/>
          <w:sz w:val="22"/>
          <w:szCs w:val="22"/>
        </w:rPr>
        <w:t>regular</w:t>
      </w:r>
      <w:r w:rsidRPr="00DE2832">
        <w:rPr>
          <w:rFonts w:asciiTheme="minorHAnsi" w:hAnsiTheme="minorHAnsi" w:cstheme="minorHAnsi"/>
          <w:color w:val="000000" w:themeColor="text1"/>
          <w:sz w:val="22"/>
          <w:szCs w:val="22"/>
        </w:rPr>
        <w:t xml:space="preserve"> smokers (smoked on at least 10 days in the past month) with “short-term former” smokers (defined as having not smoked in the past one to three years) and adjust for at least the three key confounders; results from the comparison of current </w:t>
      </w:r>
      <w:r w:rsidRPr="00DE2832">
        <w:rPr>
          <w:rFonts w:asciiTheme="minorHAnsi" w:hAnsiTheme="minorHAnsi" w:cstheme="minorHAnsi"/>
          <w:i/>
          <w:color w:val="000000" w:themeColor="text1"/>
          <w:sz w:val="22"/>
          <w:szCs w:val="22"/>
        </w:rPr>
        <w:t>daily</w:t>
      </w:r>
      <w:r w:rsidRPr="00DE2832">
        <w:rPr>
          <w:rFonts w:asciiTheme="minorHAnsi" w:hAnsiTheme="minorHAnsi" w:cstheme="minorHAnsi"/>
          <w:color w:val="000000" w:themeColor="text1"/>
          <w:sz w:val="22"/>
          <w:szCs w:val="22"/>
        </w:rPr>
        <w:t xml:space="preserve"> smokers with long-term former smokers were essentially the same. For White participants, menthol and non-menthol smokers were no different in their odds of having been abstinent for one to three years</w:t>
      </w:r>
      <w:r>
        <w:rPr>
          <w:rFonts w:asciiTheme="minorHAnsi" w:hAnsiTheme="minorHAnsi" w:cstheme="minorHAnsi"/>
          <w:color w:val="000000" w:themeColor="text1"/>
          <w:sz w:val="22"/>
          <w:szCs w:val="22"/>
        </w:rPr>
        <w:t xml:space="preserve"> (OR=0.97, 95% CI: 0.94,</w:t>
      </w:r>
      <w:r w:rsidRPr="00DE2832">
        <w:rPr>
          <w:rFonts w:asciiTheme="minorHAnsi" w:hAnsiTheme="minorHAnsi" w:cstheme="minorHAnsi"/>
          <w:color w:val="000000" w:themeColor="text1"/>
          <w:sz w:val="22"/>
          <w:szCs w:val="22"/>
        </w:rPr>
        <w:t xml:space="preserve"> 1.00) when the model adjusted for initiation age, gender, CPD, and current age. </w:t>
      </w:r>
    </w:p>
    <w:p w14:paraId="02336FC3"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2011, Kahende et al. </w:t>
      </w:r>
      <w:r w:rsidRPr="00DE2832">
        <w:rPr>
          <w:rFonts w:asciiTheme="minorHAnsi" w:hAnsiTheme="minorHAnsi" w:cstheme="minorHAnsi"/>
          <w:color w:val="000000" w:themeColor="text1"/>
          <w:sz w:val="22"/>
          <w:szCs w:val="22"/>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34" w:tooltip="Kahende, 2011 #43" w:history="1">
        <w:r>
          <w:rPr>
            <w:rFonts w:asciiTheme="minorHAnsi" w:hAnsiTheme="minorHAnsi" w:cstheme="minorHAnsi"/>
            <w:noProof/>
            <w:color w:val="000000" w:themeColor="text1"/>
            <w:sz w:val="22"/>
            <w:szCs w:val="22"/>
          </w:rPr>
          <w:t>34</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more than 16,000 adult participants in the TUS-CPS in 2003 or 2006-2007 who reported smoking in the past year. Participants were asked if they had stopped smoking for one day or longer because they were trying to quit. Their models were stratified by race/ethnicity and adjusted for gender, age, education, region, CPD, duration of time as a smoker, smoking policy at work, home smoking rules, doctor’s advice to quit, and TTFC. Among White smokers, menthol smokers had </w:t>
      </w:r>
      <w:r>
        <w:rPr>
          <w:rFonts w:asciiTheme="minorHAnsi" w:hAnsiTheme="minorHAnsi" w:cstheme="minorHAnsi"/>
          <w:color w:val="000000" w:themeColor="text1"/>
          <w:sz w:val="22"/>
          <w:szCs w:val="22"/>
        </w:rPr>
        <w:t>statistically significant</w:t>
      </w:r>
      <w:r w:rsidRPr="00DE2832">
        <w:rPr>
          <w:rFonts w:asciiTheme="minorHAnsi" w:hAnsiTheme="minorHAnsi" w:cstheme="minorHAnsi"/>
          <w:color w:val="000000" w:themeColor="text1"/>
          <w:sz w:val="22"/>
          <w:szCs w:val="22"/>
        </w:rPr>
        <w:t xml:space="preserve"> lower odds than White non-menthol smokers of having made a quit attempt in the past year (OR=0.91, 95% CI: 0.84</w:t>
      </w:r>
      <w:r>
        <w:rPr>
          <w:rFonts w:asciiTheme="minorHAnsi" w:hAnsiTheme="minorHAnsi" w:cstheme="minorHAnsi"/>
          <w:color w:val="000000" w:themeColor="text1"/>
          <w:sz w:val="22"/>
          <w:szCs w:val="22"/>
        </w:rPr>
        <w:t>,</w:t>
      </w:r>
      <w:r w:rsidRPr="00DE2832">
        <w:rPr>
          <w:rFonts w:asciiTheme="minorHAnsi" w:hAnsiTheme="minorHAnsi" w:cstheme="minorHAnsi"/>
          <w:color w:val="000000" w:themeColor="text1"/>
          <w:sz w:val="22"/>
          <w:szCs w:val="22"/>
        </w:rPr>
        <w:t xml:space="preserve"> 0.99). </w:t>
      </w:r>
    </w:p>
    <w:p w14:paraId="0A534397"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Delnevo et al. </w:t>
      </w:r>
      <w:r w:rsidRPr="00DE2832">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7" w:tooltip="Delnevo, 2011 #42" w:history="1">
        <w:r>
          <w:rPr>
            <w:rFonts w:asciiTheme="minorHAnsi" w:hAnsiTheme="minorHAnsi" w:cstheme="minorHAnsi"/>
            <w:noProof/>
            <w:color w:val="000000" w:themeColor="text1"/>
            <w:sz w:val="22"/>
            <w:szCs w:val="22"/>
          </w:rPr>
          <w:t>57</w:t>
        </w:r>
      </w:hyperlink>
      <w:r>
        <w:rPr>
          <w:rFonts w:asciiTheme="minorHAnsi" w:hAnsiTheme="minorHAnsi" w:cstheme="minorHAnsi"/>
          <w:noProof/>
          <w:color w:val="000000" w:themeColor="text1"/>
          <w:sz w:val="22"/>
          <w:szCs w:val="22"/>
        </w:rPr>
        <w:t xml:space="preserve">, </w:t>
      </w:r>
      <w:hyperlink w:anchor="_ENREF_58" w:tooltip="Delnevo, 2010 #99" w:history="1">
        <w:r>
          <w:rPr>
            <w:rFonts w:asciiTheme="minorHAnsi" w:hAnsiTheme="minorHAnsi" w:cstheme="minorHAnsi"/>
            <w:noProof/>
            <w:color w:val="000000" w:themeColor="text1"/>
            <w:sz w:val="22"/>
            <w:szCs w:val="22"/>
          </w:rPr>
          <w:t>58</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current and former smokers participating in the 2003 and 2006-2007 TUS-CPS. Current smokers were adults who smoked at least 100 cigarettes in a lifetime and smoked some days or every day at the time of the survey. Former smokers reported not smoking at the time of the survey and had quit within the past five years. They reported outcomes for five sample restrictions, as follows: cigarette smokers and former smokers who quit in the past 5 years (restriction 1); cigarette smokers and former smokers who quit in the past 5 years who do not currently use other tobacco products (restriction 2); cigarette smokers and former smokers who quit in the past 5 years who have made a quit attempt (restriction 3); cigarette smokers and former smokers who quit in the past 5 years who have made a quit attempt and do not currently use other tobacco products (restriction 4); and past-year smokers (restriction 5, also adjusting for past-year cigarette tax increase). Within each restriction, separate analysis of White smokers was performed, using multivariate logistic regression models that adjusted for gender, age, income, education, year, and month. The odds of being a former smoker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lower among White menthol smokers, compared to White non-menthol smokers, in three</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sample restrictions: restriction 1 (OR=0.928, 95% CI:0.877, 0.982); restriction 2 (OR=0.943, 95% CI:0.891, 0.999), and restriction 3 (OR=0.937, 95% CI:</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0.882, 0.994); no significant differences were found in restrictions 4 and 5. </w:t>
      </w:r>
    </w:p>
    <w:p w14:paraId="3754B0BB"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Trinidad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2" w:tooltip="Trinidad, 2010 #58" w:history="1">
        <w:r>
          <w:rPr>
            <w:rFonts w:asciiTheme="minorHAnsi" w:hAnsiTheme="minorHAnsi" w:cstheme="minorHAnsi"/>
            <w:noProof/>
            <w:color w:val="000000" w:themeColor="text1"/>
            <w:sz w:val="22"/>
            <w:szCs w:val="22"/>
          </w:rPr>
          <w:t>52</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examined data from both the 2003 and 2006-2007 TUS-CPS to analyze abstinence for former smokers age 20 to 65. They performed multivariate logistic regression analyses by race/ethnicity, adjusting for age, education, gender, and current use of other tobacco products. Among White former smokers, menthol was associated with </w:t>
      </w:r>
      <w:r>
        <w:rPr>
          <w:rFonts w:asciiTheme="minorHAnsi" w:hAnsiTheme="minorHAnsi" w:cstheme="minorHAnsi"/>
          <w:color w:val="000000" w:themeColor="text1"/>
          <w:sz w:val="22"/>
          <w:szCs w:val="22"/>
        </w:rPr>
        <w:t>statistically significant</w:t>
      </w:r>
      <w:r w:rsidRPr="00DE2832">
        <w:rPr>
          <w:rFonts w:asciiTheme="minorHAnsi" w:hAnsiTheme="minorHAnsi" w:cstheme="minorHAnsi"/>
          <w:color w:val="000000" w:themeColor="text1"/>
          <w:sz w:val="22"/>
          <w:szCs w:val="22"/>
        </w:rPr>
        <w:t xml:space="preserve"> lower odds of being abstinent for more than six months: White menthol smokers’ odds were 72 percent lower than White non-menthol smokers’ odd</w:t>
      </w:r>
      <w:r>
        <w:rPr>
          <w:rFonts w:asciiTheme="minorHAnsi" w:hAnsiTheme="minorHAnsi" w:cstheme="minorHAnsi"/>
          <w:color w:val="000000" w:themeColor="text1"/>
          <w:sz w:val="22"/>
          <w:szCs w:val="22"/>
        </w:rPr>
        <w:t>s (OR=0.28, 95% CI: 0.25,</w:t>
      </w:r>
      <w:r w:rsidRPr="00DE2832">
        <w:rPr>
          <w:rFonts w:asciiTheme="minorHAnsi" w:hAnsiTheme="minorHAnsi" w:cstheme="minorHAnsi"/>
          <w:color w:val="000000" w:themeColor="text1"/>
          <w:sz w:val="22"/>
          <w:szCs w:val="22"/>
        </w:rPr>
        <w:t xml:space="preserve"> 0.33). It is likely that there is significant overlap in this sample and the sample used in analyses from Delnevo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&lt;EndNote&gt;&lt;Cite&gt;&lt;Author&gt;Delnevo&lt;/Author&gt;&lt;Year&gt;2010&lt;/Year&gt;&lt;RecNum&gt;99&lt;/RecNum&gt;&lt;DisplayText&gt;(58)&lt;/DisplayText&gt;&lt;record&gt;&lt;rec-number&gt;99&lt;/rec-number&gt;&lt;foreign-keys&gt;&lt;key app="EN" db-id="a2vz2dfp8xrad6exes75zwpiw5rxwa0vwapv" timestamp="0"&gt;99&lt;/key&gt;&lt;/foreign-keys&gt;&lt;ref-type name="Report"&gt;27&lt;/ref-type&gt;&lt;contributors&gt;&lt;authors&gt;&lt;author&gt;Delnevo, C. D.&lt;/author&gt;&lt;author&gt;Gundersen, D. A.&lt;/author&gt;&lt;author&gt;Hrywna, M.&lt;/author&gt;&lt;/authors&gt;&lt;/contributors&gt;&lt;titles&gt;&lt;title&gt;Examining the relationship between menthol smoking and cessation using data from the 2003 and 2006/7 Tobacco Use Supplement&lt;/title&gt;&lt;/titles&gt;&lt;pages&gt;61&lt;/pages&gt;&lt;dates&gt;&lt;year&gt;2010&lt;/year&gt;&lt;pub-dates&gt;&lt;date&gt;January 10-11, 2011&lt;/date&gt;&lt;/pub-dates&gt;&lt;/dates&gt;&lt;pub-location&gt;Center for Tobacco Surveillance and Evaluation Research&lt;/pub-location&gt;&lt;publisher&gt;University of Medicine &amp;amp; Dentistry of New Jersey - School of Public Health&lt;/publisher&gt;&lt;urls&gt;&lt;related-urls&gt;&lt;url&gt;https://wayback.archive-it.org/7993/20170113150634/http://www.fda.gov/downloads/AdvisoryCommittees/CommitteesMeetingMaterials/TobaccoProductsScientificAdvisoryCommittee/UCM237560.pdf&lt;/url&gt;&lt;/related-urls&gt;&lt;/urls&gt;&lt;research-notes&gt;#817&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8" w:tooltip="Delnevo, 2010 #99" w:history="1">
        <w:r>
          <w:rPr>
            <w:rFonts w:asciiTheme="minorHAnsi" w:hAnsiTheme="minorHAnsi" w:cstheme="minorHAnsi"/>
            <w:noProof/>
            <w:color w:val="000000" w:themeColor="text1"/>
            <w:sz w:val="22"/>
            <w:szCs w:val="22"/>
          </w:rPr>
          <w:t>58</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above.</w:t>
      </w:r>
    </w:p>
    <w:p w14:paraId="470CBB3C"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In their subgroup analyses of White smokers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9" w:tooltip="Keeler, 2017 #660" w:history="1">
        <w:r>
          <w:rPr>
            <w:rFonts w:asciiTheme="minorHAnsi" w:hAnsiTheme="minorHAnsi" w:cstheme="minorHAnsi"/>
            <w:noProof/>
            <w:color w:val="000000" w:themeColor="text1"/>
            <w:sz w:val="22"/>
            <w:szCs w:val="22"/>
          </w:rPr>
          <w:t>29</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found no difference in odds of abstinence (≥3 months) between menthol and non-menthol smokers (OR=0.94, 95% CI: 0.84–1.06; p=0.3190); similarly, they found no difference in odds of past-year quit attempts between White menthol and non-menthol smokers (OR=0.97, 95% CI: 0.91–1.02; p=0.2450). In a second study by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30" w:tooltip="Keeler, 2018 #537" w:history="1">
        <w:r>
          <w:rPr>
            <w:rFonts w:asciiTheme="minorHAnsi" w:hAnsiTheme="minorHAnsi" w:cstheme="minorHAnsi"/>
            <w:noProof/>
            <w:color w:val="000000" w:themeColor="text1"/>
            <w:sz w:val="22"/>
            <w:szCs w:val="22"/>
          </w:rPr>
          <w:t>30</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subsample analysis of White smokers reported that successful cessation (≥3 months) did not differ between White menthol (5.8%) and non-menthol smokers (6.2%) (OR=0.94. 95% CI: 0.84-1.07; p=NS); likewise, odds of past-year quit attempts did not differ between White menthol (40.6%) and non-menthol (40.7%) smokers (OR=0.95 95% CI: 0.89-1.01; p=NS).</w:t>
      </w:r>
    </w:p>
    <w:p w14:paraId="4E77B806"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lastRenderedPageBreak/>
        <w:t xml:space="preserve">In 2013, Reitzel et al. </w:t>
      </w:r>
      <w:r w:rsidRPr="00DE2832">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68" w:tooltip="Reitzel, 2013 #28" w:history="1">
        <w:r>
          <w:rPr>
            <w:rFonts w:asciiTheme="minorHAnsi" w:hAnsiTheme="minorHAnsi" w:cstheme="minorHAnsi"/>
            <w:noProof/>
            <w:color w:val="000000" w:themeColor="text1"/>
            <w:sz w:val="22"/>
            <w:szCs w:val="22"/>
          </w:rPr>
          <w:t>68</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published results from a 2006-2007 longitudinal study designed “to examine changes in risk perceptions over time among community smokers attempting to quit.” Using continuation ratio logit models that adjusted for age, gender, income, education, employment, partner status, and stage of change, they found that for White smokers, menthol smoking was (marginally)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associated with continuous smoking abstinence (β=-1.56, SE=0.79, p=0.05).Reitzel et al. </w:t>
      </w:r>
      <w:r w:rsidRPr="00DE2832">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68" w:tooltip="Reitzel, 2013 #28" w:history="1">
        <w:r>
          <w:rPr>
            <w:rFonts w:asciiTheme="minorHAnsi" w:hAnsiTheme="minorHAnsi" w:cstheme="minorHAnsi"/>
            <w:noProof/>
            <w:color w:val="000000" w:themeColor="text1"/>
            <w:sz w:val="22"/>
            <w:szCs w:val="22"/>
          </w:rPr>
          <w:t>68</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also modeled abstinence using a definition of 7-day PPA (i.e., participants were not required to be continuously abstinent through all 3 weeks) through post-quit week 3. Among White participants, menthol smoking predicted a significant decrease in 7-day PPA compared with non-menthol smoking (β=-1.90, SE=0.82, p=0.02). </w:t>
      </w:r>
    </w:p>
    <w:p w14:paraId="61DBA61A"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Blot et al. </w:t>
      </w:r>
      <w:r w:rsidRPr="00DE2832">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6" w:tooltip="Blot, 2011 #48" w:history="1">
        <w:r>
          <w:rPr>
            <w:rFonts w:asciiTheme="minorHAnsi" w:hAnsiTheme="minorHAnsi" w:cstheme="minorHAnsi"/>
            <w:noProof/>
            <w:color w:val="000000" w:themeColor="text1"/>
            <w:sz w:val="22"/>
            <w:szCs w:val="22"/>
          </w:rPr>
          <w:t>56</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performed a nested case-control study of lung cancer using data from “ever smokers” in the Southern Community Cohort Study—a prospective cohort study of adults age 40 to 79 living in 12 southern states. The authors assessed quitting smoking for ever-smokers retrospectively (based on self-report of having quit before entry into the cohort) using logistic regression models that adjusted for age, gender, income, education, recruitment source, BMI, and pack-years of smoking to assess the odds of having quit before study entry. Among White smokers, smoking menthol cigarettes was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associated with higher odds of having quit before enrollment in the study, compared with smoking non-menthol cigarettes. White menthol smokers had 55 percent greater odds of having entered as former smokers rather than current smokers, compared with White non-menthol s</w:t>
      </w:r>
      <w:r>
        <w:rPr>
          <w:rFonts w:asciiTheme="minorHAnsi" w:hAnsiTheme="minorHAnsi" w:cstheme="minorHAnsi"/>
          <w:color w:val="000000" w:themeColor="text1"/>
          <w:sz w:val="22"/>
          <w:szCs w:val="22"/>
        </w:rPr>
        <w:t>mokers (OR=1.55, 95% CI: 1.41,</w:t>
      </w:r>
      <w:r w:rsidRPr="00DE2832">
        <w:rPr>
          <w:rFonts w:asciiTheme="minorHAnsi" w:hAnsiTheme="minorHAnsi" w:cstheme="minorHAnsi"/>
          <w:color w:val="000000" w:themeColor="text1"/>
          <w:sz w:val="22"/>
          <w:szCs w:val="22"/>
        </w:rPr>
        <w:t xml:space="preserve"> 1.70). </w:t>
      </w:r>
    </w:p>
    <w:p w14:paraId="4280312D"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Project MOM </w:t>
      </w:r>
      <w:r w:rsidRPr="00DE2832">
        <w:rPr>
          <w:rFonts w:asciiTheme="minorHAnsi" w:hAnsiTheme="minorHAnsi" w:cstheme="minorHAnsi"/>
          <w:color w:val="000000" w:themeColor="text1"/>
          <w:sz w:val="22"/>
          <w:szCs w:val="22"/>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71" w:tooltip="Reitzel, 2011 #107" w:history="1">
        <w:r>
          <w:rPr>
            <w:rFonts w:asciiTheme="minorHAnsi" w:hAnsiTheme="minorHAnsi" w:cstheme="minorHAnsi"/>
            <w:noProof/>
            <w:color w:val="000000" w:themeColor="text1"/>
            <w:sz w:val="22"/>
            <w:szCs w:val="22"/>
          </w:rPr>
          <w:t>71</w:t>
        </w:r>
      </w:hyperlink>
      <w:r>
        <w:rPr>
          <w:rFonts w:asciiTheme="minorHAnsi" w:hAnsiTheme="minorHAnsi" w:cstheme="minorHAnsi"/>
          <w:noProof/>
          <w:color w:val="000000" w:themeColor="text1"/>
          <w:sz w:val="22"/>
          <w:szCs w:val="22"/>
        </w:rPr>
        <w:t xml:space="preserve">, </w:t>
      </w:r>
      <w:hyperlink w:anchor="_ENREF_75" w:tooltip="Reitzel, 2011 #41" w:history="1">
        <w:r>
          <w:rPr>
            <w:rFonts w:asciiTheme="minorHAnsi" w:hAnsiTheme="minorHAnsi" w:cstheme="minorHAnsi"/>
            <w:noProof/>
            <w:color w:val="000000" w:themeColor="text1"/>
            <w:sz w:val="22"/>
            <w:szCs w:val="22"/>
          </w:rPr>
          <w:t>75</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investigators recruited women in their 30</w:t>
      </w:r>
      <w:r w:rsidRPr="00DE2832">
        <w:rPr>
          <w:rFonts w:asciiTheme="minorHAnsi" w:hAnsiTheme="minorHAnsi" w:cstheme="minorHAnsi"/>
          <w:color w:val="000000" w:themeColor="text1"/>
          <w:sz w:val="22"/>
          <w:szCs w:val="22"/>
          <w:vertAlign w:val="superscript"/>
        </w:rPr>
        <w:t>th</w:t>
      </w:r>
      <w:r w:rsidRPr="00DE2832">
        <w:rPr>
          <w:rFonts w:asciiTheme="minorHAnsi" w:hAnsiTheme="minorHAnsi" w:cstheme="minorHAnsi"/>
          <w:color w:val="000000" w:themeColor="text1"/>
          <w:sz w:val="22"/>
          <w:szCs w:val="22"/>
        </w:rPr>
        <w:t xml:space="preserve"> to 33</w:t>
      </w:r>
      <w:r w:rsidRPr="00DE2832">
        <w:rPr>
          <w:rFonts w:asciiTheme="minorHAnsi" w:hAnsiTheme="minorHAnsi" w:cstheme="minorHAnsi"/>
          <w:color w:val="000000" w:themeColor="text1"/>
          <w:sz w:val="22"/>
          <w:szCs w:val="22"/>
          <w:vertAlign w:val="superscript"/>
        </w:rPr>
        <w:t>rd</w:t>
      </w:r>
      <w:r w:rsidRPr="00DE2832">
        <w:rPr>
          <w:rFonts w:asciiTheme="minorHAnsi" w:hAnsiTheme="minorHAnsi" w:cstheme="minorHAnsi"/>
          <w:color w:val="000000" w:themeColor="text1"/>
          <w:sz w:val="22"/>
          <w:szCs w:val="22"/>
        </w:rPr>
        <w:t xml:space="preserve"> week of pregnancy who had stopped smoking either during their pregnancy or within two months prior to becoming pregnant and wanted to remain quit postpartum. Women must have smoked at least one CPD on average over the year prior to quitting. Participants were randomized to receive usual care or one of two motivation and problem-solving interventions for the prevention of postpartum relapse, and data were collected at baseline and at weeks eight and 26 postpartum. The authors used continuation ratio logit modeling that adjusted for age, race/ethnicity, partner status, income, education, time in study, treatment arm, CPD, and TTFC. White women who smoked menthol cigarettes before or during part of their pregnancy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less likely to maintain abstinence from smoking through week 26 postpartum. Specifically, for White mothers, menthol smoking was associated with an 81 percent decrease in the odds of continuous abstinence, compared with non-menthol s</w:t>
      </w:r>
      <w:r>
        <w:rPr>
          <w:rFonts w:asciiTheme="minorHAnsi" w:hAnsiTheme="minorHAnsi" w:cstheme="minorHAnsi"/>
          <w:color w:val="000000" w:themeColor="text1"/>
          <w:sz w:val="22"/>
          <w:szCs w:val="22"/>
        </w:rPr>
        <w:t>moking (OR=0.19, 95% CI: 0.04,</w:t>
      </w:r>
      <w:r w:rsidRPr="00DE2832">
        <w:rPr>
          <w:rFonts w:asciiTheme="minorHAnsi" w:hAnsiTheme="minorHAnsi" w:cstheme="minorHAnsi"/>
          <w:color w:val="000000" w:themeColor="text1"/>
          <w:sz w:val="22"/>
          <w:szCs w:val="22"/>
        </w:rPr>
        <w:t xml:space="preserve"> 0.89, N=120).</w:t>
      </w:r>
    </w:p>
    <w:p w14:paraId="4AEB5D3E"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a 2010 analysis of the National Health Interview Survey Cancer Control Supplement (NHIS-CCS) data collected in 2005, Cubbin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examined data reported by former smokers age 25 to 64. The authors predicted length of time since quitting, adjusted for age, income, and education, for six gender-race/ethnicity interactions. Among White women, there was a significant difference in duration of abstinence: White female former menthol smokers had been abstinent for 2.5 years longer than White female former non-menthol smokers (14.8 years vs. 12.5 years, respectively; p&lt;0.001). For White men, the length of abstinence was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longer for former menthol smokers than former non-menthol smokers. In terms of past-year quit attempts, no difference in the rate of quite attempts was found between White female menthol and non-menthol smokers, nor between White male menthol and non-menthol smokers.</w:t>
      </w:r>
    </w:p>
    <w:p w14:paraId="426501D1"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Hyland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&lt;EndNote&gt;&lt;Cite&gt;&lt;Author&gt;Hyland&lt;/Author&gt;&lt;Year&gt;2002&lt;/Year&gt;&lt;RecNum&gt;87&lt;/RecNum&gt;&lt;DisplayText&gt;(46,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Author&gt;Hyland&lt;/Author&gt;&lt;Year&gt;2010&lt;/Year&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 xml:space="preserve">, </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reported published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&lt;EndNote&gt;&lt;Cite&gt;&lt;Author&gt;Hyland&lt;/Author&gt;&lt;Year&gt;2002&lt;/Year&gt;&lt;RecNum&gt;87&lt;/RecNum&gt;&lt;DisplayText&gt;(50)&lt;/DisplayText&gt;&lt;record&gt;&lt;rec-number&gt;87&lt;/rec-number&gt;&lt;foreign-keys&gt;&lt;key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and unpublished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data from the longitudinal Community Intervention Trial for Smoking Cessation (COMMIT)—a community-based trial of a multifaceted public health intervention to increase cessation rates. Participants in their analyses were current smokers between 25 and 64 years of age at baseline (1988) who: (1) completed phone tobacco use surveys in 1993 and 2001, (2) were smokers at those points, (3) reported whether their current cigarette brand was mentholated or not in each survey wave, and (4) completed a fourth phone interview in 2005. Interim data from COMMIT published in 2002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&lt;EndNote&gt;&lt;Cite&gt;&lt;Author&gt;Hyland&lt;/Author&gt;&lt;Year&gt;2002&lt;/Year&gt;&lt;RecNum&gt;87&lt;/RecNum&gt;&lt;DisplayText&gt;(50)&lt;/DisplayText&gt;&lt;record&gt;&lt;rec-number&gt;87&lt;/rec-number&gt;&lt;foreign-keys&gt;&lt;key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indicated that White menthol and non-menthol smokers were no different in their likelihood of having quit between 1988 and 1993 (rel</w:t>
      </w:r>
      <w:r>
        <w:rPr>
          <w:rFonts w:asciiTheme="minorHAnsi" w:hAnsiTheme="minorHAnsi" w:cstheme="minorHAnsi"/>
          <w:color w:val="000000" w:themeColor="text1"/>
          <w:sz w:val="22"/>
          <w:szCs w:val="22"/>
        </w:rPr>
        <w:t>ative risk=0.94, 95% CI: 0.83,</w:t>
      </w:r>
      <w:r w:rsidRPr="00DE2832">
        <w:rPr>
          <w:rFonts w:asciiTheme="minorHAnsi" w:hAnsiTheme="minorHAnsi" w:cstheme="minorHAnsi"/>
          <w:color w:val="000000" w:themeColor="text1"/>
          <w:sz w:val="22"/>
          <w:szCs w:val="22"/>
        </w:rPr>
        <w:t xml:space="preserve"> 1.05). In th</w:t>
      </w:r>
      <w:r>
        <w:rPr>
          <w:rFonts w:asciiTheme="minorHAnsi" w:hAnsiTheme="minorHAnsi" w:cstheme="minorHAnsi"/>
          <w:color w:val="000000" w:themeColor="text1"/>
          <w:sz w:val="22"/>
          <w:szCs w:val="22"/>
        </w:rPr>
        <w:t>e longer-term, published follow</w:t>
      </w:r>
      <w:r w:rsidRPr="00DE2832">
        <w:rPr>
          <w:rFonts w:asciiTheme="minorHAnsi" w:hAnsiTheme="minorHAnsi" w:cstheme="minorHAnsi"/>
          <w:color w:val="000000" w:themeColor="text1"/>
          <w:sz w:val="22"/>
          <w:szCs w:val="22"/>
        </w:rPr>
        <w:t xml:space="preserve"> up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the adjusted results found that the odds of quitting by 2005 for White menthol smokers who </w:t>
      </w:r>
      <w:r w:rsidRPr="00DE2832">
        <w:rPr>
          <w:rFonts w:asciiTheme="minorHAnsi" w:hAnsiTheme="minorHAnsi" w:cstheme="minorHAnsi"/>
          <w:color w:val="000000" w:themeColor="text1"/>
          <w:sz w:val="22"/>
          <w:szCs w:val="22"/>
        </w:rPr>
        <w:lastRenderedPageBreak/>
        <w:t>smoked menthol cigarettes since 1988 were no different than the odds for White non-menthol s</w:t>
      </w:r>
      <w:r>
        <w:rPr>
          <w:rFonts w:asciiTheme="minorHAnsi" w:hAnsiTheme="minorHAnsi" w:cstheme="minorHAnsi"/>
          <w:color w:val="000000" w:themeColor="text1"/>
          <w:sz w:val="22"/>
          <w:szCs w:val="22"/>
        </w:rPr>
        <w:t>mokers (OR=0.79, 95% CI: 0.56,</w:t>
      </w:r>
      <w:r w:rsidRPr="00DE2832">
        <w:rPr>
          <w:rFonts w:asciiTheme="minorHAnsi" w:hAnsiTheme="minorHAnsi" w:cstheme="minorHAnsi"/>
          <w:color w:val="000000" w:themeColor="text1"/>
          <w:sz w:val="22"/>
          <w:szCs w:val="22"/>
        </w:rPr>
        <w:t xml:space="preserve"> 1.11). Among the subsample of participants who reported attempting to quit, the odds of quitting were also no different compared with White non-menthol s</w:t>
      </w:r>
      <w:r>
        <w:rPr>
          <w:rFonts w:asciiTheme="minorHAnsi" w:hAnsiTheme="minorHAnsi" w:cstheme="minorHAnsi"/>
          <w:color w:val="000000" w:themeColor="text1"/>
          <w:sz w:val="22"/>
          <w:szCs w:val="22"/>
        </w:rPr>
        <w:t>mokers (OR=0.96, 95% CI: 0.65,</w:t>
      </w:r>
      <w:r w:rsidRPr="00DE2832">
        <w:rPr>
          <w:rFonts w:asciiTheme="minorHAnsi" w:hAnsiTheme="minorHAnsi" w:cstheme="minorHAnsi"/>
          <w:color w:val="000000" w:themeColor="text1"/>
          <w:sz w:val="22"/>
          <w:szCs w:val="22"/>
        </w:rPr>
        <w:t xml:space="preserve"> 1.41). Finally, among White participants who smoked exclusively menthol versus exclusively non-menthol cigarettes between 1988 and 2001, menthol smokers were no different than non-menthol smokers to have made a quit attempt between 2001 an</w:t>
      </w:r>
      <w:r>
        <w:rPr>
          <w:rFonts w:asciiTheme="minorHAnsi" w:hAnsiTheme="minorHAnsi" w:cstheme="minorHAnsi"/>
          <w:color w:val="000000" w:themeColor="text1"/>
          <w:sz w:val="22"/>
          <w:szCs w:val="22"/>
        </w:rPr>
        <w:t>d 2005 (OR=0.91, 95% CI: 0.71,</w:t>
      </w:r>
      <w:r w:rsidRPr="00DE2832">
        <w:rPr>
          <w:rFonts w:asciiTheme="minorHAnsi" w:hAnsiTheme="minorHAnsi" w:cstheme="minorHAnsi"/>
          <w:color w:val="000000" w:themeColor="text1"/>
          <w:sz w:val="22"/>
          <w:szCs w:val="22"/>
        </w:rPr>
        <w:t xml:space="preserve"> 1.17) or the odds of reducing daily cigarette use over 1</w:t>
      </w:r>
      <w:r>
        <w:rPr>
          <w:rFonts w:asciiTheme="minorHAnsi" w:hAnsiTheme="minorHAnsi" w:cstheme="minorHAnsi"/>
          <w:color w:val="000000" w:themeColor="text1"/>
          <w:sz w:val="22"/>
          <w:szCs w:val="22"/>
        </w:rPr>
        <w:t>3 years (OR=0.83, 95% CI: 0.63,</w:t>
      </w:r>
      <w:r w:rsidRPr="00DE2832">
        <w:rPr>
          <w:rFonts w:asciiTheme="minorHAnsi" w:hAnsiTheme="minorHAnsi" w:cstheme="minorHAnsi"/>
          <w:color w:val="000000" w:themeColor="text1"/>
          <w:sz w:val="22"/>
          <w:szCs w:val="22"/>
        </w:rPr>
        <w:t xml:space="preserve"> 1.09). </w:t>
      </w:r>
    </w:p>
    <w:p w14:paraId="38039727"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Gandhi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7" w:tooltip="Gandhi, 2009 #67" w:history="1">
        <w:r>
          <w:rPr>
            <w:rFonts w:asciiTheme="minorHAnsi" w:hAnsiTheme="minorHAnsi" w:cstheme="minorHAnsi"/>
            <w:noProof/>
            <w:color w:val="000000" w:themeColor="text1"/>
            <w:sz w:val="22"/>
            <w:szCs w:val="22"/>
          </w:rPr>
          <w:t>47</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retrospective data from a cohort of patients at a specialist tobacco treatment outpatient clinic. Participants were treatment seekers who set a quit date and attempted to quit; the study encouraged (but did not require) enrollees to attend group treatment and use tobacco-dependence treatment medications. Logistic regression models were used to assess abstinence at 4 weeks and 6 months post-quit; models were adjusted for age, education, gender, employment, insurance, CPD, age smoked for the first time, night waking to smoke, TTFC, previous quit attempts, and presence of a disease caused or aggravated by smoking. At four weeks and six months post-quit, White menthol smokers were no different than White non-menthol smokers in their likelihood to be abstinent (4 weeks: OR=0.96, 95% CI: 0.72 to 1.20; 6 months: </w:t>
      </w:r>
      <w:r>
        <w:rPr>
          <w:rFonts w:asciiTheme="minorHAnsi" w:hAnsiTheme="minorHAnsi" w:cstheme="minorHAnsi"/>
          <w:color w:val="000000" w:themeColor="text1"/>
          <w:sz w:val="22"/>
          <w:szCs w:val="22"/>
        </w:rPr>
        <w:t>OR=1.0, 95% CI: 0.8,</w:t>
      </w:r>
      <w:r w:rsidRPr="00DE2832">
        <w:rPr>
          <w:rFonts w:asciiTheme="minorHAnsi" w:hAnsiTheme="minorHAnsi" w:cstheme="minorHAnsi"/>
          <w:color w:val="000000" w:themeColor="text1"/>
          <w:sz w:val="22"/>
          <w:szCs w:val="22"/>
        </w:rPr>
        <w:t xml:space="preserve"> 1.4).</w:t>
      </w:r>
    </w:p>
    <w:p w14:paraId="7CCA800A"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Muscat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&lt;EndNote&gt;&lt;Cite&gt;&lt;Author&gt;Muscat&lt;/Author&gt;&lt;Year&gt;2002&lt;/Year&gt;&lt;RecNum&gt;86&lt;/RecNum&gt;&lt;DisplayText&gt;(55)&lt;/DisplayText&gt;&lt;record&gt;&lt;rec-number&gt;86&lt;/rec-number&gt;&lt;foreign-keys&gt;&lt;key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55" w:tooltip="Muscat, 2002 #86" w:history="1">
        <w:r>
          <w:rPr>
            <w:rFonts w:cstheme="minorHAnsi"/>
            <w:noProof/>
            <w:color w:val="000000" w:themeColor="text1"/>
          </w:rPr>
          <w:t>55</w:t>
        </w:r>
      </w:hyperlink>
      <w:r>
        <w:rPr>
          <w:rFonts w:cstheme="minorHAnsi"/>
          <w:noProof/>
          <w:color w:val="000000" w:themeColor="text1"/>
        </w:rPr>
        <w:t>)</w:t>
      </w:r>
      <w:r w:rsidRPr="00DE2832">
        <w:rPr>
          <w:rFonts w:cstheme="minorHAnsi"/>
          <w:color w:val="000000" w:themeColor="text1"/>
        </w:rPr>
        <w:fldChar w:fldCharType="end"/>
      </w:r>
      <w:r w:rsidRPr="00DE2832">
        <w:rPr>
          <w:rFonts w:asciiTheme="minorHAnsi" w:hAnsiTheme="minorHAnsi" w:cstheme="minorHAnsi"/>
          <w:color w:val="000000" w:themeColor="text1"/>
          <w:sz w:val="22"/>
          <w:szCs w:val="22"/>
        </w:rPr>
        <w:t xml:space="preserve"> analyzed data from a large multistate case-control study of tobacco-related cancers. Cases (cancer patients) were identified from surgery schedules and oncology wards; controls (non-cancer patients) were selected randomly from general hospital admission rosters. Black and White patients were eligible, and current smoking was defined as smoking an average of at least one CPD for the past year. Former smokers had at one time been current smokers but did not smoke at least one CPD during the preceding year. Authors conducted logistic regression analyses that adjusted for age, gender, education, case-control status, years of smoking, and CPD. White menthol smokers’ odds of being a current smoker (vs. a former smoker) were no different than the odds for White non-menthol smokers (prevalence OR=1.1, 95% CI: 1.0</w:t>
      </w:r>
      <w:r>
        <w:rPr>
          <w:rFonts w:asciiTheme="minorHAnsi" w:hAnsiTheme="minorHAnsi" w:cstheme="minorHAnsi"/>
          <w:color w:val="000000" w:themeColor="text1"/>
          <w:sz w:val="22"/>
          <w:szCs w:val="22"/>
        </w:rPr>
        <w:t>,</w:t>
      </w:r>
      <w:r w:rsidRPr="00DE2832">
        <w:rPr>
          <w:rFonts w:asciiTheme="minorHAnsi" w:hAnsiTheme="minorHAnsi" w:cstheme="minorHAnsi"/>
          <w:color w:val="000000" w:themeColor="text1"/>
          <w:sz w:val="22"/>
          <w:szCs w:val="22"/>
        </w:rPr>
        <w:t xml:space="preserve"> 1.3). </w:t>
      </w:r>
    </w:p>
    <w:p w14:paraId="7F9F0DC5" w14:textId="77777777" w:rsidR="007F0AE0" w:rsidRPr="00267D0B" w:rsidRDefault="007F0AE0" w:rsidP="007F0AE0">
      <w:pPr>
        <w:spacing w:after="120" w:line="240" w:lineRule="auto"/>
        <w:jc w:val="both"/>
        <w:outlineLvl w:val="2"/>
        <w:rPr>
          <w:rFonts w:eastAsia="Times New Roman" w:cstheme="minorHAnsi"/>
          <w:b/>
          <w:bCs/>
        </w:rPr>
      </w:pPr>
      <w:r w:rsidRPr="00267D0B">
        <w:rPr>
          <w:rFonts w:cstheme="minorHAnsi"/>
          <w:b/>
          <w:i/>
          <w:color w:val="000000" w:themeColor="text1"/>
        </w:rPr>
        <w:t xml:space="preserve">Blacks </w:t>
      </w:r>
    </w:p>
    <w:p w14:paraId="13E02E70" w14:textId="77777777" w:rsidR="007F0AE0" w:rsidRPr="00267D0B" w:rsidRDefault="007F0AE0" w:rsidP="007F0AE0">
      <w:pPr>
        <w:pStyle w:val="BodyText"/>
        <w:jc w:val="both"/>
        <w:rPr>
          <w:rFonts w:asciiTheme="minorHAnsi" w:hAnsiTheme="minorHAnsi" w:cstheme="minorHAnsi"/>
          <w:i/>
          <w:color w:val="000000" w:themeColor="text1"/>
          <w:sz w:val="22"/>
          <w:szCs w:val="22"/>
        </w:rPr>
      </w:pPr>
      <w:r w:rsidRPr="00267D0B">
        <w:rPr>
          <w:rFonts w:asciiTheme="minorHAnsi" w:hAnsiTheme="minorHAnsi" w:cstheme="minorHAnsi"/>
          <w:i/>
          <w:color w:val="000000" w:themeColor="text1"/>
          <w:sz w:val="22"/>
          <w:szCs w:val="22"/>
        </w:rPr>
        <w:t>Seventeen studies (from twenty references) reported adjusted results for Black participants only</w:t>
      </w:r>
      <w:r>
        <w:rPr>
          <w:rFonts w:asciiTheme="minorHAnsi" w:hAnsiTheme="minorHAnsi" w:cstheme="minorHAnsi"/>
          <w:i/>
          <w:color w:val="000000" w:themeColor="text1"/>
          <w:sz w:val="22"/>
          <w:szCs w:val="22"/>
        </w:rPr>
        <w:t xml:space="preserve"> </w:t>
      </w:r>
      <w:r>
        <w:rPr>
          <w:rFonts w:asciiTheme="minorHAnsi" w:hAnsiTheme="minorHAnsi" w:cstheme="minorHAnsi"/>
          <w:i/>
          <w:color w:val="000000" w:themeColor="text1"/>
          <w:sz w:val="22"/>
          <w:szCs w:val="22"/>
        </w:rPr>
        <w:fldChar w:fldCharType="begin">
          <w:fldData xml:space="preserve">NCwgV2luc3Rvbi1TYWxlbSwgTkMgMjcxMDIsIFVuaXRlZCBTdGF0ZXMuIEVsZWN0cm9uaWMgYWRk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</w:fldData>
        </w:fldChar>
      </w:r>
      <w:r>
        <w:rPr>
          <w:rFonts w:asciiTheme="minorHAnsi" w:hAnsiTheme="minorHAnsi" w:cstheme="minorHAnsi"/>
          <w:i/>
          <w:color w:val="000000" w:themeColor="text1"/>
          <w:sz w:val="22"/>
          <w:szCs w:val="22"/>
        </w:rPr>
        <w:instrText xml:space="preserve"> ADDIN EN.CITE </w:instrText>
      </w:r>
      <w:r>
        <w:rPr>
          <w:rFonts w:asciiTheme="minorHAnsi" w:hAnsiTheme="minorHAnsi" w:cstheme="minorHAnsi"/>
          <w:i/>
          <w:color w:val="000000" w:themeColor="text1"/>
          <w:sz w:val="22"/>
          <w:szCs w:val="22"/>
        </w:rPr>
        <w:fldChar w:fldCharType="begin">
          <w:fldData xml:space="preserve">PEVuZE5vdGU+PENpdGU+PEF1dGhvcj5CbG90PC9BdXRob3I+PFllYXI+MjAxMTwvWWVhcj48UmVj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==
</w:fldData>
        </w:fldChar>
      </w:r>
      <w:r>
        <w:rPr>
          <w:rFonts w:asciiTheme="minorHAnsi" w:hAnsiTheme="minorHAnsi" w:cstheme="minorHAnsi"/>
          <w:i/>
          <w:color w:val="000000" w:themeColor="text1"/>
          <w:sz w:val="22"/>
          <w:szCs w:val="22"/>
        </w:rPr>
        <w:instrText xml:space="preserve"> ADDIN EN.CITE.DATA </w:instrText>
      </w:r>
      <w:r>
        <w:rPr>
          <w:rFonts w:asciiTheme="minorHAnsi" w:hAnsiTheme="minorHAnsi" w:cstheme="minorHAnsi"/>
          <w:i/>
          <w:color w:val="000000" w:themeColor="text1"/>
          <w:sz w:val="22"/>
          <w:szCs w:val="22"/>
        </w:rPr>
      </w:r>
      <w:r>
        <w:rPr>
          <w:rFonts w:asciiTheme="minorHAnsi" w:hAnsiTheme="minorHAnsi" w:cstheme="minorHAnsi"/>
          <w:i/>
          <w:color w:val="000000" w:themeColor="text1"/>
          <w:sz w:val="22"/>
          <w:szCs w:val="22"/>
        </w:rPr>
        <w:fldChar w:fldCharType="end"/>
      </w:r>
      <w:r>
        <w:rPr>
          <w:rFonts w:asciiTheme="minorHAnsi" w:hAnsiTheme="minorHAnsi" w:cstheme="minorHAnsi"/>
          <w:i/>
          <w:color w:val="000000" w:themeColor="text1"/>
          <w:sz w:val="22"/>
          <w:szCs w:val="22"/>
        </w:rPr>
        <w:fldChar w:fldCharType="begin">
          <w:fldData xml:space="preserve">NCwgV2luc3Rvbi1TYWxlbSwgTkMgMjcxMDIsIFVuaXRlZCBTdGF0ZXMuIEVsZWN0cm9uaWMgYWRk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</w:fldData>
        </w:fldChar>
      </w:r>
      <w:r>
        <w:rPr>
          <w:rFonts w:asciiTheme="minorHAnsi" w:hAnsiTheme="minorHAnsi" w:cstheme="minorHAnsi"/>
          <w:i/>
          <w:color w:val="000000" w:themeColor="text1"/>
          <w:sz w:val="22"/>
          <w:szCs w:val="22"/>
        </w:rPr>
        <w:instrText xml:space="preserve"> ADDIN EN.CITE.DATA </w:instrText>
      </w:r>
      <w:r>
        <w:rPr>
          <w:rFonts w:asciiTheme="minorHAnsi" w:hAnsiTheme="minorHAnsi" w:cstheme="minorHAnsi"/>
          <w:i/>
          <w:color w:val="000000" w:themeColor="text1"/>
          <w:sz w:val="22"/>
          <w:szCs w:val="22"/>
        </w:rPr>
      </w:r>
      <w:r>
        <w:rPr>
          <w:rFonts w:asciiTheme="minorHAnsi" w:hAnsiTheme="minorHAnsi" w:cstheme="minorHAnsi"/>
          <w:i/>
          <w:color w:val="000000" w:themeColor="text1"/>
          <w:sz w:val="22"/>
          <w:szCs w:val="22"/>
        </w:rPr>
        <w:fldChar w:fldCharType="end"/>
      </w:r>
      <w:r>
        <w:rPr>
          <w:rFonts w:asciiTheme="minorHAnsi" w:hAnsiTheme="minorHAnsi" w:cstheme="minorHAnsi"/>
          <w:i/>
          <w:color w:val="000000" w:themeColor="text1"/>
          <w:sz w:val="22"/>
          <w:szCs w:val="22"/>
        </w:rPr>
        <w:fldChar w:fldCharType="separate"/>
      </w:r>
      <w:r>
        <w:rPr>
          <w:rFonts w:asciiTheme="minorHAnsi" w:hAnsiTheme="minorHAnsi" w:cstheme="minorHAnsi"/>
          <w:i/>
          <w:noProof/>
          <w:color w:val="000000" w:themeColor="text1"/>
          <w:sz w:val="22"/>
          <w:szCs w:val="22"/>
        </w:rPr>
        <w:t>(</w:t>
      </w:r>
      <w:hyperlink w:anchor="_ENREF_20" w:tooltip="Cubbin, 2010 #53" w:history="1">
        <w:r>
          <w:rPr>
            <w:rFonts w:asciiTheme="minorHAnsi" w:hAnsiTheme="minorHAnsi" w:cstheme="minorHAnsi"/>
            <w:i/>
            <w:noProof/>
            <w:color w:val="000000" w:themeColor="text1"/>
            <w:sz w:val="22"/>
            <w:szCs w:val="22"/>
          </w:rPr>
          <w:t>20</w:t>
        </w:r>
      </w:hyperlink>
      <w:r>
        <w:rPr>
          <w:rFonts w:asciiTheme="minorHAnsi" w:hAnsiTheme="minorHAnsi" w:cstheme="minorHAnsi"/>
          <w:i/>
          <w:noProof/>
          <w:color w:val="000000" w:themeColor="text1"/>
          <w:sz w:val="22"/>
          <w:szCs w:val="22"/>
        </w:rPr>
        <w:t xml:space="preserve">, </w:t>
      </w:r>
      <w:hyperlink w:anchor="_ENREF_24" w:tooltip="Okuyemi, 2007 #74" w:history="1">
        <w:r>
          <w:rPr>
            <w:rFonts w:asciiTheme="minorHAnsi" w:hAnsiTheme="minorHAnsi" w:cstheme="minorHAnsi"/>
            <w:i/>
            <w:noProof/>
            <w:color w:val="000000" w:themeColor="text1"/>
            <w:sz w:val="22"/>
            <w:szCs w:val="22"/>
          </w:rPr>
          <w:t>24</w:t>
        </w:r>
      </w:hyperlink>
      <w:r>
        <w:rPr>
          <w:rFonts w:asciiTheme="minorHAnsi" w:hAnsiTheme="minorHAnsi" w:cstheme="minorHAnsi"/>
          <w:i/>
          <w:noProof/>
          <w:color w:val="000000" w:themeColor="text1"/>
          <w:sz w:val="22"/>
          <w:szCs w:val="22"/>
        </w:rPr>
        <w:t xml:space="preserve">, </w:t>
      </w:r>
      <w:hyperlink w:anchor="_ENREF_27" w:tooltip="Faseru, 2013 #29" w:history="1">
        <w:r>
          <w:rPr>
            <w:rFonts w:asciiTheme="minorHAnsi" w:hAnsiTheme="minorHAnsi" w:cstheme="minorHAnsi"/>
            <w:i/>
            <w:noProof/>
            <w:color w:val="000000" w:themeColor="text1"/>
            <w:sz w:val="22"/>
            <w:szCs w:val="22"/>
          </w:rPr>
          <w:t>27</w:t>
        </w:r>
      </w:hyperlink>
      <w:r>
        <w:rPr>
          <w:rFonts w:asciiTheme="minorHAnsi" w:hAnsiTheme="minorHAnsi" w:cstheme="minorHAnsi"/>
          <w:i/>
          <w:noProof/>
          <w:color w:val="000000" w:themeColor="text1"/>
          <w:sz w:val="22"/>
          <w:szCs w:val="22"/>
        </w:rPr>
        <w:t xml:space="preserve">, </w:t>
      </w:r>
      <w:hyperlink w:anchor="_ENREF_29" w:tooltip="Keeler, 2017 #660" w:history="1">
        <w:r>
          <w:rPr>
            <w:rFonts w:asciiTheme="minorHAnsi" w:hAnsiTheme="minorHAnsi" w:cstheme="minorHAnsi"/>
            <w:i/>
            <w:noProof/>
            <w:color w:val="000000" w:themeColor="text1"/>
            <w:sz w:val="22"/>
            <w:szCs w:val="22"/>
          </w:rPr>
          <w:t>29</w:t>
        </w:r>
      </w:hyperlink>
      <w:r>
        <w:rPr>
          <w:rFonts w:asciiTheme="minorHAnsi" w:hAnsiTheme="minorHAnsi" w:cstheme="minorHAnsi"/>
          <w:i/>
          <w:noProof/>
          <w:color w:val="000000" w:themeColor="text1"/>
          <w:sz w:val="22"/>
          <w:szCs w:val="22"/>
        </w:rPr>
        <w:t xml:space="preserve">, </w:t>
      </w:r>
      <w:hyperlink w:anchor="_ENREF_30" w:tooltip="Keeler, 2018 #537" w:history="1">
        <w:r>
          <w:rPr>
            <w:rFonts w:asciiTheme="minorHAnsi" w:hAnsiTheme="minorHAnsi" w:cstheme="minorHAnsi"/>
            <w:i/>
            <w:noProof/>
            <w:color w:val="000000" w:themeColor="text1"/>
            <w:sz w:val="22"/>
            <w:szCs w:val="22"/>
          </w:rPr>
          <w:t>30</w:t>
        </w:r>
      </w:hyperlink>
      <w:r>
        <w:rPr>
          <w:rFonts w:asciiTheme="minorHAnsi" w:hAnsiTheme="minorHAnsi" w:cstheme="minorHAnsi"/>
          <w:i/>
          <w:noProof/>
          <w:color w:val="000000" w:themeColor="text1"/>
          <w:sz w:val="22"/>
          <w:szCs w:val="22"/>
        </w:rPr>
        <w:t xml:space="preserve">, </w:t>
      </w:r>
      <w:hyperlink w:anchor="_ENREF_46" w:tooltip="Hyland, 2010 #100" w:history="1">
        <w:r>
          <w:rPr>
            <w:rFonts w:asciiTheme="minorHAnsi" w:hAnsiTheme="minorHAnsi" w:cstheme="minorHAnsi"/>
            <w:i/>
            <w:noProof/>
            <w:color w:val="000000" w:themeColor="text1"/>
            <w:sz w:val="22"/>
            <w:szCs w:val="22"/>
          </w:rPr>
          <w:t>46</w:t>
        </w:r>
      </w:hyperlink>
      <w:r>
        <w:rPr>
          <w:rFonts w:asciiTheme="minorHAnsi" w:hAnsiTheme="minorHAnsi" w:cstheme="minorHAnsi"/>
          <w:i/>
          <w:noProof/>
          <w:color w:val="000000" w:themeColor="text1"/>
          <w:sz w:val="22"/>
          <w:szCs w:val="22"/>
        </w:rPr>
        <w:t xml:space="preserve">, </w:t>
      </w:r>
      <w:hyperlink w:anchor="_ENREF_47" w:tooltip="Gandhi, 2009 #67" w:history="1">
        <w:r>
          <w:rPr>
            <w:rFonts w:asciiTheme="minorHAnsi" w:hAnsiTheme="minorHAnsi" w:cstheme="minorHAnsi"/>
            <w:i/>
            <w:noProof/>
            <w:color w:val="000000" w:themeColor="text1"/>
            <w:sz w:val="22"/>
            <w:szCs w:val="22"/>
          </w:rPr>
          <w:t>47</w:t>
        </w:r>
      </w:hyperlink>
      <w:r>
        <w:rPr>
          <w:rFonts w:asciiTheme="minorHAnsi" w:hAnsiTheme="minorHAnsi" w:cstheme="minorHAnsi"/>
          <w:i/>
          <w:noProof/>
          <w:color w:val="000000" w:themeColor="text1"/>
          <w:sz w:val="22"/>
          <w:szCs w:val="22"/>
        </w:rPr>
        <w:t xml:space="preserve">, </w:t>
      </w:r>
      <w:hyperlink w:anchor="_ENREF_49" w:tooltip="Okuyemi, 2003 #85" w:history="1">
        <w:r>
          <w:rPr>
            <w:rFonts w:asciiTheme="minorHAnsi" w:hAnsiTheme="minorHAnsi" w:cstheme="minorHAnsi"/>
            <w:i/>
            <w:noProof/>
            <w:color w:val="000000" w:themeColor="text1"/>
            <w:sz w:val="22"/>
            <w:szCs w:val="22"/>
          </w:rPr>
          <w:t>49</w:t>
        </w:r>
      </w:hyperlink>
      <w:r>
        <w:rPr>
          <w:rFonts w:asciiTheme="minorHAnsi" w:hAnsiTheme="minorHAnsi" w:cstheme="minorHAnsi"/>
          <w:i/>
          <w:noProof/>
          <w:color w:val="000000" w:themeColor="text1"/>
          <w:sz w:val="22"/>
          <w:szCs w:val="22"/>
        </w:rPr>
        <w:t xml:space="preserve">, </w:t>
      </w:r>
      <w:hyperlink w:anchor="_ENREF_50" w:tooltip="Hyland, 2002 #87" w:history="1">
        <w:r>
          <w:rPr>
            <w:rFonts w:asciiTheme="minorHAnsi" w:hAnsiTheme="minorHAnsi" w:cstheme="minorHAnsi"/>
            <w:i/>
            <w:noProof/>
            <w:color w:val="000000" w:themeColor="text1"/>
            <w:sz w:val="22"/>
            <w:szCs w:val="22"/>
          </w:rPr>
          <w:t>50</w:t>
        </w:r>
      </w:hyperlink>
      <w:r>
        <w:rPr>
          <w:rFonts w:asciiTheme="minorHAnsi" w:hAnsiTheme="minorHAnsi" w:cstheme="minorHAnsi"/>
          <w:i/>
          <w:noProof/>
          <w:color w:val="000000" w:themeColor="text1"/>
          <w:sz w:val="22"/>
          <w:szCs w:val="22"/>
        </w:rPr>
        <w:t xml:space="preserve">, </w:t>
      </w:r>
      <w:hyperlink w:anchor="_ENREF_52" w:tooltip="Trinidad, 2010 #58" w:history="1">
        <w:r>
          <w:rPr>
            <w:rFonts w:asciiTheme="minorHAnsi" w:hAnsiTheme="minorHAnsi" w:cstheme="minorHAnsi"/>
            <w:i/>
            <w:noProof/>
            <w:color w:val="000000" w:themeColor="text1"/>
            <w:sz w:val="22"/>
            <w:szCs w:val="22"/>
          </w:rPr>
          <w:t>52</w:t>
        </w:r>
      </w:hyperlink>
      <w:r>
        <w:rPr>
          <w:rFonts w:asciiTheme="minorHAnsi" w:hAnsiTheme="minorHAnsi" w:cstheme="minorHAnsi"/>
          <w:i/>
          <w:noProof/>
          <w:color w:val="000000" w:themeColor="text1"/>
          <w:sz w:val="22"/>
          <w:szCs w:val="22"/>
        </w:rPr>
        <w:t xml:space="preserve">, </w:t>
      </w:r>
      <w:hyperlink w:anchor="_ENREF_54" w:tooltip="Sulsky, 2014 #15" w:history="1">
        <w:r>
          <w:rPr>
            <w:rFonts w:asciiTheme="minorHAnsi" w:hAnsiTheme="minorHAnsi" w:cstheme="minorHAnsi"/>
            <w:i/>
            <w:noProof/>
            <w:color w:val="000000" w:themeColor="text1"/>
            <w:sz w:val="22"/>
            <w:szCs w:val="22"/>
          </w:rPr>
          <w:t>54-59</w:t>
        </w:r>
      </w:hyperlink>
      <w:r>
        <w:rPr>
          <w:rFonts w:asciiTheme="minorHAnsi" w:hAnsiTheme="minorHAnsi" w:cstheme="minorHAnsi"/>
          <w:i/>
          <w:noProof/>
          <w:color w:val="000000" w:themeColor="text1"/>
          <w:sz w:val="22"/>
          <w:szCs w:val="22"/>
        </w:rPr>
        <w:t xml:space="preserve">, </w:t>
      </w:r>
      <w:hyperlink w:anchor="_ENREF_68" w:tooltip="Reitzel, 2013 #28" w:history="1">
        <w:r>
          <w:rPr>
            <w:rFonts w:asciiTheme="minorHAnsi" w:hAnsiTheme="minorHAnsi" w:cstheme="minorHAnsi"/>
            <w:i/>
            <w:noProof/>
            <w:color w:val="000000" w:themeColor="text1"/>
            <w:sz w:val="22"/>
            <w:szCs w:val="22"/>
          </w:rPr>
          <w:t>68</w:t>
        </w:r>
      </w:hyperlink>
      <w:r>
        <w:rPr>
          <w:rFonts w:asciiTheme="minorHAnsi" w:hAnsiTheme="minorHAnsi" w:cstheme="minorHAnsi"/>
          <w:i/>
          <w:noProof/>
          <w:color w:val="000000" w:themeColor="text1"/>
          <w:sz w:val="22"/>
          <w:szCs w:val="22"/>
        </w:rPr>
        <w:t xml:space="preserve">, </w:t>
      </w:r>
      <w:hyperlink w:anchor="_ENREF_69" w:tooltip="Reitzel, 2011 #105" w:history="1">
        <w:r>
          <w:rPr>
            <w:rFonts w:asciiTheme="minorHAnsi" w:hAnsiTheme="minorHAnsi" w:cstheme="minorHAnsi"/>
            <w:i/>
            <w:noProof/>
            <w:color w:val="000000" w:themeColor="text1"/>
            <w:sz w:val="22"/>
            <w:szCs w:val="22"/>
          </w:rPr>
          <w:t>69</w:t>
        </w:r>
      </w:hyperlink>
      <w:r>
        <w:rPr>
          <w:rFonts w:asciiTheme="minorHAnsi" w:hAnsiTheme="minorHAnsi" w:cstheme="minorHAnsi"/>
          <w:i/>
          <w:noProof/>
          <w:color w:val="000000" w:themeColor="text1"/>
          <w:sz w:val="22"/>
          <w:szCs w:val="22"/>
        </w:rPr>
        <w:t xml:space="preserve">, </w:t>
      </w:r>
      <w:hyperlink w:anchor="_ENREF_71" w:tooltip="Reitzel, 2011 #107" w:history="1">
        <w:r>
          <w:rPr>
            <w:rFonts w:asciiTheme="minorHAnsi" w:hAnsiTheme="minorHAnsi" w:cstheme="minorHAnsi"/>
            <w:i/>
            <w:noProof/>
            <w:color w:val="000000" w:themeColor="text1"/>
            <w:sz w:val="22"/>
            <w:szCs w:val="22"/>
          </w:rPr>
          <w:t>71</w:t>
        </w:r>
      </w:hyperlink>
      <w:r>
        <w:rPr>
          <w:rFonts w:asciiTheme="minorHAnsi" w:hAnsiTheme="minorHAnsi" w:cstheme="minorHAnsi"/>
          <w:i/>
          <w:noProof/>
          <w:color w:val="000000" w:themeColor="text1"/>
          <w:sz w:val="22"/>
          <w:szCs w:val="22"/>
        </w:rPr>
        <w:t xml:space="preserve">, </w:t>
      </w:r>
      <w:hyperlink w:anchor="_ENREF_75" w:tooltip="Reitzel, 2011 #41" w:history="1">
        <w:r>
          <w:rPr>
            <w:rFonts w:asciiTheme="minorHAnsi" w:hAnsiTheme="minorHAnsi" w:cstheme="minorHAnsi"/>
            <w:i/>
            <w:noProof/>
            <w:color w:val="000000" w:themeColor="text1"/>
            <w:sz w:val="22"/>
            <w:szCs w:val="22"/>
          </w:rPr>
          <w:t>75</w:t>
        </w:r>
      </w:hyperlink>
      <w:r>
        <w:rPr>
          <w:rFonts w:asciiTheme="minorHAnsi" w:hAnsiTheme="minorHAnsi" w:cstheme="minorHAnsi"/>
          <w:i/>
          <w:noProof/>
          <w:color w:val="000000" w:themeColor="text1"/>
          <w:sz w:val="22"/>
          <w:szCs w:val="22"/>
        </w:rPr>
        <w:t>)</w:t>
      </w:r>
      <w:r>
        <w:rPr>
          <w:rFonts w:asciiTheme="minorHAnsi" w:hAnsiTheme="minorHAnsi" w:cstheme="minorHAnsi"/>
          <w:i/>
          <w:color w:val="000000" w:themeColor="text1"/>
          <w:sz w:val="22"/>
          <w:szCs w:val="22"/>
        </w:rPr>
        <w:fldChar w:fldCharType="end"/>
      </w:r>
      <w:r w:rsidRPr="00267D0B">
        <w:rPr>
          <w:rFonts w:asciiTheme="minorHAnsi" w:hAnsiTheme="minorHAnsi" w:cstheme="minorHAnsi"/>
          <w:i/>
          <w:color w:val="000000" w:themeColor="text1"/>
          <w:sz w:val="22"/>
          <w:szCs w:val="22"/>
        </w:rPr>
        <w:t>, yielding inconclusive findings.</w:t>
      </w:r>
    </w:p>
    <w:p w14:paraId="1A623982"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267D0B">
        <w:rPr>
          <w:rFonts w:asciiTheme="minorHAnsi" w:hAnsiTheme="minorHAnsi" w:cstheme="minorHAnsi"/>
          <w:i/>
          <w:color w:val="000000" w:themeColor="text1"/>
          <w:sz w:val="22"/>
          <w:szCs w:val="22"/>
        </w:rPr>
        <w:t xml:space="preserve">Eleven studies (from thirteen references) found </w:t>
      </w:r>
      <w:r>
        <w:rPr>
          <w:rFonts w:asciiTheme="minorHAnsi" w:hAnsiTheme="minorHAnsi" w:cstheme="minorHAnsi"/>
          <w:i/>
          <w:color w:val="000000" w:themeColor="text1"/>
          <w:sz w:val="22"/>
          <w:szCs w:val="22"/>
        </w:rPr>
        <w:t>no difference</w:t>
      </w:r>
      <w:r w:rsidRPr="00267D0B">
        <w:rPr>
          <w:rFonts w:asciiTheme="minorHAnsi" w:hAnsiTheme="minorHAnsi" w:cstheme="minorHAnsi"/>
          <w:i/>
          <w:color w:val="000000" w:themeColor="text1"/>
          <w:sz w:val="22"/>
          <w:szCs w:val="22"/>
        </w:rPr>
        <w:t xml:space="preserve"> between menthol use across a range of cessation-related outcomes, to include: continuous abstinence; 3-month abstinence</w:t>
      </w:r>
      <w:r w:rsidRPr="00DE2832">
        <w:rPr>
          <w:rFonts w:asciiTheme="minorHAnsi" w:hAnsiTheme="minorHAnsi" w:cstheme="minorHAnsi"/>
          <w:i/>
          <w:color w:val="000000" w:themeColor="text1"/>
          <w:sz w:val="22"/>
          <w:szCs w:val="22"/>
        </w:rPr>
        <w:t xml:space="preserve">; 7-day PPA; duration of abstinence; continuous abstinence; quit attempts; change in </w:t>
      </w:r>
      <w:r>
        <w:rPr>
          <w:rFonts w:asciiTheme="minorHAnsi" w:hAnsiTheme="minorHAnsi" w:cstheme="minorHAnsi"/>
          <w:i/>
          <w:color w:val="000000" w:themeColor="text1"/>
          <w:sz w:val="22"/>
          <w:szCs w:val="22"/>
        </w:rPr>
        <w:t>CPD</w:t>
      </w:r>
      <w:r w:rsidRPr="00DE2832">
        <w:rPr>
          <w:rFonts w:asciiTheme="minorHAnsi" w:hAnsiTheme="minorHAnsi" w:cstheme="minorHAnsi"/>
          <w:i/>
          <w:color w:val="000000" w:themeColor="text1"/>
          <w:sz w:val="22"/>
          <w:szCs w:val="22"/>
        </w:rPr>
        <w:t>; and odds of being a former versus current smoker.</w:t>
      </w:r>
    </w:p>
    <w:p w14:paraId="4544FA41"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Six studies (from eight references) reported significant differences in cessation-related outcomes between Black menthol and non-menthol smokers. In two studies, odds of past year quit attempts were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higher among Black menthol smokers. One study (from two references) found that, across five different sample restrictions, the odds of being a former smoker were consistently and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lower in Black menthol smokers. Two studies found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abstinence associated with Black menthol smokers: one study reporting both 4-week and 6-month abstinence, and one reporting 6-month abstinence. The six study reported a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higher number of </w:t>
      </w:r>
      <w:r>
        <w:rPr>
          <w:rFonts w:asciiTheme="minorHAnsi" w:hAnsiTheme="minorHAnsi" w:cstheme="minorHAnsi"/>
          <w:i/>
          <w:color w:val="000000" w:themeColor="text1"/>
          <w:sz w:val="22"/>
          <w:szCs w:val="22"/>
        </w:rPr>
        <w:t>CPD</w:t>
      </w:r>
      <w:r w:rsidRPr="00DE2832">
        <w:rPr>
          <w:rFonts w:asciiTheme="minorHAnsi" w:hAnsiTheme="minorHAnsi" w:cstheme="minorHAnsi"/>
          <w:i/>
          <w:color w:val="000000" w:themeColor="text1"/>
          <w:sz w:val="22"/>
          <w:szCs w:val="22"/>
        </w:rPr>
        <w:t xml:space="preserve"> in Black female menthol smokers compared to Black female non-menthol smokers.</w:t>
      </w:r>
    </w:p>
    <w:p w14:paraId="02417B24" w14:textId="77777777" w:rsidR="007F0AE0" w:rsidRPr="00267D0B"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In addition, three studies reported mixed results. One study reported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abstinence in Black menthol smokers at 7 weeks; however, at 26-weeks, no significant difference in odds of abstinence were found. Another study found that Black menthol smokers under 50 years old were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less likely to report 6-week abstinence, but that no such difference was found between Black menthol and non-menthol smokers aged 50 years or older. A third study found that, for both regular and daily Black menthol smokers, the odds of being a short-term former smoker were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lower </w:t>
      </w:r>
      <w:r w:rsidRPr="00DE2832">
        <w:rPr>
          <w:rFonts w:asciiTheme="minorHAnsi" w:hAnsiTheme="minorHAnsi" w:cstheme="minorHAnsi"/>
          <w:i/>
          <w:color w:val="000000" w:themeColor="text1"/>
          <w:sz w:val="22"/>
          <w:szCs w:val="22"/>
        </w:rPr>
        <w:lastRenderedPageBreak/>
        <w:t xml:space="preserve">than for regular and daily Black non-menthol smokers; however, no association was found for menthol use in Black smokers and being a long-term </w:t>
      </w:r>
      <w:r w:rsidRPr="00267D0B">
        <w:rPr>
          <w:rFonts w:asciiTheme="minorHAnsi" w:hAnsiTheme="minorHAnsi" w:cstheme="minorHAnsi"/>
          <w:i/>
          <w:color w:val="000000" w:themeColor="text1"/>
          <w:sz w:val="22"/>
          <w:szCs w:val="22"/>
        </w:rPr>
        <w:t xml:space="preserve">former versus daily smoker. </w:t>
      </w:r>
    </w:p>
    <w:p w14:paraId="251DBA4B" w14:textId="77777777" w:rsidR="007F0AE0" w:rsidRPr="00267D0B" w:rsidRDefault="007F0AE0" w:rsidP="007F0AE0">
      <w:pPr>
        <w:pStyle w:val="BodyText"/>
        <w:jc w:val="both"/>
        <w:rPr>
          <w:rFonts w:cstheme="minorHAnsi"/>
          <w:color w:val="000000" w:themeColor="text1"/>
        </w:rPr>
      </w:pPr>
      <w:r w:rsidRPr="00267D0B">
        <w:rPr>
          <w:rFonts w:asciiTheme="minorHAnsi" w:hAnsiTheme="minorHAnsi" w:cstheme="minorHAnsi"/>
          <w:color w:val="000000" w:themeColor="text1"/>
          <w:sz w:val="22"/>
          <w:szCs w:val="22"/>
        </w:rPr>
        <w:t xml:space="preserve">Sulsky et al. </w:t>
      </w:r>
      <w:r w:rsidRPr="00267D0B">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PEVuZE5vdGU+PENpdGU+PEF1dGhvcj5TdWxza3k8L0F1dGhvcj48WWVhcj4yMDE0PC9ZZWFyPjxS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4" w:tooltip="Sulsky, 2014 #15" w:history="1">
        <w:r>
          <w:rPr>
            <w:rFonts w:asciiTheme="minorHAnsi" w:hAnsiTheme="minorHAnsi" w:cstheme="minorHAnsi"/>
            <w:noProof/>
            <w:color w:val="000000" w:themeColor="text1"/>
            <w:sz w:val="22"/>
            <w:szCs w:val="22"/>
          </w:rPr>
          <w:t>54</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completed a comprehensive cross-sectional analysis, examining and reporting various measures of cessation across data sources and populations. The results presented here compare current daily smokers (smoked every day in the past month) with “long-term former” smokers (defined as having not smoked in the past year; mean duration of abstinence was 18 years). In analyses of data from the 2005 and 2010 implementations of the National Health Interview Survey (NHIS) that adjusted for menthol cigarette use, gender, smoking initiation age, and current age, for Black smokers, no difference was detected between menthol and non-menthol smokers in the odds of no past-year smoking (OR=1.04, 95% CI: 0.82, 1.33). The authors also analyzed data from the 2010/2011 TUS-CPS, stratifying by race/ethnicity. The results presented here compare current regular smokers (smoked on at least 10 days in the past month) with “short-term former” smokers (defined as having not smoked in the past one to three years) and adjust for at least the three key confounders; results from the comparison of current daily smokers with long-term former smokers were essentially the same. For Black participants, menthol smokers had </w:t>
      </w:r>
      <w:r>
        <w:rPr>
          <w:rFonts w:asciiTheme="minorHAnsi" w:hAnsiTheme="minorHAnsi" w:cstheme="minorHAnsi"/>
          <w:color w:val="000000" w:themeColor="text1"/>
          <w:sz w:val="22"/>
          <w:szCs w:val="22"/>
        </w:rPr>
        <w:t>statistically significant</w:t>
      </w:r>
      <w:r w:rsidRPr="00267D0B">
        <w:rPr>
          <w:rFonts w:asciiTheme="minorHAnsi" w:hAnsiTheme="minorHAnsi" w:cstheme="minorHAnsi"/>
          <w:color w:val="000000" w:themeColor="text1"/>
          <w:sz w:val="22"/>
          <w:szCs w:val="22"/>
        </w:rPr>
        <w:t xml:space="preserve"> lower odds of being abstinent for one to three years, compared with non-menthol smokers (OR=0.87, 95% CI: 0.80</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0.95) when the model adjusted for initiation age, gender, CPD, and current age. </w:t>
      </w:r>
    </w:p>
    <w:p w14:paraId="00809B28"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In their subgroup analyses of Black smokers,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9" w:tooltip="Keeler, 2017 #660" w:history="1">
        <w:r>
          <w:rPr>
            <w:rFonts w:asciiTheme="minorHAnsi" w:hAnsiTheme="minorHAnsi" w:cstheme="minorHAnsi"/>
            <w:noProof/>
            <w:color w:val="000000" w:themeColor="text1"/>
            <w:sz w:val="22"/>
            <w:szCs w:val="22"/>
          </w:rPr>
          <w:t>29</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they found no difference in odds of abstinence between menthol and non-menthol smokers (OR=1.03, 95% CI: 0.73–1.44; p=0.8630), but </w:t>
      </w:r>
      <w:r>
        <w:rPr>
          <w:rFonts w:asciiTheme="minorHAnsi" w:hAnsiTheme="minorHAnsi" w:cstheme="minorHAnsi"/>
          <w:color w:val="000000" w:themeColor="text1"/>
          <w:sz w:val="22"/>
          <w:szCs w:val="22"/>
        </w:rPr>
        <w:t>statistically significant</w:t>
      </w:r>
      <w:r w:rsidRPr="00267D0B">
        <w:rPr>
          <w:rFonts w:asciiTheme="minorHAnsi" w:hAnsiTheme="minorHAnsi" w:cstheme="minorHAnsi"/>
          <w:color w:val="000000" w:themeColor="text1"/>
          <w:sz w:val="22"/>
          <w:szCs w:val="22"/>
        </w:rPr>
        <w:t xml:space="preserve"> higher odds of past year quit attempts in Black menthol smokers (OR=1.37, 95% CI: 1.16–1.61; p=0.0002). In a second study by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PEVuZE5vdGU+PENpdGU+PEF1dGhvcj5LZWVsZXI8L0F1dGhvcj48WWVhcj4yMDE4PC9ZZWFyPjxS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30" w:tooltip="Keeler, 2018 #537" w:history="1">
        <w:r>
          <w:rPr>
            <w:rFonts w:asciiTheme="minorHAnsi" w:hAnsiTheme="minorHAnsi" w:cstheme="minorHAnsi"/>
            <w:noProof/>
            <w:color w:val="000000" w:themeColor="text1"/>
            <w:sz w:val="22"/>
            <w:szCs w:val="22"/>
          </w:rPr>
          <w:t>30</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subsample analysis of Black smokers reported that successful cessation (≥3 months) did not differ between Black menthol (5.1%) and non-menthol smokers (5.6%) (OR=1.01. 95% CI: 0.70-1.45; p=NS). However, Black menthol smokers (48.9%) were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more likely to report any past-year quit attempts compared to Black non-menthol smokers (40.8%) (OR=1.39 95% CI: 1.16-1.67; p&lt;0.001).</w:t>
      </w:r>
    </w:p>
    <w:p w14:paraId="60CCF1B8"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In Project MOM</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PEVuZE5vdGU+PENpdGU+PEF1dGhvcj5SZWl0emVsPC9BdXRob3I+PFllYXI+MjAxMTwvWWVhcj48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71" w:tooltip="Reitzel, 2011 #107" w:history="1">
        <w:r>
          <w:rPr>
            <w:rFonts w:asciiTheme="minorHAnsi" w:hAnsiTheme="minorHAnsi" w:cstheme="minorHAnsi"/>
            <w:noProof/>
            <w:color w:val="000000" w:themeColor="text1"/>
            <w:sz w:val="22"/>
            <w:szCs w:val="22"/>
          </w:rPr>
          <w:t>71</w:t>
        </w:r>
      </w:hyperlink>
      <w:r>
        <w:rPr>
          <w:rFonts w:asciiTheme="minorHAnsi" w:hAnsiTheme="minorHAnsi" w:cstheme="minorHAnsi"/>
          <w:noProof/>
          <w:color w:val="000000" w:themeColor="text1"/>
          <w:sz w:val="22"/>
          <w:szCs w:val="22"/>
        </w:rPr>
        <w:t xml:space="preserve">, </w:t>
      </w:r>
      <w:hyperlink w:anchor="_ENREF_75" w:tooltip="Reitzel, 2011 #41" w:history="1">
        <w:r>
          <w:rPr>
            <w:rFonts w:asciiTheme="minorHAnsi" w:hAnsiTheme="minorHAnsi" w:cstheme="minorHAnsi"/>
            <w:noProof/>
            <w:color w:val="000000" w:themeColor="text1"/>
            <w:sz w:val="22"/>
            <w:szCs w:val="22"/>
          </w:rPr>
          <w:t>75</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investigators recruited women in their 30</w:t>
      </w:r>
      <w:r w:rsidRPr="00267D0B">
        <w:rPr>
          <w:rFonts w:asciiTheme="minorHAnsi" w:hAnsiTheme="minorHAnsi" w:cstheme="minorHAnsi"/>
          <w:color w:val="000000" w:themeColor="text1"/>
          <w:sz w:val="22"/>
          <w:szCs w:val="22"/>
          <w:vertAlign w:val="superscript"/>
        </w:rPr>
        <w:t>th</w:t>
      </w:r>
      <w:r w:rsidRPr="00267D0B">
        <w:rPr>
          <w:rFonts w:asciiTheme="minorHAnsi" w:hAnsiTheme="minorHAnsi" w:cstheme="minorHAnsi"/>
          <w:color w:val="000000" w:themeColor="text1"/>
          <w:sz w:val="22"/>
          <w:szCs w:val="22"/>
        </w:rPr>
        <w:t xml:space="preserve"> to 33</w:t>
      </w:r>
      <w:r w:rsidRPr="00267D0B">
        <w:rPr>
          <w:rFonts w:asciiTheme="minorHAnsi" w:hAnsiTheme="minorHAnsi" w:cstheme="minorHAnsi"/>
          <w:color w:val="000000" w:themeColor="text1"/>
          <w:sz w:val="22"/>
          <w:szCs w:val="22"/>
          <w:vertAlign w:val="superscript"/>
        </w:rPr>
        <w:t>rd</w:t>
      </w:r>
      <w:r w:rsidRPr="00267D0B">
        <w:rPr>
          <w:rFonts w:asciiTheme="minorHAnsi" w:hAnsiTheme="minorHAnsi" w:cstheme="minorHAnsi"/>
          <w:color w:val="000000" w:themeColor="text1"/>
          <w:sz w:val="22"/>
          <w:szCs w:val="22"/>
        </w:rPr>
        <w:t xml:space="preserve"> week of pregnancy who had stopped smoking either during their pregnancy or within two months prior to becoming pregnant and wanted to remain quit postpartum. Women must have smoked at least one CPD on average over the year prior to quitting. Participants were randomized to receive usual care or one of two motivation and problem-solving interventions for the prevention of postpartum relapse, and data were collected at baseline and at weeks eight and 26 postpartum. The authors used continuation ratio logit modeling that adjusted for age, race/ethnicity, partner status, income, education, time in study, treatment arm, CPD, and TTFC. Among Black women, no significant difference in continuous abstinence between menthol and non-menthol use was found (β=−1.12, SE=0.64; p=0.08). However, Black female menthol smokers were reported to smoke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more </w:t>
      </w:r>
      <w:r>
        <w:rPr>
          <w:rFonts w:asciiTheme="minorHAnsi" w:hAnsiTheme="minorHAnsi" w:cstheme="minorHAnsi"/>
          <w:color w:val="000000" w:themeColor="text1"/>
          <w:sz w:val="22"/>
          <w:szCs w:val="22"/>
        </w:rPr>
        <w:t>CPD</w:t>
      </w:r>
      <w:r w:rsidRPr="00267D0B">
        <w:rPr>
          <w:rFonts w:asciiTheme="minorHAnsi" w:hAnsiTheme="minorHAnsi" w:cstheme="minorHAnsi"/>
          <w:color w:val="000000" w:themeColor="text1"/>
          <w:sz w:val="22"/>
          <w:szCs w:val="22"/>
        </w:rPr>
        <w:t xml:space="preserve"> than Black female non-menthol smokers (β=3.82, SE=3.77; p=0.02; n=71).</w:t>
      </w:r>
    </w:p>
    <w:p w14:paraId="316215C9"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In 2013, Reitzel et al. </w:t>
      </w:r>
      <w:r w:rsidRPr="00267D0B">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PEVuZE5vdGU+PENpdGU+PEF1dGhvcj5SZWl0emVsPC9BdXRob3I+PFllYXI+MjAxMzwvWWVhcj48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68" w:tooltip="Reitzel, 2013 #28" w:history="1">
        <w:r>
          <w:rPr>
            <w:rFonts w:asciiTheme="minorHAnsi" w:hAnsiTheme="minorHAnsi" w:cstheme="minorHAnsi"/>
            <w:noProof/>
            <w:color w:val="000000" w:themeColor="text1"/>
            <w:sz w:val="22"/>
            <w:szCs w:val="22"/>
          </w:rPr>
          <w:t>68</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analyzed results from a 2006-2007 longitudinal study designed “to examine changes in risk perceptions over time among community smokers attempting to quit” (N Black=115). Using continuation ratio logit modeling and adjusting for age, gender, income, education, employment, partner status, and stage of change, they found that for Black smokers, menthol use was not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associated with an increase in continuous abstinence, compared with non-menthol use (β=0.54, SE=0.55, p=0.33). Reitzel et al. also modeled abstinence using a definition of 7-day PPA (i.e., participants were not required to be continuously abstinent through all 3 weeks) through post-quit week three. Among Black enrollees, menthol </w:t>
      </w:r>
      <w:r>
        <w:rPr>
          <w:rFonts w:asciiTheme="minorHAnsi" w:hAnsiTheme="minorHAnsi" w:cstheme="minorHAnsi"/>
          <w:color w:val="000000" w:themeColor="text1"/>
          <w:sz w:val="22"/>
          <w:szCs w:val="22"/>
        </w:rPr>
        <w:t>and non-menthol smokers</w:t>
      </w:r>
      <w:r w:rsidRPr="00267D0B">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were no different</w:t>
      </w:r>
      <w:r w:rsidRPr="00267D0B">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in</w:t>
      </w:r>
      <w:r w:rsidRPr="00267D0B">
        <w:rPr>
          <w:rFonts w:asciiTheme="minorHAnsi" w:hAnsiTheme="minorHAnsi" w:cstheme="minorHAnsi"/>
          <w:color w:val="000000" w:themeColor="text1"/>
          <w:sz w:val="22"/>
          <w:szCs w:val="22"/>
        </w:rPr>
        <w:t xml:space="preserve"> 7-day PPA over 3 weeks (β=1.00, SE=0.67, p=0.11).</w:t>
      </w:r>
    </w:p>
    <w:p w14:paraId="1AEA7B37"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In a publication from the most recent Kick It at Swope cessation trial, Faseru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7" w:tooltip="Faseru, 2013 #29" w:history="1">
        <w:r>
          <w:rPr>
            <w:rFonts w:asciiTheme="minorHAnsi" w:hAnsiTheme="minorHAnsi" w:cstheme="minorHAnsi"/>
            <w:noProof/>
            <w:color w:val="000000" w:themeColor="text1"/>
            <w:sz w:val="22"/>
            <w:szCs w:val="22"/>
          </w:rPr>
          <w:t>27</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reported data from 270 Black adults who smoked up to 10 CPD (light smokers) for at least two years, had smoked at least 25 days in the month prior to enrollment, and were interested in quitting. Enrollees received either bupropion or </w:t>
      </w:r>
      <w:r w:rsidRPr="00267D0B">
        <w:rPr>
          <w:rFonts w:asciiTheme="minorHAnsi" w:hAnsiTheme="minorHAnsi" w:cstheme="minorHAnsi"/>
          <w:color w:val="000000" w:themeColor="text1"/>
          <w:sz w:val="22"/>
          <w:szCs w:val="22"/>
        </w:rPr>
        <w:lastRenderedPageBreak/>
        <w:t xml:space="preserve">placebo for seven weeks plus biweekly health counseling. The authors used multivariate logistic regression models that adjusted for treatment (drug vs. placebo), visit attendance, cotinine level, and years smoked. Menthol smoking was associated with </w:t>
      </w:r>
      <w:r>
        <w:rPr>
          <w:rFonts w:asciiTheme="minorHAnsi" w:hAnsiTheme="minorHAnsi" w:cstheme="minorHAnsi"/>
          <w:color w:val="000000" w:themeColor="text1"/>
          <w:sz w:val="22"/>
          <w:szCs w:val="22"/>
        </w:rPr>
        <w:t>statistically significant</w:t>
      </w:r>
      <w:r w:rsidRPr="00267D0B">
        <w:rPr>
          <w:rFonts w:asciiTheme="minorHAnsi" w:hAnsiTheme="minorHAnsi" w:cstheme="minorHAnsi"/>
          <w:color w:val="000000" w:themeColor="text1"/>
          <w:sz w:val="22"/>
          <w:szCs w:val="22"/>
        </w:rPr>
        <w:t xml:space="preserve"> lower odds of cotinine-verified 7-day PPA at the end of the seven weeks of treatment; the study reported that non-menthol smokers had 84 percent greater odds than menthol smokers of being abstinent at week seven (OR=1.84, 95% CI: 1.01</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3.36). At the 26-week follow up, menthol status was not associated with abstinence (data not reported). </w:t>
      </w:r>
    </w:p>
    <w:p w14:paraId="3085B37D"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Delnevo et al. </w:t>
      </w:r>
      <w:r w:rsidRPr="00267D0B">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7" w:tooltip="Delnevo, 2011 #42" w:history="1">
        <w:r>
          <w:rPr>
            <w:rFonts w:asciiTheme="minorHAnsi" w:hAnsiTheme="minorHAnsi" w:cstheme="minorHAnsi"/>
            <w:noProof/>
            <w:color w:val="000000" w:themeColor="text1"/>
            <w:sz w:val="22"/>
            <w:szCs w:val="22"/>
          </w:rPr>
          <w:t>57</w:t>
        </w:r>
      </w:hyperlink>
      <w:r>
        <w:rPr>
          <w:rFonts w:asciiTheme="minorHAnsi" w:hAnsiTheme="minorHAnsi" w:cstheme="minorHAnsi"/>
          <w:noProof/>
          <w:color w:val="000000" w:themeColor="text1"/>
          <w:sz w:val="22"/>
          <w:szCs w:val="22"/>
        </w:rPr>
        <w:t xml:space="preserve">, </w:t>
      </w:r>
      <w:hyperlink w:anchor="_ENREF_58" w:tooltip="Delnevo, 2010 #99" w:history="1">
        <w:r>
          <w:rPr>
            <w:rFonts w:asciiTheme="minorHAnsi" w:hAnsiTheme="minorHAnsi" w:cstheme="minorHAnsi"/>
            <w:noProof/>
            <w:color w:val="000000" w:themeColor="text1"/>
            <w:sz w:val="22"/>
            <w:szCs w:val="22"/>
          </w:rPr>
          <w:t>58</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analyzed data from current and former smokers participating in the 2003 and 2006-2007 TUS-CPS. Current smokers were adults who smoked at least 100 cigarettes in a lifetime and smoked some days or every day at the time of the survey. Former smokers reported not smoking at the time of the survey and had quit within the past five years. They reported outcomes for five sample restrictions, as follows: cigarette smokers and former smokers who quit in the past 5 years (restriction 1); cigarette smokers and former smokers who quit in the past 5 years who do not currently use other tobacco products (restriction 2); cigarette smokers and former smokers who quit in the past 5 years who have made a quit attempt (restriction 3); cigarette smokers and former smokers who quit in the past 5 years who have made a quit attempt and do not currently use other tobacco products (restriction 4); and past-year smokers (restriction 5, also adjusting for past-year cigarette tax increase). Within each restriction, separate analysis of Black smokers was performed, using multivariate logistic regression models that adjusted for gender, age, income, education, year, and month. The odds of being a former smoker were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lower among Black menthol smokers, compared to Black non-menthol smokers, across all five</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sample restrictions: restriction 1 (OR=0.810, 95% CI: 0.670, 0.979); restriction 2 (OR=0.781, 95% CI: 0.640, 0.952); restriction 3 (OR=0.716, 95% CI: 0.585, 0.875); restriction 4 (OR=0.684, 95% CI: 0.555, 0.844); and</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restriction 5 (OR=0.740, 95% CI: 0.558, 0.981).</w:t>
      </w:r>
    </w:p>
    <w:p w14:paraId="14439954"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Blot et al. </w:t>
      </w:r>
      <w:r w:rsidRPr="00267D0B">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6" w:tooltip="Blot, 2011 #48" w:history="1">
        <w:r>
          <w:rPr>
            <w:rFonts w:asciiTheme="minorHAnsi" w:hAnsiTheme="minorHAnsi" w:cstheme="minorHAnsi"/>
            <w:noProof/>
            <w:color w:val="000000" w:themeColor="text1"/>
            <w:sz w:val="22"/>
            <w:szCs w:val="22"/>
          </w:rPr>
          <w:t>56</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performed a nested case-control study of lung cancer using data from “ever smokers” in the Southern Community Cohort Study—a prospective cohort study of adults age 40 to 79 living in 12 southern states. The authors assessed quitting smoking for ever-smokers retrospectively (based on self-report of having quit before entry into the cohort) using logistic regression models that adjusted for age, gender, income, education, recruitment source, BMI, and pack-years of smoking to assess the odds of having quit before study entry.</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Among Black smokers, there was no significant difference in the odds of having entered the study former smokers (rather than current smokers), compared with Black non-menthol smokers (OR=1.03, 95% CI: 0.96</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1.11). </w:t>
      </w:r>
    </w:p>
    <w:p w14:paraId="005DF9F8" w14:textId="77777777" w:rsidR="007F0AE0" w:rsidRPr="00CE6A59"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Project BREAK FREE was a randomized trial of a smoking cessation treatment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&lt;EndNote&gt;&lt;Cite&gt;&lt;Author&gt;Reitzel&lt;/Author&gt;&lt;Year&gt;2011&lt;/Year&gt;&lt;RecNum&gt;106&lt;/RecNum&gt;&lt;DisplayText&gt;(70)&lt;/DisplayText&gt;&lt;record&gt;&lt;rec-number&gt;106&lt;/rec-number&gt;&lt;foreign-keys&gt;&lt;key app="EN" db-id="a2vz2dfp8xrad6exes75zwpiw5rxwa0vwapv" timestamp="0"&gt;106&lt;/key&gt;&lt;/foreign-keys&gt;&lt;ref-type name="Unpublished Work"&gt;34&lt;/ref-type&gt;&lt;contributors&gt;&lt;authors&gt;&lt;author&gt;Reitzel, L. R.&lt;/author&gt;&lt;/authors&gt;&lt;/contributors&gt;&lt;titles&gt;&lt;title&gt;Menthol cigarettes, tobacco dependence, and smoking cessation: Project BREAK FREE final report&lt;/title&gt;&lt;/titles&gt;&lt;dates&gt;&lt;year&gt;2011&lt;/year&gt;&lt;/dates&gt;&lt;publisher&gt;The University of Texas, MD Anderson Cancer Center&lt;/publisher&gt;&lt;urls&gt;&lt;/urls&gt;&lt;research-notes&gt;#838&lt;/research-notes&gt;&lt;/record&gt;&lt;/Cite&gt;&lt;/EndNote&gt;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70" w:tooltip="Reitzel, 2011 #106" w:history="1">
        <w:r>
          <w:rPr>
            <w:rFonts w:asciiTheme="minorHAnsi" w:hAnsiTheme="minorHAnsi" w:cstheme="minorHAnsi"/>
            <w:noProof/>
            <w:color w:val="000000" w:themeColor="text1"/>
            <w:sz w:val="22"/>
            <w:szCs w:val="22"/>
          </w:rPr>
          <w:t>70</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Eligible patients were Black adults who smoked at least five CPD for the past year and were willing to quit within 2 weeks of contact (N=391). Follow-up interviews were conducted at post-quit days 3, 10, and 31 and at week 26 post-quit. Study authors used a continuation ratio logit model adjusted for age, gender, partner status, income, employment, education, time, treatment group, CPD, and TTFC to examine continuous abstinence rates. They found that menthol smoking was not associated with an increase in continuous abstinence, compared with non-</w:t>
      </w:r>
      <w:r w:rsidRPr="00CE6A59">
        <w:rPr>
          <w:rFonts w:asciiTheme="minorHAnsi" w:hAnsiTheme="minorHAnsi" w:cstheme="minorHAnsi"/>
          <w:color w:val="000000" w:themeColor="text1"/>
          <w:sz w:val="22"/>
          <w:szCs w:val="22"/>
        </w:rPr>
        <w:t>menthol smoking (β=0.33, SE=0.32, p=0.30).</w:t>
      </w:r>
    </w:p>
    <w:p w14:paraId="304B5964" w14:textId="77777777" w:rsidR="007F0AE0" w:rsidRPr="00CE6A59" w:rsidRDefault="007F0AE0" w:rsidP="007F0AE0">
      <w:pPr>
        <w:pStyle w:val="BodyText"/>
        <w:jc w:val="both"/>
        <w:rPr>
          <w:rFonts w:asciiTheme="minorHAnsi" w:hAnsiTheme="minorHAnsi" w:cstheme="minorHAnsi"/>
          <w:color w:val="000000" w:themeColor="text1"/>
          <w:sz w:val="22"/>
          <w:szCs w:val="22"/>
        </w:rPr>
      </w:pPr>
      <w:r w:rsidRPr="00CE6A59">
        <w:rPr>
          <w:rFonts w:asciiTheme="minorHAnsi" w:hAnsiTheme="minorHAnsi" w:cstheme="minorHAnsi"/>
          <w:color w:val="000000" w:themeColor="text1"/>
          <w:sz w:val="22"/>
          <w:szCs w:val="22"/>
        </w:rPr>
        <w:t xml:space="preserve">Hyland et al. (2002 and 2010) reported published </w:t>
      </w:r>
      <w:r w:rsidRPr="00CE6A59">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&lt;EndNote&gt;&lt;Cite&gt;&lt;Author&gt;Hyland&lt;/Author&gt;&lt;Year&gt;2002&lt;/Year&gt;&lt;RecNum&gt;87&lt;/RecNum&gt;&lt;DisplayText&gt;(50)&lt;/DisplayText&gt;&lt;record&gt;&lt;rec-number&gt;87&lt;/rec-number&gt;&lt;foreign-keys&gt;&lt;key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CE6A59">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CE6A59">
        <w:rPr>
          <w:rFonts w:asciiTheme="minorHAnsi" w:hAnsiTheme="minorHAnsi" w:cstheme="minorHAnsi"/>
          <w:color w:val="000000" w:themeColor="text1"/>
          <w:sz w:val="22"/>
          <w:szCs w:val="22"/>
        </w:rPr>
        <w:fldChar w:fldCharType="end"/>
      </w:r>
      <w:r w:rsidRPr="00CE6A59">
        <w:rPr>
          <w:rFonts w:asciiTheme="minorHAnsi" w:hAnsiTheme="minorHAnsi" w:cstheme="minorHAnsi"/>
          <w:color w:val="000000" w:themeColor="text1"/>
          <w:sz w:val="22"/>
          <w:szCs w:val="22"/>
        </w:rPr>
        <w:t xml:space="preserve"> and unpublished data </w:t>
      </w:r>
      <w:r w:rsidRPr="00CE6A59">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CE6A59">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w:t>
      </w:r>
      <w:r w:rsidRPr="00CE6A59">
        <w:rPr>
          <w:rFonts w:asciiTheme="minorHAnsi" w:hAnsiTheme="minorHAnsi" w:cstheme="minorHAnsi"/>
          <w:color w:val="000000" w:themeColor="text1"/>
          <w:sz w:val="22"/>
          <w:szCs w:val="22"/>
        </w:rPr>
        <w:fldChar w:fldCharType="end"/>
      </w:r>
      <w:r w:rsidRPr="00CE6A59">
        <w:rPr>
          <w:rFonts w:asciiTheme="minorHAnsi" w:hAnsiTheme="minorHAnsi" w:cstheme="minorHAnsi"/>
          <w:color w:val="000000" w:themeColor="text1"/>
          <w:sz w:val="22"/>
          <w:szCs w:val="22"/>
        </w:rPr>
        <w:t xml:space="preserve"> from the longitudinal COMMIT study, a community-based trial of a multifaceted public health intervention to increase cessation rates. Data from the 2001 interview indicated that Black menthol and non-menthol smokers did not differ </w:t>
      </w:r>
      <w:r>
        <w:rPr>
          <w:rFonts w:asciiTheme="minorHAnsi" w:hAnsiTheme="minorHAnsi" w:cstheme="minorHAnsi"/>
          <w:color w:val="000000" w:themeColor="text1"/>
          <w:sz w:val="22"/>
          <w:szCs w:val="22"/>
        </w:rPr>
        <w:t>statistically significantly</w:t>
      </w:r>
      <w:r w:rsidRPr="00CE6A59">
        <w:rPr>
          <w:rFonts w:asciiTheme="minorHAnsi" w:hAnsiTheme="minorHAnsi" w:cstheme="minorHAnsi"/>
          <w:color w:val="000000" w:themeColor="text1"/>
          <w:sz w:val="22"/>
          <w:szCs w:val="22"/>
        </w:rPr>
        <w:t xml:space="preserve"> in terms of likelihood to have quit between 1988 and 1993 (relative risk=1.04, 95% CI: 0.73</w:t>
      </w:r>
      <w:r>
        <w:rPr>
          <w:rFonts w:asciiTheme="minorHAnsi" w:hAnsiTheme="minorHAnsi" w:cstheme="minorHAnsi"/>
          <w:color w:val="000000" w:themeColor="text1"/>
          <w:sz w:val="22"/>
          <w:szCs w:val="22"/>
        </w:rPr>
        <w:t xml:space="preserve">, </w:t>
      </w:r>
      <w:r w:rsidRPr="00CE6A59">
        <w:rPr>
          <w:rFonts w:asciiTheme="minorHAnsi" w:hAnsiTheme="minorHAnsi" w:cstheme="minorHAnsi"/>
          <w:color w:val="000000" w:themeColor="text1"/>
          <w:sz w:val="22"/>
          <w:szCs w:val="22"/>
        </w:rPr>
        <w:t>1.47). In COMMIT, among Black participants who smoked between 1988 and 2001, menthol smokers were more likely than non-menthol smokers to have made a quit attempt between 2001 and 2005; however, given the high variability of this result, it was deemed non-significant (OR=1.24, 95% CI: 0.27</w:t>
      </w:r>
      <w:r>
        <w:rPr>
          <w:rFonts w:asciiTheme="minorHAnsi" w:hAnsiTheme="minorHAnsi" w:cstheme="minorHAnsi"/>
          <w:color w:val="000000" w:themeColor="text1"/>
          <w:sz w:val="22"/>
          <w:szCs w:val="22"/>
        </w:rPr>
        <w:t xml:space="preserve">, </w:t>
      </w:r>
      <w:r w:rsidRPr="00CE6A59">
        <w:rPr>
          <w:rFonts w:asciiTheme="minorHAnsi" w:hAnsiTheme="minorHAnsi" w:cstheme="minorHAnsi"/>
          <w:color w:val="000000" w:themeColor="text1"/>
          <w:sz w:val="22"/>
          <w:szCs w:val="22"/>
        </w:rPr>
        <w:t>5.67). Investigators also found that Black menthol smokers had an 86 percent (but non-significant) decrease in the odds of reducing daily cigarette use over 13 years (OR=0.14, 95% CI: 0.02</w:t>
      </w:r>
      <w:r>
        <w:rPr>
          <w:rFonts w:asciiTheme="minorHAnsi" w:hAnsiTheme="minorHAnsi" w:cstheme="minorHAnsi"/>
          <w:color w:val="000000" w:themeColor="text1"/>
          <w:sz w:val="22"/>
          <w:szCs w:val="22"/>
        </w:rPr>
        <w:t xml:space="preserve">, </w:t>
      </w:r>
      <w:r w:rsidRPr="00CE6A59">
        <w:rPr>
          <w:rFonts w:asciiTheme="minorHAnsi" w:hAnsiTheme="minorHAnsi" w:cstheme="minorHAnsi"/>
          <w:color w:val="000000" w:themeColor="text1"/>
          <w:sz w:val="22"/>
          <w:szCs w:val="22"/>
        </w:rPr>
        <w:t xml:space="preserve">1.19), compared with Black non-menthol smokers </w:t>
      </w:r>
      <w:r w:rsidRPr="00CE6A59">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CE6A59">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w:t>
      </w:r>
      <w:r w:rsidRPr="00CE6A59">
        <w:rPr>
          <w:rFonts w:asciiTheme="minorHAnsi" w:hAnsiTheme="minorHAnsi" w:cstheme="minorHAnsi"/>
          <w:color w:val="000000" w:themeColor="text1"/>
          <w:sz w:val="22"/>
          <w:szCs w:val="22"/>
        </w:rPr>
        <w:fldChar w:fldCharType="end"/>
      </w:r>
      <w:r w:rsidRPr="00CE6A59">
        <w:rPr>
          <w:rFonts w:asciiTheme="minorHAnsi" w:hAnsiTheme="minorHAnsi" w:cstheme="minorHAnsi"/>
          <w:color w:val="000000" w:themeColor="text1"/>
          <w:sz w:val="22"/>
          <w:szCs w:val="22"/>
        </w:rPr>
        <w:t xml:space="preserve">. </w:t>
      </w:r>
    </w:p>
    <w:p w14:paraId="55B110F1"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CE6A59">
        <w:rPr>
          <w:rFonts w:asciiTheme="minorHAnsi" w:hAnsiTheme="minorHAnsi" w:cstheme="minorHAnsi"/>
          <w:color w:val="000000" w:themeColor="text1"/>
          <w:sz w:val="22"/>
          <w:szCs w:val="22"/>
        </w:rPr>
        <w:lastRenderedPageBreak/>
        <w:t xml:space="preserve">In an analysis of the NHIS-CCS data collected in 2005, Cubbin et al. </w:t>
      </w:r>
      <w:r w:rsidRPr="00CE6A59">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CE6A59">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CE6A59">
        <w:rPr>
          <w:rFonts w:asciiTheme="minorHAnsi" w:hAnsiTheme="minorHAnsi" w:cstheme="minorHAnsi"/>
          <w:color w:val="000000" w:themeColor="text1"/>
          <w:sz w:val="22"/>
          <w:szCs w:val="22"/>
        </w:rPr>
        <w:fldChar w:fldCharType="end"/>
      </w:r>
      <w:r w:rsidRPr="00CE6A59">
        <w:rPr>
          <w:rFonts w:asciiTheme="minorHAnsi" w:hAnsiTheme="minorHAnsi" w:cstheme="minorHAnsi"/>
          <w:color w:val="000000" w:themeColor="text1"/>
          <w:sz w:val="22"/>
          <w:szCs w:val="22"/>
        </w:rPr>
        <w:t xml:space="preserve"> examined data reported by former smokers age 25 to 64. The authors predicted length</w:t>
      </w:r>
      <w:r w:rsidRPr="00267D0B">
        <w:rPr>
          <w:rFonts w:asciiTheme="minorHAnsi" w:hAnsiTheme="minorHAnsi" w:cstheme="minorHAnsi"/>
          <w:color w:val="000000" w:themeColor="text1"/>
          <w:sz w:val="22"/>
          <w:szCs w:val="22"/>
        </w:rPr>
        <w:t xml:space="preserve"> of time since quitting, adjusted for age, income, and education, for six gender-race/ethnicity interactions. Among Black women and men, the duration of abstinence was longer for former menthol smokers than former non-menthol smokers (about 10 months longer for Black women and about 11 months longer for Black men), but not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different in either group. Cubbin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also analyzed the proportion of smokers who made a quit attempt in the past year (again, stratified by gender-race/ethnicity interactions). Although both Black women and Black men reported higher rates of quite attempts among menthol smokers compared to non-menthol smokers (10.2 percent higher and 11.0 percent higher, respectively), neither of these differences were significant.</w:t>
      </w:r>
    </w:p>
    <w:p w14:paraId="04E3DDF2"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Trinidad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2" w:tooltip="Trinidad, 2010 #58" w:history="1">
        <w:r>
          <w:rPr>
            <w:rFonts w:asciiTheme="minorHAnsi" w:hAnsiTheme="minorHAnsi" w:cstheme="minorHAnsi"/>
            <w:noProof/>
            <w:color w:val="000000" w:themeColor="text1"/>
            <w:sz w:val="22"/>
            <w:szCs w:val="22"/>
          </w:rPr>
          <w:t>52</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used data from the 2003 and 2006-2007 TUS-CPS to analyze duration of abstinence for former smokers age 20 to 65. The authors performed multivariate logistic regressions by race/ethnicity that adjusted for age, education, gender, and current use of other tobacco products. Among Black former smokers, menthol smoking was associated with </w:t>
      </w:r>
      <w:r>
        <w:rPr>
          <w:rFonts w:asciiTheme="minorHAnsi" w:hAnsiTheme="minorHAnsi" w:cstheme="minorHAnsi"/>
          <w:color w:val="000000" w:themeColor="text1"/>
          <w:sz w:val="22"/>
          <w:szCs w:val="22"/>
        </w:rPr>
        <w:t>statistically significant</w:t>
      </w:r>
      <w:r w:rsidRPr="00267D0B">
        <w:rPr>
          <w:rFonts w:asciiTheme="minorHAnsi" w:hAnsiTheme="minorHAnsi" w:cstheme="minorHAnsi"/>
          <w:color w:val="000000" w:themeColor="text1"/>
          <w:sz w:val="22"/>
          <w:szCs w:val="22"/>
        </w:rPr>
        <w:t xml:space="preserve"> lower odds of being abstinent for more than six months. Specifically, Black menthol smokers’ odds were 77 percent lower than Black non-menthol smokers’ (OR=0.23, 95% CI: 0.17</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0.31). </w:t>
      </w:r>
    </w:p>
    <w:p w14:paraId="34C65213"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In 2009, Gundersen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9" w:tooltip="Gundersen, 2009 #65" w:history="1">
        <w:r>
          <w:rPr>
            <w:rFonts w:asciiTheme="minorHAnsi" w:hAnsiTheme="minorHAnsi" w:cstheme="minorHAnsi"/>
            <w:noProof/>
            <w:color w:val="000000" w:themeColor="text1"/>
            <w:sz w:val="22"/>
            <w:szCs w:val="22"/>
          </w:rPr>
          <w:t>59</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published results from their analyses of data from the 2005 NHIS. They included White, Black, and Hispanic current and former adult smokers who had ever attempted to quit smoking and who did not currently use other tobacco products. Their logistic regression models mere stratified by race/ethnicity and adjusted for age, education, gender, CPD, region, perceived risk of cancer. For Black menthol smokers, the odds of being a former smoker were not significant, compared to Black non-menthol smokers (OR=0.78, 95% CI: 0.56</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1.09).</w:t>
      </w:r>
    </w:p>
    <w:p w14:paraId="37476F7B"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Gandhi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7" w:tooltip="Gandhi, 2009 #67" w:history="1">
        <w:r>
          <w:rPr>
            <w:rFonts w:asciiTheme="minorHAnsi" w:hAnsiTheme="minorHAnsi" w:cstheme="minorHAnsi"/>
            <w:noProof/>
            <w:color w:val="000000" w:themeColor="text1"/>
            <w:sz w:val="22"/>
            <w:szCs w:val="22"/>
          </w:rPr>
          <w:t>47</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analyzed retrospective data from a cohort of patients at a specialist tobacco treatment outpatient clinic. Participants were treatment seekers who set a quit date and attempted to quit; the study encouraged (but did not require) enrollees to attend group treatment and use tobacco-dependence treatment medications, all were made available at no cost to patients. Logistic regression models were used to assess abstinence at four weeks and six months post-quit; models were adjusted for age, education, gender, employment, insurance, CPD, age smoked for the first time, night waking to smoke, TTFC, previous quit attempts, and presence of a disease caused or aggravated by smoking. Black menthol smokers were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less likely to be abstinent at four weeks compared with Black non-menthol smokers: the odds for menthol smokers were 68 percent lower than Black non-menthol smokers’ (OR=0.32, 95% CI: 0.16</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0.62). At six months post-quit, the odds of abstinence for Black menthol smokers remained </w:t>
      </w:r>
      <w:r>
        <w:rPr>
          <w:rFonts w:asciiTheme="minorHAnsi" w:hAnsiTheme="minorHAnsi" w:cstheme="minorHAnsi"/>
          <w:color w:val="000000" w:themeColor="text1"/>
          <w:sz w:val="22"/>
          <w:szCs w:val="22"/>
        </w:rPr>
        <w:t>statistically significantly</w:t>
      </w:r>
      <w:r w:rsidRPr="00267D0B">
        <w:rPr>
          <w:rFonts w:asciiTheme="minorHAnsi" w:hAnsiTheme="minorHAnsi" w:cstheme="minorHAnsi"/>
          <w:color w:val="000000" w:themeColor="text1"/>
          <w:sz w:val="22"/>
          <w:szCs w:val="22"/>
        </w:rPr>
        <w:t xml:space="preserve"> lower than for Black non-menthol smokers (OR=0.48, 95% CI</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0.25</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0.9). </w:t>
      </w:r>
    </w:p>
    <w:p w14:paraId="4A8C8D96" w14:textId="77777777" w:rsidR="007F0AE0" w:rsidRPr="00267D0B" w:rsidRDefault="007F0AE0" w:rsidP="007F0AE0">
      <w:pPr>
        <w:pStyle w:val="BodyText"/>
        <w:jc w:val="both"/>
        <w:rPr>
          <w:rFonts w:asciiTheme="minorHAnsi" w:hAnsiTheme="minorHAnsi" w:cstheme="minorHAnsi"/>
          <w:color w:val="000000" w:themeColor="text1"/>
          <w:sz w:val="22"/>
          <w:szCs w:val="22"/>
        </w:rPr>
      </w:pPr>
      <w:r w:rsidRPr="00267D0B">
        <w:rPr>
          <w:rFonts w:asciiTheme="minorHAnsi" w:hAnsiTheme="minorHAnsi" w:cstheme="minorHAnsi"/>
          <w:color w:val="000000" w:themeColor="text1"/>
          <w:sz w:val="22"/>
          <w:szCs w:val="22"/>
        </w:rPr>
        <w:t xml:space="preserve">In one of the Kick It at Swope cessation trials </w:t>
      </w:r>
      <w:r w:rsidRPr="00267D0B">
        <w:rPr>
          <w:rFonts w:asciiTheme="minorHAnsi" w:hAnsiTheme="minorHAnsi" w:cstheme="minorHAnsi"/>
          <w:color w:val="000000" w:themeColor="text1"/>
          <w:sz w:val="22"/>
          <w:szCs w:val="22"/>
        </w:rPr>
        <w:fldChar w:fldCharType="begin">
          <w:fldData xml:space="preserve">PEVuZE5vdGU+PENpdGU+PFJlY051bT43NDwvUmVjTnVtPjxEaXNwbGF5VGV4dD4oMjQsIDY3KTwv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PEVuZE5vdGU+PENpdGU+PFJlY051bT43NDwvUmVjTnVtPjxEaXNwbGF5VGV4dD4oMjQsIDY3KTwv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4" w:tooltip="Okuyemi, 2007 #74" w:history="1">
        <w:r>
          <w:rPr>
            <w:rFonts w:asciiTheme="minorHAnsi" w:hAnsiTheme="minorHAnsi" w:cstheme="minorHAnsi"/>
            <w:noProof/>
            <w:color w:val="000000" w:themeColor="text1"/>
            <w:sz w:val="22"/>
            <w:szCs w:val="22"/>
          </w:rPr>
          <w:t>24</w:t>
        </w:r>
      </w:hyperlink>
      <w:r>
        <w:rPr>
          <w:rFonts w:asciiTheme="minorHAnsi" w:hAnsiTheme="minorHAnsi" w:cstheme="minorHAnsi"/>
          <w:noProof/>
          <w:color w:val="000000" w:themeColor="text1"/>
          <w:sz w:val="22"/>
          <w:szCs w:val="22"/>
        </w:rPr>
        <w:t xml:space="preserve">, </w:t>
      </w:r>
      <w:hyperlink w:anchor="_ENREF_67" w:tooltip="Berg, 2010 #102" w:history="1">
        <w:r>
          <w:rPr>
            <w:rFonts w:asciiTheme="minorHAnsi" w:hAnsiTheme="minorHAnsi" w:cstheme="minorHAnsi"/>
            <w:noProof/>
            <w:color w:val="000000" w:themeColor="text1"/>
            <w:sz w:val="22"/>
            <w:szCs w:val="22"/>
          </w:rPr>
          <w:t>67</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investigators enrolled 755 Black adults who smoked up to 10 CPD (light smokers) for at least two years, had smoked at least 25 days in the month prior to enrollment, and were interested in quitting within two weeks. Enrollees were randomized to receive either nicotine gum or placebo and either motivational interviewing counseling or health education, all for eight weeks. Okuyemi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4" w:tooltip="Okuyemi, 2007 #74" w:history="1">
        <w:r>
          <w:rPr>
            <w:rFonts w:asciiTheme="minorHAnsi" w:hAnsiTheme="minorHAnsi" w:cstheme="minorHAnsi"/>
            <w:noProof/>
            <w:color w:val="000000" w:themeColor="text1"/>
            <w:sz w:val="22"/>
            <w:szCs w:val="22"/>
          </w:rPr>
          <w:t>24</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used logistic regression models; after stepwise and best subsets regression techniques were used, the final model adjusted for treatment arm and confidence to quit smoking. They found that menthol smoking status did not predict abstinence (via cotinine-verified 7-day PPA) for neither smokers &lt;50 years old (OR=2.077; 95% CI</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0.944–4.569; p=0.069) nor for smokers ≥50 years old (OR=1.676; 95% CI</w:t>
      </w:r>
      <w:r>
        <w:rPr>
          <w:rFonts w:asciiTheme="minorHAnsi" w:hAnsiTheme="minorHAnsi" w:cstheme="minorHAnsi"/>
          <w:color w:val="000000" w:themeColor="text1"/>
          <w:sz w:val="22"/>
          <w:szCs w:val="22"/>
        </w:rPr>
        <w:t xml:space="preserve">: </w:t>
      </w:r>
      <w:r w:rsidRPr="00267D0B">
        <w:rPr>
          <w:rFonts w:asciiTheme="minorHAnsi" w:hAnsiTheme="minorHAnsi" w:cstheme="minorHAnsi"/>
          <w:color w:val="000000" w:themeColor="text1"/>
          <w:sz w:val="22"/>
          <w:szCs w:val="22"/>
        </w:rPr>
        <w:t xml:space="preserve">0.760–3.698; p=0.221). Moreover, they found “no significant interaction between categorized age [&lt;50 vs. ≥50] and menthol status on [7-day PPA] at week 26 (p=0.93).” </w:t>
      </w:r>
    </w:p>
    <w:p w14:paraId="0D208D69" w14:textId="77777777" w:rsidR="007F0AE0" w:rsidRPr="00DE2832" w:rsidRDefault="007F0AE0" w:rsidP="007F0AE0">
      <w:pPr>
        <w:pStyle w:val="BodyText"/>
        <w:jc w:val="both"/>
        <w:rPr>
          <w:rFonts w:asciiTheme="minorHAnsi" w:hAnsiTheme="minorHAnsi" w:cstheme="minorHAnsi"/>
          <w:color w:val="70AD47" w:themeColor="accent6"/>
          <w:sz w:val="22"/>
          <w:szCs w:val="22"/>
        </w:rPr>
      </w:pPr>
      <w:r w:rsidRPr="00267D0B">
        <w:rPr>
          <w:rFonts w:asciiTheme="minorHAnsi" w:hAnsiTheme="minorHAnsi" w:cstheme="minorHAnsi"/>
          <w:color w:val="000000" w:themeColor="text1"/>
          <w:sz w:val="22"/>
          <w:szCs w:val="22"/>
        </w:rPr>
        <w:t xml:space="preserve">In another iteration of the Kick It at Swope trial, investigators enrolled 600 Black adults age 18 and older who smoked at least ten CPD and were interested in quitting in the next 30 days. Okuyemi et al. </w:t>
      </w:r>
      <w:r w:rsidRPr="00267D0B">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267D0B">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9" w:tooltip="Okuyemi, 2003 #85" w:history="1">
        <w:r>
          <w:rPr>
            <w:rFonts w:asciiTheme="minorHAnsi" w:hAnsiTheme="minorHAnsi" w:cstheme="minorHAnsi"/>
            <w:noProof/>
            <w:color w:val="000000" w:themeColor="text1"/>
            <w:sz w:val="22"/>
            <w:szCs w:val="22"/>
          </w:rPr>
          <w:t>49</w:t>
        </w:r>
      </w:hyperlink>
      <w:r>
        <w:rPr>
          <w:rFonts w:asciiTheme="minorHAnsi" w:hAnsiTheme="minorHAnsi" w:cstheme="minorHAnsi"/>
          <w:noProof/>
          <w:color w:val="000000" w:themeColor="text1"/>
          <w:sz w:val="22"/>
          <w:szCs w:val="22"/>
        </w:rPr>
        <w:t>)</w:t>
      </w:r>
      <w:r w:rsidRPr="00267D0B">
        <w:rPr>
          <w:rFonts w:asciiTheme="minorHAnsi" w:hAnsiTheme="minorHAnsi" w:cstheme="minorHAnsi"/>
          <w:color w:val="000000" w:themeColor="text1"/>
          <w:sz w:val="22"/>
          <w:szCs w:val="22"/>
        </w:rPr>
        <w:fldChar w:fldCharType="end"/>
      </w:r>
      <w:r w:rsidRPr="00267D0B">
        <w:rPr>
          <w:rFonts w:asciiTheme="minorHAnsi" w:hAnsiTheme="minorHAnsi" w:cstheme="minorHAnsi"/>
          <w:color w:val="000000" w:themeColor="text1"/>
          <w:sz w:val="22"/>
          <w:szCs w:val="22"/>
        </w:rPr>
        <w:t xml:space="preserve"> reported results from a logistic regression of menthol smoking on 7-day PPA at six weeks that adjusted for treatment group (bupropion vs. placebo). Additional variables were tested in stepwise regression, but the final model’s </w:t>
      </w:r>
      <w:r w:rsidRPr="00267D0B">
        <w:rPr>
          <w:rFonts w:asciiTheme="minorHAnsi" w:hAnsiTheme="minorHAnsi" w:cstheme="minorHAnsi"/>
          <w:color w:val="000000" w:themeColor="text1"/>
          <w:sz w:val="22"/>
          <w:szCs w:val="22"/>
        </w:rPr>
        <w:lastRenderedPageBreak/>
        <w:t>variables were not reported. Although abstinence was measured at both six weeks and six months, authors reported it for six weeks only, “Because univariate analysis did not reveal significant differences in abstinence rates between menthol and non-menthol smokers at six months.” As above, adjusted overall modeled results were not presented; all adjusted results were stratified by age. Among participants under 50 years of age, menthol smokers were less likely to quit by the end of six weeks compared with non-menthol smokers; the study reported that the odds of quitting for non-menthol smokers were significant and twice as high as</w:t>
      </w:r>
      <w:r w:rsidRPr="00DE2832">
        <w:rPr>
          <w:rFonts w:asciiTheme="minorHAnsi" w:hAnsiTheme="minorHAnsi" w:cstheme="minorHAnsi"/>
          <w:color w:val="000000" w:themeColor="text1"/>
          <w:sz w:val="22"/>
          <w:szCs w:val="22"/>
        </w:rPr>
        <w:t xml:space="preserve"> the odds for menthol smokers (OR for non-menthol=2.02, 95% CI: 1.03</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3.95). Among adults 50 years and older, the difference between menthol and non-menthol was “not significant.”</w:t>
      </w:r>
    </w:p>
    <w:p w14:paraId="34DDA76C" w14:textId="77777777" w:rsidR="007F0AE0" w:rsidRPr="00DE2832" w:rsidRDefault="007F0AE0" w:rsidP="007F0AE0">
      <w:pPr>
        <w:pStyle w:val="BodyText"/>
        <w:jc w:val="both"/>
        <w:rPr>
          <w:rFonts w:asciiTheme="minorHAnsi" w:hAnsiTheme="minorHAnsi" w:cstheme="minorHAnsi"/>
          <w:color w:val="70AD47" w:themeColor="accent6"/>
          <w:sz w:val="22"/>
          <w:szCs w:val="22"/>
        </w:rPr>
      </w:pPr>
      <w:r w:rsidRPr="00DE2832">
        <w:rPr>
          <w:rFonts w:asciiTheme="minorHAnsi" w:hAnsiTheme="minorHAnsi" w:cstheme="minorHAnsi"/>
          <w:color w:val="000000" w:themeColor="text1"/>
          <w:sz w:val="22"/>
          <w:szCs w:val="22"/>
        </w:rPr>
        <w:t xml:space="preserve">Muscat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&lt;EndNote&gt;&lt;Cite&gt;&lt;RecNum&gt;86&lt;/RecNum&gt;&lt;DisplayText&gt;(55)&lt;/DisplayText&gt;&lt;record&gt;&lt;rec-number&gt;86&lt;/rec-number&gt;&lt;foreign-keys&gt;&lt;key app="EN" db-id="a2vz2dfp8xrad6exes75zwpiw5rxwa0vwapv" timestamp="0"&gt;86&lt;/key&gt;&lt;/foreign-keys&gt;&lt;ref-type name="Journal Article"&gt;17&lt;/ref-type&gt;&lt;contributors&gt;&lt;authors&gt;&lt;author&gt;Muscat, J. E.&lt;/author&gt;&lt;author&gt;Richie, J. P., Jr.&lt;/author&gt;&lt;author&gt;Stellman, S. D.&lt;/author&gt;&lt;/authors&gt;&lt;/contributors&gt;&lt;titles&gt;&lt;title&gt;Mentholated cigaettes and smoking habits in whites and blacks&lt;/title&gt;&lt;secondary-title&gt;Tob Control&lt;/secondary-title&gt;&lt;/titles&gt;&lt;periodical&gt;&lt;full-title&gt;Tob Control&lt;/full-title&gt;&lt;/periodical&gt;&lt;pages&gt;368-371&lt;/pages&gt;&lt;volume&gt;11&lt;/volume&gt;&lt;section&gt;368&lt;/section&gt;&lt;dates&gt;&lt;year&gt;2002&lt;/year&gt;&lt;/dates&gt;&lt;urls&gt;&lt;/urls&gt;&lt;research-notes&gt;#439&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5" w:tooltip="Muscat, 2002 #86" w:history="1">
        <w:r>
          <w:rPr>
            <w:rFonts w:asciiTheme="minorHAnsi" w:hAnsiTheme="minorHAnsi" w:cstheme="minorHAnsi"/>
            <w:noProof/>
            <w:color w:val="000000" w:themeColor="text1"/>
            <w:sz w:val="22"/>
            <w:szCs w:val="22"/>
          </w:rPr>
          <w:t>55</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a large (N=19,545) multistate case-control study of tobacco-related cancers. Cases (cancer patients) were identified from surgery schedules and oncology wards; controls (non-cancer patients) were selected randomly from general hospital admitting rosters. Black and White patients were eligible, and current smoking was defined as smoking an average of at least one CPD for the past year. Former smokers had at one time been current smokers but did not smoke at least one CPD during the preceding year. Logistic regression analyses adjusted for age, gender, education, case-control status, years of smoking, and CPD. Black menthol smokers’ odds of being a current smoker (vs. a former smoker) were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different from the odds for Black non-menthol smokers (prevalence OR=1.1</w:t>
      </w:r>
      <w:r>
        <w:rPr>
          <w:rFonts w:asciiTheme="minorHAnsi" w:hAnsiTheme="minorHAnsi" w:cstheme="minorHAnsi"/>
          <w:color w:val="000000" w:themeColor="text1"/>
          <w:sz w:val="22"/>
          <w:szCs w:val="22"/>
        </w:rPr>
        <w:t>0</w:t>
      </w:r>
      <w:r w:rsidRPr="00DE2832">
        <w:rPr>
          <w:rFonts w:asciiTheme="minorHAnsi" w:hAnsiTheme="minorHAnsi" w:cstheme="minorHAnsi"/>
          <w:color w:val="000000" w:themeColor="text1"/>
          <w:sz w:val="22"/>
          <w:szCs w:val="22"/>
        </w:rPr>
        <w:t>, 95% CI: 0.8</w:t>
      </w:r>
      <w:r>
        <w:rPr>
          <w:rFonts w:asciiTheme="minorHAnsi" w:hAnsiTheme="minorHAnsi" w:cstheme="minorHAnsi"/>
          <w:color w:val="000000" w:themeColor="text1"/>
          <w:sz w:val="22"/>
          <w:szCs w:val="22"/>
        </w:rPr>
        <w:t xml:space="preserve">0, </w:t>
      </w:r>
      <w:r w:rsidRPr="00DE2832">
        <w:rPr>
          <w:rFonts w:asciiTheme="minorHAnsi" w:hAnsiTheme="minorHAnsi" w:cstheme="minorHAnsi"/>
          <w:color w:val="000000" w:themeColor="text1"/>
          <w:sz w:val="22"/>
          <w:szCs w:val="22"/>
        </w:rPr>
        <w:t>1.4</w:t>
      </w:r>
      <w:r>
        <w:rPr>
          <w:rFonts w:asciiTheme="minorHAnsi" w:hAnsiTheme="minorHAnsi" w:cstheme="minorHAnsi"/>
          <w:color w:val="000000" w:themeColor="text1"/>
          <w:sz w:val="22"/>
          <w:szCs w:val="22"/>
        </w:rPr>
        <w:t>0</w:t>
      </w:r>
      <w:r w:rsidRPr="00DE2832">
        <w:rPr>
          <w:rFonts w:asciiTheme="minorHAnsi" w:hAnsiTheme="minorHAnsi" w:cstheme="minorHAnsi"/>
          <w:color w:val="000000" w:themeColor="text1"/>
          <w:sz w:val="22"/>
          <w:szCs w:val="22"/>
        </w:rPr>
        <w:t xml:space="preserve">). </w:t>
      </w:r>
    </w:p>
    <w:p w14:paraId="366CAF81"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Hispanics</w:t>
      </w:r>
    </w:p>
    <w:p w14:paraId="0295B678"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Eight studies (across nine references) reported adjusted results for Hispanic subgroups </w:t>
      </w:r>
      <w:r>
        <w:rPr>
          <w:rFonts w:cstheme="minorHAnsi"/>
          <w:i/>
          <w:color w:val="000000" w:themeColor="text1"/>
        </w:rPr>
        <w:fldChar w:fldCharType="begin">
          <w:fldData xml:space="preserve">PEVuZE5vdGU+PENpdGU+PEF1dGhvcj5DdWJiaW48L0F1dGhvcj48WWVhcj4yMDEwPC9ZZWFyPjxS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=
</w:fldData>
        </w:fldChar>
      </w:r>
      <w:r>
        <w:rPr>
          <w:rFonts w:cstheme="minorHAnsi"/>
          <w:i/>
          <w:color w:val="000000" w:themeColor="text1"/>
        </w:rPr>
        <w:instrText xml:space="preserve"> ADDIN EN.CITE </w:instrText>
      </w:r>
      <w:r>
        <w:rPr>
          <w:rFonts w:cstheme="minorHAnsi"/>
          <w:i/>
          <w:color w:val="000000" w:themeColor="text1"/>
        </w:rPr>
        <w:fldChar w:fldCharType="begin">
          <w:fldData xml:space="preserve">PEVuZE5vdGU+PENpdGU+PEF1dGhvcj5DdWJiaW48L0F1dGhvcj48WWVhcj4yMDEwPC9ZZWFyPjxS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=
</w:fldData>
        </w:fldChar>
      </w:r>
      <w:r>
        <w:rPr>
          <w:rFonts w:cstheme="minorHAnsi"/>
          <w:i/>
          <w:color w:val="000000" w:themeColor="text1"/>
        </w:rPr>
        <w:instrText xml:space="preserve"> ADDIN EN.CITE.DATA </w:instrText>
      </w:r>
      <w:r>
        <w:rPr>
          <w:rFonts w:cstheme="minorHAnsi"/>
          <w:i/>
          <w:color w:val="000000" w:themeColor="text1"/>
        </w:rPr>
      </w:r>
      <w:r>
        <w:rPr>
          <w:rFonts w:cstheme="minorHAnsi"/>
          <w:i/>
          <w:color w:val="000000" w:themeColor="text1"/>
        </w:rPr>
        <w:fldChar w:fldCharType="end"/>
      </w:r>
      <w:r>
        <w:rPr>
          <w:rFonts w:cstheme="minorHAnsi"/>
          <w:i/>
          <w:color w:val="000000" w:themeColor="text1"/>
        </w:rPr>
        <w:fldChar w:fldCharType="separate"/>
      </w:r>
      <w:r>
        <w:rPr>
          <w:rFonts w:cstheme="minorHAnsi"/>
          <w:i/>
          <w:noProof/>
          <w:color w:val="000000" w:themeColor="text1"/>
        </w:rPr>
        <w:t>(</w:t>
      </w:r>
      <w:hyperlink w:anchor="_ENREF_20" w:tooltip="Cubbin, 2010 #53" w:history="1">
        <w:r>
          <w:rPr>
            <w:rFonts w:cstheme="minorHAnsi"/>
            <w:i/>
            <w:noProof/>
            <w:color w:val="000000" w:themeColor="text1"/>
          </w:rPr>
          <w:t>20</w:t>
        </w:r>
      </w:hyperlink>
      <w:r>
        <w:rPr>
          <w:rFonts w:cstheme="minorHAnsi"/>
          <w:i/>
          <w:noProof/>
          <w:color w:val="000000" w:themeColor="text1"/>
        </w:rPr>
        <w:t xml:space="preserve">, </w:t>
      </w:r>
      <w:hyperlink w:anchor="_ENREF_29" w:tooltip="Keeler, 2017 #660" w:history="1">
        <w:r>
          <w:rPr>
            <w:rFonts w:cstheme="minorHAnsi"/>
            <w:i/>
            <w:noProof/>
            <w:color w:val="000000" w:themeColor="text1"/>
          </w:rPr>
          <w:t>29</w:t>
        </w:r>
      </w:hyperlink>
      <w:r>
        <w:rPr>
          <w:rFonts w:cstheme="minorHAnsi"/>
          <w:i/>
          <w:noProof/>
          <w:color w:val="000000" w:themeColor="text1"/>
        </w:rPr>
        <w:t xml:space="preserve">, </w:t>
      </w:r>
      <w:hyperlink w:anchor="_ENREF_47" w:tooltip="Gandhi, 2009 #67" w:history="1">
        <w:r>
          <w:rPr>
            <w:rFonts w:cstheme="minorHAnsi"/>
            <w:i/>
            <w:noProof/>
            <w:color w:val="000000" w:themeColor="text1"/>
          </w:rPr>
          <w:t>47</w:t>
        </w:r>
      </w:hyperlink>
      <w:r>
        <w:rPr>
          <w:rFonts w:cstheme="minorHAnsi"/>
          <w:i/>
          <w:noProof/>
          <w:color w:val="000000" w:themeColor="text1"/>
        </w:rPr>
        <w:t xml:space="preserve">, </w:t>
      </w:r>
      <w:hyperlink w:anchor="_ENREF_50" w:tooltip="Hyland, 2002 #87" w:history="1">
        <w:r>
          <w:rPr>
            <w:rFonts w:cstheme="minorHAnsi"/>
            <w:i/>
            <w:noProof/>
            <w:color w:val="000000" w:themeColor="text1"/>
          </w:rPr>
          <w:t>50</w:t>
        </w:r>
      </w:hyperlink>
      <w:r>
        <w:rPr>
          <w:rFonts w:cstheme="minorHAnsi"/>
          <w:i/>
          <w:noProof/>
          <w:color w:val="000000" w:themeColor="text1"/>
        </w:rPr>
        <w:t xml:space="preserve">, </w:t>
      </w:r>
      <w:hyperlink w:anchor="_ENREF_52" w:tooltip="Trinidad, 2010 #58" w:history="1">
        <w:r>
          <w:rPr>
            <w:rFonts w:cstheme="minorHAnsi"/>
            <w:i/>
            <w:noProof/>
            <w:color w:val="000000" w:themeColor="text1"/>
          </w:rPr>
          <w:t>52</w:t>
        </w:r>
      </w:hyperlink>
      <w:r>
        <w:rPr>
          <w:rFonts w:cstheme="minorHAnsi"/>
          <w:i/>
          <w:noProof/>
          <w:color w:val="000000" w:themeColor="text1"/>
        </w:rPr>
        <w:t xml:space="preserve">, </w:t>
      </w:r>
      <w:hyperlink w:anchor="_ENREF_57" w:tooltip="Delnevo, 2011 #42" w:history="1">
        <w:r>
          <w:rPr>
            <w:rFonts w:cstheme="minorHAnsi"/>
            <w:i/>
            <w:noProof/>
            <w:color w:val="000000" w:themeColor="text1"/>
          </w:rPr>
          <w:t>57-59</w:t>
        </w:r>
      </w:hyperlink>
      <w:r>
        <w:rPr>
          <w:rFonts w:cstheme="minorHAnsi"/>
          <w:i/>
          <w:noProof/>
          <w:color w:val="000000" w:themeColor="text1"/>
        </w:rPr>
        <w:t xml:space="preserve">, </w:t>
      </w:r>
      <w:hyperlink w:anchor="_ENREF_75" w:tooltip="Reitzel, 2011 #41" w:history="1">
        <w:r>
          <w:rPr>
            <w:rFonts w:cstheme="minorHAnsi"/>
            <w:i/>
            <w:noProof/>
            <w:color w:val="000000" w:themeColor="text1"/>
          </w:rPr>
          <w:t>75</w:t>
        </w:r>
      </w:hyperlink>
      <w:r>
        <w:rPr>
          <w:rFonts w:cstheme="minorHAnsi"/>
          <w:i/>
          <w:noProof/>
          <w:color w:val="000000" w:themeColor="text1"/>
        </w:rPr>
        <w:t>)</w:t>
      </w:r>
      <w:r>
        <w:rPr>
          <w:rFonts w:cstheme="minorHAnsi"/>
          <w:i/>
          <w:color w:val="000000" w:themeColor="text1"/>
        </w:rPr>
        <w:fldChar w:fldCharType="end"/>
      </w:r>
      <w:r w:rsidRPr="00DE2832">
        <w:rPr>
          <w:rFonts w:asciiTheme="minorHAnsi" w:hAnsiTheme="minorHAnsi" w:cstheme="minorHAnsi"/>
          <w:i/>
          <w:color w:val="000000" w:themeColor="text1"/>
          <w:sz w:val="22"/>
          <w:szCs w:val="22"/>
        </w:rPr>
        <w:t>. As with the subgroup analyses of White and Black smokers, results were mixed.</w:t>
      </w:r>
    </w:p>
    <w:p w14:paraId="4485BB76"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Four</w:t>
      </w:r>
      <w:r w:rsidRPr="00F52E88">
        <w:rPr>
          <w:rFonts w:asciiTheme="minorHAnsi" w:hAnsiTheme="minorHAnsi" w:cstheme="minorHAnsi"/>
          <w:i/>
          <w:color w:val="000000" w:themeColor="text1"/>
          <w:sz w:val="22"/>
          <w:szCs w:val="22"/>
        </w:rPr>
        <w:t xml:space="preserve"> studies reported non-significant associations in cessation outcomes between Hispanic menthol and non-menthol smokers, to include</w:t>
      </w:r>
      <w:r w:rsidRPr="00DE2832">
        <w:rPr>
          <w:rFonts w:asciiTheme="minorHAnsi" w:hAnsiTheme="minorHAnsi" w:cstheme="minorHAnsi"/>
          <w:i/>
          <w:color w:val="000000" w:themeColor="text1"/>
          <w:sz w:val="22"/>
          <w:szCs w:val="22"/>
        </w:rPr>
        <w:t>:</w:t>
      </w:r>
      <w:r w:rsidRPr="00F52E88">
        <w:rPr>
          <w:rFonts w:asciiTheme="minorHAnsi" w:hAnsiTheme="minorHAnsi" w:cstheme="minorHAnsi"/>
          <w:i/>
          <w:color w:val="000000" w:themeColor="text1"/>
          <w:sz w:val="22"/>
          <w:szCs w:val="22"/>
        </w:rPr>
        <w:t xml:space="preserve"> duration of abstinence</w:t>
      </w:r>
      <w:r w:rsidRPr="00DE2832">
        <w:rPr>
          <w:rFonts w:asciiTheme="minorHAnsi" w:hAnsiTheme="minorHAnsi" w:cstheme="minorHAnsi"/>
          <w:i/>
          <w:color w:val="000000" w:themeColor="text1"/>
          <w:sz w:val="22"/>
          <w:szCs w:val="22"/>
        </w:rPr>
        <w:t>;</w:t>
      </w:r>
      <w:r w:rsidRPr="00F52E88">
        <w:rPr>
          <w:rFonts w:asciiTheme="minorHAnsi" w:hAnsiTheme="minorHAnsi" w:cstheme="minorHAnsi"/>
          <w:i/>
          <w:color w:val="000000" w:themeColor="text1"/>
          <w:sz w:val="22"/>
          <w:szCs w:val="22"/>
        </w:rPr>
        <w:t xml:space="preserve"> past-year quit attempts</w:t>
      </w:r>
      <w:r w:rsidRPr="00DE2832">
        <w:rPr>
          <w:rFonts w:asciiTheme="minorHAnsi" w:hAnsiTheme="minorHAnsi" w:cstheme="minorHAnsi"/>
          <w:i/>
          <w:color w:val="000000" w:themeColor="text1"/>
          <w:sz w:val="22"/>
          <w:szCs w:val="22"/>
        </w:rPr>
        <w:t>;</w:t>
      </w:r>
      <w:r w:rsidRPr="00F52E88">
        <w:rPr>
          <w:rFonts w:asciiTheme="minorHAnsi" w:hAnsiTheme="minorHAnsi" w:cstheme="minorHAnsi"/>
          <w:i/>
          <w:color w:val="000000" w:themeColor="text1"/>
          <w:sz w:val="22"/>
          <w:szCs w:val="22"/>
        </w:rPr>
        <w:t xml:space="preserve"> rate of abstinence</w:t>
      </w:r>
      <w:r w:rsidRPr="00DE2832">
        <w:rPr>
          <w:rFonts w:asciiTheme="minorHAnsi" w:hAnsiTheme="minorHAnsi" w:cstheme="minorHAnsi"/>
          <w:i/>
          <w:color w:val="000000" w:themeColor="text1"/>
          <w:sz w:val="22"/>
          <w:szCs w:val="22"/>
        </w:rPr>
        <w:t>;</w:t>
      </w:r>
      <w:r w:rsidRPr="00F52E88">
        <w:rPr>
          <w:rFonts w:asciiTheme="minorHAnsi" w:hAnsiTheme="minorHAnsi" w:cstheme="minorHAnsi"/>
          <w:i/>
          <w:color w:val="000000" w:themeColor="text1"/>
          <w:sz w:val="22"/>
          <w:szCs w:val="22"/>
        </w:rPr>
        <w:t xml:space="preserve"> and change in </w:t>
      </w:r>
      <w:r>
        <w:rPr>
          <w:rFonts w:asciiTheme="minorHAnsi" w:hAnsiTheme="minorHAnsi" w:cstheme="minorHAnsi"/>
          <w:i/>
          <w:color w:val="000000" w:themeColor="text1"/>
          <w:sz w:val="22"/>
          <w:szCs w:val="22"/>
        </w:rPr>
        <w:t>CPD</w:t>
      </w:r>
      <w:r w:rsidRPr="00DE2832">
        <w:rPr>
          <w:rFonts w:asciiTheme="minorHAnsi" w:hAnsiTheme="minorHAnsi" w:cstheme="minorHAnsi"/>
          <w:i/>
          <w:color w:val="000000" w:themeColor="text1"/>
          <w:sz w:val="22"/>
          <w:szCs w:val="22"/>
        </w:rPr>
        <w:t>.</w:t>
      </w:r>
    </w:p>
    <w:p w14:paraId="59757B9B"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Two studies reported a negative association between menthol use and smoking cessation: Hispanic menthol smokers were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less likely to be former smokers compared with Hispanic non-menthol smokers in one study and were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less likely to be abstinence for more than six months in another study. </w:t>
      </w:r>
    </w:p>
    <w:p w14:paraId="0B13BCB5"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Two studies (from three references) reported mixed findings. One study found that Hispanic menthol smokers’ had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being abstinent at four weeks post-quit; however, at six months, this association was no longer significant. The second study (from two references) reported the odds of being a former smoker using five different sample restrictions, with Hispanic smokers under each restriction further subdivided</w:t>
      </w:r>
      <w:r>
        <w:rPr>
          <w:rFonts w:asciiTheme="minorHAnsi" w:hAnsiTheme="minorHAnsi" w:cstheme="minorHAnsi"/>
          <w:i/>
          <w:color w:val="000000" w:themeColor="text1"/>
          <w:sz w:val="22"/>
          <w:szCs w:val="22"/>
        </w:rPr>
        <w:t xml:space="preserve"> </w:t>
      </w:r>
      <w:r w:rsidRPr="00DE2832">
        <w:rPr>
          <w:rFonts w:asciiTheme="minorHAnsi" w:hAnsiTheme="minorHAnsi" w:cstheme="minorHAnsi"/>
          <w:i/>
          <w:color w:val="000000" w:themeColor="text1"/>
          <w:sz w:val="22"/>
          <w:szCs w:val="22"/>
        </w:rPr>
        <w:t xml:space="preserve">(by Hispanic, Mexican, and Puerto Rican). Among Hispanic smokers, only one of five restrictions resulted in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being a former smoker among menthol users, with the remaining restrictions yielding no significant differences; conversely, among Mexican smokers, two of five restrictions reported </w:t>
      </w:r>
      <w:r w:rsidRPr="00F52E88">
        <w:rPr>
          <w:rFonts w:asciiTheme="minorHAnsi" w:hAnsiTheme="minorHAnsi" w:cstheme="minorHAnsi"/>
          <w:i/>
          <w:color w:val="000000" w:themeColor="text1"/>
          <w:sz w:val="22"/>
          <w:szCs w:val="22"/>
        </w:rPr>
        <w:t>higher odds of being a former smoker among Mexican menthol smokers</w:t>
      </w:r>
      <w:r w:rsidRPr="00DE2832">
        <w:rPr>
          <w:rFonts w:asciiTheme="minorHAnsi" w:hAnsiTheme="minorHAnsi" w:cstheme="minorHAnsi"/>
          <w:i/>
          <w:color w:val="000000" w:themeColor="text1"/>
          <w:sz w:val="22"/>
          <w:szCs w:val="22"/>
        </w:rPr>
        <w:t xml:space="preserve">, while three restrictions reported no significant differences; for Puerto Ricans,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being a former smoker among menthol smokers were reported across all five sample restrictions.</w:t>
      </w:r>
    </w:p>
    <w:p w14:paraId="0F3B259A"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Delnevo et al. </w:t>
      </w:r>
      <w:r w:rsidRPr="00DE2832">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PEVuZE5vdGU+PENpdGU+PFJlY051bT40MjwvUmVjTnVtPjxEaXNwbGF5VGV4dD4oNTcsIDU4KTwv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7" w:tooltip="Delnevo, 2011 #42" w:history="1">
        <w:r>
          <w:rPr>
            <w:rFonts w:asciiTheme="minorHAnsi" w:hAnsiTheme="minorHAnsi" w:cstheme="minorHAnsi"/>
            <w:noProof/>
            <w:color w:val="000000" w:themeColor="text1"/>
            <w:sz w:val="22"/>
            <w:szCs w:val="22"/>
          </w:rPr>
          <w:t>57</w:t>
        </w:r>
      </w:hyperlink>
      <w:r>
        <w:rPr>
          <w:rFonts w:asciiTheme="minorHAnsi" w:hAnsiTheme="minorHAnsi" w:cstheme="minorHAnsi"/>
          <w:noProof/>
          <w:color w:val="000000" w:themeColor="text1"/>
          <w:sz w:val="22"/>
          <w:szCs w:val="22"/>
        </w:rPr>
        <w:t xml:space="preserve">, </w:t>
      </w:r>
      <w:hyperlink w:anchor="_ENREF_58" w:tooltip="Delnevo, 2010 #99" w:history="1">
        <w:r>
          <w:rPr>
            <w:rFonts w:asciiTheme="minorHAnsi" w:hAnsiTheme="minorHAnsi" w:cstheme="minorHAnsi"/>
            <w:noProof/>
            <w:color w:val="000000" w:themeColor="text1"/>
            <w:sz w:val="22"/>
            <w:szCs w:val="22"/>
          </w:rPr>
          <w:t>58</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current and former smokers participating in the 2003 and 2006-2007 TUS-CPS. Current smokers were adults who smoked at least 100 cigarettes in a lifetime and smoked some days or every day at the time of the survey. Former smokers reported not smoking at the time of the survey and had quit within the past five years. They reported outcomes for five sample restrictions, as follows: cigarette smokers and former smokers who quit in the past 5 years (restriction 1); cigarette smokers and former smokers who quit in the past 5 years who do not currently use other tobacco products (restriction 2); cigarette smokers and former smokers who quit in the past 5 years who have made a quit attempt (restriction 3); cigarette smokers and former smokers who quit in the past 5 years who have made a quit attempt and do </w:t>
      </w:r>
      <w:r w:rsidRPr="00DE2832">
        <w:rPr>
          <w:rFonts w:asciiTheme="minorHAnsi" w:hAnsiTheme="minorHAnsi" w:cstheme="minorHAnsi"/>
          <w:color w:val="000000" w:themeColor="text1"/>
          <w:sz w:val="22"/>
          <w:szCs w:val="22"/>
        </w:rPr>
        <w:lastRenderedPageBreak/>
        <w:t xml:space="preserve">not currently use other tobacco products (restriction 4); and past-year smokers (restriction 5, also adjusting for past-year cigarette tax increase). Within each restriction, separate analyses were reported for Hispanics overall, and separately for Mexicans and Puerto Ricans, each using multivariate logistic regression models that adjusted for gender, age, income, education, year, and month. Among the analyses of Hispanic smokers, only restriction 5 resulted in a significant outcome, reporting that the odds of being a former user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lower among Hispanic menthol users compared to Hispanic non-menthol users (OR=0.725, 95% CI: 0.543</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0.969). Among the analyses of Mexican smokers, two of the five restrictions resulted in significant outcomes both reported </w:t>
      </w:r>
      <w:r>
        <w:rPr>
          <w:rFonts w:asciiTheme="minorHAnsi" w:hAnsiTheme="minorHAnsi" w:cstheme="minorHAnsi"/>
          <w:color w:val="000000" w:themeColor="text1"/>
          <w:sz w:val="22"/>
          <w:szCs w:val="22"/>
        </w:rPr>
        <w:t>statistically significant</w:t>
      </w:r>
      <w:r w:rsidRPr="00DE2832">
        <w:rPr>
          <w:rFonts w:asciiTheme="minorHAnsi" w:hAnsiTheme="minorHAnsi" w:cstheme="minorHAnsi"/>
          <w:color w:val="000000" w:themeColor="text1"/>
          <w:sz w:val="22"/>
          <w:szCs w:val="22"/>
        </w:rPr>
        <w:t xml:space="preserve"> higher odds of being a former smoker among Mexican menthol smokers: restriction 2 (OR=1.338, 95% Ci: 1.039, 1.722); and restriction 4 (OR=1.349, 95% CI: 1.016, 1.790). All five sample restrictions found that, among Puerto Rican smokers, the odds of being a former smoker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lower for menthol users compared to non-menthol users: restriction 1 (OR=0.569, 95% CI: 0.371, 0.874); restriction 2 (OR=0.630, 95% CI: 0.403, 0.984); restriction 3 (OR=0.541, 95% CI: 0.344, 0.849); restriction 4 (OR=0.590, 95% CI: 0.368, 0.947); and restriction 5 (OR=0.421, 95% CI: 0.209, 0.851).</w:t>
      </w:r>
    </w:p>
    <w:p w14:paraId="6B1E411C"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Trinidad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2" w:tooltip="Trinidad, 2010 #58" w:history="1">
        <w:r>
          <w:rPr>
            <w:rFonts w:asciiTheme="minorHAnsi" w:hAnsiTheme="minorHAnsi" w:cstheme="minorHAnsi"/>
            <w:noProof/>
            <w:color w:val="000000" w:themeColor="text1"/>
            <w:sz w:val="22"/>
            <w:szCs w:val="22"/>
          </w:rPr>
          <w:t>52</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used data from both the 2003 and 2006-2007 TUS-CPS to analyze duration of abstinence for former smokers age 20 to 65. They performed logistic regressions by race/ethnicity, adjusting for age, education, gender, and current use of other tobacco products. Among Hispanic/Latino former smokers, menthol was associated with </w:t>
      </w:r>
      <w:r>
        <w:rPr>
          <w:rFonts w:asciiTheme="minorHAnsi" w:hAnsiTheme="minorHAnsi" w:cstheme="minorHAnsi"/>
          <w:color w:val="000000" w:themeColor="text1"/>
          <w:sz w:val="22"/>
          <w:szCs w:val="22"/>
        </w:rPr>
        <w:t>statistically significant</w:t>
      </w:r>
      <w:r w:rsidRPr="00DE2832">
        <w:rPr>
          <w:rFonts w:asciiTheme="minorHAnsi" w:hAnsiTheme="minorHAnsi" w:cstheme="minorHAnsi"/>
          <w:color w:val="000000" w:themeColor="text1"/>
          <w:sz w:val="22"/>
          <w:szCs w:val="22"/>
        </w:rPr>
        <w:t xml:space="preserve"> lower odds of being abstinent for more than six months: Hispanic menthol smokers’ odds were 52 percent lower than Hispanic non-menthol smokers’ odds (OR=0.48, 95% CI: 0.34</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0.69). There is likely significant overlap in the samples of this analysis and those reported by Delnevo et al. above.</w:t>
      </w:r>
    </w:p>
    <w:p w14:paraId="02B4C9E9"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In their subgroup analyses of Hispanic smokers,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9" w:tooltip="Keeler, 2017 #660" w:history="1">
        <w:r>
          <w:rPr>
            <w:rFonts w:asciiTheme="minorHAnsi" w:hAnsiTheme="minorHAnsi" w:cstheme="minorHAnsi"/>
            <w:noProof/>
            <w:color w:val="000000" w:themeColor="text1"/>
            <w:sz w:val="22"/>
            <w:szCs w:val="22"/>
          </w:rPr>
          <w:t>29</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found no difference in odds of abstinence (≥3 months) between menthol and non-menthol smokers (OR=0.88, 95% CI: 0.60–1.28; p=0.4980); similarly, they found no difference in odds of past-year quit attempts between Hispanic menthol and non-menthol smokers (OR=1.09, 95% CI: 0.91–1.30; p=0.3540).</w:t>
      </w:r>
    </w:p>
    <w:p w14:paraId="6CB29123"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an analysis of the NHIS-CCS data collected in 2005, Cubbin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examined data reported by former smokers age 25 to 64. The authors predicted length of time since quitting, adjusted for age, income, and education, for six gender-race/ethnicity interactions. Among Hispanic women, the duration of abstinence was about 17 months longer for former menthol smokers than former non-menthol smokers; among Hispanic men, the duration of abstinence was about 5 months shorter. Neither difference was significant. Cubbin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also analyzed the proportion of smokers who made a quit attempt in the past year (again, stratified by gender-race/ethnicity interactions). Among Hispanic women and men, menthol smokers reported a higher rate of quit attempts made, although the differences were not significant. For Hispanic women, the difference was 4.2 percent; for Hispanic men, it was 19.5 percent.</w:t>
      </w:r>
    </w:p>
    <w:p w14:paraId="1976CCFA"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2009, Gundersen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9" w:tooltip="Gundersen, 2009 #65" w:history="1">
        <w:r>
          <w:rPr>
            <w:rFonts w:asciiTheme="minorHAnsi" w:hAnsiTheme="minorHAnsi" w:cstheme="minorHAnsi"/>
            <w:noProof/>
            <w:color w:val="000000" w:themeColor="text1"/>
            <w:sz w:val="22"/>
            <w:szCs w:val="22"/>
          </w:rPr>
          <w:t>59</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published results from their analyses of data from the 2005 NHIS. They included White, Black, and Hispanic current and former smokers at least 18 years of age who had ever attempted to quit smoking and who did not currently use other tobacco products. Their logistic regression model adjusted for age, education, gender, CPD, region, perceived risk of cancer, stratified by race/ethnicity. Hispanic menthol smokers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less likely to be former smokers, compared with Hispanic non-menthol smokers; menthol smokers had 39 percent lower odds compared with non-menthol smokers (OR=0.61, 95% CI: 0.39</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0.97).</w:t>
      </w:r>
    </w:p>
    <w:p w14:paraId="7DA25487"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Gandhi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7" w:tooltip="Gandhi, 2009 #67" w:history="1">
        <w:r>
          <w:rPr>
            <w:rFonts w:asciiTheme="minorHAnsi" w:hAnsiTheme="minorHAnsi" w:cstheme="minorHAnsi"/>
            <w:noProof/>
            <w:color w:val="000000" w:themeColor="text1"/>
            <w:sz w:val="22"/>
            <w:szCs w:val="22"/>
          </w:rPr>
          <w:t>47</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retrospective data from a cohort of patients at a specialist tobacco treatment outpatient clinic. Participants were treatment seekers who set a quit date and attempted to quit; the study encouraged (but did not require) enrollees to attend group treatment and use tobacco-dependence treatment medications, all were made available at no cost to patients. Logistic regression models were used to assess abstinence at four weeks and six months post-quit; models adjusted for age, education, gender, </w:t>
      </w:r>
      <w:r w:rsidRPr="00DE2832">
        <w:rPr>
          <w:rFonts w:asciiTheme="minorHAnsi" w:hAnsiTheme="minorHAnsi" w:cstheme="minorHAnsi"/>
          <w:color w:val="000000" w:themeColor="text1"/>
          <w:sz w:val="22"/>
          <w:szCs w:val="22"/>
        </w:rPr>
        <w:lastRenderedPageBreak/>
        <w:t xml:space="preserve">employment, insurance, CPD, age smoked for the first time, night waking to smoke, TTFC, previous quit attempts, and presence of a disease caused or aggravated by smoking. Hispanic menthol smokers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less likely to be abstinent four weeks post-quit compared with Hispanic non-menthol smokers; specifically, Hispanic menthol smokers’ odds of being abstinent four weeks post-quit were 57 percent lower than Hispanic non-menthol smokers’ odds (OR=0.43, 95% CI: 0.1</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0.9). At six months, Hispanic menthol smokers’ odds of abstinence of were 36 percent lower than non-menthol smokers’ odds, but the difference was no longer significant (OR= 0.64, 95% CI: 0.2</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1.80).</w:t>
      </w:r>
    </w:p>
    <w:p w14:paraId="5791CAB5"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Hyland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reported interim data for Hispanic smokers from the longitudinal Community Intervention Trial for Smoking Cessation (COMMIT). COMMIT was a community-based trial of a multifaceted public health intervention to increase cessation rates. Participants in their analysis were current smokers between 25 and 64 years of age at baseline (1988) who completed similar phone tobacco use surveys in 1993 and 2001 and were smokers at those points, and who reported whether their current cigarette brand was mentholated or not in each survey wave. Data from the 2001 interview indicated that Hispanic menthol smokers had 22 percent higher odds of having quit between 1988 and 1993 than Hispanic non-menthol smokers; however, this was not significant (relative risk=1.22, 95% CI: 0.80</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1.87). Moreover, no association was found in change in </w:t>
      </w:r>
      <w:r>
        <w:rPr>
          <w:rFonts w:asciiTheme="minorHAnsi" w:hAnsiTheme="minorHAnsi" w:cstheme="minorHAnsi"/>
          <w:color w:val="000000" w:themeColor="text1"/>
          <w:sz w:val="22"/>
          <w:szCs w:val="22"/>
        </w:rPr>
        <w:t>CPD</w:t>
      </w:r>
      <w:r w:rsidRPr="00DE2832">
        <w:rPr>
          <w:rFonts w:asciiTheme="minorHAnsi" w:hAnsiTheme="minorHAnsi" w:cstheme="minorHAnsi"/>
          <w:color w:val="000000" w:themeColor="text1"/>
          <w:sz w:val="22"/>
          <w:szCs w:val="22"/>
        </w:rPr>
        <w:t xml:space="preserve"> between 1998 and 1993, amongst menthol and non-menthol smokers (β-coefficient=1.16, 95% CI: -1.3, 3.6)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0" w:tooltip="Hyland, 2002 #87" w:history="1">
        <w:r>
          <w:rPr>
            <w:rFonts w:asciiTheme="minorHAnsi" w:hAnsiTheme="minorHAnsi" w:cstheme="minorHAnsi"/>
            <w:noProof/>
            <w:color w:val="000000" w:themeColor="text1"/>
            <w:sz w:val="22"/>
            <w:szCs w:val="22"/>
          </w:rPr>
          <w:t>50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Data for Hispanic smokers were not reported in the longer-term follow-up results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6" w:tooltip="Hyland, 2010 #100" w:history="1">
        <w:r>
          <w:rPr>
            <w:rFonts w:asciiTheme="minorHAnsi" w:hAnsiTheme="minorHAnsi" w:cstheme="minorHAnsi"/>
            <w:noProof/>
            <w:color w:val="000000" w:themeColor="text1"/>
            <w:sz w:val="22"/>
            <w:szCs w:val="22"/>
          </w:rPr>
          <w:t>46</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w:t>
      </w:r>
    </w:p>
    <w:p w14:paraId="0F1A71C6"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In Project MOM</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PEVuZE5vdGU+PENpdGU+PEF1dGhvcj5SZWl0emVsPC9BdXRob3I+PFllYXI+MjAxMTwvWWVhcj48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PEVuZE5vdGU+PENpdGU+PEF1dGhvcj5SZWl0emVsPC9BdXRob3I+PFllYXI+MjAxMTwvWWVhcj48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75" w:tooltip="Reitzel, 2011 #41" w:history="1">
        <w:r>
          <w:rPr>
            <w:rFonts w:asciiTheme="minorHAnsi" w:hAnsiTheme="minorHAnsi" w:cstheme="minorHAnsi"/>
            <w:noProof/>
            <w:color w:val="000000" w:themeColor="text1"/>
            <w:sz w:val="22"/>
            <w:szCs w:val="22"/>
          </w:rPr>
          <w:t>75</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investigators recruited women in their 30th to 33rd week of pregnancy who had stopped smoking either during their pregnancy or within two months prior to becoming pregnant and wanted to remain quit postpartum. Women must have smoked at least one CPD on average over the year prior to quitting. Participants were randomized to receive usual care or one of two motivation and problem-solving interventions for the prevention of postpartum relapse, and data were collected at baseline and at weeks eight and 26 postpartum. The authors used continuation ratio logit modeling that adjusted for age, race/ethnicity, partner status, income, education, time in study, treatment arm, CPD, and TTFC. Among Latina women, no significant difference in continuous abstinence between menthol and non-menthol use was found (β=0.46, SE=0.50; p=0.35).</w:t>
      </w:r>
    </w:p>
    <w:p w14:paraId="048B819D" w14:textId="77777777" w:rsidR="007F0AE0" w:rsidRDefault="007F0AE0" w:rsidP="007F0AE0">
      <w:pPr>
        <w:rPr>
          <w:rFonts w:cstheme="minorHAnsi"/>
          <w:b/>
          <w:i/>
          <w:color w:val="000000" w:themeColor="text1"/>
        </w:rPr>
      </w:pPr>
      <w:r>
        <w:rPr>
          <w:rFonts w:cstheme="minorHAnsi"/>
          <w:b/>
          <w:i/>
          <w:color w:val="000000" w:themeColor="text1"/>
        </w:rPr>
        <w:br w:type="page"/>
      </w:r>
    </w:p>
    <w:p w14:paraId="76F81EDA" w14:textId="77777777" w:rsidR="007F0AE0" w:rsidRPr="00DE2832" w:rsidRDefault="007F0AE0" w:rsidP="007F0AE0">
      <w:pPr>
        <w:spacing w:after="120" w:line="240" w:lineRule="auto"/>
        <w:jc w:val="both"/>
        <w:outlineLvl w:val="2"/>
        <w:rPr>
          <w:rFonts w:cstheme="minorHAnsi"/>
          <w:b/>
          <w:color w:val="000000" w:themeColor="text1"/>
        </w:rPr>
      </w:pPr>
      <w:r w:rsidRPr="00DE2832">
        <w:rPr>
          <w:rFonts w:cstheme="minorHAnsi"/>
          <w:b/>
          <w:i/>
          <w:color w:val="000000" w:themeColor="text1"/>
        </w:rPr>
        <w:lastRenderedPageBreak/>
        <w:t>Other or Multiple Races/Ethnicities</w:t>
      </w:r>
    </w:p>
    <w:p w14:paraId="27C48197"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Four studies analyzed data from other or multiple races/ethnicities</w:t>
      </w:r>
      <w:r>
        <w:rPr>
          <w:rFonts w:asciiTheme="minorHAnsi" w:hAnsiTheme="minorHAnsi" w:cstheme="minorHAnsi"/>
          <w:i/>
          <w:color w:val="000000" w:themeColor="text1"/>
          <w:sz w:val="22"/>
          <w:szCs w:val="22"/>
        </w:rPr>
        <w:t xml:space="preserve"> </w:t>
      </w:r>
      <w:r>
        <w:rPr>
          <w:rFonts w:asciiTheme="minorHAnsi" w:hAnsiTheme="minorHAnsi" w:cstheme="minorHAnsi"/>
          <w:i/>
          <w:color w:val="000000" w:themeColor="text1"/>
          <w:sz w:val="22"/>
          <w:szCs w:val="22"/>
        </w:rPr>
        <w:fldChar w:fldCharType="begin">
          <w:fldData xml:space="preserve">PEVuZE5vdGU+PENpdGU+PEF1dGhvcj5HdW5kZXJzZW48L0F1dGhvcj48WWVhcj4yMDA5PC9ZZWFy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cmF0ZWd5OjwvY3VzdG9tMT48ZWxlY3Ryb25pYy1yZXNvdXJjZS1udW0+aHR0cHM6Ly9keC5kb2ku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</w:fldData>
        </w:fldChar>
      </w:r>
      <w:r>
        <w:rPr>
          <w:rFonts w:asciiTheme="minorHAnsi" w:hAnsiTheme="minorHAnsi" w:cstheme="minorHAnsi"/>
          <w:i/>
          <w:color w:val="000000" w:themeColor="text1"/>
          <w:sz w:val="22"/>
          <w:szCs w:val="22"/>
        </w:rPr>
        <w:instrText xml:space="preserve"> ADDIN EN.CITE </w:instrText>
      </w:r>
      <w:r>
        <w:rPr>
          <w:rFonts w:asciiTheme="minorHAnsi" w:hAnsiTheme="minorHAnsi" w:cstheme="minorHAnsi"/>
          <w:i/>
          <w:color w:val="000000" w:themeColor="text1"/>
          <w:sz w:val="22"/>
          <w:szCs w:val="22"/>
        </w:rPr>
        <w:fldChar w:fldCharType="begin">
          <w:fldData xml:space="preserve">PEVuZE5vdGU+PENpdGU+PEF1dGhvcj5HdW5kZXJzZW48L0F1dGhvcj48WWVhcj4yMDA5PC9ZZWFy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cmF0ZWd5OjwvY3VzdG9tMT48ZWxlY3Ryb25pYy1yZXNvdXJjZS1udW0+aHR0cHM6Ly9keC5kb2ku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</w:fldData>
        </w:fldChar>
      </w:r>
      <w:r>
        <w:rPr>
          <w:rFonts w:asciiTheme="minorHAnsi" w:hAnsiTheme="minorHAnsi" w:cstheme="minorHAnsi"/>
          <w:i/>
          <w:color w:val="000000" w:themeColor="text1"/>
          <w:sz w:val="22"/>
          <w:szCs w:val="22"/>
        </w:rPr>
        <w:instrText xml:space="preserve"> ADDIN EN.CITE.DATA </w:instrText>
      </w:r>
      <w:r>
        <w:rPr>
          <w:rFonts w:asciiTheme="minorHAnsi" w:hAnsiTheme="minorHAnsi" w:cstheme="minorHAnsi"/>
          <w:i/>
          <w:color w:val="000000" w:themeColor="text1"/>
          <w:sz w:val="22"/>
          <w:szCs w:val="22"/>
        </w:rPr>
      </w:r>
      <w:r>
        <w:rPr>
          <w:rFonts w:asciiTheme="minorHAnsi" w:hAnsiTheme="minorHAnsi" w:cstheme="minorHAnsi"/>
          <w:i/>
          <w:color w:val="000000" w:themeColor="text1"/>
          <w:sz w:val="22"/>
          <w:szCs w:val="22"/>
        </w:rPr>
        <w:fldChar w:fldCharType="end"/>
      </w:r>
      <w:r>
        <w:rPr>
          <w:rFonts w:asciiTheme="minorHAnsi" w:hAnsiTheme="minorHAnsi" w:cstheme="minorHAnsi"/>
          <w:i/>
          <w:color w:val="000000" w:themeColor="text1"/>
          <w:sz w:val="22"/>
          <w:szCs w:val="22"/>
        </w:rPr>
        <w:fldChar w:fldCharType="separate"/>
      </w:r>
      <w:r>
        <w:rPr>
          <w:rFonts w:asciiTheme="minorHAnsi" w:hAnsiTheme="minorHAnsi" w:cstheme="minorHAnsi"/>
          <w:i/>
          <w:noProof/>
          <w:color w:val="000000" w:themeColor="text1"/>
          <w:sz w:val="22"/>
          <w:szCs w:val="22"/>
        </w:rPr>
        <w:t>(</w:t>
      </w:r>
      <w:hyperlink w:anchor="_ENREF_29" w:tooltip="Keeler, 2017 #660" w:history="1">
        <w:r>
          <w:rPr>
            <w:rFonts w:asciiTheme="minorHAnsi" w:hAnsiTheme="minorHAnsi" w:cstheme="minorHAnsi"/>
            <w:i/>
            <w:noProof/>
            <w:color w:val="000000" w:themeColor="text1"/>
            <w:sz w:val="22"/>
            <w:szCs w:val="22"/>
          </w:rPr>
          <w:t>29</w:t>
        </w:r>
      </w:hyperlink>
      <w:r>
        <w:rPr>
          <w:rFonts w:asciiTheme="minorHAnsi" w:hAnsiTheme="minorHAnsi" w:cstheme="minorHAnsi"/>
          <w:i/>
          <w:noProof/>
          <w:color w:val="000000" w:themeColor="text1"/>
          <w:sz w:val="22"/>
          <w:szCs w:val="22"/>
        </w:rPr>
        <w:t xml:space="preserve">, </w:t>
      </w:r>
      <w:hyperlink w:anchor="_ENREF_52" w:tooltip="Trinidad, 2010 #58" w:history="1">
        <w:r>
          <w:rPr>
            <w:rFonts w:asciiTheme="minorHAnsi" w:hAnsiTheme="minorHAnsi" w:cstheme="minorHAnsi"/>
            <w:i/>
            <w:noProof/>
            <w:color w:val="000000" w:themeColor="text1"/>
            <w:sz w:val="22"/>
            <w:szCs w:val="22"/>
          </w:rPr>
          <w:t>52</w:t>
        </w:r>
      </w:hyperlink>
      <w:r>
        <w:rPr>
          <w:rFonts w:asciiTheme="minorHAnsi" w:hAnsiTheme="minorHAnsi" w:cstheme="minorHAnsi"/>
          <w:i/>
          <w:noProof/>
          <w:color w:val="000000" w:themeColor="text1"/>
          <w:sz w:val="22"/>
          <w:szCs w:val="22"/>
        </w:rPr>
        <w:t xml:space="preserve">, </w:t>
      </w:r>
      <w:hyperlink w:anchor="_ENREF_54" w:tooltip="Sulsky, 2014 #15" w:history="1">
        <w:r>
          <w:rPr>
            <w:rFonts w:asciiTheme="minorHAnsi" w:hAnsiTheme="minorHAnsi" w:cstheme="minorHAnsi"/>
            <w:i/>
            <w:noProof/>
            <w:color w:val="000000" w:themeColor="text1"/>
            <w:sz w:val="22"/>
            <w:szCs w:val="22"/>
          </w:rPr>
          <w:t>54</w:t>
        </w:r>
      </w:hyperlink>
      <w:r>
        <w:rPr>
          <w:rFonts w:asciiTheme="minorHAnsi" w:hAnsiTheme="minorHAnsi" w:cstheme="minorHAnsi"/>
          <w:i/>
          <w:noProof/>
          <w:color w:val="000000" w:themeColor="text1"/>
          <w:sz w:val="22"/>
          <w:szCs w:val="22"/>
        </w:rPr>
        <w:t xml:space="preserve">, </w:t>
      </w:r>
      <w:hyperlink w:anchor="_ENREF_59" w:tooltip="Gundersen, 2009 #65" w:history="1">
        <w:r>
          <w:rPr>
            <w:rFonts w:asciiTheme="minorHAnsi" w:hAnsiTheme="minorHAnsi" w:cstheme="minorHAnsi"/>
            <w:i/>
            <w:noProof/>
            <w:color w:val="000000" w:themeColor="text1"/>
            <w:sz w:val="22"/>
            <w:szCs w:val="22"/>
          </w:rPr>
          <w:t>59</w:t>
        </w:r>
      </w:hyperlink>
      <w:r>
        <w:rPr>
          <w:rFonts w:asciiTheme="minorHAnsi" w:hAnsiTheme="minorHAnsi" w:cstheme="minorHAnsi"/>
          <w:i/>
          <w:noProof/>
          <w:color w:val="000000" w:themeColor="text1"/>
          <w:sz w:val="22"/>
          <w:szCs w:val="22"/>
        </w:rPr>
        <w:t>)</w:t>
      </w:r>
      <w:r>
        <w:rPr>
          <w:rFonts w:asciiTheme="minorHAnsi" w:hAnsiTheme="minorHAnsi" w:cstheme="minorHAnsi"/>
          <w:i/>
          <w:color w:val="000000" w:themeColor="text1"/>
          <w:sz w:val="22"/>
          <w:szCs w:val="22"/>
        </w:rPr>
        <w:fldChar w:fldCharType="end"/>
      </w:r>
      <w:r w:rsidRPr="00DE2832">
        <w:rPr>
          <w:rFonts w:asciiTheme="minorHAnsi" w:hAnsiTheme="minorHAnsi" w:cstheme="minorHAnsi"/>
          <w:i/>
          <w:color w:val="000000" w:themeColor="text1"/>
          <w:sz w:val="22"/>
          <w:szCs w:val="22"/>
        </w:rPr>
        <w:t>, again with mixed results.</w:t>
      </w:r>
    </w:p>
    <w:p w14:paraId="38AC4304"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Two studies found no significant difference between menthol and non-menthol smokers across varying categories of other or multiple races/ethnicities, in terms of:</w:t>
      </w:r>
      <w:r>
        <w:rPr>
          <w:rFonts w:asciiTheme="minorHAnsi" w:hAnsiTheme="minorHAnsi" w:cstheme="minorHAnsi"/>
          <w:i/>
          <w:color w:val="000000" w:themeColor="text1"/>
          <w:sz w:val="22"/>
          <w:szCs w:val="22"/>
        </w:rPr>
        <w:t xml:space="preserve"> </w:t>
      </w:r>
      <w:r w:rsidRPr="00DE2832">
        <w:rPr>
          <w:rFonts w:asciiTheme="minorHAnsi" w:hAnsiTheme="minorHAnsi" w:cstheme="minorHAnsi"/>
          <w:i/>
          <w:color w:val="000000" w:themeColor="text1"/>
          <w:sz w:val="22"/>
          <w:szCs w:val="22"/>
        </w:rPr>
        <w:t>past-year quit attempts among Asian smokers;</w:t>
      </w:r>
      <w:r>
        <w:rPr>
          <w:rFonts w:asciiTheme="minorHAnsi" w:hAnsiTheme="minorHAnsi" w:cstheme="minorHAnsi"/>
          <w:i/>
          <w:color w:val="000000" w:themeColor="text1"/>
          <w:sz w:val="22"/>
          <w:szCs w:val="22"/>
        </w:rPr>
        <w:t xml:space="preserve"> </w:t>
      </w:r>
      <w:r w:rsidRPr="00DE2832">
        <w:rPr>
          <w:rFonts w:asciiTheme="minorHAnsi" w:hAnsiTheme="minorHAnsi" w:cstheme="minorHAnsi"/>
          <w:i/>
          <w:color w:val="000000" w:themeColor="text1"/>
          <w:sz w:val="22"/>
          <w:szCs w:val="22"/>
        </w:rPr>
        <w:t>1- to 3-year smoking abstinence among races/ethnicities other than White, Black or Hispanic; and abstinence of 3 months or longer among Asian smokers.</w:t>
      </w:r>
    </w:p>
    <w:p w14:paraId="4393BD08"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 xml:space="preserve">Two studies found significant associations between cessation-related outcomes and menthol cigarette use among other or multiple races/ethnicities: one study found that menthol use was associated with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lower odds of being a former smoker among non-White participants; a second study evaluating Asian-American/Pacific Islander former smokers found that menthol smokers </w:t>
      </w:r>
      <w:r>
        <w:rPr>
          <w:rFonts w:asciiTheme="minorHAnsi" w:hAnsiTheme="minorHAnsi" w:cstheme="minorHAnsi"/>
          <w:i/>
          <w:color w:val="000000" w:themeColor="text1"/>
          <w:sz w:val="22"/>
          <w:szCs w:val="22"/>
        </w:rPr>
        <w:t>were</w:t>
      </w:r>
      <w:r w:rsidRPr="00DE2832">
        <w:rPr>
          <w:rFonts w:asciiTheme="minorHAnsi" w:hAnsiTheme="minorHAnsi" w:cstheme="minorHAnsi"/>
          <w:i/>
          <w:color w:val="000000" w:themeColor="text1"/>
          <w:sz w:val="22"/>
          <w:szCs w:val="22"/>
        </w:rPr>
        <w:t xml:space="preserve">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less likely to have to have been abstinent for more than six months than non-menthol smokers. </w:t>
      </w:r>
    </w:p>
    <w:p w14:paraId="15C7A7D0"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Sulsky et al. </w:t>
      </w:r>
      <w:r w:rsidRPr="00DE2832">
        <w:rPr>
          <w:rFonts w:asciiTheme="minorHAnsi" w:hAnsiTheme="minorHAnsi" w:cstheme="minorHAnsi"/>
          <w:color w:val="000000" w:themeColor="text1"/>
          <w:sz w:val="22"/>
          <w:szCs w:val="22"/>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4" w:tooltip="Sulsky, 2014 #15" w:history="1">
        <w:r>
          <w:rPr>
            <w:rFonts w:asciiTheme="minorHAnsi" w:hAnsiTheme="minorHAnsi" w:cstheme="minorHAnsi"/>
            <w:noProof/>
            <w:color w:val="000000" w:themeColor="text1"/>
            <w:sz w:val="22"/>
            <w:szCs w:val="22"/>
          </w:rPr>
          <w:t>54</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completed a comprehensive cross-sectional analysis, examining and reporting various measures of cessation across data sources and populations. The results presented here compare current regular smokers (smoked at least 100 lifetime cigarettes, and at least 10 days in the past month) with “short-term former” smokers (smoked at least 100 lifetime cigarettes, and having abstained for 1 to 3 years), in a model adjusting for menthol cigarette use, smoking initiation age, gender, cigarettes, and current age. Among participants reporting a race/ethnicity other than non-Hispanic White, non-Hispanic Black, or Hispanic in the 2010/2011 TUS-CPS</w:t>
      </w:r>
      <w:r w:rsidRPr="00DE2832" w:rsidDel="00EF4483">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menthol smokers were no different in their odds of having been abstinent for one to three years (OR=0.99, 95% CI: 0.91</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1.08); when regular smokers were replaced with daily smokers (smoked at least 100 lifetime cigarettes, and every day in the past month), the outcome remained non-significant (OR=1.00, 95% CI: 0.92</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1.09).</w:t>
      </w:r>
    </w:p>
    <w:p w14:paraId="277D8A1D"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Trinidad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2" w:tooltip="Trinidad, 2010 #58" w:history="1">
        <w:r>
          <w:rPr>
            <w:rFonts w:asciiTheme="minorHAnsi" w:hAnsiTheme="minorHAnsi" w:cstheme="minorHAnsi"/>
            <w:noProof/>
            <w:color w:val="000000" w:themeColor="text1"/>
            <w:sz w:val="22"/>
            <w:szCs w:val="22"/>
          </w:rPr>
          <w:t>52</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used data from both the 2003 and 2006-2007 TUS-CPS to analyze duration of abstinence for former smokers age 20 to 65. They performed logistic regressions by race/ethnicity, adjusting for age, education, gender, and current use of other tobacco products. Among Asian-American/Pacific Islander former smokers, menthol was associated with </w:t>
      </w:r>
      <w:r>
        <w:rPr>
          <w:rFonts w:asciiTheme="minorHAnsi" w:hAnsiTheme="minorHAnsi" w:cstheme="minorHAnsi"/>
          <w:color w:val="000000" w:themeColor="text1"/>
          <w:sz w:val="22"/>
          <w:szCs w:val="22"/>
        </w:rPr>
        <w:t>statistically significant</w:t>
      </w:r>
      <w:r w:rsidRPr="00DE2832">
        <w:rPr>
          <w:rFonts w:asciiTheme="minorHAnsi" w:hAnsiTheme="minorHAnsi" w:cstheme="minorHAnsi"/>
          <w:color w:val="000000" w:themeColor="text1"/>
          <w:sz w:val="22"/>
          <w:szCs w:val="22"/>
        </w:rPr>
        <w:t xml:space="preserve"> lower odds of being abstinent for more than six months: menthol smokers’ odds were 78 percent lower than non-menthol smokers’ odds (OR=0.22, 95% CI: 0.11</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0.45).</w:t>
      </w:r>
    </w:p>
    <w:p w14:paraId="1628532E"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In their subgroup analyses of Asian smokers, Keeler et al.</w:t>
      </w:r>
      <w:r>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9" w:tooltip="Keeler, 2017 #660" w:history="1">
        <w:r>
          <w:rPr>
            <w:rFonts w:asciiTheme="minorHAnsi" w:hAnsiTheme="minorHAnsi" w:cstheme="minorHAnsi"/>
            <w:noProof/>
            <w:color w:val="000000" w:themeColor="text1"/>
            <w:sz w:val="22"/>
            <w:szCs w:val="22"/>
          </w:rPr>
          <w:t>29</w:t>
        </w:r>
      </w:hyperlink>
      <w:r>
        <w:rPr>
          <w:rFonts w:asciiTheme="minorHAnsi" w:hAnsiTheme="minorHAnsi" w:cstheme="minorHAnsi"/>
          <w:noProof/>
          <w:color w:val="000000" w:themeColor="text1"/>
          <w:sz w:val="22"/>
          <w:szCs w:val="22"/>
        </w:rPr>
        <w:t>)</w:t>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found no difference in odds of abstinence (≥3 months) between Asian menthol and non-menthol smokers (OR=0.98, 95% CI: 0.44–2.19; p=0.9540); similarly, they found no difference in odds of past-year quit attempts between Asian menthol and non-menthol smokers (OR=0.91, 95% CI: 0.62–1.34; p=0.6470).</w:t>
      </w:r>
    </w:p>
    <w:p w14:paraId="240BBA9E"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In 2009, Gundersen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9" w:tooltip="Gundersen, 2009 #65" w:history="1">
        <w:r>
          <w:rPr>
            <w:rFonts w:asciiTheme="minorHAnsi" w:hAnsiTheme="minorHAnsi" w:cstheme="minorHAnsi"/>
            <w:noProof/>
            <w:color w:val="000000" w:themeColor="text1"/>
            <w:sz w:val="22"/>
            <w:szCs w:val="22"/>
          </w:rPr>
          <w:t>59</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published results from their analyses of data from the 2005 NHIS. They included former smokers at least 18 years of age who had ever attempted to quit smoking and who did not currently use other tobacco products. Their logistic regression models adjusted for age, education, gender, CPD, region, perceived risk of cancer, stratified by race/ethnicity; they created a non-White category that included Black and Hispanic smokers. Non-White menthol smokers were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less likely to be former smokers, compared with non-White non-menthol smokers; menthol smokers had 45 percent lower odds compared with non-menthol smokers (OR=0.55, 95% CI: 0.43</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0.71; p&lt;0.01).</w:t>
      </w:r>
      <w:r>
        <w:rPr>
          <w:rFonts w:asciiTheme="minorHAnsi" w:hAnsiTheme="minorHAnsi" w:cstheme="minorHAnsi"/>
          <w:color w:val="000000" w:themeColor="text1"/>
          <w:sz w:val="22"/>
          <w:szCs w:val="22"/>
        </w:rPr>
        <w:t xml:space="preserve"> </w:t>
      </w:r>
    </w:p>
    <w:p w14:paraId="71030DFF" w14:textId="77777777" w:rsidR="007F0AE0" w:rsidRPr="00DE2832" w:rsidRDefault="007F0AE0" w:rsidP="007F0AE0">
      <w:pPr>
        <w:spacing w:after="120" w:line="240" w:lineRule="auto"/>
        <w:jc w:val="both"/>
        <w:outlineLvl w:val="1"/>
        <w:rPr>
          <w:rFonts w:cstheme="minorHAnsi"/>
          <w:color w:val="000000" w:themeColor="text1"/>
          <w:u w:val="single"/>
        </w:rPr>
      </w:pPr>
      <w:r w:rsidRPr="00DE2832">
        <w:rPr>
          <w:rFonts w:cstheme="minorHAnsi"/>
          <w:i/>
          <w:color w:val="000000" w:themeColor="text1"/>
          <w:u w:val="single"/>
        </w:rPr>
        <w:t>Adjusted Results: Cessation Measures by Age</w:t>
      </w:r>
    </w:p>
    <w:p w14:paraId="1D3CDE3C"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Youth</w:t>
      </w:r>
    </w:p>
    <w:p w14:paraId="43265B2B"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Only one study reported adjusted results from youth smokers</w:t>
      </w:r>
      <w:r>
        <w:rPr>
          <w:rFonts w:asciiTheme="minorHAnsi" w:hAnsiTheme="minorHAnsi" w:cstheme="minorHAnsi"/>
          <w:i/>
          <w:color w:val="000000" w:themeColor="text1"/>
          <w:sz w:val="22"/>
          <w:szCs w:val="22"/>
        </w:rPr>
        <w:t xml:space="preserve"> </w:t>
      </w:r>
      <w:r>
        <w:rPr>
          <w:rFonts w:asciiTheme="minorHAnsi" w:hAnsiTheme="minorHAnsi" w:cstheme="minorHAnsi"/>
          <w:i/>
          <w:color w:val="000000" w:themeColor="text1"/>
          <w:sz w:val="22"/>
          <w:szCs w:val="22"/>
        </w:rPr>
        <w:fldChar w:fldCharType="begin"/>
      </w:r>
      <w:r>
        <w:rPr>
          <w:rFonts w:asciiTheme="minorHAnsi" w:hAnsiTheme="minorHAnsi" w:cstheme="minorHAnsi"/>
          <w:i/>
          <w:color w:val="000000" w:themeColor="text1"/>
          <w:sz w:val="22"/>
          <w:szCs w:val="22"/>
        </w:rPr>
        <w:instrText xml:space="preserve"> ADDIN EN.CITE &lt;EndNote&gt;&lt;Cite&gt;&lt;Author&gt;Nonnemaker&lt;/Author&gt;&lt;Year&gt;2012&lt;/Year&gt;&lt;RecNum&gt;31&lt;/RecNum&gt;&lt;DisplayText&gt;(61)&lt;/DisplayText&gt;&lt;record&gt;&lt;rec-number&gt;31&lt;/rec-number&gt;&lt;foreign-keys&gt;&lt;key app="EN" db-id="a2vz2dfp8xrad6exes75zwpiw5rxwa0vwapv" timestamp="0"&gt;31&lt;/key&gt;&lt;/foreign-keys&gt;&lt;ref-type name="Journal Article"&gt;17&lt;/ref-type&gt;&lt;contributors&gt;&lt;authors&gt;&lt;author&gt;Nonnemaker, J.&lt;/author&gt;&lt;author&gt;Hersey, J.&lt;/author&gt;&lt;author&gt;Homsi, G.&lt;/author&gt;&lt;author&gt;Busey, A.&lt;/author&gt;&lt;author&gt;Allen, J.&lt;/author&gt;&lt;author&gt;Vallone, D.&lt;/author&gt;&lt;/authors&gt;&lt;/contributors&gt;&lt;auth-address&gt;RTI International, Research Triangle Park, NC 27709-2194, USA. jnonnemaker@rti.org&lt;/auth-address&gt;&lt;titles&gt;&lt;title&gt;Initiation with menthol cigarettes and youth smoking uptake&lt;/title&gt;&lt;secondary-title&gt;Addiction&lt;/secondary-title&gt;&lt;/titles&gt;&lt;periodical&gt;&lt;full-title&gt;Addiction&lt;/full-title&gt;&lt;/periodical&gt;&lt;pages&gt;171-8&lt;/pages&gt;&lt;volume&gt;108&lt;/volume&gt;&lt;number&gt;1&lt;/number&gt;&lt;keywords&gt;&lt;keyword&gt;Adolescent&lt;/keyword&gt;&lt;keyword&gt;Age Distribution&lt;/keyword&gt;&lt;keyword&gt;Child&lt;/keyword&gt;&lt;keyword&gt;Female&lt;/keyword&gt;&lt;keyword&gt;Flavoring Agents/*adverse effects&lt;/keyword&gt;&lt;keyword&gt;Humans&lt;/keyword&gt;&lt;keyword&gt;Longitudinal Studies&lt;/keyword&gt;&lt;keyword&gt;Male&lt;/keyword&gt;&lt;keyword&gt;Menthol/*adverse effects&lt;/keyword&gt;&lt;keyword&gt;Risk Factors&lt;/keyword&gt;&lt;keyword&gt;Sex Distribution&lt;/keyword&gt;&lt;keyword&gt;Smoking/*adverse effects&lt;/keyword&gt;&lt;keyword&gt;Smoking Cessation/psychology/statistics &amp;amp; numerical data&lt;/keyword&gt;&lt;keyword&gt;Tobacco Products/*adverse effects&lt;/keyword&gt;&lt;keyword&gt;Tobacco Use Disorder/*etiology&lt;/keyword&gt;&lt;keyword&gt;United States&lt;/keyword&gt;&lt;/keywords&gt;&lt;dates&gt;&lt;year&gt;2012&lt;/year&gt;&lt;pub-dates&gt;&lt;date&gt;Jan&lt;/date&gt;&lt;/pub-dates&gt;&lt;/dates&gt;&lt;isbn&gt;1360-0443 (Electronic)&amp;#xD;0965-2140 (Linking)&lt;/isbn&gt;&lt;accession-num&gt;22862154&lt;/accession-num&gt;&lt;urls&gt;&lt;related-urls&gt;&lt;url&gt;http://www.ncbi.nlm.nih.gov/pubmed/22862154&lt;/url&gt;&lt;/related-urls&gt;&lt;/urls&gt;&lt;electronic-resource-num&gt;10.1111/j.1360-0443.2012.04045.x&lt;/electronic-resource-num&gt;&lt;research-notes&gt;#160&lt;/research-notes&gt;&lt;/record&gt;&lt;/Cite&gt;&lt;/EndNote&gt;</w:instrText>
      </w:r>
      <w:r>
        <w:rPr>
          <w:rFonts w:asciiTheme="minorHAnsi" w:hAnsiTheme="minorHAnsi" w:cstheme="minorHAnsi"/>
          <w:i/>
          <w:color w:val="000000" w:themeColor="text1"/>
          <w:sz w:val="22"/>
          <w:szCs w:val="22"/>
        </w:rPr>
        <w:fldChar w:fldCharType="separate"/>
      </w:r>
      <w:r>
        <w:rPr>
          <w:rFonts w:asciiTheme="minorHAnsi" w:hAnsiTheme="minorHAnsi" w:cstheme="minorHAnsi"/>
          <w:i/>
          <w:noProof/>
          <w:color w:val="000000" w:themeColor="text1"/>
          <w:sz w:val="22"/>
          <w:szCs w:val="22"/>
        </w:rPr>
        <w:t>(</w:t>
      </w:r>
      <w:hyperlink w:anchor="_ENREF_61" w:tooltip="Nonnemaker, 2012 #31" w:history="1">
        <w:r>
          <w:rPr>
            <w:rFonts w:asciiTheme="minorHAnsi" w:hAnsiTheme="minorHAnsi" w:cstheme="minorHAnsi"/>
            <w:i/>
            <w:noProof/>
            <w:color w:val="000000" w:themeColor="text1"/>
            <w:sz w:val="22"/>
            <w:szCs w:val="22"/>
          </w:rPr>
          <w:t>61</w:t>
        </w:r>
      </w:hyperlink>
      <w:r>
        <w:rPr>
          <w:rFonts w:asciiTheme="minorHAnsi" w:hAnsiTheme="minorHAnsi" w:cstheme="minorHAnsi"/>
          <w:i/>
          <w:noProof/>
          <w:color w:val="000000" w:themeColor="text1"/>
          <w:sz w:val="22"/>
          <w:szCs w:val="22"/>
        </w:rPr>
        <w:t>)</w:t>
      </w:r>
      <w:r>
        <w:rPr>
          <w:rFonts w:asciiTheme="minorHAnsi" w:hAnsiTheme="minorHAnsi" w:cstheme="minorHAnsi"/>
          <w:i/>
          <w:color w:val="000000" w:themeColor="text1"/>
          <w:sz w:val="22"/>
          <w:szCs w:val="22"/>
        </w:rPr>
        <w:fldChar w:fldCharType="end"/>
      </w:r>
      <w:r w:rsidRPr="00DE2832">
        <w:rPr>
          <w:rFonts w:asciiTheme="minorHAnsi" w:hAnsiTheme="minorHAnsi" w:cstheme="minorHAnsi"/>
          <w:i/>
          <w:color w:val="000000" w:themeColor="text1"/>
          <w:sz w:val="22"/>
          <w:szCs w:val="22"/>
        </w:rPr>
        <w:t xml:space="preserve">. Initiation to menthol cigarettes was not </w:t>
      </w:r>
      <w:r>
        <w:rPr>
          <w:rFonts w:asciiTheme="minorHAnsi" w:hAnsiTheme="minorHAnsi" w:cstheme="minorHAnsi"/>
          <w:i/>
          <w:color w:val="000000" w:themeColor="text1"/>
          <w:sz w:val="22"/>
          <w:szCs w:val="22"/>
        </w:rPr>
        <w:t>statistically significantly</w:t>
      </w:r>
      <w:r w:rsidRPr="00DE2832">
        <w:rPr>
          <w:rFonts w:asciiTheme="minorHAnsi" w:hAnsiTheme="minorHAnsi" w:cstheme="minorHAnsi"/>
          <w:i/>
          <w:color w:val="000000" w:themeColor="text1"/>
          <w:sz w:val="22"/>
          <w:szCs w:val="22"/>
        </w:rPr>
        <w:t xml:space="preserve"> associated with transition to non-smoking, compared with initiation to non-menthol cigarettes.</w:t>
      </w:r>
    </w:p>
    <w:p w14:paraId="31846361"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lastRenderedPageBreak/>
        <w:t xml:space="preserve">Nonnemaker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&lt;EndNote&gt;&lt;Cite&gt;&lt;RecNum&gt;31&lt;/RecNum&gt;&lt;DisplayText&gt;(61)&lt;/DisplayText&gt;&lt;record&gt;&lt;rec-number&gt;31&lt;/rec-number&gt;&lt;foreign-keys&gt;&lt;key app="EN" db-id="a2vz2dfp8xrad6exes75zwpiw5rxwa0vwapv" timestamp="0"&gt;31&lt;/key&gt;&lt;/foreign-keys&gt;&lt;ref-type name="Journal Article"&gt;17&lt;/ref-type&gt;&lt;contributors&gt;&lt;authors&gt;&lt;author&gt;Nonnemaker, J.&lt;/author&gt;&lt;author&gt;Hersey, J.&lt;/author&gt;&lt;author&gt;Homsi, G.&lt;/author&gt;&lt;author&gt;Busey, A.&lt;/author&gt;&lt;author&gt;Allen, J.&lt;/author&gt;&lt;author&gt;Vallone, D.&lt;/author&gt;&lt;/authors&gt;&lt;/contributors&gt;&lt;auth-address&gt;RTI International, Research Triangle Park, NC 27709-2194, USA. jnonnemaker@rti.org&lt;/auth-address&gt;&lt;titles&gt;&lt;title&gt;Initiation with menthol cigarettes and youth smoking uptake&lt;/title&gt;&lt;secondary-title&gt;Addiction&lt;/secondary-title&gt;&lt;/titles&gt;&lt;periodical&gt;&lt;full-title&gt;Addiction&lt;/full-title&gt;&lt;/periodical&gt;&lt;pages&gt;171-8&lt;/pages&gt;&lt;volume&gt;108&lt;/volume&gt;&lt;number&gt;1&lt;/number&gt;&lt;keywords&gt;&lt;keyword&gt;Adolescent&lt;/keyword&gt;&lt;keyword&gt;Age Distribution&lt;/keyword&gt;&lt;keyword&gt;Child&lt;/keyword&gt;&lt;keyword&gt;Female&lt;/keyword&gt;&lt;keyword&gt;Flavoring Agents/*adverse effects&lt;/keyword&gt;&lt;keyword&gt;Humans&lt;/keyword&gt;&lt;keyword&gt;Longitudinal Studies&lt;/keyword&gt;&lt;keyword&gt;Male&lt;/keyword&gt;&lt;keyword&gt;Menthol/*adverse effects&lt;/keyword&gt;&lt;keyword&gt;Risk Factors&lt;/keyword&gt;&lt;keyword&gt;Sex Distribution&lt;/keyword&gt;&lt;keyword&gt;Smoking/*adverse effects&lt;/keyword&gt;&lt;keyword&gt;Smoking Cessation/psychology/statistics &amp;amp; numerical data&lt;/keyword&gt;&lt;keyword&gt;Tobacco Products/*adverse effects&lt;/keyword&gt;&lt;keyword&gt;Tobacco Use Disorder/*etiology&lt;/keyword&gt;&lt;keyword&gt;United States&lt;/keyword&gt;&lt;/keywords&gt;&lt;dates&gt;&lt;year&gt;2012&lt;/year&gt;&lt;pub-dates&gt;&lt;date&gt;Jan&lt;/date&gt;&lt;/pub-dates&gt;&lt;/dates&gt;&lt;isbn&gt;1360-0443 (Electronic)&amp;#xD;0965-2140 (Linking)&lt;/isbn&gt;&lt;accession-num&gt;22862154&lt;/accession-num&gt;&lt;urls&gt;&lt;related-urls&gt;&lt;url&gt;http://www.ncbi.nlm.nih.gov/pubmed/22862154&lt;/url&gt;&lt;/related-urls&gt;&lt;/urls&gt;&lt;electronic-resource-num&gt;10.1111/j.1360-0443.2012.04045.x&lt;/electronic-resource-num&gt;&lt;research-notes&gt;#160&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61" w:tooltip="Nonnemaker, 2012 #31" w:history="1">
        <w:r>
          <w:rPr>
            <w:rFonts w:asciiTheme="minorHAnsi" w:hAnsiTheme="minorHAnsi" w:cstheme="minorHAnsi"/>
            <w:noProof/>
            <w:color w:val="000000" w:themeColor="text1"/>
            <w:sz w:val="22"/>
            <w:szCs w:val="22"/>
          </w:rPr>
          <w:t>61</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youth participating in the American Legacy Longitudinal Tobacco Use Reduction Study (ALLTURS)—a three-year school-based survey of middle school and high school students age 12 to 17 at baseline. Data were collected in 83 schools in seven communities and five states. Analyses were restricted to participants who initiated smoking after baseline and before wave (year) three and completed all three waves of the study. This was the only KQ2 study that examined patterns of smoking over time, using a competing risk discrete-time survival model adjusted for age, gender, and race/ethnicity with cessation defined as the transition from current non-established smoking (defined as </w:t>
      </w:r>
      <w:r w:rsidRPr="00DE2832">
        <w:rPr>
          <w:rFonts w:asciiTheme="minorHAnsi" w:hAnsiTheme="minorHAnsi" w:cstheme="minorHAnsi"/>
          <w:color w:val="000000" w:themeColor="text1"/>
          <w:sz w:val="22"/>
          <w:szCs w:val="22"/>
          <w:shd w:val="clear" w:color="auto" w:fill="FFFFFF"/>
        </w:rPr>
        <w:t>smoking on at least one but fewer than 20 of the past 30 days) to non-smoking (in the past 30 days).</w:t>
      </w:r>
      <w:r w:rsidRPr="00DE2832">
        <w:rPr>
          <w:rFonts w:asciiTheme="minorHAnsi" w:hAnsiTheme="minorHAnsi" w:cstheme="minorHAnsi"/>
          <w:color w:val="000000" w:themeColor="text1"/>
          <w:sz w:val="22"/>
          <w:szCs w:val="22"/>
        </w:rPr>
        <w:t xml:space="preserve"> Initiation to menthol cigarettes was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associated with transition to non-smoking, compared with initiation to non-menthol cigarettes (OR=1.18, 95% CI: 0.78</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1.80).</w:t>
      </w:r>
    </w:p>
    <w:p w14:paraId="3EE54326"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Young Adults</w:t>
      </w:r>
    </w:p>
    <w:p w14:paraId="7C4DEA82"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Three studies reported adjusted results in young adults (</w:t>
      </w:r>
      <w:hyperlink w:anchor="_ENREF_75" w:tooltip="Rath, 2015 #3" w:history="1">
        <w:r w:rsidRPr="00DE2832">
          <w:rPr>
            <w:rFonts w:asciiTheme="minorHAnsi" w:hAnsiTheme="minorHAnsi" w:cstheme="minorHAnsi"/>
            <w:i/>
            <w:noProof/>
            <w:color w:val="000000" w:themeColor="text1"/>
            <w:sz w:val="22"/>
            <w:szCs w:val="22"/>
          </w:rPr>
          <w:t>Rath et al., 2015</w:t>
        </w:r>
      </w:hyperlink>
      <w:r w:rsidRPr="00DE2832">
        <w:rPr>
          <w:rFonts w:asciiTheme="minorHAnsi" w:hAnsiTheme="minorHAnsi" w:cstheme="minorHAnsi"/>
          <w:i/>
          <w:noProof/>
          <w:color w:val="000000" w:themeColor="text1"/>
          <w:sz w:val="22"/>
          <w:szCs w:val="22"/>
        </w:rPr>
        <w:t xml:space="preserve">; </w:t>
      </w:r>
      <w:hyperlink w:anchor="_ENREF_23" w:tooltip="Fagan, 2007 #94" w:history="1">
        <w:r w:rsidRPr="00DE2832">
          <w:rPr>
            <w:rFonts w:asciiTheme="minorHAnsi" w:hAnsiTheme="minorHAnsi" w:cstheme="minorHAnsi"/>
            <w:i/>
            <w:noProof/>
            <w:color w:val="000000" w:themeColor="text1"/>
            <w:sz w:val="22"/>
            <w:szCs w:val="22"/>
          </w:rPr>
          <w:t>Fagan et al., 2007</w:t>
        </w:r>
      </w:hyperlink>
      <w:r w:rsidRPr="00DE2832">
        <w:rPr>
          <w:rFonts w:asciiTheme="minorHAnsi" w:hAnsiTheme="minorHAnsi" w:cstheme="minorHAnsi"/>
          <w:i/>
          <w:color w:val="000000" w:themeColor="text1"/>
          <w:sz w:val="22"/>
          <w:szCs w:val="22"/>
        </w:rPr>
        <w:t xml:space="preserve">; </w:t>
      </w:r>
      <w:hyperlink w:anchor="_ENREF_73" w:tooltip="Pletcher, 2006 #78" w:history="1">
        <w:r w:rsidRPr="00DE2832">
          <w:rPr>
            <w:rFonts w:asciiTheme="minorHAnsi" w:hAnsiTheme="minorHAnsi" w:cstheme="minorHAnsi"/>
            <w:i/>
            <w:noProof/>
            <w:color w:val="000000" w:themeColor="text1"/>
            <w:sz w:val="22"/>
            <w:szCs w:val="22"/>
          </w:rPr>
          <w:t>Pletcher et al., 2006</w:t>
        </w:r>
      </w:hyperlink>
      <w:r w:rsidRPr="00DE2832">
        <w:rPr>
          <w:rFonts w:asciiTheme="minorHAnsi" w:hAnsiTheme="minorHAnsi" w:cstheme="minorHAnsi"/>
          <w:i/>
          <w:noProof/>
          <w:color w:val="000000" w:themeColor="text1"/>
          <w:sz w:val="22"/>
          <w:szCs w:val="22"/>
        </w:rPr>
        <w:t>)</w:t>
      </w:r>
      <w:r w:rsidRPr="00DE2832">
        <w:rPr>
          <w:rFonts w:asciiTheme="minorHAnsi" w:hAnsiTheme="minorHAnsi" w:cstheme="minorHAnsi"/>
          <w:i/>
          <w:color w:val="000000" w:themeColor="text1"/>
          <w:sz w:val="22"/>
          <w:szCs w:val="22"/>
        </w:rPr>
        <w:t>.With the exception of one outcome from one study, none of the three studies that compared cessation-related behaviors between young adult menthol and non-menthol smokers found a significant difference in cessation outcomes, to include ever having made a quit attempt, past 6-month quit attempts, past-year quit attempts, abstinence at follow-up, odds of having quit smoking, and sustained cessation. The exception, Pletcher at al. (</w:t>
      </w:r>
      <w:hyperlink w:anchor="_ENREF_73" w:tooltip="Pletcher, 2006 #78" w:history="1">
        <w:r w:rsidRPr="00DE2832">
          <w:rPr>
            <w:rFonts w:asciiTheme="minorHAnsi" w:hAnsiTheme="minorHAnsi" w:cstheme="minorHAnsi"/>
            <w:i/>
            <w:noProof/>
            <w:color w:val="000000" w:themeColor="text1"/>
            <w:sz w:val="22"/>
            <w:szCs w:val="22"/>
          </w:rPr>
          <w:t>Pletcher et al., 2006</w:t>
        </w:r>
      </w:hyperlink>
      <w:r w:rsidRPr="00DE2832">
        <w:rPr>
          <w:rFonts w:asciiTheme="minorHAnsi" w:hAnsiTheme="minorHAnsi" w:cstheme="minorHAnsi"/>
          <w:i/>
          <w:noProof/>
          <w:color w:val="000000" w:themeColor="text1"/>
          <w:sz w:val="22"/>
          <w:szCs w:val="22"/>
        </w:rPr>
        <w:t>), reported a significant increase in the odds of returning to smoking among menthol smokers.</w:t>
      </w:r>
    </w:p>
    <w:p w14:paraId="542A7808"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Rath et al. </w:t>
      </w:r>
      <w:r w:rsidRPr="00DE2832">
        <w:rPr>
          <w:rFonts w:asciiTheme="minorHAnsi" w:hAnsiTheme="minorHAnsi" w:cstheme="minorHAnsi"/>
          <w:color w:val="000000" w:themeColor="text1"/>
          <w:sz w:val="22"/>
          <w:szCs w:val="22"/>
        </w:rPr>
        <w:fldChar w:fldCharType="begin">
          <w:fldData xml:space="preserve">PEVuZE5vdGU+PENpdGU+PFJlY051bT4zPC9SZWNOdW0+PERpc3BsYXlUZXh0PigzNyk8L0Rpc3Bs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PEVuZE5vdGU+PENpdGU+PFJlY051bT4zPC9SZWNOdW0+PERpc3BsYXlUZXh0PigzNyk8L0Rpc3Bs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37" w:tooltip="Rath, 2015 #3" w:history="1">
        <w:r>
          <w:rPr>
            <w:rFonts w:asciiTheme="minorHAnsi" w:hAnsiTheme="minorHAnsi" w:cstheme="minorHAnsi"/>
            <w:noProof/>
            <w:color w:val="000000" w:themeColor="text1"/>
            <w:sz w:val="22"/>
            <w:szCs w:val="22"/>
          </w:rPr>
          <w:t>37</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examined quit attempts in the Legacy Young Adult Cohort Study (LYAC), a longitudinal sample of the young adult population in the United States (ages 18-34). They examined quit attempts (having “stopped smoking for 24 hours or longer because [participant was] trying to quit”) using multivariate regression models that controlled for age, gender, race/ethnicity, and financial situation. The authors found no difference in the odds of ever having made a quit attempt between menthol and non-menthol smokers (OR=0.84, 95% CI: 0.43</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1.63), nor in odds of having made a quit attempt in the past six months (OR=0.62, 95% CI: 0.30</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1.27).</w:t>
      </w:r>
    </w:p>
    <w:p w14:paraId="7C4BC004" w14:textId="77777777" w:rsidR="007F0AE0" w:rsidRPr="00DE2832" w:rsidRDefault="007F0AE0" w:rsidP="007F0AE0">
      <w:pPr>
        <w:pStyle w:val="BodyText"/>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Fagan et al. </w:t>
      </w:r>
      <w:r w:rsidRPr="00DE2832">
        <w:rPr>
          <w:rFonts w:cstheme="minorHAnsi"/>
          <w:color w:val="000000" w:themeColor="text1"/>
        </w:rPr>
        <w:fldChar w:fldCharType="begin">
          <w:fldData xml:space="preserve">PEVuZE5vdGU+PENpdGU+PFJlY051bT45NDwvUmVjTnVtPjxEaXNwbGF5VGV4dD4oMzYpPC9EaXNw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PEVuZE5vdGU+PENpdGU+PFJlY051bT45NDwvUmVjTnVtPjxEaXNwbGF5VGV4dD4oMzYpPC9EaXNw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sidRPr="00342AED">
        <w:rPr>
          <w:rFonts w:asciiTheme="minorHAnsi" w:hAnsiTheme="minorHAnsi" w:cstheme="minorHAnsi"/>
          <w:noProof/>
          <w:color w:val="000000" w:themeColor="text1"/>
          <w:sz w:val="22"/>
          <w:szCs w:val="22"/>
        </w:rPr>
        <w:t>(</w:t>
      </w:r>
      <w:hyperlink w:anchor="_ENREF_36" w:tooltip="Fagan, 2007 #94" w:history="1">
        <w:r w:rsidRPr="00342AED">
          <w:rPr>
            <w:rFonts w:asciiTheme="minorHAnsi" w:hAnsiTheme="minorHAnsi" w:cstheme="minorHAnsi"/>
            <w:noProof/>
            <w:color w:val="000000" w:themeColor="text1"/>
            <w:sz w:val="22"/>
            <w:szCs w:val="22"/>
          </w:rPr>
          <w:t>36</w:t>
        </w:r>
      </w:hyperlink>
      <w:r w:rsidRPr="00342AED">
        <w:rPr>
          <w:rFonts w:asciiTheme="minorHAnsi" w:hAnsiTheme="minorHAnsi" w:cstheme="minorHAnsi"/>
          <w:noProof/>
          <w:color w:val="000000" w:themeColor="text1"/>
          <w:sz w:val="22"/>
          <w:szCs w:val="22"/>
        </w:rPr>
        <w:t>)</w:t>
      </w:r>
      <w:r w:rsidRPr="00DE2832">
        <w:rPr>
          <w:rFonts w:cstheme="minorHAnsi"/>
          <w:color w:val="000000" w:themeColor="text1"/>
        </w:rPr>
        <w:fldChar w:fldCharType="end"/>
      </w:r>
      <w:r w:rsidRPr="00DE2832">
        <w:rPr>
          <w:rFonts w:asciiTheme="minorHAnsi" w:hAnsiTheme="minorHAnsi" w:cstheme="minorHAnsi"/>
          <w:color w:val="000000" w:themeColor="text1"/>
          <w:sz w:val="22"/>
          <w:szCs w:val="22"/>
        </w:rPr>
        <w:t xml:space="preserve"> reported odds ratios for stopping smoking for one day or longer in the past year in an attempt to quit in a subset of nearly 8,000 young adults age 18 to 30 from the 2003 TUS-CPS. Their regression analyses controlled for gender, age, employment, age of smoking onset, CPD, and TTFC. They found that the odds of a past-year quit attempt for menthol and non-menthol smokers were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different among all current smokers (OR=1.00, 95% CI:</w:t>
      </w:r>
      <w:r>
        <w:rPr>
          <w:rFonts w:asciiTheme="minorHAnsi" w:hAnsiTheme="minorHAnsi" w:cstheme="minorHAnsi"/>
          <w:color w:val="000000" w:themeColor="text1"/>
          <w:sz w:val="22"/>
          <w:szCs w:val="22"/>
        </w:rPr>
        <w:t xml:space="preserve"> 0.89,</w:t>
      </w:r>
      <w:r w:rsidRPr="00DE2832">
        <w:rPr>
          <w:rFonts w:asciiTheme="minorHAnsi" w:hAnsiTheme="minorHAnsi" w:cstheme="minorHAnsi"/>
          <w:color w:val="000000" w:themeColor="text1"/>
          <w:sz w:val="22"/>
          <w:szCs w:val="22"/>
        </w:rPr>
        <w:t xml:space="preserve"> 1.16), current daily smokers (OR=1.00, 95% CI: 0.85</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1.18), and non-daily smokers (OR=0.93, 95% CI: 0.62</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1.41). Moreover, the odds of past-year quit attempts among non-daily smokers with the intention to quit were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different between menthol and non-menthol smokers (OR=1.35, 95% CI: 0.60, 3.03).</w:t>
      </w:r>
    </w:p>
    <w:p w14:paraId="011255FD"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Pletcher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1" w:tooltip="Pletcher, 2006 #78" w:history="1">
        <w:r>
          <w:rPr>
            <w:rFonts w:asciiTheme="minorHAnsi" w:hAnsiTheme="minorHAnsi" w:cstheme="minorHAnsi"/>
            <w:noProof/>
            <w:color w:val="000000" w:themeColor="text1"/>
            <w:sz w:val="22"/>
            <w:szCs w:val="22"/>
          </w:rPr>
          <w:t>41</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reported smoking cessation behaviors among 1,535 “African-American and European-American” young adults who participated in the Coronary Artery Risk Development in Young Adults (CARDIA) study—a longitudinal study of risk factors for coronary artery disease in young adults age 18 to 30 at baseline. Data were collected at baseline in 1985 and during follow-up examinations at years 2, 5, 7, 10, and 15. For the cross-sectional analyses (those measured at each visit), the authors performed repeated-measures analyses using logistic models that included each examination of each participant as a separate observation and using robust estimates of standard errors to account for clustering by participant. Models were adjusted for various factors in three models: one that used age, gender, and race/ethnicity; one that also adjusted for education, marital status, employment, and insurance; and one that also adjusted for CPD at baseline. Results across all models were similar in direction, significance, and magnitude; the following results are from the models adjusted for age, gender, race/ethnicity, education, marital status, employment, and insurance.</w:t>
      </w:r>
    </w:p>
    <w:p w14:paraId="37797A31" w14:textId="77777777" w:rsidR="007F0AE0" w:rsidRPr="00DE2832" w:rsidRDefault="007F0AE0" w:rsidP="007F0AE0">
      <w:pPr>
        <w:pStyle w:val="BodyText"/>
        <w:jc w:val="both"/>
        <w:rPr>
          <w:rFonts w:asciiTheme="minorHAnsi" w:hAnsiTheme="minorHAnsi" w:cstheme="minorHAnsi"/>
          <w:color w:val="000000" w:themeColor="text1"/>
          <w:sz w:val="22"/>
          <w:szCs w:val="22"/>
          <w:vertAlign w:val="superscript"/>
        </w:rPr>
      </w:pPr>
      <w:r w:rsidRPr="00DE2832">
        <w:rPr>
          <w:rFonts w:asciiTheme="minorHAnsi" w:hAnsiTheme="minorHAnsi" w:cstheme="minorHAnsi"/>
          <w:color w:val="000000" w:themeColor="text1"/>
          <w:sz w:val="22"/>
          <w:szCs w:val="22"/>
        </w:rPr>
        <w:t>Pletcher et al.</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41" w:tooltip="Pletcher, 2006 #78" w:history="1">
        <w:r>
          <w:rPr>
            <w:rFonts w:asciiTheme="minorHAnsi" w:hAnsiTheme="minorHAnsi" w:cstheme="minorHAnsi"/>
            <w:noProof/>
            <w:color w:val="000000" w:themeColor="text1"/>
            <w:sz w:val="22"/>
            <w:szCs w:val="22"/>
          </w:rPr>
          <w:t>41</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found that odds of not currently smoking at any follow-up visit were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different between menthol and non-menthol smokers (OR=0.90, 95% CI: 0.68</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1.19). Among </w:t>
      </w:r>
      <w:r w:rsidRPr="00DE2832">
        <w:rPr>
          <w:rFonts w:asciiTheme="minorHAnsi" w:hAnsiTheme="minorHAnsi" w:cstheme="minorHAnsi"/>
          <w:color w:val="000000" w:themeColor="text1"/>
          <w:sz w:val="22"/>
          <w:szCs w:val="22"/>
        </w:rPr>
        <w:lastRenderedPageBreak/>
        <w:t>smokers who made a recent quit attempt, menthol smokers were as likely as non-menthol smokers to quit (OR=1.00, 95% CI: 0.71</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1.42). At each assessment, participants were asked, </w:t>
      </w:r>
      <w:r w:rsidRPr="00DE2832">
        <w:rPr>
          <w:rFonts w:asciiTheme="minorHAnsi" w:hAnsiTheme="minorHAnsi" w:cstheme="minorHAnsi"/>
          <w:i/>
          <w:color w:val="000000" w:themeColor="text1"/>
          <w:sz w:val="22"/>
          <w:szCs w:val="22"/>
        </w:rPr>
        <w:t>“Have you [tried, made any attempts] to quit smoking in the past [2, 3, 5] years?”</w:t>
      </w:r>
      <w:r w:rsidRPr="00DE2832">
        <w:rPr>
          <w:rFonts w:asciiTheme="minorHAnsi" w:hAnsiTheme="minorHAnsi" w:cstheme="minorHAnsi"/>
          <w:color w:val="000000" w:themeColor="text1"/>
          <w:sz w:val="22"/>
          <w:szCs w:val="22"/>
        </w:rPr>
        <w:t xml:space="preserve"> The authors found that menthol smokers were no different than non-menthol smokers in the likelihood to have made a quit attempt in the period preceding each interview (OR=0.77, 95% CI: 0.56</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1.06), nor in their rate of sustained smoking cessation (OR=0.71, 95% CI: 0.49</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1.02) In the CARDIA study, participants were determined to have returned to smoking if they were baseline smokers who reported no current smoking at a subsequent examination and then current smoking at their final evaluation. The authors found a significant increase in odds of returning to smoking for menthol smokers, who had almost double the odds of non-menthol smokers of returning to smoking post-cessation (OR=1.89, 95% CI: 1.17</w:t>
      </w:r>
      <w:r>
        <w:rPr>
          <w:rFonts w:asciiTheme="minorHAnsi" w:hAnsiTheme="minorHAnsi" w:cstheme="minorHAnsi"/>
          <w:color w:val="000000" w:themeColor="text1"/>
          <w:sz w:val="22"/>
          <w:szCs w:val="22"/>
        </w:rPr>
        <w:t>, 3.05).</w:t>
      </w:r>
    </w:p>
    <w:p w14:paraId="4A5174E1" w14:textId="77777777" w:rsidR="007F0AE0" w:rsidRPr="00DE2832" w:rsidRDefault="007F0AE0" w:rsidP="007F0AE0">
      <w:pPr>
        <w:spacing w:after="120" w:line="240" w:lineRule="auto"/>
        <w:jc w:val="both"/>
        <w:outlineLvl w:val="1"/>
        <w:rPr>
          <w:rFonts w:cstheme="minorHAnsi"/>
          <w:i/>
          <w:color w:val="000000" w:themeColor="text1"/>
          <w:u w:val="single"/>
        </w:rPr>
      </w:pPr>
      <w:r w:rsidRPr="00DE2832">
        <w:rPr>
          <w:rFonts w:cstheme="minorHAnsi"/>
          <w:i/>
          <w:color w:val="000000" w:themeColor="text1"/>
          <w:u w:val="single"/>
        </w:rPr>
        <w:t>Adjusted Results: Cessation Measures by Gender</w:t>
      </w:r>
    </w:p>
    <w:p w14:paraId="31FDC131"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Women</w:t>
      </w:r>
    </w:p>
    <w:p w14:paraId="6EE94C64"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Three studies (across four references) reported adjusted cessation measures for women only, although two were cohort studies with very specific samples</w:t>
      </w:r>
      <w:r>
        <w:rPr>
          <w:rFonts w:asciiTheme="minorHAnsi" w:hAnsiTheme="minorHAnsi" w:cstheme="minorHAnsi"/>
          <w:i/>
          <w:color w:val="000000" w:themeColor="text1"/>
          <w:sz w:val="22"/>
          <w:szCs w:val="22"/>
        </w:rPr>
        <w:t xml:space="preserve"> </w:t>
      </w:r>
      <w:r>
        <w:rPr>
          <w:rFonts w:asciiTheme="minorHAnsi" w:hAnsiTheme="minorHAnsi" w:cstheme="minorHAnsi"/>
          <w:i/>
          <w:color w:val="000000" w:themeColor="text1"/>
          <w:sz w:val="22"/>
          <w:szCs w:val="22"/>
        </w:rPr>
        <w:fldChar w:fldCharType="begin">
          <w:fldData xml:space="preserve">PEVuZE5vdGU+PENpdGU+PEF1dGhvcj5Dcm9wc2V5PC9BdXRob3I+PFllYXI+MjAwOTwvWWVhcj48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</w:fldData>
        </w:fldChar>
      </w:r>
      <w:r>
        <w:rPr>
          <w:rFonts w:asciiTheme="minorHAnsi" w:hAnsiTheme="minorHAnsi" w:cstheme="minorHAnsi"/>
          <w:i/>
          <w:color w:val="000000" w:themeColor="text1"/>
          <w:sz w:val="22"/>
          <w:szCs w:val="22"/>
        </w:rPr>
        <w:instrText xml:space="preserve"> ADDIN EN.CITE </w:instrText>
      </w:r>
      <w:r>
        <w:rPr>
          <w:rFonts w:asciiTheme="minorHAnsi" w:hAnsiTheme="minorHAnsi" w:cstheme="minorHAnsi"/>
          <w:i/>
          <w:color w:val="000000" w:themeColor="text1"/>
          <w:sz w:val="22"/>
          <w:szCs w:val="22"/>
        </w:rPr>
        <w:fldChar w:fldCharType="begin">
          <w:fldData xml:space="preserve">PEVuZE5vdGU+PENpdGU+PEF1dGhvcj5Dcm9wc2V5PC9BdXRob3I+PFllYXI+MjAwOTwvWWVhcj48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</w:fldData>
        </w:fldChar>
      </w:r>
      <w:r>
        <w:rPr>
          <w:rFonts w:asciiTheme="minorHAnsi" w:hAnsiTheme="minorHAnsi" w:cstheme="minorHAnsi"/>
          <w:i/>
          <w:color w:val="000000" w:themeColor="text1"/>
          <w:sz w:val="22"/>
          <w:szCs w:val="22"/>
        </w:rPr>
        <w:instrText xml:space="preserve"> ADDIN EN.CITE.DATA </w:instrText>
      </w:r>
      <w:r>
        <w:rPr>
          <w:rFonts w:asciiTheme="minorHAnsi" w:hAnsiTheme="minorHAnsi" w:cstheme="minorHAnsi"/>
          <w:i/>
          <w:color w:val="000000" w:themeColor="text1"/>
          <w:sz w:val="22"/>
          <w:szCs w:val="22"/>
        </w:rPr>
      </w:r>
      <w:r>
        <w:rPr>
          <w:rFonts w:asciiTheme="minorHAnsi" w:hAnsiTheme="minorHAnsi" w:cstheme="minorHAnsi"/>
          <w:i/>
          <w:color w:val="000000" w:themeColor="text1"/>
          <w:sz w:val="22"/>
          <w:szCs w:val="22"/>
        </w:rPr>
        <w:fldChar w:fldCharType="end"/>
      </w:r>
      <w:r>
        <w:rPr>
          <w:rFonts w:asciiTheme="minorHAnsi" w:hAnsiTheme="minorHAnsi" w:cstheme="minorHAnsi"/>
          <w:i/>
          <w:color w:val="000000" w:themeColor="text1"/>
          <w:sz w:val="22"/>
          <w:szCs w:val="22"/>
        </w:rPr>
        <w:fldChar w:fldCharType="separate"/>
      </w:r>
      <w:r>
        <w:rPr>
          <w:rFonts w:asciiTheme="minorHAnsi" w:hAnsiTheme="minorHAnsi" w:cstheme="minorHAnsi"/>
          <w:i/>
          <w:noProof/>
          <w:color w:val="000000" w:themeColor="text1"/>
          <w:sz w:val="22"/>
          <w:szCs w:val="22"/>
        </w:rPr>
        <w:t>(</w:t>
      </w:r>
      <w:hyperlink w:anchor="_ENREF_20" w:tooltip="Cubbin, 2010 #53" w:history="1">
        <w:r>
          <w:rPr>
            <w:rFonts w:asciiTheme="minorHAnsi" w:hAnsiTheme="minorHAnsi" w:cstheme="minorHAnsi"/>
            <w:i/>
            <w:noProof/>
            <w:color w:val="000000" w:themeColor="text1"/>
            <w:sz w:val="22"/>
            <w:szCs w:val="22"/>
          </w:rPr>
          <w:t>20</w:t>
        </w:r>
      </w:hyperlink>
      <w:r>
        <w:rPr>
          <w:rFonts w:asciiTheme="minorHAnsi" w:hAnsiTheme="minorHAnsi" w:cstheme="minorHAnsi"/>
          <w:i/>
          <w:noProof/>
          <w:color w:val="000000" w:themeColor="text1"/>
          <w:sz w:val="22"/>
          <w:szCs w:val="22"/>
        </w:rPr>
        <w:t xml:space="preserve">, </w:t>
      </w:r>
      <w:hyperlink w:anchor="_ENREF_65" w:tooltip="Cropsey, 2009 #66" w:history="1">
        <w:r>
          <w:rPr>
            <w:rFonts w:asciiTheme="minorHAnsi" w:hAnsiTheme="minorHAnsi" w:cstheme="minorHAnsi"/>
            <w:i/>
            <w:noProof/>
            <w:color w:val="000000" w:themeColor="text1"/>
            <w:sz w:val="22"/>
            <w:szCs w:val="22"/>
          </w:rPr>
          <w:t>65</w:t>
        </w:r>
      </w:hyperlink>
      <w:r>
        <w:rPr>
          <w:rFonts w:asciiTheme="minorHAnsi" w:hAnsiTheme="minorHAnsi" w:cstheme="minorHAnsi"/>
          <w:i/>
          <w:noProof/>
          <w:color w:val="000000" w:themeColor="text1"/>
          <w:sz w:val="22"/>
          <w:szCs w:val="22"/>
        </w:rPr>
        <w:t xml:space="preserve">, </w:t>
      </w:r>
      <w:hyperlink w:anchor="_ENREF_71" w:tooltip="Reitzel, 2011 #107" w:history="1">
        <w:r>
          <w:rPr>
            <w:rFonts w:asciiTheme="minorHAnsi" w:hAnsiTheme="minorHAnsi" w:cstheme="minorHAnsi"/>
            <w:i/>
            <w:noProof/>
            <w:color w:val="000000" w:themeColor="text1"/>
            <w:sz w:val="22"/>
            <w:szCs w:val="22"/>
          </w:rPr>
          <w:t>71</w:t>
        </w:r>
      </w:hyperlink>
      <w:r>
        <w:rPr>
          <w:rFonts w:asciiTheme="minorHAnsi" w:hAnsiTheme="minorHAnsi" w:cstheme="minorHAnsi"/>
          <w:i/>
          <w:noProof/>
          <w:color w:val="000000" w:themeColor="text1"/>
          <w:sz w:val="22"/>
          <w:szCs w:val="22"/>
        </w:rPr>
        <w:t xml:space="preserve">, </w:t>
      </w:r>
      <w:hyperlink w:anchor="_ENREF_75" w:tooltip="Reitzel, 2011 #41" w:history="1">
        <w:r>
          <w:rPr>
            <w:rFonts w:asciiTheme="minorHAnsi" w:hAnsiTheme="minorHAnsi" w:cstheme="minorHAnsi"/>
            <w:i/>
            <w:noProof/>
            <w:color w:val="000000" w:themeColor="text1"/>
            <w:sz w:val="22"/>
            <w:szCs w:val="22"/>
          </w:rPr>
          <w:t>75</w:t>
        </w:r>
      </w:hyperlink>
      <w:r>
        <w:rPr>
          <w:rFonts w:asciiTheme="minorHAnsi" w:hAnsiTheme="minorHAnsi" w:cstheme="minorHAnsi"/>
          <w:i/>
          <w:noProof/>
          <w:color w:val="000000" w:themeColor="text1"/>
          <w:sz w:val="22"/>
          <w:szCs w:val="22"/>
        </w:rPr>
        <w:t>)</w:t>
      </w:r>
      <w:r>
        <w:rPr>
          <w:rFonts w:asciiTheme="minorHAnsi" w:hAnsiTheme="minorHAnsi" w:cstheme="minorHAnsi"/>
          <w:i/>
          <w:color w:val="000000" w:themeColor="text1"/>
          <w:sz w:val="22"/>
          <w:szCs w:val="22"/>
        </w:rPr>
        <w:fldChar w:fldCharType="end"/>
      </w:r>
      <w:r w:rsidRPr="00DE2832">
        <w:rPr>
          <w:rFonts w:asciiTheme="minorHAnsi" w:hAnsiTheme="minorHAnsi" w:cstheme="minorHAnsi"/>
          <w:i/>
          <w:noProof/>
          <w:color w:val="000000" w:themeColor="text1"/>
          <w:sz w:val="22"/>
          <w:szCs w:val="22"/>
        </w:rPr>
        <w:t>.</w:t>
      </w:r>
    </w:p>
    <w:p w14:paraId="07247F22" w14:textId="77777777" w:rsidR="007F0AE0" w:rsidRPr="00DE2832" w:rsidRDefault="007F0AE0" w:rsidP="007F0AE0">
      <w:pPr>
        <w:pStyle w:val="BodyText"/>
        <w:jc w:val="both"/>
        <w:rPr>
          <w:rFonts w:asciiTheme="minorHAnsi" w:hAnsiTheme="minorHAnsi" w:cstheme="minorHAnsi"/>
          <w:i/>
          <w:color w:val="000000" w:themeColor="text1"/>
          <w:sz w:val="22"/>
          <w:szCs w:val="22"/>
        </w:rPr>
      </w:pPr>
      <w:r w:rsidRPr="00DE2832">
        <w:rPr>
          <w:rFonts w:asciiTheme="minorHAnsi" w:hAnsiTheme="minorHAnsi" w:cstheme="minorHAnsi"/>
          <w:i/>
          <w:color w:val="000000" w:themeColor="text1"/>
          <w:sz w:val="22"/>
          <w:szCs w:val="22"/>
        </w:rPr>
        <w:t>In general, results reported non-significant associations between female menthol and non-menthol smokers in terms of continuous abstinence, 12-month abstinence, quit attempts</w:t>
      </w:r>
      <w:r>
        <w:rPr>
          <w:rFonts w:asciiTheme="minorHAnsi" w:hAnsiTheme="minorHAnsi" w:cstheme="minorHAnsi"/>
          <w:i/>
          <w:color w:val="000000" w:themeColor="text1"/>
          <w:sz w:val="22"/>
          <w:szCs w:val="22"/>
        </w:rPr>
        <w:t xml:space="preserve"> and CPD</w:t>
      </w:r>
      <w:r w:rsidRPr="00DE2832">
        <w:rPr>
          <w:rFonts w:asciiTheme="minorHAnsi" w:hAnsiTheme="minorHAnsi" w:cstheme="minorHAnsi"/>
          <w:i/>
          <w:color w:val="000000" w:themeColor="text1"/>
          <w:sz w:val="22"/>
          <w:szCs w:val="22"/>
        </w:rPr>
        <w:t xml:space="preserve">. One study did find mixed results in female smokers, in terms of duration of abstinence: White female menthol smokers reported longer duration of abstinence than White female non-menthol smokers, but no such difference was found in duration of abstinence between Black female menthol and non-menthol smokers, nor Hispanic female menthol and non-menthol smokers. A second study also reported no difference in </w:t>
      </w:r>
      <w:r>
        <w:rPr>
          <w:rFonts w:asciiTheme="minorHAnsi" w:hAnsiTheme="minorHAnsi" w:cstheme="minorHAnsi"/>
          <w:i/>
          <w:color w:val="000000" w:themeColor="text1"/>
          <w:sz w:val="22"/>
          <w:szCs w:val="22"/>
        </w:rPr>
        <w:t>CPD</w:t>
      </w:r>
      <w:r w:rsidRPr="00DE2832">
        <w:rPr>
          <w:rFonts w:asciiTheme="minorHAnsi" w:hAnsiTheme="minorHAnsi" w:cstheme="minorHAnsi"/>
          <w:i/>
          <w:color w:val="000000" w:themeColor="text1"/>
          <w:sz w:val="22"/>
          <w:szCs w:val="22"/>
        </w:rPr>
        <w:t xml:space="preserve"> among its total sample of women, but a </w:t>
      </w:r>
      <w:r>
        <w:rPr>
          <w:rFonts w:asciiTheme="minorHAnsi" w:hAnsiTheme="minorHAnsi" w:cstheme="minorHAnsi"/>
          <w:i/>
          <w:color w:val="000000" w:themeColor="text1"/>
          <w:sz w:val="22"/>
          <w:szCs w:val="22"/>
        </w:rPr>
        <w:t>statistically significant</w:t>
      </w:r>
      <w:r w:rsidRPr="00DE2832">
        <w:rPr>
          <w:rFonts w:asciiTheme="minorHAnsi" w:hAnsiTheme="minorHAnsi" w:cstheme="minorHAnsi"/>
          <w:i/>
          <w:color w:val="000000" w:themeColor="text1"/>
          <w:sz w:val="22"/>
          <w:szCs w:val="22"/>
        </w:rPr>
        <w:t xml:space="preserve"> higher number of </w:t>
      </w:r>
      <w:r>
        <w:rPr>
          <w:rFonts w:asciiTheme="minorHAnsi" w:hAnsiTheme="minorHAnsi" w:cstheme="minorHAnsi"/>
          <w:i/>
          <w:color w:val="000000" w:themeColor="text1"/>
          <w:sz w:val="22"/>
          <w:szCs w:val="22"/>
        </w:rPr>
        <w:t>CPD</w:t>
      </w:r>
      <w:r w:rsidRPr="00DE2832">
        <w:rPr>
          <w:rFonts w:asciiTheme="minorHAnsi" w:hAnsiTheme="minorHAnsi" w:cstheme="minorHAnsi"/>
          <w:i/>
          <w:color w:val="000000" w:themeColor="text1"/>
          <w:sz w:val="22"/>
          <w:szCs w:val="22"/>
        </w:rPr>
        <w:t xml:space="preserve"> in Black female menthol smokers compared to Black female non-menthol smokers.</w:t>
      </w:r>
    </w:p>
    <w:p w14:paraId="1E2DF6EC"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Reitzel et al. </w:t>
      </w:r>
      <w:r w:rsidRPr="00DE2832">
        <w:rPr>
          <w:rFonts w:cstheme="minorHAnsi"/>
          <w:color w:val="000000" w:themeColor="text1"/>
        </w:rPr>
        <w:fldChar w:fldCharType="begin">
          <w:fldData xml:space="preserve">PEVuZE5vdGU+PENpdGU+PFJlY051bT40MTwvUmVjTnVtPjxEaXNwbGF5VGV4dD4oNzEsIDc1KTwv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PEVuZE5vdGU+PENpdGU+PFJlY051bT40MTwvUmVjTnVtPjxEaXNwbGF5VGV4dD4oNzEsIDc1KTwv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Pr>
          <w:rFonts w:cstheme="minorHAnsi"/>
          <w:noProof/>
          <w:color w:val="000000" w:themeColor="text1"/>
        </w:rPr>
        <w:t>(</w:t>
      </w:r>
      <w:hyperlink w:anchor="_ENREF_71" w:tooltip="Reitzel, 2011 #107" w:history="1">
        <w:r>
          <w:rPr>
            <w:rFonts w:cstheme="minorHAnsi"/>
            <w:noProof/>
            <w:color w:val="000000" w:themeColor="text1"/>
          </w:rPr>
          <w:t>71</w:t>
        </w:r>
      </w:hyperlink>
      <w:r>
        <w:rPr>
          <w:rFonts w:cstheme="minorHAnsi"/>
          <w:noProof/>
          <w:color w:val="000000" w:themeColor="text1"/>
        </w:rPr>
        <w:t xml:space="preserve">, </w:t>
      </w:r>
      <w:hyperlink w:anchor="_ENREF_75" w:tooltip="Reitzel, 2011 #41" w:history="1">
        <w:r>
          <w:rPr>
            <w:rFonts w:cstheme="minorHAnsi"/>
            <w:noProof/>
            <w:color w:val="000000" w:themeColor="text1"/>
          </w:rPr>
          <w:t>75</w:t>
        </w:r>
      </w:hyperlink>
      <w:r>
        <w:rPr>
          <w:rFonts w:cstheme="minorHAnsi"/>
          <w:noProof/>
          <w:color w:val="000000" w:themeColor="text1"/>
        </w:rPr>
        <w:t>)</w:t>
      </w:r>
      <w:r w:rsidRPr="00DE2832">
        <w:rPr>
          <w:rFonts w:cstheme="minorHAnsi"/>
          <w:color w:val="000000" w:themeColor="text1"/>
        </w:rPr>
        <w:fldChar w:fldCharType="end"/>
      </w:r>
      <w:r w:rsidRPr="00DE2832">
        <w:rPr>
          <w:rFonts w:asciiTheme="minorHAnsi" w:hAnsiTheme="minorHAnsi" w:cstheme="minorHAnsi"/>
          <w:color w:val="000000" w:themeColor="text1"/>
          <w:sz w:val="22"/>
          <w:szCs w:val="22"/>
        </w:rPr>
        <w:t xml:space="preserve"> reported data from Project MOM, which recruited women in their 30</w:t>
      </w:r>
      <w:r w:rsidRPr="00DE2832">
        <w:rPr>
          <w:rFonts w:asciiTheme="minorHAnsi" w:hAnsiTheme="minorHAnsi" w:cstheme="minorHAnsi"/>
          <w:color w:val="000000" w:themeColor="text1"/>
          <w:sz w:val="22"/>
          <w:szCs w:val="22"/>
          <w:vertAlign w:val="superscript"/>
        </w:rPr>
        <w:t>th</w:t>
      </w:r>
      <w:r w:rsidRPr="00DE2832">
        <w:rPr>
          <w:rFonts w:asciiTheme="minorHAnsi" w:hAnsiTheme="minorHAnsi" w:cstheme="minorHAnsi"/>
          <w:color w:val="000000" w:themeColor="text1"/>
          <w:sz w:val="22"/>
          <w:szCs w:val="22"/>
        </w:rPr>
        <w:t xml:space="preserve"> to 33</w:t>
      </w:r>
      <w:r w:rsidRPr="00DE2832">
        <w:rPr>
          <w:rFonts w:asciiTheme="minorHAnsi" w:hAnsiTheme="minorHAnsi" w:cstheme="minorHAnsi"/>
          <w:color w:val="000000" w:themeColor="text1"/>
          <w:sz w:val="22"/>
          <w:szCs w:val="22"/>
          <w:vertAlign w:val="superscript"/>
        </w:rPr>
        <w:t>rd</w:t>
      </w:r>
      <w:r w:rsidRPr="00DE2832">
        <w:rPr>
          <w:rFonts w:asciiTheme="minorHAnsi" w:hAnsiTheme="minorHAnsi" w:cstheme="minorHAnsi"/>
          <w:color w:val="000000" w:themeColor="text1"/>
          <w:sz w:val="22"/>
          <w:szCs w:val="22"/>
        </w:rPr>
        <w:t xml:space="preserve"> week of pregnancy who had stopped smoking either during their pregnancy or within two months prior to becoming pregnant and wanted to remain quit postpartum. Women must have smoked at least one CPD on average over the year prior to quitting. Participants were randomized to receive usual care or one of two motivation and problem-solving interventions for the prevention of postpartum relapse, and data were collected at baseline and at weeks eight and 26 postpartum. Investigators used continuation ratio logit models that adjusted for age, race/ethnicity, partner status, income, education, time in study, treatment arm, CPD, and TTFC. Across the two papers—one published and one unpublished—there were slight differences in results, though they only affected the magnitude, not the direction or significance. In the overall sample from the published paper, investigators found that menthol smoking did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predict continuous abstinence from smoking through 26 weeks postpartum (β=−0.32, SE=0.30; p=0.29; n=297). Similarly,</w:t>
      </w:r>
      <w:r>
        <w:rPr>
          <w:rFonts w:asciiTheme="minorHAnsi" w:hAnsiTheme="minorHAnsi" w:cstheme="minorHAnsi"/>
          <w:color w:val="000000" w:themeColor="text1"/>
          <w:sz w:val="22"/>
          <w:szCs w:val="22"/>
        </w:rPr>
        <w:t xml:space="preserve"> </w:t>
      </w:r>
      <w:r w:rsidRPr="00DE2832">
        <w:rPr>
          <w:rFonts w:asciiTheme="minorHAnsi" w:hAnsiTheme="minorHAnsi" w:cstheme="minorHAnsi"/>
          <w:color w:val="000000" w:themeColor="text1"/>
          <w:sz w:val="22"/>
          <w:szCs w:val="22"/>
        </w:rPr>
        <w:t xml:space="preserve">menthol cigarette use was not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associated with the number of </w:t>
      </w:r>
      <w:r>
        <w:rPr>
          <w:rFonts w:asciiTheme="minorHAnsi" w:hAnsiTheme="minorHAnsi" w:cstheme="minorHAnsi"/>
          <w:color w:val="000000" w:themeColor="text1"/>
          <w:sz w:val="22"/>
          <w:szCs w:val="22"/>
        </w:rPr>
        <w:t>CPD</w:t>
      </w:r>
      <w:r w:rsidRPr="00DE2832">
        <w:rPr>
          <w:rFonts w:asciiTheme="minorHAnsi" w:hAnsiTheme="minorHAnsi" w:cstheme="minorHAnsi"/>
          <w:color w:val="000000" w:themeColor="text1"/>
          <w:sz w:val="22"/>
          <w:szCs w:val="22"/>
        </w:rPr>
        <w:t xml:space="preserve"> (β=-0.38, SE=1.15; t=-.33; p=.74; n=222). However, Black female menthol smokers were reported to smoke </w:t>
      </w:r>
      <w:r>
        <w:rPr>
          <w:rFonts w:asciiTheme="minorHAnsi" w:hAnsiTheme="minorHAnsi" w:cstheme="minorHAnsi"/>
          <w:color w:val="000000" w:themeColor="text1"/>
          <w:sz w:val="22"/>
          <w:szCs w:val="22"/>
        </w:rPr>
        <w:t>statistically significantly</w:t>
      </w:r>
      <w:r w:rsidRPr="00DE2832">
        <w:rPr>
          <w:rFonts w:asciiTheme="minorHAnsi" w:hAnsiTheme="minorHAnsi" w:cstheme="minorHAnsi"/>
          <w:color w:val="000000" w:themeColor="text1"/>
          <w:sz w:val="22"/>
          <w:szCs w:val="22"/>
        </w:rPr>
        <w:t xml:space="preserve"> more </w:t>
      </w:r>
      <w:r>
        <w:rPr>
          <w:rFonts w:asciiTheme="minorHAnsi" w:hAnsiTheme="minorHAnsi" w:cstheme="minorHAnsi"/>
          <w:color w:val="000000" w:themeColor="text1"/>
          <w:sz w:val="22"/>
          <w:szCs w:val="22"/>
        </w:rPr>
        <w:t>CPD</w:t>
      </w:r>
      <w:r w:rsidRPr="00DE2832">
        <w:rPr>
          <w:rFonts w:asciiTheme="minorHAnsi" w:hAnsiTheme="minorHAnsi" w:cstheme="minorHAnsi"/>
          <w:color w:val="000000" w:themeColor="text1"/>
          <w:sz w:val="22"/>
          <w:szCs w:val="22"/>
        </w:rPr>
        <w:t xml:space="preserve"> than Black female non-menthol smokers (β=3.82, SE=3.77; p=0.02; n=71).</w:t>
      </w:r>
    </w:p>
    <w:p w14:paraId="64667EB8"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Cropsey et al. </w:t>
      </w:r>
      <w:r w:rsidRPr="00DE2832">
        <w:rPr>
          <w:rFonts w:asciiTheme="minorHAnsi" w:hAnsiTheme="minorHAnsi" w:cstheme="minorHAnsi"/>
          <w:color w:val="000000" w:themeColor="text1"/>
          <w:sz w:val="22"/>
          <w:szCs w:val="22"/>
        </w:rPr>
        <w:fldChar w:fldCharType="begin">
          <w:fldData xml:space="preserve">PEVuZE5vdGU+PENpdGU+PFJlY051bT42NjwvUmVjTnVtPjxEaXNwbGF5VGV4dD4oNjUpPC9EaXNw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PEVuZE5vdGU+PENpdGU+PFJlY051bT42NjwvUmVjTnVtPjxEaXNwbGF5VGV4dD4oNjUpPC9EaXNw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65" w:tooltip="Cropsey, 2009 #66" w:history="1">
        <w:r>
          <w:rPr>
            <w:rFonts w:asciiTheme="minorHAnsi" w:hAnsiTheme="minorHAnsi" w:cstheme="minorHAnsi"/>
            <w:noProof/>
            <w:color w:val="000000" w:themeColor="text1"/>
            <w:sz w:val="22"/>
            <w:szCs w:val="22"/>
          </w:rPr>
          <w:t>65</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analyzed data from a randomized wait-list controlled cessation intervention for female prisoners, in which a 10-week intervention of group psychotherapy and a nicotine patch were compared with no treatment (N=233). Participants started nicotine replacement and were asked to make a quit attempt between weeks three and four of the intervention; follow-up assessments were made at week 10 (end of treatment) and at 3, 6, and 12 months. Authors used a generalized estimating equation with 7-day PPA as the outcome, adjusted for age, race/ethnicity, education, CPD, change in smoking behavior since coming to prison, and prior mental health treatment. Only patients who entered the active arm of the trial were examined in the model. The GEE test of model effects yielded a Wald χ</w:t>
      </w:r>
      <w:r w:rsidRPr="00DE2832">
        <w:rPr>
          <w:rFonts w:asciiTheme="minorHAnsi" w:hAnsiTheme="minorHAnsi" w:cstheme="minorHAnsi"/>
          <w:color w:val="000000" w:themeColor="text1"/>
          <w:sz w:val="22"/>
          <w:szCs w:val="22"/>
          <w:vertAlign w:val="superscript"/>
        </w:rPr>
        <w:t>2</w:t>
      </w:r>
      <w:r w:rsidRPr="00DE2832">
        <w:rPr>
          <w:rFonts w:asciiTheme="minorHAnsi" w:hAnsiTheme="minorHAnsi" w:cstheme="minorHAnsi"/>
          <w:color w:val="000000" w:themeColor="text1"/>
          <w:sz w:val="22"/>
          <w:szCs w:val="22"/>
        </w:rPr>
        <w:t xml:space="preserve"> value of 1.2 (p=0.27), indicating no significant difference between menthol and non-menthol smokers in smoking cessation through 12 months.</w:t>
      </w:r>
    </w:p>
    <w:p w14:paraId="4B184185"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lastRenderedPageBreak/>
        <w:t xml:space="preserve">In a 2010 analysis of the NHIS-CCS data collected in 2005, Cubbin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examined data reported by former smokers age 25 to 64. The authors predicted length of time since quitting, adjusted for age, income, and education, for six gender-race interactions. Among White women, there was a significant difference in duration of abstinence: White female former menthol smokers had been abstinent for 2.5 years longer than White female former non-menthol smokers (14.8 years vs. 12.5 years, respectively; p&lt;0.001). Among Black women, the duration of abstinence was about 10 months longer for former menthol smokers than former non-menthol smokers, but not significant; among Hispanic women, the duration of abstinence was about 19 months longer for former menthol smokers than former non-menthol smokers, but also not significant.</w:t>
      </w:r>
    </w:p>
    <w:p w14:paraId="7C965BA3" w14:textId="77777777" w:rsidR="007F0AE0" w:rsidRPr="00DE2832" w:rsidRDefault="007F0AE0" w:rsidP="007F0AE0">
      <w:pPr>
        <w:pStyle w:val="BodyText"/>
        <w:jc w:val="both"/>
        <w:rPr>
          <w:rFonts w:asciiTheme="minorHAnsi" w:hAnsiTheme="minorHAnsi" w:cstheme="minorHAnsi"/>
          <w:color w:val="000000" w:themeColor="text1"/>
          <w:sz w:val="22"/>
          <w:szCs w:val="22"/>
        </w:rPr>
      </w:pPr>
      <w:r w:rsidRPr="00DE2832">
        <w:rPr>
          <w:rFonts w:asciiTheme="minorHAnsi" w:hAnsiTheme="minorHAnsi" w:cstheme="minorHAnsi"/>
          <w:color w:val="000000" w:themeColor="text1"/>
          <w:sz w:val="22"/>
          <w:szCs w:val="22"/>
        </w:rPr>
        <w:t xml:space="preserve">Cubbin et al. </w:t>
      </w:r>
      <w:r w:rsidRPr="00DE2832">
        <w:rPr>
          <w:rFonts w:asciiTheme="minorHAnsi" w:hAnsiTheme="minorHAnsi" w:cstheme="minorHAnsi"/>
          <w:color w:val="000000" w:themeColor="text1"/>
          <w:sz w:val="22"/>
          <w:szCs w:val="22"/>
        </w:rPr>
        <w:fldChar w:fldCharType="begin"/>
      </w:r>
      <w:r>
        <w:rPr>
          <w:rFonts w:asciiTheme="minorHAnsi" w:hAnsiTheme="minorHAnsi" w:cstheme="minorHAnsi"/>
          <w:color w:val="000000" w:themeColor="text1"/>
          <w:sz w:val="22"/>
          <w:szCs w:val="22"/>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20" w:tooltip="Cubbin, 2010 #53" w:history="1">
        <w:r>
          <w:rPr>
            <w:rFonts w:asciiTheme="minorHAnsi" w:hAnsiTheme="minorHAnsi" w:cstheme="minorHAnsi"/>
            <w:noProof/>
            <w:color w:val="000000" w:themeColor="text1"/>
            <w:sz w:val="22"/>
            <w:szCs w:val="22"/>
          </w:rPr>
          <w:t>20</w:t>
        </w:r>
      </w:hyperlink>
      <w:r>
        <w:rPr>
          <w:rFonts w:asciiTheme="minorHAnsi" w:hAnsiTheme="minorHAnsi" w:cstheme="minorHAnsi"/>
          <w:noProof/>
          <w:color w:val="000000" w:themeColor="text1"/>
          <w:sz w:val="22"/>
          <w:szCs w:val="22"/>
        </w:rPr>
        <w:t>)</w:t>
      </w:r>
      <w:r w:rsidRPr="00DE2832">
        <w:rPr>
          <w:rFonts w:asciiTheme="minorHAnsi" w:hAnsiTheme="minorHAnsi" w:cstheme="minorHAnsi"/>
          <w:color w:val="000000" w:themeColor="text1"/>
          <w:sz w:val="22"/>
          <w:szCs w:val="22"/>
        </w:rPr>
        <w:fldChar w:fldCharType="end"/>
      </w:r>
      <w:r w:rsidRPr="00DE2832">
        <w:rPr>
          <w:rFonts w:asciiTheme="minorHAnsi" w:hAnsiTheme="minorHAnsi" w:cstheme="minorHAnsi"/>
          <w:color w:val="000000" w:themeColor="text1"/>
          <w:sz w:val="22"/>
          <w:szCs w:val="22"/>
        </w:rPr>
        <w:t xml:space="preserve"> also predicted proportions of smokers who made quit attempts in the past year. For White women, menthol smokers were 3.4 percent more likely than White non-menthol smokers to have made a quit attempt; among Black women, menthol smokers were 10.2 percent more likely than Black non-menthol smokers to have made a quit attempt; for Hispanic women, were 4.2 percent more likely to have made a quit attempt in the past year. However, none of these differences were significant.</w:t>
      </w:r>
    </w:p>
    <w:p w14:paraId="2F4671A1" w14:textId="77777777" w:rsidR="007F0AE0" w:rsidRPr="00DE2832" w:rsidRDefault="007F0AE0" w:rsidP="007F0AE0">
      <w:pPr>
        <w:spacing w:after="120" w:line="240" w:lineRule="auto"/>
        <w:jc w:val="both"/>
        <w:outlineLvl w:val="2"/>
        <w:rPr>
          <w:rFonts w:cstheme="minorHAnsi"/>
          <w:b/>
          <w:i/>
          <w:color w:val="000000" w:themeColor="text1"/>
        </w:rPr>
      </w:pPr>
      <w:r w:rsidRPr="00DE2832">
        <w:rPr>
          <w:rFonts w:cstheme="minorHAnsi"/>
          <w:b/>
          <w:i/>
          <w:color w:val="000000" w:themeColor="text1"/>
        </w:rPr>
        <w:t>Men</w:t>
      </w:r>
    </w:p>
    <w:p w14:paraId="3C81F93E" w14:textId="77777777" w:rsidR="007F0AE0" w:rsidRPr="00DE2832" w:rsidRDefault="007F0AE0" w:rsidP="007F0AE0">
      <w:pPr>
        <w:spacing w:after="120" w:line="240" w:lineRule="auto"/>
        <w:jc w:val="both"/>
        <w:rPr>
          <w:rFonts w:cstheme="minorHAnsi"/>
          <w:i/>
          <w:color w:val="000000" w:themeColor="text1"/>
        </w:rPr>
      </w:pPr>
      <w:r w:rsidRPr="00DE2832">
        <w:rPr>
          <w:rFonts w:cstheme="minorHAnsi"/>
          <w:i/>
          <w:color w:val="000000" w:themeColor="text1"/>
        </w:rPr>
        <w:t xml:space="preserve"> Only one study reported adjusted cessation outcomes in men</w:t>
      </w:r>
      <w:r>
        <w:rPr>
          <w:rFonts w:cstheme="minorHAnsi"/>
          <w:i/>
          <w:color w:val="000000" w:themeColor="text1"/>
        </w:rPr>
        <w:t xml:space="preserve"> </w:t>
      </w:r>
      <w:r>
        <w:rPr>
          <w:rFonts w:cstheme="minorHAnsi"/>
          <w:i/>
          <w:color w:val="000000" w:themeColor="text1"/>
        </w:rPr>
        <w:fldChar w:fldCharType="begin"/>
      </w:r>
      <w:r>
        <w:rPr>
          <w:rFonts w:cstheme="minorHAnsi"/>
          <w:i/>
          <w:color w:val="000000" w:themeColor="text1"/>
        </w:rPr>
        <w:instrText xml:space="preserve"> ADDIN EN.CITE &lt;EndNote&gt;&lt;Cite&gt;&lt;Author&gt;Cubbin&lt;/Author&gt;&lt;Year&gt;2010&lt;/Year&gt;&lt;RecNum&gt;53&lt;/RecNum&gt;&lt;DisplayText&gt;(20)&lt;/DisplayText&gt;&lt;record&gt;&lt;rec-number&gt;53&lt;/rec-number&gt;&lt;foreign-keys&gt;&lt;key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Pr>
          <w:rFonts w:cstheme="minorHAnsi"/>
          <w:i/>
          <w:color w:val="000000" w:themeColor="text1"/>
        </w:rPr>
        <w:fldChar w:fldCharType="separate"/>
      </w:r>
      <w:r>
        <w:rPr>
          <w:rFonts w:cstheme="minorHAnsi"/>
          <w:i/>
          <w:noProof/>
          <w:color w:val="000000" w:themeColor="text1"/>
        </w:rPr>
        <w:t>(</w:t>
      </w:r>
      <w:hyperlink w:anchor="_ENREF_20" w:tooltip="Cubbin, 2010 #53" w:history="1">
        <w:r>
          <w:rPr>
            <w:rFonts w:cstheme="minorHAnsi"/>
            <w:i/>
            <w:noProof/>
            <w:color w:val="000000" w:themeColor="text1"/>
          </w:rPr>
          <w:t>20</w:t>
        </w:r>
      </w:hyperlink>
      <w:r>
        <w:rPr>
          <w:rFonts w:cstheme="minorHAnsi"/>
          <w:i/>
          <w:noProof/>
          <w:color w:val="000000" w:themeColor="text1"/>
        </w:rPr>
        <w:t>)</w:t>
      </w:r>
      <w:r>
        <w:rPr>
          <w:rFonts w:cstheme="minorHAnsi"/>
          <w:i/>
          <w:color w:val="000000" w:themeColor="text1"/>
        </w:rPr>
        <w:fldChar w:fldCharType="end"/>
      </w:r>
      <w:r w:rsidRPr="00DE2832">
        <w:rPr>
          <w:rFonts w:cstheme="minorHAnsi"/>
          <w:i/>
          <w:color w:val="000000" w:themeColor="text1"/>
        </w:rPr>
        <w:t xml:space="preserve">. This analysis of national survey data found that White, Black, and Hispanic male menthol smokers did not differ in duration of abstinence or quit attempts when compared to White, Black, and Hispanic male non-menthol smokers, respectively. </w:t>
      </w:r>
    </w:p>
    <w:p w14:paraId="61438B80"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In the 2010 analysis of the NHIS-CCS data collected in 2005, Cubbin et al. </w:t>
      </w:r>
      <w:bookmarkStart w:id="32" w:name="_Hlk529968532"/>
      <w:r w:rsidRPr="00DE2832">
        <w:rPr>
          <w:rFonts w:cstheme="minorHAnsi"/>
          <w:color w:val="000000" w:themeColor="text1"/>
        </w:rPr>
        <w:fldChar w:fldCharType="begin"/>
      </w:r>
      <w:r>
        <w:rPr>
          <w:rFonts w:cstheme="minorHAnsi"/>
          <w:color w:val="000000" w:themeColor="text1"/>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20" w:tooltip="Cubbin, 2010 #53" w:history="1">
        <w:r>
          <w:rPr>
            <w:rFonts w:cstheme="minorHAnsi"/>
            <w:noProof/>
            <w:color w:val="000000" w:themeColor="text1"/>
          </w:rPr>
          <w:t>20</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w:t>
      </w:r>
      <w:bookmarkEnd w:id="32"/>
      <w:r w:rsidRPr="00DE2832">
        <w:rPr>
          <w:rFonts w:cstheme="minorHAnsi"/>
          <w:color w:val="000000" w:themeColor="text1"/>
        </w:rPr>
        <w:t>found that, for White men, the duration of abstinence was about eight months longer for former menthol smokers than former non-menthol smokers. Among Black men, the duration of abstinence was about 11 months longer for former menthol smokers than former non-menthol smokers. Among Hispanic men, the duration of abstinence was about 5 months shorter. None of these, however, were significant.</w:t>
      </w:r>
    </w:p>
    <w:p w14:paraId="774B8E61" w14:textId="77777777" w:rsidR="007F0AE0"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Cubbin et al. </w:t>
      </w:r>
      <w:r w:rsidRPr="00DE2832">
        <w:rPr>
          <w:rFonts w:cstheme="minorHAnsi"/>
          <w:color w:val="000000" w:themeColor="text1"/>
        </w:rPr>
        <w:fldChar w:fldCharType="begin"/>
      </w:r>
      <w:r>
        <w:rPr>
          <w:rFonts w:cstheme="minorHAnsi"/>
          <w:color w:val="000000" w:themeColor="text1"/>
        </w:rPr>
        <w:instrText xml:space="preserve"> ADDIN EN.CITE &lt;EndNote&gt;&lt;Cite&gt;&lt;RecNum&gt;53&lt;/RecNum&gt;&lt;DisplayText&gt;(20)&lt;/DisplayText&gt;&lt;record&gt;&lt;rec-number&gt;53&lt;/rec-number&gt;&lt;foreign-keys&gt;&lt;key app="EN" db-id="a2vz2dfp8xrad6exes75zwpiw5rxwa0vwapv" timestamp="0"&gt;53&lt;/key&gt;&lt;/foreign-keys&gt;&lt;ref-type name="Journal Article"&gt;17&lt;/ref-type&gt;&lt;contributors&gt;&lt;authors&gt;&lt;author&gt;Cubbin, C.&lt;/author&gt;&lt;author&gt;Soobader, M. J.&lt;/author&gt;&lt;author&gt;LeClere, F. B.&lt;/author&gt;&lt;/authors&gt;&lt;/contributors&gt;&lt;auth-address&gt;School of Social Work, University of Texas at Austin, Austin, TX 78712-0358, USA. ccubbin@austin.utexas.edu&lt;/auth-address&gt;&lt;titles&gt;&lt;title&gt;The intersection of gender and race/ethnicity in smoking behaviors among menthol and non-menthol smokers in the United States&lt;/title&gt;&lt;secondary-title&gt;Addiction&lt;/secondary-title&gt;&lt;/titles&gt;&lt;periodical&gt;&lt;full-title&gt;Addiction&lt;/full-title&gt;&lt;/periodical&gt;&lt;pages&gt;32-8&lt;/pages&gt;&lt;volume&gt;105 Suppl 1&lt;/volume&gt;&lt;keywords&gt;&lt;keyword&gt;Adult&lt;/keyword&gt;&lt;keyword&gt;African Americans/statistics &amp;amp; numerical data&lt;/keyword&gt;&lt;keyword&gt;Age of Onset&lt;/keyword&gt;&lt;keyword&gt;Cross-Sectional Studies&lt;/keyword&gt;&lt;keyword&gt;European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data&lt;/keyword&gt;&lt;keyword&gt;Humans&lt;/keyword&gt;&lt;keyword&gt;Male&lt;/keyword&gt;&lt;keyword&gt;*Menthol&lt;/keyword&gt;&lt;keyword&gt;Middle Aged&lt;/keyword&gt;&lt;keyword&gt;*Population Surveillance&lt;/keyword&gt;&lt;keyword&gt;Sex Factors&lt;/keyword&gt;&lt;keyword&gt;Smoking/*epidemiology/ethnology&lt;/keyword&gt;&lt;keyword&gt;Smoking Cessation/ethnology/statistics &amp;amp; numerical data&lt;/keyword&gt;&lt;keyword&gt;Socioeconomic Factors&lt;/keyword&gt;&lt;keyword&gt;United States/epidemiology&lt;/keyword&gt;&lt;/keywords&gt;&lt;dates&gt;&lt;year&gt;2010&lt;/year&gt;&lt;pub-dates&gt;&lt;date&gt;Dec&lt;/date&gt;&lt;/pub-dates&gt;&lt;/dates&gt;&lt;isbn&gt;1360-0443 (Electronic)&amp;#xD;0965-2140 (Linking)&lt;/isbn&gt;&lt;accession-num&gt;21059134&lt;/accession-num&gt;&lt;urls&gt;&lt;related-urls&gt;&lt;url&gt;http://www.ncbi.nlm.nih.gov/pubmed/21059134&lt;/url&gt;&lt;/related-urls&gt;&lt;/urls&gt;&lt;electronic-resource-num&gt;10.1111/j.1360-0443.2010.03191.x&lt;/electronic-resource-num&gt;&lt;research-notes&gt;#281&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20" w:tooltip="Cubbin, 2010 #53" w:history="1">
        <w:r>
          <w:rPr>
            <w:rFonts w:cstheme="minorHAnsi"/>
            <w:noProof/>
            <w:color w:val="000000" w:themeColor="text1"/>
          </w:rPr>
          <w:t>20</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also predicted the proportions of smokers who made a quit attempt in the past year (again, stratified by gender-race/ethnicity interactions). White male menthol smokers were 3.9 percent more likely than White male non-menthol smokers to have made a past-year quit attempt. Among Black men, menthol smokers were 11.0 percent more likely than Black non-menthol smokers to have made a quit attempt. For Hispanic men, about 19.5 percent more menthol smokers made a quit attempt in the past year. None of these, however, were significant.</w:t>
      </w:r>
    </w:p>
    <w:p w14:paraId="28A21A1F" w14:textId="77777777" w:rsidR="007F0AE0" w:rsidRDefault="007F0AE0" w:rsidP="007F0AE0">
      <w:pPr>
        <w:rPr>
          <w:rFonts w:cstheme="minorHAnsi"/>
          <w:color w:val="000000" w:themeColor="text1"/>
        </w:rPr>
      </w:pPr>
      <w:r>
        <w:rPr>
          <w:rFonts w:cstheme="minorHAnsi"/>
          <w:color w:val="000000" w:themeColor="text1"/>
        </w:rPr>
        <w:br w:type="page"/>
      </w:r>
    </w:p>
    <w:p w14:paraId="6DD0ECE7" w14:textId="77777777" w:rsidR="007F0AE0" w:rsidRPr="00810006" w:rsidRDefault="007F0AE0" w:rsidP="007F0AE0">
      <w:pPr>
        <w:spacing w:after="240" w:line="240" w:lineRule="auto"/>
        <w:jc w:val="center"/>
      </w:pPr>
      <w:r>
        <w:rPr>
          <w:rFonts w:cstheme="minorHAnsi"/>
          <w:b/>
          <w:color w:val="000000" w:themeColor="text1"/>
        </w:rPr>
        <w:lastRenderedPageBreak/>
        <w:t>REFERENCES</w:t>
      </w:r>
    </w:p>
    <w:p w14:paraId="031D4B5D"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fldChar w:fldCharType="begin"/>
      </w:r>
      <w:r w:rsidRPr="00810006">
        <w:rPr>
          <w:rFonts w:ascii="Calibri" w:hAnsi="Calibri" w:cs="Calibri"/>
          <w:noProof/>
        </w:rPr>
        <w:instrText xml:space="preserve"> ADDIN EN.REFLIST </w:instrText>
      </w:r>
      <w:r w:rsidRPr="00810006">
        <w:rPr>
          <w:rFonts w:ascii="Calibri" w:hAnsi="Calibri" w:cs="Calibri"/>
          <w:noProof/>
        </w:rPr>
        <w:fldChar w:fldCharType="separate"/>
      </w:r>
      <w:r w:rsidRPr="00810006">
        <w:rPr>
          <w:rFonts w:ascii="Calibri" w:hAnsi="Calibri" w:cs="Calibri"/>
          <w:noProof/>
        </w:rPr>
        <w:t>Berg, C.J., Thomas, J.L., Guo, H., An, L.C., Okuyemi, K.S., Collins, T.C., Ahluwalia, J.S., 2010. Predictors of smoking reduction among Blacks. Nicotine Tob Res 12(4), 423-431.</w:t>
      </w:r>
    </w:p>
    <w:p w14:paraId="15E0E29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Blot, W.J., Cohen, S.S., Aldrich, M., McLaughlin, J.K., Hargreaves, M.K., Signorello, L.B., 2011. Lung cancer risk among smokers of menthol cigarettes. J Natl Cancer Inst 103(10), 810-816.</w:t>
      </w:r>
    </w:p>
    <w:p w14:paraId="6F60757F"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Cropsey, K.L., Weaver, M.F., Eldridge, G.D., Villalobos, G.C., Best, A.M., Stitzer, M.L., 2009. Differential success rates in racial groups: results of a clinical trial of smoking cessation among female prisoners. Nicotine Tob Res 11(6), 690-697.</w:t>
      </w:r>
    </w:p>
    <w:p w14:paraId="6288690B"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Cubbin, C., Soobader, M.J., LeClere, F.B., 2010. The intersection of gender and race/ethnicity in smoking behaviors among menthol and non-menthol smokers in the United States. Addiction 105 Suppl 1, 32-38.</w:t>
      </w:r>
    </w:p>
    <w:p w14:paraId="2632B80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02CA565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Delnevo, C.D., Gundersen, D.A., Hrywna, M., Echeverria, S.E., Steinberg, M.B., 2011. Smoking-cessation prevalence among U.S. smokers of menthol versus non-menthol cigarettes. Am J Prev Med 41(4), 357-365.</w:t>
      </w:r>
    </w:p>
    <w:p w14:paraId="275DDAE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Fagan, P., Augustson, E., Backinger, C.L., O'Connell, M.E., Vollinger, R.E., Jr., Kaufman, A., Gibson, J.T., 2007. Quit attempts and intention to quit cigarette smoking among young adults in the United States. Am J Public Health 97(8), 1412-1420.</w:t>
      </w:r>
    </w:p>
    <w:p w14:paraId="56A3D7B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Faseru, B., Nollen, N.L., Mayo, M.S., Krebill, R., Choi, W.S., Benowitz, N.L., Tyndale, R.F., Okuyemi, K.S., Ahluwalia, J.S., Sanderson Cox, L., 2013. Predictors of cessation in African American light smokers enrolled in a bupropion clinical trial. Addict Behav 38(3), 1796-1803.</w:t>
      </w:r>
    </w:p>
    <w:p w14:paraId="669670DF"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Gandhi, K.K., Foulds, J., Steinberg, M.B., Lu, S.E., Williams, J.M., 2009. Lower quit rates among African American and Latino menthol cigarette smokers at a tobacco treatment clinic. Int J Clin Pract 63(3), 360-367.</w:t>
      </w:r>
    </w:p>
    <w:p w14:paraId="34751778"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Gundersen, D.A., Delnevo, C.D., Wackowski, O., 2009. Exploring the relationship between race/ethnicity, menthol smoking, and cessation, in a nationally representative sample of adults. Prev Med 49(6), 553-557.</w:t>
      </w:r>
    </w:p>
    <w:p w14:paraId="0B12251F"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Hyland, A., Garten, S., Giovino, G.A., Cummings, K.M., 2002. Mentholated cigarettes and smoking cessation: Findings from COMMIT. Tob Control 11, 135-139.</w:t>
      </w:r>
    </w:p>
    <w:p w14:paraId="5226D78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Hyland, A., Rivard, C., 2010. Analysis of mentholated cigarettes using the COMMIT data -- summary. Department of Health Behavior, Roswell Park Cancer Institute.</w:t>
      </w:r>
    </w:p>
    <w:p w14:paraId="3727118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Kahende, J.W., Malarcher, A.M., Teplinskaya, A., Asman, K.J., 2011. Quit attempt correlates among smokers by race/ethnicity. International journal of environmental research and public health 8(10), 3871-3888.</w:t>
      </w:r>
    </w:p>
    <w:p w14:paraId="70D8972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 xml:space="preserve">Keeler, C., Max, W., Yerger, V., Yao, T., Ong, M.K., Sung, H.-Y., 2017. The Association of Menthol Cigarette Use With Quit Attempts, Successful Cessation, and Intention to Quit Across Racial/Ethnic Groups in the </w:t>
      </w:r>
      <w:r w:rsidRPr="00810006">
        <w:rPr>
          <w:rFonts w:ascii="Calibri" w:hAnsi="Calibri" w:cs="Calibri"/>
          <w:noProof/>
        </w:rPr>
        <w:lastRenderedPageBreak/>
        <w:t>United States. Nicotine &amp; tobacco research : official journal of the Society for Research on Nicotine and Tobacco 19(12), 1450-1464.</w:t>
      </w:r>
    </w:p>
    <w:p w14:paraId="402B799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Keeler, C., Max, W., Yerger, V.B., Yao, T., Wang, Y., Ong, M.K., Sung, H.-Y., 2018. Effects of cigarette prices on intention to quit, quit attempts, and successful cessation among African American smokers. Nicotine &amp; tobacco research : official journal of the Society for Research on Nicotine and Tobacco.</w:t>
      </w:r>
    </w:p>
    <w:p w14:paraId="5EE4D8E4"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Muscat, J.E., Richie, J.P., Jr., Stellman, S.D., 2002. Mentholated cigarettes and smoking habits in whites and blacks. Tob Control 11, 368-371.</w:t>
      </w:r>
    </w:p>
    <w:p w14:paraId="0C619BC4"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Nonnemaker, J., Hersey, J., Homsi, G., Busey, A., Allen, J., Vallone, D., 2012. Initiation with menthol cigarettes and youth smoking uptake. Addiction 108(1), 171-178.</w:t>
      </w:r>
    </w:p>
    <w:p w14:paraId="17A1682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Okuyemi, K.S., Ahluwalia, J.S., Ebersole-Robinson, M., Catley, D., Mayo, M.S., Resnicow, K., 2003. Does menthol attenuate the effect of bupropion among African American smokers? Addiction 98, 1387-1393.</w:t>
      </w:r>
    </w:p>
    <w:p w14:paraId="262456C3"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Okuyemi, K.S., Faseru, B., Sanderson Cox, L., Bronars, C.A., Ahluwalia, J.S., 2007. Relationship between menthol cigarettes and smoking cessation among African American light smokers. Addiction 102(12), 1979-1986.</w:t>
      </w:r>
    </w:p>
    <w:p w14:paraId="5B21471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Pletcher, M.J., Hulley, B.J., Houston, T., Kiefe, C.I., Benowitz, N., Sidney, S., 2006. Menthol cigarettes, smoking cessation, atherosclerosis, and pulmonary function: the Coronary Artery Risk Development in Young Adults (CARDIA) Study. Arch Intern Med 166, 1915-1922.</w:t>
      </w:r>
    </w:p>
    <w:p w14:paraId="26B1057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Rath, J.M., Villanti, A.C., Williams, V.F., Richardson, A., Pearson, J.L., Vallone, D.M., 2015. Patterns of Longitudinal Transitions in Menthol Use Among US Young Adult Smokers. Nicotine Tob Res 17(7), 839-846.</w:t>
      </w:r>
    </w:p>
    <w:p w14:paraId="702A697C"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Reitzel, L.R., 2011a. Menthol cigarettes, tobacco dependence, and smoking cessation: Project BREAK FREE final report. The University of Texas, MD Anderson Cancer Center.</w:t>
      </w:r>
    </w:p>
    <w:p w14:paraId="261DA50C"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Reitzel, L.R., 2011b. Menthol cigarettes, tobacco dependence, and smoking cessation: Project CARE final report. University of Texas, MD Anderson Cancer Center.</w:t>
      </w:r>
    </w:p>
    <w:p w14:paraId="5A517F8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Reitzel, L.R., 2011c. Menthol cigarettes, tobacco dependence, and smoking cessation: Project MOM final report. The University of Texas, MD Anderson Cancer Center.</w:t>
      </w:r>
    </w:p>
    <w:p w14:paraId="0395FA12"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Reitzel, L.R., Li, Y., Stewart, D.W., Cao, Y., Wetter, D.W., Waters, A.J., Vidrine, J.I., 2013. Race moderates the effect of menthol cigarette use on short-term smoking abstinence. Nicotine Tob Res 15(5), 883-889.</w:t>
      </w:r>
    </w:p>
    <w:p w14:paraId="2BA73578"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Reitzel, L.R., Nguyen, N., Cao, Y., Vidrine, J.I., Daza, P., Mullen, P.D., Velasquez, M.M., Li, Y., Cinciripini, P.M., Cofta-Woerpel, L., Wetter, D.W., 2011. Race/ethnicity moderates the effect of prepartum menthol cigarette use on postpartum smoking abstinence. Nicotine Tob Res 13(12), 1305-1310.</w:t>
      </w:r>
    </w:p>
    <w:p w14:paraId="48BB078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Sulsky, S.I., Fuller, W.G., Van Landingham, C., Ogden, M.W., Swauger, J.E., Curtin, G.M., 2014. Evaluating the association between menthol cigarette use and the likelihood of being a former versus current smoker. Regul Toxicol Pharmacol 70(1), 231-241.</w:t>
      </w:r>
    </w:p>
    <w:p w14:paraId="4A1C6BBB" w14:textId="77777777" w:rsidR="007F0AE0" w:rsidRPr="00810006" w:rsidRDefault="007F0AE0" w:rsidP="007F0AE0">
      <w:pPr>
        <w:spacing w:after="240" w:line="240" w:lineRule="auto"/>
      </w:pPr>
      <w:r w:rsidRPr="00810006">
        <w:rPr>
          <w:rFonts w:ascii="Calibri" w:hAnsi="Calibri" w:cs="Calibri"/>
          <w:noProof/>
        </w:rPr>
        <w:t>Trinidad, D.R., Perez-Stable, E.J., Messer, K., White, M.M., Pierce, J.P., 2010. Menthol cigarettes and smoking cessation among racial/ethnic groups in the United States. Addiction 105 Suppl 1, 84-94.</w:t>
      </w:r>
      <w:r w:rsidRPr="00810006">
        <w:fldChar w:fldCharType="end"/>
      </w:r>
      <w:r w:rsidRPr="00DE2832">
        <w:rPr>
          <w:rFonts w:eastAsia="Times New Roman" w:cstheme="minorHAnsi"/>
          <w:b/>
          <w:bCs/>
        </w:rPr>
        <w:br w:type="page"/>
      </w:r>
    </w:p>
    <w:p w14:paraId="3F5DCCC9" w14:textId="77777777" w:rsidR="007F0AE0" w:rsidRPr="00DE2832" w:rsidRDefault="007F0AE0" w:rsidP="007F0AE0">
      <w:pPr>
        <w:spacing w:after="120" w:line="240" w:lineRule="auto"/>
        <w:outlineLvl w:val="0"/>
        <w:rPr>
          <w:rFonts w:eastAsia="Times New Roman" w:cstheme="minorHAnsi"/>
          <w:b/>
          <w:bCs/>
        </w:rPr>
      </w:pPr>
      <w:bookmarkStart w:id="33" w:name="Supp12"/>
      <w:r w:rsidRPr="00DE2832">
        <w:rPr>
          <w:rFonts w:cstheme="minorHAnsi"/>
          <w:b/>
        </w:rPr>
        <w:lastRenderedPageBreak/>
        <w:t>SUPPLEMENTAL</w:t>
      </w:r>
      <w:r w:rsidRPr="00DE2832">
        <w:rPr>
          <w:rFonts w:eastAsia="Times New Roman" w:cstheme="minorHAnsi"/>
          <w:b/>
          <w:bCs/>
        </w:rPr>
        <w:t xml:space="preserve"> SECTION 1</w:t>
      </w:r>
      <w:r>
        <w:rPr>
          <w:rFonts w:eastAsia="Times New Roman" w:cstheme="minorHAnsi"/>
          <w:b/>
          <w:bCs/>
        </w:rPr>
        <w:t>5</w:t>
      </w:r>
      <w:r w:rsidRPr="00DE2832">
        <w:rPr>
          <w:rFonts w:eastAsia="Times New Roman" w:cstheme="minorHAnsi"/>
          <w:b/>
          <w:bCs/>
        </w:rPr>
        <w:t xml:space="preserve">: </w:t>
      </w:r>
      <w:r>
        <w:rPr>
          <w:rFonts w:eastAsia="Times New Roman" w:cstheme="minorHAnsi"/>
          <w:b/>
          <w:bCs/>
        </w:rPr>
        <w:t>Unadjusted Analyses</w:t>
      </w:r>
    </w:p>
    <w:bookmarkEnd w:id="33"/>
    <w:p w14:paraId="0C860B6C" w14:textId="77777777" w:rsidR="007F0AE0" w:rsidRPr="00DE2832" w:rsidRDefault="007F0AE0" w:rsidP="007F0AE0">
      <w:pPr>
        <w:spacing w:after="120" w:line="240" w:lineRule="auto"/>
        <w:jc w:val="both"/>
        <w:rPr>
          <w:rFonts w:eastAsia="Calibri" w:cstheme="minorHAnsi"/>
        </w:rPr>
      </w:pPr>
      <w:r w:rsidRPr="00DE2832">
        <w:rPr>
          <w:rFonts w:eastAsia="Times New Roman" w:cstheme="minorHAnsi"/>
          <w:b/>
          <w:bCs/>
        </w:rPr>
        <w:t>Unadjusted Analyses (Descriptive Statistics and/or Simple Results)</w:t>
      </w:r>
    </w:p>
    <w:p w14:paraId="0D70DDE4"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Results presented in this section are from statistical analyses that did not address or account for the three key confounding factors, and they should be interpreted with caution. Some associations observed may be due to factors for which analyses were not adjusted, while other associations that actually exist may be masked by these factors. Unadjusted results are presented here for the sake of completeness, but they should be considered </w:t>
      </w:r>
      <w:r w:rsidRPr="00DE2832">
        <w:rPr>
          <w:rFonts w:eastAsia="Calibri" w:cstheme="minorHAnsi"/>
          <w:i/>
        </w:rPr>
        <w:t>only</w:t>
      </w:r>
      <w:r w:rsidRPr="00DE2832">
        <w:rPr>
          <w:rFonts w:eastAsia="Calibri" w:cstheme="minorHAnsi"/>
        </w:rPr>
        <w:t xml:space="preserve"> in the absence or paucity of adjusted analyses. Results are presented </w:t>
      </w:r>
      <w:r w:rsidRPr="00DE2832">
        <w:rPr>
          <w:rFonts w:eastAsia="Calibri" w:cstheme="minorHAnsi"/>
          <w:i/>
        </w:rPr>
        <w:t>only</w:t>
      </w:r>
      <w:r w:rsidRPr="00DE2832">
        <w:rPr>
          <w:rFonts w:eastAsia="Calibri" w:cstheme="minorHAnsi"/>
        </w:rPr>
        <w:t xml:space="preserve"> for studies or measures within a study </w:t>
      </w:r>
      <w:r w:rsidRPr="00DE2832">
        <w:rPr>
          <w:rFonts w:eastAsia="Calibri" w:cstheme="minorHAnsi"/>
          <w:i/>
        </w:rPr>
        <w:t xml:space="preserve">that did not also report </w:t>
      </w:r>
      <w:r w:rsidRPr="00DE2832">
        <w:rPr>
          <w:rFonts w:eastAsia="Calibri" w:cstheme="minorHAnsi"/>
        </w:rPr>
        <w:t>adjusted results.</w:t>
      </w:r>
    </w:p>
    <w:p w14:paraId="3DFD3B63"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As described in the Methods, the words “significant” and “significantly” are used herein to indicate </w:t>
      </w:r>
      <w:r w:rsidRPr="00DE2832">
        <w:rPr>
          <w:rFonts w:eastAsia="Calibri" w:cstheme="minorHAnsi"/>
          <w:i/>
        </w:rPr>
        <w:t>statistical</w:t>
      </w:r>
      <w:r w:rsidRPr="00DE2832">
        <w:rPr>
          <w:rFonts w:eastAsia="Calibri" w:cstheme="minorHAnsi"/>
        </w:rPr>
        <w:t xml:space="preserve"> significance (i.e., p&lt;0.05 and/or confidence interval excludes 1.0). An "increase" or "decrease" that is </w:t>
      </w:r>
      <w:r w:rsidRPr="00DE2832">
        <w:rPr>
          <w:rFonts w:eastAsia="Calibri" w:cstheme="minorHAnsi"/>
          <w:i/>
        </w:rPr>
        <w:t>not</w:t>
      </w:r>
      <w:r w:rsidRPr="00DE2832">
        <w:rPr>
          <w:rFonts w:eastAsia="Calibri" w:cstheme="minorHAnsi"/>
        </w:rPr>
        <w:t xml:space="preserve"> also described as "significant" is either a non-statistically significant increase or decrease or statistical significance was not described in the data source.</w:t>
      </w:r>
    </w:p>
    <w:p w14:paraId="36DC0A59" w14:textId="77777777" w:rsidR="007F0AE0" w:rsidRPr="00DE2832" w:rsidRDefault="007F0AE0" w:rsidP="007F0AE0">
      <w:pPr>
        <w:spacing w:after="120" w:line="240" w:lineRule="auto"/>
        <w:jc w:val="both"/>
        <w:outlineLvl w:val="1"/>
        <w:rPr>
          <w:rFonts w:eastAsia="Calibri" w:cstheme="minorHAnsi"/>
          <w:i/>
          <w:u w:val="single"/>
        </w:rPr>
      </w:pPr>
      <w:r w:rsidRPr="00DE2832">
        <w:rPr>
          <w:rFonts w:eastAsia="Calibri" w:cstheme="minorHAnsi"/>
          <w:i/>
          <w:u w:val="single"/>
        </w:rPr>
        <w:t>Unadjusted Results: Duration of Abstinence</w:t>
      </w:r>
    </w:p>
    <w:p w14:paraId="3285D9D1" w14:textId="77777777" w:rsidR="007F0AE0" w:rsidRPr="0071742A" w:rsidRDefault="007F0AE0" w:rsidP="007F0AE0">
      <w:pPr>
        <w:spacing w:after="120" w:line="240" w:lineRule="auto"/>
        <w:jc w:val="both"/>
        <w:rPr>
          <w:rFonts w:eastAsia="Calibri" w:cstheme="minorHAnsi"/>
        </w:rPr>
      </w:pPr>
      <w:r w:rsidRPr="0071742A">
        <w:rPr>
          <w:rFonts w:eastAsia="Calibri" w:cstheme="minorHAnsi"/>
          <w:i/>
        </w:rPr>
        <w:t>Ten studies</w:t>
      </w:r>
      <w:r>
        <w:rPr>
          <w:rFonts w:eastAsia="Calibri" w:cstheme="minorHAnsi"/>
          <w:i/>
        </w:rPr>
        <w:t xml:space="preserve"> </w:t>
      </w:r>
      <w:r>
        <w:rPr>
          <w:rFonts w:eastAsia="Calibri" w:cstheme="minorHAnsi"/>
          <w:i/>
        </w:rPr>
        <w:fldChar w:fldCharType="begin">
          <w:fldData xml:space="preserve">PEVuZE5vdGU+PENpdGU+PEF1dGhvcj5BbGV4YW5kZXI8L0F1dGhvcj48WWVhcj4yMDEwPC9ZZWFy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</w:fldData>
        </w:fldChar>
      </w:r>
      <w:r>
        <w:rPr>
          <w:rFonts w:eastAsia="Calibri" w:cstheme="minorHAnsi"/>
          <w:i/>
        </w:rPr>
        <w:instrText xml:space="preserve"> ADDIN EN.CITE </w:instrText>
      </w:r>
      <w:r>
        <w:rPr>
          <w:rFonts w:eastAsia="Calibri" w:cstheme="minorHAnsi"/>
          <w:i/>
        </w:rPr>
        <w:fldChar w:fldCharType="begin">
          <w:fldData xml:space="preserve">PEVuZE5vdGU+PENpdGU+PEF1dGhvcj5BbGV4YW5kZXI8L0F1dGhvcj48WWVhcj4yMDEwPC9ZZWFy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2" w:tooltip="Fagan, 2010 #56" w:history="1">
        <w:r>
          <w:rPr>
            <w:rFonts w:eastAsia="Calibri" w:cstheme="minorHAnsi"/>
            <w:i/>
            <w:noProof/>
          </w:rPr>
          <w:t>12-18</w:t>
        </w:r>
      </w:hyperlink>
      <w:r>
        <w:rPr>
          <w:rFonts w:eastAsia="Calibri" w:cstheme="minorHAnsi"/>
          <w:i/>
          <w:noProof/>
        </w:rPr>
        <w:t xml:space="preserve">, </w:t>
      </w:r>
      <w:hyperlink w:anchor="_ENREF_21" w:tooltip="Brooks, 2003 #290" w:history="1">
        <w:r>
          <w:rPr>
            <w:rFonts w:eastAsia="Calibri" w:cstheme="minorHAnsi"/>
            <w:i/>
            <w:noProof/>
          </w:rPr>
          <w:t>21</w:t>
        </w:r>
      </w:hyperlink>
      <w:r>
        <w:rPr>
          <w:rFonts w:eastAsia="Calibri" w:cstheme="minorHAnsi"/>
          <w:i/>
          <w:noProof/>
        </w:rPr>
        <w:t xml:space="preserve">, </w:t>
      </w:r>
      <w:hyperlink w:anchor="_ENREF_22" w:tooltip="Mendiondo, 2010 #60" w:history="1">
        <w:r>
          <w:rPr>
            <w:rFonts w:eastAsia="Calibri" w:cstheme="minorHAnsi"/>
            <w:i/>
            <w:noProof/>
          </w:rPr>
          <w:t>22</w:t>
        </w:r>
      </w:hyperlink>
      <w:r>
        <w:rPr>
          <w:rFonts w:eastAsia="Calibri" w:cstheme="minorHAnsi"/>
          <w:i/>
          <w:noProof/>
        </w:rPr>
        <w:t xml:space="preserve">, </w:t>
      </w:r>
      <w:hyperlink w:anchor="_ENREF_24" w:tooltip="Okuyemi, 2007 #74" w:history="1">
        <w:r>
          <w:rPr>
            <w:rFonts w:eastAsia="Calibri" w:cstheme="minorHAnsi"/>
            <w:i/>
            <w:noProof/>
          </w:rPr>
          <w:t>24</w:t>
        </w:r>
      </w:hyperlink>
      <w:r>
        <w:rPr>
          <w:rFonts w:eastAsia="Calibri" w:cstheme="minorHAnsi"/>
          <w:i/>
          <w:noProof/>
        </w:rPr>
        <w:t>)</w:t>
      </w:r>
      <w:r>
        <w:rPr>
          <w:rFonts w:eastAsia="Calibri" w:cstheme="minorHAnsi"/>
          <w:i/>
        </w:rPr>
        <w:fldChar w:fldCharType="end"/>
      </w:r>
      <w:r w:rsidRPr="0071742A">
        <w:rPr>
          <w:rFonts w:eastAsia="Calibri" w:cstheme="minorHAnsi"/>
          <w:i/>
        </w:rPr>
        <w:t xml:space="preserve"> reported duration of abstinence and did not adjust for potential confounders. In the summary below, when a study reported results that varied by time point, the longest duration since quitting or baseline was used.</w:t>
      </w:r>
    </w:p>
    <w:p w14:paraId="5401E677" w14:textId="77777777" w:rsidR="007F0AE0" w:rsidRPr="0071742A" w:rsidRDefault="007F0AE0" w:rsidP="007F0AE0">
      <w:pPr>
        <w:spacing w:after="120" w:line="240" w:lineRule="auto"/>
        <w:jc w:val="both"/>
        <w:rPr>
          <w:rFonts w:eastAsia="Calibri" w:cstheme="minorHAnsi"/>
          <w:i/>
        </w:rPr>
      </w:pPr>
      <w:r w:rsidRPr="0071742A">
        <w:rPr>
          <w:rFonts w:eastAsia="Calibri" w:cstheme="minorHAnsi"/>
          <w:i/>
        </w:rPr>
        <w:t xml:space="preserve">Two studies found that the mean duration of abstinence was </w:t>
      </w:r>
      <w:r>
        <w:rPr>
          <w:rFonts w:eastAsia="Calibri" w:cstheme="minorHAnsi"/>
          <w:i/>
        </w:rPr>
        <w:t>statistically significantly</w:t>
      </w:r>
      <w:r w:rsidRPr="0071742A">
        <w:rPr>
          <w:rFonts w:eastAsia="Calibri" w:cstheme="minorHAnsi"/>
          <w:i/>
        </w:rPr>
        <w:t xml:space="preserve"> shorter for menthol smokers than non-menthol smokers, although a reporting error was suspected in one. Another study found no </w:t>
      </w:r>
      <w:r>
        <w:rPr>
          <w:rFonts w:eastAsia="Calibri" w:cstheme="minorHAnsi"/>
          <w:i/>
        </w:rPr>
        <w:t>significant</w:t>
      </w:r>
      <w:r w:rsidRPr="0071742A">
        <w:rPr>
          <w:rFonts w:eastAsia="Calibri" w:cstheme="minorHAnsi"/>
          <w:i/>
        </w:rPr>
        <w:t xml:space="preserve"> difference in terms of duration of longest quit period among Black menthol and non-menthol smokers. Three additional studies observed shorter mean durations of abstinence among menthol smokers but did not report any significance testing. One study found no significant differences between menthol and non-menthol smokers in terms of both longest ever quit attempt” and “duration of most recent quit attempt”</w:t>
      </w:r>
      <w:r>
        <w:rPr>
          <w:rFonts w:eastAsia="Calibri" w:cstheme="minorHAnsi"/>
          <w:i/>
        </w:rPr>
        <w:t xml:space="preserve">. </w:t>
      </w:r>
      <w:r w:rsidRPr="0071742A">
        <w:rPr>
          <w:rFonts w:eastAsia="Calibri" w:cstheme="minorHAnsi"/>
          <w:i/>
        </w:rPr>
        <w:t>One study reported mixed results based on categorical duration: more menthol smokers than non-menthol smokers quit within the year prior to survey, but fewer menthol smokers than non-menthol smokers had quit more than one year prior. A study reported that the geometric mean duration of abstinence was identical between menthol and non-menthol smokers; using categorical data, a higher percentage of menthol smokers reported longer durations of abstinence. One study reported only that menthol users and non-menthol users were comparable in longest quit duration in the past.</w:t>
      </w:r>
      <w:r w:rsidRPr="0071742A">
        <w:rPr>
          <w:rFonts w:eastAsia="Calibri" w:cstheme="minorHAnsi"/>
        </w:rPr>
        <w:t xml:space="preserve"> </w:t>
      </w:r>
    </w:p>
    <w:p w14:paraId="67F33E44"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In an analysis of data from over 900 young adults 18 to 34 years old collected during the 2011 National Young Adult Health Survey, Delnevo et al. </w:t>
      </w:r>
      <w:r w:rsidRPr="0071742A">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1742A">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w:t>
      </w:r>
      <w:r>
        <w:rPr>
          <w:rFonts w:eastAsia="Calibri" w:cstheme="minorHAnsi"/>
        </w:rPr>
        <w:t>observed</w:t>
      </w:r>
      <w:r w:rsidRPr="0071742A">
        <w:rPr>
          <w:rFonts w:eastAsia="Calibri" w:cstheme="minorHAnsi"/>
        </w:rPr>
        <w:t xml:space="preserve"> that the rate of former smokers who quit during the year prior to the survey was higher for former menthol smokers (9.8%, 95% CI: 5.6, 16.5) than non-menthol smokers (7.2%, 95% CI: 4.7, 10.8). However, the rate of former smokers who quit more than 1 year prior to the survey (and remained abstinent) was</w:t>
      </w:r>
      <w:r>
        <w:rPr>
          <w:rFonts w:eastAsia="Calibri" w:cstheme="minorHAnsi"/>
        </w:rPr>
        <w:t xml:space="preserve"> observed as</w:t>
      </w:r>
      <w:r w:rsidRPr="0071742A">
        <w:rPr>
          <w:rFonts w:eastAsia="Calibri" w:cstheme="minorHAnsi"/>
        </w:rPr>
        <w:t xml:space="preserve"> higher among former non-menthol smokers (25.5%, 95% CI: 20.7, 31.0) than former menthol smokers (19.0%, 95% CI: 13.9, 25.6).</w:t>
      </w:r>
      <w:r>
        <w:rPr>
          <w:rFonts w:eastAsia="Calibri" w:cstheme="minorHAnsi"/>
        </w:rPr>
        <w:t xml:space="preserve"> Statistical analyses between the respective values was not performed.</w:t>
      </w:r>
    </w:p>
    <w:p w14:paraId="79A8AB23" w14:textId="77777777" w:rsidR="007F0AE0" w:rsidRDefault="007F0AE0" w:rsidP="007F0AE0">
      <w:pPr>
        <w:spacing w:after="120" w:line="240" w:lineRule="auto"/>
        <w:jc w:val="both"/>
        <w:rPr>
          <w:rFonts w:eastAsia="Calibri" w:cstheme="minorHAnsi"/>
        </w:rPr>
      </w:pPr>
      <w:r w:rsidRPr="0071742A">
        <w:rPr>
          <w:rFonts w:eastAsia="Calibri" w:cstheme="minorHAnsi"/>
        </w:rPr>
        <w:t xml:space="preserve">In data from 928 female smokers, Rosenbloom et al. </w:t>
      </w:r>
      <w:r w:rsidRPr="0071742A">
        <w:rPr>
          <w:rFonts w:eastAsia="Calibri" w:cstheme="minorHAnsi"/>
        </w:rPr>
        <w:fldChar w:fldCharType="begin"/>
      </w:r>
      <w:r>
        <w:rPr>
          <w:rFonts w:eastAsia="Calibri" w:cstheme="minorHAnsi"/>
        </w:rPr>
        <w:instrText xml:space="preserve"> ADDIN EN.CITE &lt;EndNote&gt;&lt;Cite&gt;&lt;RecNum&gt;32&lt;/RecNum&gt;&lt;DisplayText&gt;(17)&lt;/DisplayText&gt;&lt;record&gt;&lt;rec-number&gt;32&lt;/rec-number&gt;&lt;foreign-keys&gt;&lt;key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71742A">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reported the percentages of women who reported being unable to have quit for at least 90 days. Results for the overall sample of women were reported; 56.0 percent of menthol smokers’ longest quit times were less than 90 days and that 44.0 percent were greater. For non-menthol smokers, they report that 46.5 percent quit for less than 90 days and 68.3 percent quit for longer. This Review’s authors noted that the sum of the percentages for non-menthol smokers does not equal 100 and suspect a reporting error in the paper. As a result, the reported significant difference between menthol and non-menthol (p=0.01) must be interpreted with caution. When stratified by race, there were no significant differences</w:t>
      </w:r>
      <w:r>
        <w:rPr>
          <w:rFonts w:eastAsia="Calibri" w:cstheme="minorHAnsi"/>
        </w:rPr>
        <w:t xml:space="preserve">: </w:t>
      </w:r>
      <w:r w:rsidRPr="0071742A">
        <w:rPr>
          <w:rFonts w:eastAsia="Calibri" w:cstheme="minorHAnsi"/>
        </w:rPr>
        <w:t xml:space="preserve">White menthol smokers </w:t>
      </w:r>
      <w:r>
        <w:rPr>
          <w:rFonts w:eastAsia="Calibri" w:cstheme="minorHAnsi"/>
        </w:rPr>
        <w:t xml:space="preserve">and non-menthol smokers did not </w:t>
      </w:r>
      <w:r w:rsidRPr="0071742A">
        <w:rPr>
          <w:rFonts w:eastAsia="Calibri" w:cstheme="minorHAnsi"/>
        </w:rPr>
        <w:t>report</w:t>
      </w:r>
      <w:r>
        <w:rPr>
          <w:rFonts w:eastAsia="Calibri" w:cstheme="minorHAnsi"/>
        </w:rPr>
        <w:t xml:space="preserve"> statistically significantly different</w:t>
      </w:r>
      <w:r w:rsidRPr="0071742A">
        <w:rPr>
          <w:rFonts w:eastAsia="Calibri" w:cstheme="minorHAnsi"/>
        </w:rPr>
        <w:t xml:space="preserve"> longest quit time less than 90 days (46.6% vs. 53.7%, respectively; p=0.11)</w:t>
      </w:r>
      <w:r>
        <w:rPr>
          <w:rFonts w:eastAsia="Calibri" w:cstheme="minorHAnsi"/>
        </w:rPr>
        <w:t xml:space="preserve">; </w:t>
      </w:r>
      <w:r w:rsidRPr="0071742A">
        <w:rPr>
          <w:rFonts w:eastAsia="Calibri" w:cstheme="minorHAnsi"/>
        </w:rPr>
        <w:t xml:space="preserve">Black </w:t>
      </w:r>
      <w:r w:rsidRPr="0071742A">
        <w:rPr>
          <w:rFonts w:eastAsia="Calibri" w:cstheme="minorHAnsi"/>
        </w:rPr>
        <w:lastRenderedPageBreak/>
        <w:t>menthol</w:t>
      </w:r>
      <w:r>
        <w:rPr>
          <w:rFonts w:eastAsia="Calibri" w:cstheme="minorHAnsi"/>
        </w:rPr>
        <w:t xml:space="preserve"> and non-menthol</w:t>
      </w:r>
      <w:r w:rsidRPr="0071742A">
        <w:rPr>
          <w:rFonts w:eastAsia="Calibri" w:cstheme="minorHAnsi"/>
        </w:rPr>
        <w:t xml:space="preserve"> smokers </w:t>
      </w:r>
      <w:r>
        <w:rPr>
          <w:rFonts w:eastAsia="Calibri" w:cstheme="minorHAnsi"/>
        </w:rPr>
        <w:t xml:space="preserve">did not </w:t>
      </w:r>
      <w:r w:rsidRPr="0071742A">
        <w:rPr>
          <w:rFonts w:eastAsia="Calibri" w:cstheme="minorHAnsi"/>
        </w:rPr>
        <w:t>report</w:t>
      </w:r>
      <w:r>
        <w:rPr>
          <w:rFonts w:eastAsia="Calibri" w:cstheme="minorHAnsi"/>
        </w:rPr>
        <w:t xml:space="preserve"> statistically significant different</w:t>
      </w:r>
      <w:r w:rsidRPr="0071742A">
        <w:rPr>
          <w:rFonts w:eastAsia="Calibri" w:cstheme="minorHAnsi"/>
        </w:rPr>
        <w:t xml:space="preserve"> duration</w:t>
      </w:r>
      <w:r>
        <w:rPr>
          <w:rFonts w:eastAsia="Calibri" w:cstheme="minorHAnsi"/>
        </w:rPr>
        <w:t>s</w:t>
      </w:r>
      <w:r w:rsidRPr="0071742A">
        <w:rPr>
          <w:rFonts w:eastAsia="Calibri" w:cstheme="minorHAnsi"/>
        </w:rPr>
        <w:t xml:space="preserve"> of longest quit (58.2% vs. 42.8%, respectively; p=0.13).</w:t>
      </w:r>
    </w:p>
    <w:p w14:paraId="56BA6842"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King et al. </w:t>
      </w:r>
      <w:r w:rsidRPr="0071742A">
        <w:rPr>
          <w:rFonts w:eastAsia="Calibri" w:cstheme="minorHAnsi"/>
        </w:rPr>
        <w:fldChar w:fldCharType="begin"/>
      </w:r>
      <w:r>
        <w:rPr>
          <w:rFonts w:eastAsia="Calibri" w:cstheme="minorHAnsi"/>
        </w:rPr>
        <w:instrText xml:space="preserve"> ADDIN EN.CITE &lt;EndNote&gt;&lt;Cite&gt;&lt;RecNum&gt;104&lt;/RecNum&gt;&lt;DisplayText&gt;(13)&lt;/DisplayText&gt;&lt;record&gt;&lt;rec-number&gt;104&lt;/rec-number&gt;&lt;foreign-keys&gt;&lt;key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71742A">
        <w:rPr>
          <w:rFonts w:eastAsia="Calibri" w:cstheme="minorHAnsi"/>
        </w:rPr>
        <w:fldChar w:fldCharType="separate"/>
      </w:r>
      <w:r>
        <w:rPr>
          <w:rFonts w:eastAsia="Calibri" w:cstheme="minorHAnsi"/>
          <w:noProof/>
        </w:rPr>
        <w:t>(</w:t>
      </w:r>
      <w:hyperlink w:anchor="_ENREF_13" w:tooltip="King, 2011 #104" w:history="1">
        <w:r>
          <w:rPr>
            <w:rFonts w:eastAsia="Calibri" w:cstheme="minorHAnsi"/>
            <w:noProof/>
          </w:rPr>
          <w:t>13</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reported baseline data from a trial of cessation aids and counseling in 291 White and Black adult smokers age 18 to 65 who averaged between 10 and 40 Cigarettes Per Day (CPD). Authors reported that “…menthol users and non-menthol users were comparable in terms of… longest quit time in the past…” No additional data were provided. </w:t>
      </w:r>
    </w:p>
    <w:p w14:paraId="483E8045"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Alexander et al. </w:t>
      </w:r>
      <w:r w:rsidRPr="0071742A">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1742A">
        <w:rPr>
          <w:rFonts w:eastAsia="Calibri" w:cstheme="minorHAnsi"/>
        </w:rPr>
        <w:fldChar w:fldCharType="separate"/>
      </w:r>
      <w:r>
        <w:rPr>
          <w:rFonts w:eastAsia="Calibri" w:cstheme="minorHAnsi"/>
          <w:noProof/>
        </w:rPr>
        <w:t>(</w:t>
      </w:r>
      <w:hyperlink w:anchor="_ENREF_14" w:tooltip="Alexander, 2010 #59" w:history="1">
        <w:r>
          <w:rPr>
            <w:rFonts w:eastAsia="Calibri" w:cstheme="minorHAnsi"/>
            <w:noProof/>
          </w:rPr>
          <w:t>14</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reported data from over 12,000 adult current and former smokers in the 2006/2007 Tobacco Use Supplement to the Current Population Survey (TUS-CPS), in which participants were asked </w:t>
      </w:r>
      <w:r w:rsidRPr="0071742A">
        <w:rPr>
          <w:rFonts w:eastAsia="Calibri" w:cstheme="minorHAnsi"/>
          <w:i/>
        </w:rPr>
        <w:t xml:space="preserve">“What is the longest length of time you stopped smoking (months)?” </w:t>
      </w:r>
      <w:r w:rsidRPr="0071742A">
        <w:rPr>
          <w:rFonts w:eastAsia="Calibri" w:cstheme="minorHAnsi"/>
        </w:rPr>
        <w:t>They</w:t>
      </w:r>
      <w:r w:rsidRPr="0071742A">
        <w:rPr>
          <w:rFonts w:eastAsia="Calibri" w:cstheme="minorHAnsi"/>
          <w:i/>
        </w:rPr>
        <w:t xml:space="preserve"> </w:t>
      </w:r>
      <w:r w:rsidRPr="0071742A">
        <w:rPr>
          <w:rFonts w:eastAsia="Calibri" w:cstheme="minorHAnsi"/>
        </w:rPr>
        <w:t>found a very slightly shorter mean duration of abstinence for menthol smokers (2.0 months, SE: 0.2) compared with non-menthol smokers (2.2 months, Standard Error [SE]: 0.2)</w:t>
      </w:r>
      <w:r>
        <w:rPr>
          <w:rFonts w:eastAsia="Calibri" w:cstheme="minorHAnsi"/>
        </w:rPr>
        <w:t>, although no significant testing was reported.</w:t>
      </w:r>
    </w:p>
    <w:p w14:paraId="20CBBE2C"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Fagan et al. </w:t>
      </w:r>
      <w:r w:rsidRPr="0071742A">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 </w:instrText>
      </w:r>
      <w:r>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1742A">
        <w:rPr>
          <w:rFonts w:eastAsia="Calibri" w:cstheme="minorHAnsi"/>
        </w:rPr>
        <w:fldChar w:fldCharType="separate"/>
      </w:r>
      <w:r>
        <w:rPr>
          <w:rFonts w:eastAsia="Calibri" w:cstheme="minorHAnsi"/>
          <w:noProof/>
        </w:rPr>
        <w:t>(</w:t>
      </w:r>
      <w:hyperlink w:anchor="_ENREF_12" w:tooltip="Fagan, 2010 #56" w:history="1">
        <w:r>
          <w:rPr>
            <w:rFonts w:eastAsia="Calibri" w:cstheme="minorHAnsi"/>
            <w:noProof/>
          </w:rPr>
          <w:t>12</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analyzed data on duration of abstinence from current daily smokers in the 2003 and 2006/07 TUS-CPS (N=46,273). Among menthol smokers, 67.6 percent did not quit for longer than two weeks, compared with 67.2 percent of non-menthol smokers. Results for menthol and non-menthol smokers were similar at durations between two weeks and one month (6.6% vs. 7.3%); one months and three months (15.9% vs. 15.6%); three months and six months (4.5% vs. 5.1%); and greater than six months (5.3% vs. 4.8%). The geometric mean duration of abstinence was identical for menthol and non-menthol smokers (0.32 months).</w:t>
      </w:r>
      <w:r w:rsidRPr="0071742A">
        <w:rPr>
          <w:rFonts w:eastAsia="Calibri" w:cstheme="minorHAnsi"/>
        </w:rPr>
        <w:tab/>
      </w:r>
    </w:p>
    <w:p w14:paraId="434B4F10"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Using the 2005 National Health Interview Survey (NHIS), Mendiondo et al. </w:t>
      </w:r>
      <w:r w:rsidRPr="0071742A">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71742A">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analyzed data from 5,949 adult former smokers. They found that the mean time since quitting was </w:t>
      </w:r>
      <w:r>
        <w:rPr>
          <w:rFonts w:eastAsia="Calibri" w:cstheme="minorHAnsi"/>
        </w:rPr>
        <w:t>statistically significantly</w:t>
      </w:r>
      <w:r w:rsidRPr="0071742A">
        <w:rPr>
          <w:rFonts w:eastAsia="Calibri" w:cstheme="minorHAnsi"/>
        </w:rPr>
        <w:t xml:space="preserve"> shorter for menthol smokers (15.6 years) than non-menthol smokers (17.9 years; p&lt;0.001). Subgroup analyses of various races/ethnicities were also performed, as follows: time since quitting was </w:t>
      </w:r>
      <w:r>
        <w:rPr>
          <w:rFonts w:eastAsia="Calibri" w:cstheme="minorHAnsi"/>
        </w:rPr>
        <w:t>statistically significantly</w:t>
      </w:r>
      <w:r w:rsidRPr="0071742A">
        <w:rPr>
          <w:rFonts w:eastAsia="Calibri" w:cstheme="minorHAnsi"/>
        </w:rPr>
        <w:t xml:space="preserve"> shorter for Black menthol smokers (12.9 years) than Black non-menthol smokers (17.7 years; p&lt;0.001); White menthol smokers (16.6 years) reported </w:t>
      </w:r>
      <w:r>
        <w:rPr>
          <w:rFonts w:eastAsia="Calibri" w:cstheme="minorHAnsi"/>
        </w:rPr>
        <w:t>statistically significant</w:t>
      </w:r>
      <w:r w:rsidRPr="0071742A">
        <w:rPr>
          <w:rFonts w:eastAsia="Calibri" w:cstheme="minorHAnsi"/>
        </w:rPr>
        <w:t xml:space="preserve"> shorter duration of abstinence than White non-menthol smokers (18.5 years; p=0.002); Hispanic menthol and non-menthol smokers were not </w:t>
      </w:r>
      <w:r>
        <w:rPr>
          <w:rFonts w:eastAsia="Calibri" w:cstheme="minorHAnsi"/>
        </w:rPr>
        <w:t>statistically significantly</w:t>
      </w:r>
      <w:r w:rsidRPr="0071742A">
        <w:rPr>
          <w:rFonts w:eastAsia="Calibri" w:cstheme="minorHAnsi"/>
        </w:rPr>
        <w:t xml:space="preserve"> different in terms of duration of abstinence (12.0 and 12.9 years, respectively; p=0.50).</w:t>
      </w:r>
    </w:p>
    <w:p w14:paraId="3B24F1AE"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In unadjusted baseline (cross-sectional) data from one of the Kick It at Swope trials, Okuyemi et al. </w:t>
      </w:r>
      <w:r w:rsidRPr="0071742A">
        <w:rPr>
          <w:rFonts w:eastAsia="Calibri" w:cstheme="minorHAnsi"/>
        </w:rPr>
        <w:fldChar w:fldCharType="begin"/>
      </w:r>
      <w:r>
        <w:rPr>
          <w:rFonts w:eastAsia="Calibri" w:cstheme="minorHAnsi"/>
        </w:rPr>
        <w:instrText xml:space="preserve"> ADDIN EN.CITE &lt;EndNote&gt;&lt;Cite&gt;&lt;RecNum&gt;74&lt;/RecNum&gt;&lt;DisplayText&gt;(24)&lt;/DisplayText&gt;&lt;record&gt;&lt;rec-number&gt;74&lt;/rec-number&gt;&lt;foreign-keys&gt;&lt;key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71742A">
        <w:rPr>
          <w:rFonts w:eastAsia="Calibri" w:cstheme="minorHAnsi"/>
        </w:rPr>
        <w:fldChar w:fldCharType="separate"/>
      </w:r>
      <w:r>
        <w:rPr>
          <w:rFonts w:eastAsia="Calibri" w:cstheme="minorHAnsi"/>
          <w:noProof/>
        </w:rPr>
        <w:t>(</w:t>
      </w:r>
      <w:hyperlink w:anchor="_ENREF_24" w:tooltip="Okuyemi, 2007 #74" w:history="1">
        <w:r>
          <w:rPr>
            <w:rFonts w:eastAsia="Calibri" w:cstheme="minorHAnsi"/>
            <w:noProof/>
          </w:rPr>
          <w:t>24</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reported the mean longest single recalled quit period within a prospective cohort study, focusing on Black smokers motivated to quit (N=755). They found no significant difference between menthol smokers and non-menthol smokers (350.7±767.3 days versus 418.2±880.57 days, respectively) in terms of duration of longest quit period (p=0.407).</w:t>
      </w:r>
    </w:p>
    <w:p w14:paraId="13586406"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In another cross-sectional analysis of baseline data from a cessation trial, Okuyemi et al. </w:t>
      </w:r>
      <w:r w:rsidRPr="0071742A">
        <w:rPr>
          <w:rFonts w:eastAsia="Calibri" w:cstheme="minorHAnsi"/>
        </w:rPr>
        <w:fldChar w:fldCharType="begin"/>
      </w:r>
      <w:r>
        <w:rPr>
          <w:rFonts w:eastAsia="Calibri" w:cstheme="minorHAnsi"/>
        </w:rPr>
        <w:instrText xml:space="preserve"> ADDIN EN.CITE &lt;EndNote&gt;&lt;Cite&gt;&lt;RecNum&gt;81&lt;/RecNum&gt;&lt;DisplayText&gt;(15)&lt;/DisplayText&gt;&lt;record&gt;&lt;rec-number&gt;81&lt;/rec-number&gt;&lt;foreign-keys&gt;&lt;key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71742A">
        <w:rPr>
          <w:rFonts w:eastAsia="Calibri" w:cstheme="minorHAnsi"/>
        </w:rPr>
        <w:fldChar w:fldCharType="separate"/>
      </w:r>
      <w:r>
        <w:rPr>
          <w:rFonts w:eastAsia="Calibri" w:cstheme="minorHAnsi"/>
          <w:noProof/>
        </w:rPr>
        <w:t>(</w:t>
      </w:r>
      <w:hyperlink w:anchor="_ENREF_15" w:tooltip="Okuyemi, 2004 #81" w:history="1">
        <w:r>
          <w:rPr>
            <w:rFonts w:eastAsia="Calibri" w:cstheme="minorHAnsi"/>
            <w:noProof/>
          </w:rPr>
          <w:t>15</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analyzed “longest ever quit attempt” and “duration of most recent quit attempt” among Black smokers. Both </w:t>
      </w:r>
      <w:r>
        <w:rPr>
          <w:rFonts w:eastAsia="Calibri" w:cstheme="minorHAnsi"/>
        </w:rPr>
        <w:t>results were non-significant: d</w:t>
      </w:r>
      <w:r w:rsidRPr="0071742A">
        <w:rPr>
          <w:rFonts w:eastAsia="Calibri" w:cstheme="minorHAnsi"/>
        </w:rPr>
        <w:t>uring the most recent attempt, menthol smokers abstained for 30 days, compared with 36 days for non-menthol smokers (p=0.19)</w:t>
      </w:r>
      <w:r>
        <w:rPr>
          <w:rFonts w:eastAsia="Calibri" w:cstheme="minorHAnsi"/>
        </w:rPr>
        <w:t>; d</w:t>
      </w:r>
      <w:r w:rsidRPr="0071742A">
        <w:rPr>
          <w:rFonts w:eastAsia="Calibri" w:cstheme="minorHAnsi"/>
        </w:rPr>
        <w:t>uring the longest ever quit attempt, the duration was 90 days for menthol smokers versus 157.5 days for non-menthol smokers (p=0.11).</w:t>
      </w:r>
    </w:p>
    <w:p w14:paraId="4101FC6B" w14:textId="77777777" w:rsidR="007F0AE0" w:rsidRPr="0071742A" w:rsidRDefault="007F0AE0" w:rsidP="007F0AE0">
      <w:pPr>
        <w:spacing w:after="120" w:line="240" w:lineRule="auto"/>
        <w:jc w:val="both"/>
        <w:rPr>
          <w:rFonts w:eastAsia="Calibri" w:cstheme="minorHAnsi"/>
        </w:rPr>
      </w:pPr>
      <w:r w:rsidRPr="0071742A">
        <w:rPr>
          <w:rFonts w:eastAsia="Calibri" w:cstheme="minorHAnsi"/>
        </w:rPr>
        <w:t xml:space="preserve">Brooks et al. </w:t>
      </w:r>
      <w:r w:rsidRPr="0071742A">
        <w:rPr>
          <w:rFonts w:eastAsia="Calibri" w:cstheme="minorHAnsi"/>
        </w:rPr>
        <w:fldChar w:fldCharType="begin"/>
      </w:r>
      <w:r>
        <w:rPr>
          <w:rFonts w:eastAsia="Calibri" w:cstheme="minorHAnsi"/>
        </w:rPr>
        <w:instrText xml:space="preserve"> ADDIN EN.CITE &lt;EndNote&gt;&lt;Cite&gt;&lt;RecNum&gt;290&lt;/RecNum&gt;&lt;DisplayText&gt;(21)&lt;/DisplayText&gt;&lt;record&gt;&lt;rec-number&gt;290&lt;/rec-number&gt;&lt;foreign-keys&gt;&lt;key app="EN" db-id="a2vz2dfp8xrad6exes75zwpiw5rxwa0vwapv" timestamp="1484765626"&gt;290&lt;/key&gt;&lt;/foreign-keys&gt;&lt;ref-type name="Journal Article"&gt;17&lt;/ref-type&gt;&lt;contributors&gt;&lt;authors&gt;&lt;author&gt;Brooks, D. R.&lt;/author&gt;&lt;author&gt;Palmer, J. R.&lt;/author&gt;&lt;author&gt;Strom, B. L.&lt;/author&gt;&lt;author&gt;Rosenberg, L.&lt;/author&gt;&lt;/authors&gt;&lt;/contributors&gt;&lt;auth-address&gt;Department of Epidemiology, Boston University School of Public Health, Boston, MA 02118, USA. danbrook@bu.edu&lt;/auth-address&gt;&lt;titles&gt;&lt;title&gt;Menthol cigarettes and risk of lung cancer&lt;/title&gt;&lt;secondary-title&gt;Am J Epidemiol&lt;/secondary-title&gt;&lt;/titles&gt;&lt;periodical&gt;&lt;full-title&gt;Am J Epidemiol&lt;/full-title&gt;&lt;/periodical&gt;&lt;pages&gt;609-16; discussion 617-20&lt;/pages&gt;&lt;volume&gt;158&lt;/volume&gt;&lt;number&gt;7&lt;/number&gt;&lt;keywords&gt;&lt;keyword&gt;Adult&lt;/keyword&gt;&lt;keyword&gt;African Continental Ancestry Group&lt;/keyword&gt;&lt;keyword&gt;Age Distribution&lt;/keyword&gt;&lt;keyword&gt;Aged&lt;/keyword&gt;&lt;keyword&gt;Case-Control Studies&lt;/keyword&gt;&lt;keyword&gt;European Continental Ancestry Group&lt;/keyword&gt;&lt;keyword&gt;Female&lt;/keyword&gt;&lt;keyword&gt;Humans&lt;/keyword&gt;&lt;keyword&gt;Lung Neoplasms/*epidemiology&lt;/keyword&gt;&lt;keyword&gt;Male&lt;/keyword&gt;&lt;keyword&gt;Menthol/*administration &amp;amp; dosage&lt;/keyword&gt;&lt;keyword&gt;Middle Aged&lt;/keyword&gt;&lt;keyword&gt;Multivariate Analysis&lt;/keyword&gt;&lt;keyword&gt;Odds Ratio&lt;/keyword&gt;&lt;keyword&gt;Population Surveillance&lt;/keyword&gt;&lt;keyword&gt;Risk Assessment&lt;/keyword&gt;&lt;keyword&gt;Risk Factors&lt;/keyword&gt;&lt;keyword&gt;Sex Distribution&lt;/keyword&gt;&lt;keyword&gt;Smoking/*epidemiology&lt;/keyword&gt;&lt;keyword&gt;Socioeconomic Factors&lt;/keyword&gt;&lt;keyword&gt;United States/epidemiology&lt;/keyword&gt;&lt;/keywords&gt;&lt;dates&gt;&lt;year&gt;2003&lt;/year&gt;&lt;pub-dates&gt;&lt;date&gt;Oct 01&lt;/date&gt;&lt;/pub-dates&gt;&lt;/dates&gt;&lt;isbn&gt;0002-9262 (Print)&amp;#xD;0002-9262 (Linking)&lt;/isbn&gt;&lt;accession-num&gt;14507595&lt;/accession-num&gt;&lt;urls&gt;&lt;related-urls&gt;&lt;url&gt;https://www.ncbi.nlm.nih.gov/pubmed/14507595&lt;/url&gt;&lt;/related-urls&gt;&lt;/urls&gt;&lt;/record&gt;&lt;/Cite&gt;&lt;/EndNote&gt;</w:instrText>
      </w:r>
      <w:r w:rsidRPr="0071742A">
        <w:rPr>
          <w:rFonts w:eastAsia="Calibri" w:cstheme="minorHAnsi"/>
        </w:rPr>
        <w:fldChar w:fldCharType="separate"/>
      </w:r>
      <w:r>
        <w:rPr>
          <w:rFonts w:eastAsia="Calibri" w:cstheme="minorHAnsi"/>
          <w:noProof/>
        </w:rPr>
        <w:t>(</w:t>
      </w:r>
      <w:hyperlink w:anchor="_ENREF_21" w:tooltip="Brooks, 2003 #290" w:history="1">
        <w:r>
          <w:rPr>
            <w:rFonts w:eastAsia="Calibri" w:cstheme="minorHAnsi"/>
            <w:noProof/>
          </w:rPr>
          <w:t>21</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analyzed data from a case-control study in which cases were lung cancer patients and controls were admitted to the hospital for conditions unrelated to smoking. Participants were adults aged 40 to 70 years and had smoked for at least twenty years. Duration of abstinence was reported by cigarette type among the controls only (N=4,110). Only 38 percent of controls reported brand information for “at least 60 percent of the total duration of smoking.” To increase sample size, the authors “inferred” information about cigarette type during periods of unknown brand history (i.e., menthol or non-menthol preference). The authors “inferred” whether someone was a menthol or non-menthol user for roughly seven percent of the control sample. Of the former smokers for whom time since smoking cessation was one to five years, 26.4 </w:t>
      </w:r>
      <w:r w:rsidRPr="0071742A">
        <w:rPr>
          <w:rFonts w:eastAsia="Calibri" w:cstheme="minorHAnsi"/>
        </w:rPr>
        <w:lastRenderedPageBreak/>
        <w:t xml:space="preserve">percent had ever used menthol cigarettes, compared with 20.6 percent of those for whom time since cessation was six to ten years and 16.0 percent of those with at least eleven years since smoking cessation. </w:t>
      </w:r>
    </w:p>
    <w:p w14:paraId="043D5E3B" w14:textId="77777777" w:rsidR="007F0AE0" w:rsidRPr="000E6F62" w:rsidRDefault="007F0AE0" w:rsidP="007F0AE0">
      <w:pPr>
        <w:spacing w:after="120" w:line="240" w:lineRule="auto"/>
        <w:jc w:val="both"/>
        <w:rPr>
          <w:rFonts w:eastAsia="Calibri" w:cstheme="minorHAnsi"/>
          <w:i/>
          <w:u w:val="single"/>
        </w:rPr>
      </w:pPr>
      <w:r w:rsidRPr="0071742A">
        <w:rPr>
          <w:rFonts w:eastAsia="Calibri" w:cstheme="minorHAnsi"/>
        </w:rPr>
        <w:t xml:space="preserve">In a very small study (N=12), Miller et al. </w:t>
      </w:r>
      <w:r w:rsidRPr="0071742A">
        <w:rPr>
          <w:rFonts w:eastAsia="Calibri" w:cstheme="minorHAnsi"/>
        </w:rPr>
        <w:fldChar w:fldCharType="begin"/>
      </w:r>
      <w:r>
        <w:rPr>
          <w:rFonts w:eastAsia="Calibri" w:cstheme="minorHAnsi"/>
        </w:rPr>
        <w:instrText xml:space="preserve"> ADDIN EN.CITE &lt;EndNote&gt;&lt;Cite&gt;&lt;RecNum&gt;91&lt;/RecNum&gt;&lt;DisplayText&gt;(16)&lt;/DisplayText&gt;&lt;record&gt;&lt;rec-number&gt;91&lt;/rec-number&gt;&lt;foreign-keys&gt;&lt;key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71742A">
        <w:rPr>
          <w:rFonts w:eastAsia="Calibri" w:cstheme="minorHAnsi"/>
        </w:rPr>
        <w:fldChar w:fldCharType="separate"/>
      </w:r>
      <w:r>
        <w:rPr>
          <w:rFonts w:eastAsia="Calibri" w:cstheme="minorHAnsi"/>
          <w:noProof/>
        </w:rPr>
        <w:t>(</w:t>
      </w:r>
      <w:hyperlink w:anchor="_ENREF_16" w:tooltip="Miller, 1994 #91" w:history="1">
        <w:r>
          <w:rPr>
            <w:rFonts w:eastAsia="Calibri" w:cstheme="minorHAnsi"/>
            <w:noProof/>
          </w:rPr>
          <w:t>16</w:t>
        </w:r>
      </w:hyperlink>
      <w:r>
        <w:rPr>
          <w:rFonts w:eastAsia="Calibri" w:cstheme="minorHAnsi"/>
          <w:noProof/>
        </w:rPr>
        <w:t>)</w:t>
      </w:r>
      <w:r w:rsidRPr="0071742A">
        <w:rPr>
          <w:rFonts w:eastAsia="Calibri" w:cstheme="minorHAnsi"/>
        </w:rPr>
        <w:fldChar w:fldCharType="end"/>
      </w:r>
      <w:r w:rsidRPr="0071742A">
        <w:rPr>
          <w:rFonts w:eastAsia="Calibri" w:cstheme="minorHAnsi"/>
        </w:rPr>
        <w:t xml:space="preserve"> recruited Black male smokers from an inpatient substance abuse ward at a Veterans Administration Medical Center. Participants were enrolled in a 21-day drug treatment program and were required to smoke at least 15 CPD and be free of psychotropic medication. </w:t>
      </w:r>
      <w:r w:rsidRPr="000E6F62">
        <w:rPr>
          <w:rFonts w:eastAsia="Calibri" w:cstheme="minorHAnsi"/>
        </w:rPr>
        <w:t>They found that the longest duration of abstinence (“days without smoking”) for menthol smokers was 60.3±94.1 days compared with 98.0±177.8 days for non-menthol smokers.</w:t>
      </w:r>
    </w:p>
    <w:p w14:paraId="4154AA3E" w14:textId="77777777" w:rsidR="007F0AE0" w:rsidRPr="000E6F62" w:rsidRDefault="007F0AE0" w:rsidP="007F0AE0">
      <w:pPr>
        <w:spacing w:after="120" w:line="240" w:lineRule="auto"/>
        <w:jc w:val="both"/>
        <w:outlineLvl w:val="1"/>
        <w:rPr>
          <w:rFonts w:eastAsia="Calibri" w:cstheme="minorHAnsi"/>
          <w:i/>
          <w:u w:val="single"/>
        </w:rPr>
      </w:pPr>
      <w:r w:rsidRPr="000E6F62">
        <w:rPr>
          <w:rFonts w:eastAsia="Calibri" w:cstheme="minorHAnsi"/>
          <w:i/>
          <w:u w:val="single"/>
        </w:rPr>
        <w:t>Unadjusted Results: Rate of Abstinence/Quitting</w:t>
      </w:r>
    </w:p>
    <w:p w14:paraId="6813D7D3" w14:textId="77777777" w:rsidR="007F0AE0" w:rsidRDefault="007F0AE0" w:rsidP="007F0AE0">
      <w:pPr>
        <w:spacing w:after="120" w:line="240" w:lineRule="auto"/>
        <w:jc w:val="both"/>
        <w:rPr>
          <w:rFonts w:cstheme="minorHAnsi"/>
          <w:i/>
          <w:noProof/>
          <w:color w:val="000000" w:themeColor="text1"/>
        </w:rPr>
      </w:pPr>
      <w:r w:rsidRPr="000E6F62">
        <w:rPr>
          <w:rFonts w:eastAsia="Calibri" w:cstheme="minorHAnsi"/>
          <w:i/>
        </w:rPr>
        <w:t xml:space="preserve">Nineteen studies (from twenty-one references) reported rates of abstinence/quitting and did not adjust for potential confounders </w:t>
      </w:r>
      <w:r w:rsidRPr="000E6F62">
        <w:rPr>
          <w:rFonts w:eastAsia="Calibri" w:cstheme="minorHAnsi"/>
          <w:i/>
        </w:rPr>
        <w:fldChar w:fldCharType="begin">
          <w:fldData xml:space="preserve">IG1lbnRob2wgY2lnYXJldHRlIHNtb2tpbmcsIHBvcHVsYXRpb24gcXVpdCByYXRpb3MgYW5kIHV0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</w:fldData>
        </w:fldChar>
      </w:r>
      <w:r>
        <w:rPr>
          <w:rFonts w:eastAsia="Calibri" w:cstheme="minorHAnsi"/>
          <w:i/>
        </w:rPr>
        <w:instrText xml:space="preserve"> ADDIN EN.CITE </w:instrText>
      </w:r>
      <w:r>
        <w:rPr>
          <w:rFonts w:eastAsia="Calibri" w:cstheme="minorHAnsi"/>
          <w:i/>
        </w:rPr>
        <w:fldChar w:fldCharType="begin">
          <w:fldData xml:space="preserve">PEVuZE5vdGU+PENpdGU+PEF1dGhvcj5CZXJnPC9BdXRob3I+PFllYXI+MjAxMDwvWWVhcj48UmVj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==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begin">
          <w:fldData xml:space="preserve">IG1lbnRob2wgY2lnYXJldHRlIHNtb2tpbmcsIHBvcHVsYXRpb24gcXVpdCByYXRpb3MgYW5kIHV0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sidRPr="000E6F62">
        <w:rPr>
          <w:rFonts w:eastAsia="Calibri" w:cstheme="minorHAnsi"/>
          <w:i/>
        </w:rPr>
        <w:fldChar w:fldCharType="separate"/>
      </w:r>
      <w:r>
        <w:rPr>
          <w:rFonts w:eastAsia="Calibri" w:cstheme="minorHAnsi"/>
          <w:i/>
          <w:noProof/>
        </w:rPr>
        <w:t>(</w:t>
      </w:r>
      <w:hyperlink w:anchor="_ENREF_18" w:tooltip="Delnevo, 2015 #1" w:history="1">
        <w:r>
          <w:rPr>
            <w:rFonts w:eastAsia="Calibri" w:cstheme="minorHAnsi"/>
            <w:i/>
            <w:noProof/>
          </w:rPr>
          <w:t>18</w:t>
        </w:r>
      </w:hyperlink>
      <w:r>
        <w:rPr>
          <w:rFonts w:eastAsia="Calibri" w:cstheme="minorHAnsi"/>
          <w:i/>
          <w:noProof/>
        </w:rPr>
        <w:t xml:space="preserve">, </w:t>
      </w:r>
      <w:hyperlink w:anchor="_ENREF_21" w:tooltip="Brooks, 2003 #290" w:history="1">
        <w:r>
          <w:rPr>
            <w:rFonts w:eastAsia="Calibri" w:cstheme="minorHAnsi"/>
            <w:i/>
            <w:noProof/>
          </w:rPr>
          <w:t>21</w:t>
        </w:r>
      </w:hyperlink>
      <w:r>
        <w:rPr>
          <w:rFonts w:eastAsia="Calibri" w:cstheme="minorHAnsi"/>
          <w:i/>
          <w:noProof/>
        </w:rPr>
        <w:t xml:space="preserve">, </w:t>
      </w:r>
      <w:hyperlink w:anchor="_ENREF_22" w:tooltip="Mendiondo, 2010 #60" w:history="1">
        <w:r>
          <w:rPr>
            <w:rFonts w:eastAsia="Calibri" w:cstheme="minorHAnsi"/>
            <w:i/>
            <w:noProof/>
          </w:rPr>
          <w:t>22</w:t>
        </w:r>
      </w:hyperlink>
      <w:r>
        <w:rPr>
          <w:rFonts w:eastAsia="Calibri" w:cstheme="minorHAnsi"/>
          <w:i/>
          <w:noProof/>
        </w:rPr>
        <w:t xml:space="preserve">, </w:t>
      </w:r>
      <w:hyperlink w:anchor="_ENREF_24" w:tooltip="Okuyemi, 2007 #74" w:history="1">
        <w:r>
          <w:rPr>
            <w:rFonts w:eastAsia="Calibri" w:cstheme="minorHAnsi"/>
            <w:i/>
            <w:noProof/>
          </w:rPr>
          <w:t>24</w:t>
        </w:r>
      </w:hyperlink>
      <w:r>
        <w:rPr>
          <w:rFonts w:eastAsia="Calibri" w:cstheme="minorHAnsi"/>
          <w:i/>
          <w:noProof/>
        </w:rPr>
        <w:t xml:space="preserve">, </w:t>
      </w:r>
      <w:hyperlink w:anchor="_ENREF_27" w:tooltip="Faseru, 2013 #29" w:history="1">
        <w:r>
          <w:rPr>
            <w:rFonts w:eastAsia="Calibri" w:cstheme="minorHAnsi"/>
            <w:i/>
            <w:noProof/>
          </w:rPr>
          <w:t>27</w:t>
        </w:r>
      </w:hyperlink>
      <w:r>
        <w:rPr>
          <w:rFonts w:eastAsia="Calibri" w:cstheme="minorHAnsi"/>
          <w:i/>
          <w:noProof/>
        </w:rPr>
        <w:t xml:space="preserve">, </w:t>
      </w:r>
      <w:hyperlink w:anchor="_ENREF_29" w:tooltip="Keeler, 2017 #660" w:history="1">
        <w:r>
          <w:rPr>
            <w:rFonts w:eastAsia="Calibri" w:cstheme="minorHAnsi"/>
            <w:i/>
            <w:noProof/>
          </w:rPr>
          <w:t>29</w:t>
        </w:r>
      </w:hyperlink>
      <w:r>
        <w:rPr>
          <w:rFonts w:eastAsia="Calibri" w:cstheme="minorHAnsi"/>
          <w:i/>
          <w:noProof/>
        </w:rPr>
        <w:t xml:space="preserve">, </w:t>
      </w:r>
      <w:hyperlink w:anchor="_ENREF_32" w:tooltip="Stahre, 2010 #57" w:history="1">
        <w:r>
          <w:rPr>
            <w:rFonts w:eastAsia="Calibri" w:cstheme="minorHAnsi"/>
            <w:i/>
            <w:noProof/>
          </w:rPr>
          <w:t>32</w:t>
        </w:r>
      </w:hyperlink>
      <w:r>
        <w:rPr>
          <w:rFonts w:eastAsia="Calibri" w:cstheme="minorHAnsi"/>
          <w:i/>
          <w:noProof/>
        </w:rPr>
        <w:t xml:space="preserve">, </w:t>
      </w:r>
      <w:hyperlink w:anchor="_ENREF_42" w:tooltip="D'Silva, 2012 #33" w:history="1">
        <w:r>
          <w:rPr>
            <w:rFonts w:eastAsia="Calibri" w:cstheme="minorHAnsi"/>
            <w:i/>
            <w:noProof/>
          </w:rPr>
          <w:t>42</w:t>
        </w:r>
      </w:hyperlink>
      <w:r>
        <w:rPr>
          <w:rFonts w:eastAsia="Calibri" w:cstheme="minorHAnsi"/>
          <w:i/>
          <w:noProof/>
        </w:rPr>
        <w:t xml:space="preserve">, </w:t>
      </w:r>
      <w:hyperlink w:anchor="_ENREF_45" w:tooltip="Smith, 2014 #11" w:history="1">
        <w:r>
          <w:rPr>
            <w:rFonts w:eastAsia="Calibri" w:cstheme="minorHAnsi"/>
            <w:i/>
            <w:noProof/>
          </w:rPr>
          <w:t>45</w:t>
        </w:r>
      </w:hyperlink>
      <w:r>
        <w:rPr>
          <w:rFonts w:eastAsia="Calibri" w:cstheme="minorHAnsi"/>
          <w:i/>
          <w:noProof/>
        </w:rPr>
        <w:t xml:space="preserve">, </w:t>
      </w:r>
      <w:hyperlink w:anchor="_ENREF_46" w:tooltip="Hyland, 2010 #100" w:history="1">
        <w:r>
          <w:rPr>
            <w:rFonts w:eastAsia="Calibri" w:cstheme="minorHAnsi"/>
            <w:i/>
            <w:noProof/>
          </w:rPr>
          <w:t>46</w:t>
        </w:r>
      </w:hyperlink>
      <w:r>
        <w:rPr>
          <w:rFonts w:eastAsia="Calibri" w:cstheme="minorHAnsi"/>
          <w:i/>
          <w:noProof/>
        </w:rPr>
        <w:t xml:space="preserve">, </w:t>
      </w:r>
      <w:hyperlink w:anchor="_ENREF_48" w:tooltip="Harris, 2004 #82" w:history="1">
        <w:r>
          <w:rPr>
            <w:rFonts w:eastAsia="Calibri" w:cstheme="minorHAnsi"/>
            <w:i/>
            <w:noProof/>
          </w:rPr>
          <w:t>48</w:t>
        </w:r>
      </w:hyperlink>
      <w:r>
        <w:rPr>
          <w:rFonts w:eastAsia="Calibri" w:cstheme="minorHAnsi"/>
          <w:i/>
          <w:noProof/>
        </w:rPr>
        <w:t xml:space="preserve">, </w:t>
      </w:r>
      <w:hyperlink w:anchor="_ENREF_49" w:tooltip="Okuyemi, 2003 #85" w:history="1">
        <w:r>
          <w:rPr>
            <w:rFonts w:eastAsia="Calibri" w:cstheme="minorHAnsi"/>
            <w:i/>
            <w:noProof/>
          </w:rPr>
          <w:t>49</w:t>
        </w:r>
      </w:hyperlink>
      <w:r>
        <w:rPr>
          <w:rFonts w:eastAsia="Calibri" w:cstheme="minorHAnsi"/>
          <w:i/>
          <w:noProof/>
        </w:rPr>
        <w:t xml:space="preserve">, </w:t>
      </w:r>
      <w:hyperlink w:anchor="_ENREF_52" w:tooltip="Trinidad, 2010 #58" w:history="1">
        <w:r>
          <w:rPr>
            <w:rFonts w:eastAsia="Calibri" w:cstheme="minorHAnsi"/>
            <w:i/>
            <w:noProof/>
          </w:rPr>
          <w:t>52-54</w:t>
        </w:r>
      </w:hyperlink>
      <w:r>
        <w:rPr>
          <w:rFonts w:eastAsia="Calibri" w:cstheme="minorHAnsi"/>
          <w:i/>
          <w:noProof/>
        </w:rPr>
        <w:t xml:space="preserve">, </w:t>
      </w:r>
      <w:hyperlink w:anchor="_ENREF_56" w:tooltip="Blot, 2011 #48" w:history="1">
        <w:r>
          <w:rPr>
            <w:rFonts w:eastAsia="Calibri" w:cstheme="minorHAnsi"/>
            <w:i/>
            <w:noProof/>
          </w:rPr>
          <w:t>56</w:t>
        </w:r>
      </w:hyperlink>
      <w:r>
        <w:rPr>
          <w:rFonts w:eastAsia="Calibri" w:cstheme="minorHAnsi"/>
          <w:i/>
          <w:noProof/>
        </w:rPr>
        <w:t xml:space="preserve">, </w:t>
      </w:r>
      <w:hyperlink w:anchor="_ENREF_60" w:tooltip="Murray, 2007 #77" w:history="1">
        <w:r>
          <w:rPr>
            <w:rFonts w:eastAsia="Calibri" w:cstheme="minorHAnsi"/>
            <w:i/>
            <w:noProof/>
          </w:rPr>
          <w:t>60</w:t>
        </w:r>
      </w:hyperlink>
      <w:r>
        <w:rPr>
          <w:rFonts w:eastAsia="Calibri" w:cstheme="minorHAnsi"/>
          <w:i/>
          <w:noProof/>
        </w:rPr>
        <w:t xml:space="preserve">, </w:t>
      </w:r>
      <w:hyperlink w:anchor="_ENREF_66" w:tooltip="Foulds, 2006 #95" w:history="1">
        <w:r>
          <w:rPr>
            <w:rFonts w:eastAsia="Calibri" w:cstheme="minorHAnsi"/>
            <w:i/>
            <w:noProof/>
          </w:rPr>
          <w:t>66</w:t>
        </w:r>
      </w:hyperlink>
      <w:r>
        <w:rPr>
          <w:rFonts w:eastAsia="Calibri" w:cstheme="minorHAnsi"/>
          <w:i/>
          <w:noProof/>
        </w:rPr>
        <w:t xml:space="preserve">, </w:t>
      </w:r>
      <w:hyperlink w:anchor="_ENREF_67" w:tooltip="Berg, 2010 #102" w:history="1">
        <w:r>
          <w:rPr>
            <w:rFonts w:eastAsia="Calibri" w:cstheme="minorHAnsi"/>
            <w:i/>
            <w:noProof/>
          </w:rPr>
          <w:t>67</w:t>
        </w:r>
      </w:hyperlink>
      <w:r>
        <w:rPr>
          <w:rFonts w:eastAsia="Calibri" w:cstheme="minorHAnsi"/>
          <w:i/>
          <w:noProof/>
        </w:rPr>
        <w:t xml:space="preserve">, </w:t>
      </w:r>
      <w:hyperlink w:anchor="_ENREF_72" w:tooltip="Kanyuch, 2011 #49" w:history="1">
        <w:r>
          <w:rPr>
            <w:rFonts w:eastAsia="Calibri" w:cstheme="minorHAnsi"/>
            <w:i/>
            <w:noProof/>
          </w:rPr>
          <w:t>72</w:t>
        </w:r>
      </w:hyperlink>
      <w:r>
        <w:rPr>
          <w:rFonts w:eastAsia="Calibri" w:cstheme="minorHAnsi"/>
          <w:i/>
          <w:noProof/>
        </w:rPr>
        <w:t xml:space="preserve">, </w:t>
      </w:r>
      <w:hyperlink w:anchor="_ENREF_73" w:tooltip="Sidney, 1989 #92" w:history="1">
        <w:r>
          <w:rPr>
            <w:rFonts w:eastAsia="Calibri" w:cstheme="minorHAnsi"/>
            <w:i/>
            <w:noProof/>
          </w:rPr>
          <w:t>73</w:t>
        </w:r>
      </w:hyperlink>
      <w:r>
        <w:rPr>
          <w:rFonts w:eastAsia="Calibri" w:cstheme="minorHAnsi"/>
          <w:i/>
          <w:noProof/>
        </w:rPr>
        <w:t>)</w:t>
      </w:r>
      <w:r w:rsidRPr="000E6F62">
        <w:rPr>
          <w:rFonts w:eastAsia="Calibri" w:cstheme="minorHAnsi"/>
          <w:i/>
        </w:rPr>
        <w:fldChar w:fldCharType="end"/>
      </w:r>
      <w:r w:rsidRPr="000E6F62">
        <w:rPr>
          <w:rFonts w:cstheme="minorHAnsi"/>
          <w:i/>
          <w:noProof/>
          <w:color w:val="000000" w:themeColor="text1"/>
        </w:rPr>
        <w:t>.</w:t>
      </w:r>
    </w:p>
    <w:p w14:paraId="5C4BA88B" w14:textId="77777777" w:rsidR="007F0AE0" w:rsidRPr="000337B1" w:rsidRDefault="007F0AE0" w:rsidP="007F0AE0">
      <w:pPr>
        <w:spacing w:after="120" w:line="240" w:lineRule="auto"/>
        <w:jc w:val="both"/>
        <w:rPr>
          <w:rFonts w:cstheme="minorHAnsi"/>
          <w:i/>
        </w:rPr>
      </w:pPr>
      <w:r w:rsidRPr="000337B1">
        <w:rPr>
          <w:rFonts w:cstheme="minorHAnsi"/>
          <w:i/>
        </w:rPr>
        <w:t>Six studies (from seven references) reported non-significant (or similar) differences cessations outcomes between menthol and non-menthol smokers, to include: abstinence at 8 weeks and for 3 months or longer; quit rate; odds of being a former smoker; prolonged abstinence; prevalence of cessation versus reduction; and proportions of sustained quitters, intermittent quitters, and current smokers.</w:t>
      </w:r>
    </w:p>
    <w:p w14:paraId="5D8DD61A" w14:textId="77777777" w:rsidR="007F0AE0" w:rsidRPr="000337B1" w:rsidRDefault="007F0AE0" w:rsidP="007F0AE0">
      <w:pPr>
        <w:spacing w:after="120" w:line="240" w:lineRule="auto"/>
        <w:jc w:val="both"/>
        <w:rPr>
          <w:rFonts w:cstheme="minorHAnsi"/>
          <w:i/>
        </w:rPr>
      </w:pPr>
      <w:r w:rsidRPr="000337B1">
        <w:rPr>
          <w:rFonts w:cstheme="minorHAnsi"/>
          <w:i/>
        </w:rPr>
        <w:t xml:space="preserve">Five studies reported negative associations between menthol smoking and cessation outcomes, of which only two reported significance: one study found that likelihood of 26-week abstinence was </w:t>
      </w:r>
      <w:r>
        <w:rPr>
          <w:rFonts w:cstheme="minorHAnsi"/>
          <w:i/>
        </w:rPr>
        <w:t>statistically significantly</w:t>
      </w:r>
      <w:r w:rsidRPr="000337B1">
        <w:rPr>
          <w:rFonts w:cstheme="minorHAnsi"/>
          <w:i/>
        </w:rPr>
        <w:t xml:space="preserve"> lower among menthol smokers; a second study reported </w:t>
      </w:r>
      <w:r>
        <w:rPr>
          <w:rFonts w:cstheme="minorHAnsi"/>
          <w:i/>
        </w:rPr>
        <w:t>statistically significant</w:t>
      </w:r>
      <w:r w:rsidRPr="000337B1">
        <w:rPr>
          <w:rFonts w:cstheme="minorHAnsi"/>
          <w:i/>
        </w:rPr>
        <w:t xml:space="preserve"> lower rates of 7-day PPA (at 26 weeks) among menthol smokers. Of the studies that did not reported statistical significance: one study observed lower rates of menthol smokers among those that had abstained for less than six months and for more than six months; and two studies reported lower quit rates among menthol smokers.</w:t>
      </w:r>
    </w:p>
    <w:p w14:paraId="255B9C15" w14:textId="77777777" w:rsidR="007F0AE0" w:rsidRPr="000337B1" w:rsidRDefault="007F0AE0" w:rsidP="007F0AE0">
      <w:pPr>
        <w:spacing w:after="120" w:line="240" w:lineRule="auto"/>
        <w:jc w:val="both"/>
        <w:rPr>
          <w:rFonts w:eastAsia="Calibri" w:cstheme="minorHAnsi"/>
          <w:i/>
        </w:rPr>
      </w:pPr>
      <w:r w:rsidRPr="000337B1">
        <w:rPr>
          <w:rFonts w:eastAsia="Calibri" w:cstheme="minorHAnsi"/>
          <w:i/>
        </w:rPr>
        <w:t xml:space="preserve">One study reported higher quit rates among menthol smokers both in their overall sample (of Black smokers), as well as in the subset of those who had made a quit attempt. </w:t>
      </w:r>
    </w:p>
    <w:p w14:paraId="467F960A" w14:textId="77777777" w:rsidR="007F0AE0" w:rsidRPr="000337B1" w:rsidRDefault="007F0AE0" w:rsidP="007F0AE0">
      <w:pPr>
        <w:spacing w:after="120" w:line="240" w:lineRule="auto"/>
        <w:jc w:val="both"/>
        <w:rPr>
          <w:rFonts w:eastAsia="Calibri" w:cstheme="minorHAnsi"/>
          <w:i/>
        </w:rPr>
      </w:pPr>
      <w:r w:rsidRPr="000337B1">
        <w:rPr>
          <w:rFonts w:eastAsia="Calibri" w:cstheme="minorHAnsi"/>
          <w:i/>
        </w:rPr>
        <w:t xml:space="preserve">Six studies (from seven references) reported mixed results, often within subgroup analyses or due to application of different adjustment models. One study (from two references) reported a </w:t>
      </w:r>
      <w:r>
        <w:rPr>
          <w:rFonts w:eastAsia="Calibri" w:cstheme="minorHAnsi"/>
          <w:i/>
        </w:rPr>
        <w:t>statistically significant</w:t>
      </w:r>
      <w:r w:rsidRPr="000337B1">
        <w:rPr>
          <w:rFonts w:eastAsia="Calibri" w:cstheme="minorHAnsi"/>
          <w:i/>
        </w:rPr>
        <w:t xml:space="preserve"> lower rate of 7-day PPA (at 7 weeks) associated with menthol smokers, contradicting their finding from multiple regression analysis, that menthol was not a significant predictor of abstinence. This study also found no significant difference in 7-day PPA at 6 months between menthol and non-menthol smokers. Four studies reported outcomes for both their overall sample, as well as various racial/ethnic subgroup analyses: two studies observed a lower prevalence of menthol smokers in their overall sample of former smokers, and both reported inconsistent results across various subgroup analyses; one study reported a </w:t>
      </w:r>
      <w:r>
        <w:rPr>
          <w:rFonts w:eastAsia="Calibri" w:cstheme="minorHAnsi"/>
          <w:i/>
        </w:rPr>
        <w:t>statistically significant</w:t>
      </w:r>
      <w:r w:rsidRPr="000337B1">
        <w:rPr>
          <w:rFonts w:eastAsia="Calibri" w:cstheme="minorHAnsi"/>
          <w:i/>
        </w:rPr>
        <w:t xml:space="preserve"> lower quit ratio among menthol smokers in their overall sample, and mixed results in their subgroup analyses; and one study reported no significant difference in odds of being a current versus former smoker between menthol and non-menthol smokers in their overall sample, but reported mixed finding in their subgroup analyses of Black and White smokers. One study reported interaction term results between White non-menthol smokers and Black and White (combined) menthol smokers, and found that White non-menthol were </w:t>
      </w:r>
      <w:r>
        <w:rPr>
          <w:rFonts w:eastAsia="Calibri" w:cstheme="minorHAnsi"/>
          <w:i/>
        </w:rPr>
        <w:t>statistically significantly</w:t>
      </w:r>
      <w:r w:rsidRPr="000337B1">
        <w:rPr>
          <w:rFonts w:eastAsia="Calibri" w:cstheme="minorHAnsi"/>
          <w:i/>
        </w:rPr>
        <w:t xml:space="preserve"> less likely to report 7-day PPA (at weeks 4, 8, and 26); however, results for 7-day PPA at 6 months varied by adjustment model applied.</w:t>
      </w:r>
    </w:p>
    <w:p w14:paraId="27ABD141" w14:textId="77777777" w:rsidR="007F0AE0" w:rsidRPr="00F52E88" w:rsidRDefault="007F0AE0" w:rsidP="007F0AE0">
      <w:pPr>
        <w:rPr>
          <w:rFonts w:eastAsia="Calibri" w:cstheme="minorHAnsi"/>
          <w:i/>
        </w:rPr>
      </w:pPr>
      <w:r w:rsidRPr="000337B1">
        <w:rPr>
          <w:rFonts w:eastAsia="Calibri" w:cstheme="minorHAnsi"/>
          <w:i/>
        </w:rPr>
        <w:t>Finally, one study reported decreasing proportions of menthol smokers among increasing quit duration periods.</w:t>
      </w:r>
    </w:p>
    <w:p w14:paraId="0587795E"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an analysis of data from over 900 young adults 18 to 34 years old collected during the 2011 National Young Adult Health Survey, Delnevo et al. </w:t>
      </w:r>
      <w:r w:rsidRPr="00830244">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found that 28.8 percent of enrollees who smoked menthols either quit during the year prior to the survey or quit more than one year prior and remained abstinent, compared with 32.7 percent of non-menthol smokers.</w:t>
      </w:r>
    </w:p>
    <w:p w14:paraId="3947BAF4" w14:textId="77777777" w:rsidR="007F0AE0" w:rsidRPr="00C03CB6" w:rsidRDefault="007F0AE0" w:rsidP="007F0AE0">
      <w:pPr>
        <w:spacing w:after="120" w:line="240" w:lineRule="auto"/>
        <w:jc w:val="both"/>
        <w:rPr>
          <w:rFonts w:eastAsia="Calibri" w:cstheme="minorHAnsi"/>
        </w:rPr>
      </w:pPr>
      <w:r w:rsidRPr="00830244">
        <w:rPr>
          <w:rFonts w:cstheme="minorHAnsi"/>
        </w:rPr>
        <w:lastRenderedPageBreak/>
        <w:t>Okuyemi et al.</w:t>
      </w:r>
      <w:r>
        <w:rPr>
          <w:rFonts w:cstheme="minorHAnsi"/>
        </w:rPr>
        <w:t xml:space="preserve"> </w:t>
      </w:r>
      <w:r>
        <w:rPr>
          <w:rFonts w:cstheme="minorHAnsi"/>
        </w:rPr>
        <w:fldChar w:fldCharType="begin"/>
      </w:r>
      <w:r>
        <w:rPr>
          <w:rFonts w:cstheme="minorHAnsi"/>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Pr>
          <w:rFonts w:cstheme="minorHAnsi"/>
        </w:rPr>
        <w:fldChar w:fldCharType="separate"/>
      </w:r>
      <w:r>
        <w:rPr>
          <w:rFonts w:cstheme="minorHAnsi"/>
          <w:noProof/>
        </w:rPr>
        <w:t>(</w:t>
      </w:r>
      <w:hyperlink w:anchor="_ENREF_24" w:tooltip="Okuyemi, 2007 #74" w:history="1">
        <w:r>
          <w:rPr>
            <w:rFonts w:cstheme="minorHAnsi"/>
            <w:noProof/>
          </w:rPr>
          <w:t>24</w:t>
        </w:r>
      </w:hyperlink>
      <w:r>
        <w:rPr>
          <w:rFonts w:cstheme="minorHAnsi"/>
          <w:noProof/>
        </w:rPr>
        <w:t>)</w:t>
      </w:r>
      <w:r>
        <w:rPr>
          <w:rFonts w:cstheme="minorHAnsi"/>
        </w:rPr>
        <w:fldChar w:fldCharType="end"/>
      </w:r>
      <w:r w:rsidRPr="00830244">
        <w:rPr>
          <w:rFonts w:cstheme="minorHAnsi"/>
        </w:rPr>
        <w:t xml:space="preserve"> analyses show that the abstinence rates at 8 weeks (end of nicotine gum treatment) were not </w:t>
      </w:r>
      <w:r>
        <w:rPr>
          <w:rFonts w:cstheme="minorHAnsi"/>
        </w:rPr>
        <w:t>statistically significantly</w:t>
      </w:r>
      <w:r w:rsidRPr="00830244">
        <w:rPr>
          <w:rFonts w:cstheme="minorHAnsi"/>
        </w:rPr>
        <w:t xml:space="preserve"> different between non-menthol (26.8%) and menthol smokers (22.6%, P=0.291); in another analysis from the same study, Berg et al.</w:t>
      </w:r>
      <w:r>
        <w:rPr>
          <w:rFonts w:cstheme="minorHAnsi"/>
        </w:rPr>
        <w:t xml:space="preserve"> </w:t>
      </w:r>
      <w:r>
        <w:rPr>
          <w:rFonts w:cstheme="minorHAnsi"/>
        </w:rPr>
        <w:fldChar w:fldCharType="begin"/>
      </w:r>
      <w:r>
        <w:rPr>
          <w:rFonts w:cstheme="minorHAnsi"/>
        </w:rPr>
        <w:instrText xml:space="preserve"> ADDIN EN.CITE &lt;EndNote&gt;&lt;Cite&gt;&lt;Author&gt;Berg&lt;/Author&gt;&lt;Year&gt;2010&lt;/Year&gt;&lt;RecNum&gt;102&lt;/RecNum&gt;&lt;DisplayText&gt;(67)&lt;/DisplayText&gt;&lt;record&gt;&lt;rec-number&gt;102&lt;/rec-number&gt;&lt;foreign-keys&gt;&lt;key app="EN" db-id="a2vz2dfp8xrad6exes75zwpiw5rxwa0vwapv" timestamp="0"&gt;102&lt;/key&gt;&lt;/foreign-keys&gt;&lt;ref-type name="Journal Article"&gt;17&lt;/ref-type&gt;&lt;contributors&gt;&lt;authors&gt;&lt;author&gt;Berg, C. J.&lt;/author&gt;&lt;author&gt;Thomas, J. L.&lt;/author&gt;&lt;author&gt;Guo, H.&lt;/author&gt;&lt;author&gt;An, L. C.&lt;/author&gt;&lt;author&gt;Okuyemi, K. S.&lt;/author&gt;&lt;author&gt;Collins, T. C.&lt;/author&gt;&lt;author&gt;Ahluwalia, J. S.&lt;/author&gt;&lt;/authors&gt;&lt;/contributors&gt;&lt;auth-address&gt;Department of Behavioral Sciences and Health Education, Emory University, 1518 Clifton Road NE, Atlanta, GA 30322, USA. carlajberg@gmail.com&lt;/auth-address&gt;&lt;titles&gt;&lt;title&gt;Predictors of smoking reduction among Blacks&lt;/title&gt;&lt;secondary-title&gt;Nicotine Tob Res&lt;/secondary-title&gt;&lt;/titles&gt;&lt;periodical&gt;&lt;full-title&gt;Nicotine Tob Res&lt;/full-title&gt;&lt;/periodical&gt;&lt;pages&gt;423-31&lt;/pages&gt;&lt;volume&gt;12&lt;/volume&gt;&lt;number&gt;4&lt;/number&gt;&lt;keywords&gt;&lt;keyword&gt;African Americans&lt;/keyword&gt;&lt;keyword&gt;Body Mass Index&lt;/keyword&gt;&lt;keyword&gt;Cotinine/blood&lt;/keyword&gt;&lt;keyword&gt;Humans&lt;/keyword&gt;&lt;keyword&gt;Multivariate Analysis&lt;/keyword&gt;&lt;keyword&gt;Placebo Effect&lt;/keyword&gt;&lt;keyword&gt;Smoking/blood/*psychology&lt;/keyword&gt;&lt;keyword&gt;Smoking Cessation/*psychology&lt;/keyword&gt;&lt;keyword&gt;Stress, Psychological/physiopathology&lt;/keyword&gt;&lt;keyword&gt;Surveys and Questionnaires&lt;/keyword&gt;&lt;/keywords&gt;&lt;dates&gt;&lt;year&gt;2010&lt;/year&gt;&lt;pub-dates&gt;&lt;date&gt;Apr&lt;/date&gt;&lt;/pub-dates&gt;&lt;/dates&gt;&lt;isbn&gt;1469-994X (Electronic)&amp;#xD;1462-2203 (Linking)&lt;/isbn&gt;&lt;accession-num&gt;20194521&lt;/accession-num&gt;&lt;urls&gt;&lt;related-urls&gt;&lt;url&gt;http://www.ncbi.nlm.nih.gov/pubmed/20194521&lt;/url&gt;&lt;/related-urls&gt;&lt;/urls&gt;&lt;custom2&gt;PMC2847079&lt;/custom2&gt;&lt;electronic-resource-num&gt;10.1093/ntr/ntq019&lt;/electronic-resource-num&gt;&lt;research-notes&gt;#823&lt;/research-notes&gt;&lt;/record&gt;&lt;/Cite&gt;&lt;/EndNote&gt;</w:instrText>
      </w:r>
      <w:r>
        <w:rPr>
          <w:rFonts w:cstheme="minorHAnsi"/>
        </w:rPr>
        <w:fldChar w:fldCharType="separate"/>
      </w:r>
      <w:r>
        <w:rPr>
          <w:rFonts w:cstheme="minorHAnsi"/>
          <w:noProof/>
        </w:rPr>
        <w:t>(</w:t>
      </w:r>
      <w:hyperlink w:anchor="_ENREF_67" w:tooltip="Berg, 2010 #102" w:history="1">
        <w:r>
          <w:rPr>
            <w:rFonts w:cstheme="minorHAnsi"/>
            <w:noProof/>
          </w:rPr>
          <w:t>67</w:t>
        </w:r>
      </w:hyperlink>
      <w:r>
        <w:rPr>
          <w:rFonts w:cstheme="minorHAnsi"/>
          <w:noProof/>
        </w:rPr>
        <w:t>)</w:t>
      </w:r>
      <w:r>
        <w:rPr>
          <w:rFonts w:cstheme="minorHAnsi"/>
        </w:rPr>
        <w:fldChar w:fldCharType="end"/>
      </w:r>
      <w:r w:rsidRPr="00830244">
        <w:rPr>
          <w:rFonts w:eastAsia="Calibri" w:cstheme="minorHAnsi"/>
          <w:noProof/>
        </w:rPr>
        <w:t xml:space="preserve"> reported no significant dfference in the percentages of menthol smokers among participants who did not reduce cigarette consumption (83.9%), those that reduced their consumption (80.8%), and those that quit (72.6%; p=0.07).</w:t>
      </w:r>
    </w:p>
    <w:p w14:paraId="0FDBF823" w14:textId="77777777" w:rsidR="007F0AE0" w:rsidRDefault="007F0AE0" w:rsidP="007F0AE0">
      <w:pPr>
        <w:spacing w:after="120" w:line="240" w:lineRule="auto"/>
        <w:jc w:val="both"/>
        <w:rPr>
          <w:rFonts w:eastAsia="Calibri" w:cstheme="minorHAnsi"/>
        </w:rPr>
      </w:pPr>
      <w:r w:rsidRPr="00830244">
        <w:rPr>
          <w:rFonts w:eastAsia="Calibri" w:cstheme="minorHAnsi"/>
        </w:rPr>
        <w:t xml:space="preserve">In 2014, Sulsky et al. </w:t>
      </w:r>
      <w:r w:rsidRPr="00830244">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the 2005 and 2010 NHIS and the 2010-2011 TUS-CPS. In both surveys, they found that approximately 25 percent of former smokers smoked menthol cigarettes prior to quitting; the</w:t>
      </w:r>
      <w:r>
        <w:rPr>
          <w:rFonts w:eastAsia="Calibri" w:cstheme="minorHAnsi"/>
        </w:rPr>
        <w:t xml:space="preserve"> remainder smoked non-menthol cigarettes. </w:t>
      </w:r>
    </w:p>
    <w:p w14:paraId="04CB13DC" w14:textId="77777777" w:rsidR="007F0AE0" w:rsidRDefault="007F0AE0" w:rsidP="007F0AE0">
      <w:pPr>
        <w:spacing w:after="120" w:line="240" w:lineRule="auto"/>
        <w:jc w:val="both"/>
        <w:rPr>
          <w:rFonts w:eastAsia="Calibri" w:cstheme="minorHAnsi"/>
        </w:rPr>
      </w:pPr>
      <w:r>
        <w:rPr>
          <w:rFonts w:eastAsia="Calibri" w:cstheme="minorHAnsi"/>
        </w:rPr>
        <w:t xml:space="preserve">In addition, the authors performed subgroup analysis in which they reported a number of odds ratios, using various adjustment models (most of which were not adequately adjusted for age, race/ethnicity, and gender). Using data from the </w:t>
      </w:r>
      <w:r w:rsidRPr="00830244">
        <w:rPr>
          <w:rFonts w:eastAsia="Calibri" w:cstheme="minorHAnsi"/>
        </w:rPr>
        <w:t>2005 and 2010 NHIS</w:t>
      </w:r>
      <w:r>
        <w:rPr>
          <w:rFonts w:eastAsia="Calibri" w:cstheme="minorHAnsi"/>
        </w:rPr>
        <w:t>, f</w:t>
      </w:r>
      <w:r w:rsidRPr="003D0DDE">
        <w:rPr>
          <w:rFonts w:eastAsia="Calibri" w:cstheme="minorHAnsi"/>
        </w:rPr>
        <w:t xml:space="preserve">or White and other race/ethnicity smokers (i.e., regular or daily smokers) </w:t>
      </w:r>
      <w:r>
        <w:rPr>
          <w:rFonts w:eastAsia="Calibri" w:cstheme="minorHAnsi"/>
        </w:rPr>
        <w:t>no difference</w:t>
      </w:r>
      <w:r w:rsidRPr="003D0DDE">
        <w:rPr>
          <w:rFonts w:eastAsia="Calibri" w:cstheme="minorHAnsi"/>
        </w:rPr>
        <w:t xml:space="preserve">s for menthol cigarette use and being a long-term former versus current smoker were reported, irrespective of the model applied. Black menthol smokers (both regular and daily smokers) were </w:t>
      </w:r>
      <w:r>
        <w:rPr>
          <w:rFonts w:eastAsia="Calibri" w:cstheme="minorHAnsi"/>
        </w:rPr>
        <w:t>statistically significantly</w:t>
      </w:r>
      <w:r w:rsidRPr="003D0DDE">
        <w:rPr>
          <w:rFonts w:eastAsia="Calibri" w:cstheme="minorHAnsi"/>
        </w:rPr>
        <w:t xml:space="preserve"> less likely than Black non-menthol smokers to be long-term former smokers (OR=0.56, 95% CI: 0.45, 0.69 for regular smokers; OR=0.54, 95% CI: 0.44, 0.68 for daily smokers); however, in a second model (using current age instead of duration of smoking), </w:t>
      </w:r>
      <w:r>
        <w:rPr>
          <w:rFonts w:eastAsia="Calibri" w:cstheme="minorHAnsi"/>
        </w:rPr>
        <w:t>no difference</w:t>
      </w:r>
      <w:r w:rsidRPr="003D0DDE">
        <w:rPr>
          <w:rFonts w:eastAsia="Calibri" w:cstheme="minorHAnsi"/>
        </w:rPr>
        <w:t xml:space="preserve"> between menthol cigarette use and being a long-term former versus</w:t>
      </w:r>
      <w:r>
        <w:rPr>
          <w:rFonts w:eastAsia="Calibri" w:cstheme="minorHAnsi"/>
        </w:rPr>
        <w:t xml:space="preserve"> a regular smoker was reported. No difference</w:t>
      </w:r>
      <w:r w:rsidRPr="003D0DDE">
        <w:rPr>
          <w:rFonts w:eastAsia="Calibri" w:cstheme="minorHAnsi"/>
        </w:rPr>
        <w:t xml:space="preserve"> between menthol cigarette use and being a short-term former versus current regular or daily smoker were reported for any of the three race/ethnicity subgroups (i.e., White, Black</w:t>
      </w:r>
      <w:r>
        <w:rPr>
          <w:rFonts w:eastAsia="Calibri" w:cstheme="minorHAnsi"/>
        </w:rPr>
        <w:t xml:space="preserve">, and other races/ethnicities). </w:t>
      </w:r>
    </w:p>
    <w:p w14:paraId="7DC59AC9" w14:textId="77777777" w:rsidR="007F0AE0" w:rsidRDefault="007F0AE0" w:rsidP="007F0AE0">
      <w:pPr>
        <w:spacing w:after="120" w:line="240" w:lineRule="auto"/>
        <w:jc w:val="both"/>
        <w:rPr>
          <w:rFonts w:eastAsia="Calibri" w:cstheme="minorHAnsi"/>
        </w:rPr>
      </w:pPr>
      <w:r>
        <w:rPr>
          <w:rFonts w:eastAsia="Calibri" w:cstheme="minorHAnsi"/>
        </w:rPr>
        <w:t xml:space="preserve">Using data from the </w:t>
      </w:r>
      <w:r w:rsidRPr="00830244">
        <w:rPr>
          <w:rFonts w:eastAsia="Calibri" w:cstheme="minorHAnsi"/>
        </w:rPr>
        <w:t>2010-2011 TUS-CPS</w:t>
      </w:r>
      <w:r>
        <w:rPr>
          <w:rFonts w:eastAsia="Calibri" w:cstheme="minorHAnsi"/>
        </w:rPr>
        <w:t xml:space="preserve">, </w:t>
      </w:r>
      <w:r w:rsidRPr="00830244">
        <w:rPr>
          <w:rFonts w:eastAsia="Calibri" w:cstheme="minorHAnsi"/>
        </w:rPr>
        <w:t xml:space="preserve">Sulsky et al. </w:t>
      </w:r>
      <w:r w:rsidRPr="00830244">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830244">
        <w:rPr>
          <w:rFonts w:eastAsia="Calibri" w:cstheme="minorHAnsi"/>
        </w:rPr>
        <w:fldChar w:fldCharType="end"/>
      </w:r>
      <w:r>
        <w:rPr>
          <w:rFonts w:eastAsia="Calibri" w:cstheme="minorHAnsi"/>
        </w:rPr>
        <w:t xml:space="preserve"> found that b</w:t>
      </w:r>
      <w:r w:rsidRPr="003D0DDE">
        <w:rPr>
          <w:rFonts w:eastAsia="Calibri" w:cstheme="minorHAnsi"/>
        </w:rPr>
        <w:t xml:space="preserve">oth Black and White menthol smokers were </w:t>
      </w:r>
      <w:r>
        <w:rPr>
          <w:rFonts w:eastAsia="Calibri" w:cstheme="minorHAnsi"/>
        </w:rPr>
        <w:t>statistically significantly</w:t>
      </w:r>
      <w:r w:rsidRPr="003D0DDE">
        <w:rPr>
          <w:rFonts w:eastAsia="Calibri" w:cstheme="minorHAnsi"/>
        </w:rPr>
        <w:t xml:space="preserve"> less likely to be short-term former versus current regular or daily smokers, irrespective the adjustment model applied.</w:t>
      </w:r>
      <w:r>
        <w:rPr>
          <w:rFonts w:eastAsia="Calibri" w:cstheme="minorHAnsi"/>
        </w:rPr>
        <w:t xml:space="preserve"> A</w:t>
      </w:r>
      <w:r w:rsidRPr="0036407D">
        <w:rPr>
          <w:rFonts w:eastAsia="Calibri" w:cstheme="minorHAnsi"/>
        </w:rPr>
        <w:t xml:space="preserve">mong other race/ethnicity smokers, there was </w:t>
      </w:r>
      <w:r>
        <w:rPr>
          <w:rFonts w:eastAsia="Calibri" w:cstheme="minorHAnsi"/>
        </w:rPr>
        <w:t>no difference</w:t>
      </w:r>
      <w:r w:rsidRPr="0036407D">
        <w:rPr>
          <w:rFonts w:eastAsia="Calibri" w:cstheme="minorHAnsi"/>
        </w:rPr>
        <w:t xml:space="preserve"> between menthol cigarette use and being a short-term former versus current regular smoker, in two applied adjustment models that included smoking dependence measures of Heaviness of Smoking Index and night waking to smoke, respectively; however, in a limited dependence measures model that omitted these covariates, other race/ethnicity menthol smokers were </w:t>
      </w:r>
      <w:r>
        <w:rPr>
          <w:rFonts w:eastAsia="Calibri" w:cstheme="minorHAnsi"/>
        </w:rPr>
        <w:t>statistically significantly</w:t>
      </w:r>
      <w:r w:rsidRPr="0036407D">
        <w:rPr>
          <w:rFonts w:eastAsia="Calibri" w:cstheme="minorHAnsi"/>
        </w:rPr>
        <w:t xml:space="preserve"> less likely to be short-term former versus current regular smokers (OR=0.79, 95% CI: 0.735, 0.85). The association between menthol cigarette use and being a short-term former versus current daily smoker, among other race/ethnicity smokers, was mixed: in a model adjusting for Heaviness of Smoking Index, other race/ethnicity menthol smokers were </w:t>
      </w:r>
      <w:r>
        <w:rPr>
          <w:rFonts w:eastAsia="Calibri" w:cstheme="minorHAnsi"/>
        </w:rPr>
        <w:t>statistically significantly</w:t>
      </w:r>
      <w:r w:rsidRPr="0036407D">
        <w:rPr>
          <w:rFonts w:eastAsia="Calibri" w:cstheme="minorHAnsi"/>
        </w:rPr>
        <w:t xml:space="preserve"> more likely to be short-term former versus current daily smokers (OR=1.18, 95% CI: 1.01, 1.38); however, in a second model (which replaced adjustment for Heaviness of Smoking Index with night waking to smoke), this difference was not significant. A third model, omitting both dependence measures, reported that other race/ethnicity menthol smokers were </w:t>
      </w:r>
      <w:r>
        <w:rPr>
          <w:rFonts w:eastAsia="Calibri" w:cstheme="minorHAnsi"/>
        </w:rPr>
        <w:t>statistically significantly</w:t>
      </w:r>
      <w:r w:rsidRPr="0036407D">
        <w:rPr>
          <w:rFonts w:eastAsia="Calibri" w:cstheme="minorHAnsi"/>
        </w:rPr>
        <w:t xml:space="preserve"> less likely to be short-term former versus current daily smokers (OR=0.81, 95% CI: 0.75, 0.88).</w:t>
      </w:r>
    </w:p>
    <w:p w14:paraId="20D0163F"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a publication from the most recent Kick It at Swope cessation trial, Faseru et al. </w:t>
      </w:r>
      <w:r w:rsidRPr="00830244">
        <w:rPr>
          <w:rFonts w:eastAsia="Calibri" w:cstheme="minorHAnsi"/>
        </w:rPr>
        <w:fldChar w:fldCharType="begin">
          <w:fldData xml:space="preserve">PEVuZE5vdGU+PENpdGU+PFJlY051bT4yOTwvUmVjTnVtPjxEaXNwbGF5VGV4dD4oMjYsIDI3KTwv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</w:fldData>
        </w:fldChar>
      </w:r>
      <w:r>
        <w:rPr>
          <w:rFonts w:eastAsia="Calibri" w:cstheme="minorHAnsi"/>
        </w:rPr>
        <w:instrText xml:space="preserve"> ADDIN EN.CITE </w:instrText>
      </w:r>
      <w:r>
        <w:rPr>
          <w:rFonts w:eastAsia="Calibri" w:cstheme="minorHAnsi"/>
        </w:rPr>
        <w:fldChar w:fldCharType="begin">
          <w:fldData xml:space="preserve">PEVuZE5vdGU+PENpdGU+PFJlY051bT4yOTwvUmVjTnVtPjxEaXNwbGF5VGV4dD4oMjYsIDI3KTwv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26" w:tooltip="Faseru, 2011 #40" w:history="1">
        <w:r>
          <w:rPr>
            <w:rFonts w:eastAsia="Calibri" w:cstheme="minorHAnsi"/>
            <w:noProof/>
          </w:rPr>
          <w:t>26</w:t>
        </w:r>
      </w:hyperlink>
      <w:r>
        <w:rPr>
          <w:rFonts w:eastAsia="Calibri" w:cstheme="minorHAnsi"/>
          <w:noProof/>
        </w:rPr>
        <w:t xml:space="preserve">, </w:t>
      </w:r>
      <w:hyperlink w:anchor="_ENREF_27" w:tooltip="Faseru, 2013 #29" w:history="1">
        <w:r>
          <w:rPr>
            <w:rFonts w:eastAsia="Calibri" w:cstheme="minorHAnsi"/>
            <w:noProof/>
          </w:rPr>
          <w:t>27</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reported data from Black adults who smoked up to 10 CPD (light smokers) for at least two years, had smoked at least 25 days in the month prior to enrollment, and were interested in quitting. Enrollees received either bupropion or placebo for seven weeks plus biweekly health counseling. Adjusted data at week seven were presented above; outcomes at week 26 were only reported in unadjusted comparison. At week 26, participants who were abstinent were </w:t>
      </w:r>
      <w:r>
        <w:rPr>
          <w:rFonts w:eastAsia="Calibri" w:cstheme="minorHAnsi"/>
        </w:rPr>
        <w:t>statistically significantly</w:t>
      </w:r>
      <w:r w:rsidRPr="00830244">
        <w:rPr>
          <w:rFonts w:eastAsia="Calibri" w:cstheme="minorHAnsi"/>
        </w:rPr>
        <w:t xml:space="preserve"> less likely to smoke menthol cigarettes than non-menthol cigarettes (10% vs. 20.4% p=0.005); however, it was unclear what proportions of menthol and non-menthol smokers were allocated to the intervention and control groups</w:t>
      </w:r>
    </w:p>
    <w:p w14:paraId="69F220DD"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D’Silva et al. </w:t>
      </w:r>
      <w:r w:rsidRPr="00830244">
        <w:rPr>
          <w:rFonts w:eastAsia="Calibri" w:cstheme="minorHAnsi"/>
        </w:rPr>
        <w:fldChar w:fldCharType="begin"/>
      </w:r>
      <w:r>
        <w:rPr>
          <w:rFonts w:eastAsia="Calibri" w:cstheme="minorHAnsi"/>
        </w:rPr>
        <w:instrText xml:space="preserve"> ADDIN EN.CITE &lt;EndNote&gt;&lt;Cite&gt;&lt;RecNum&gt;33&lt;/RecNum&gt;&lt;DisplayText&gt;(42)&lt;/DisplayText&gt;&lt;record&gt;&lt;rec-number&gt;33&lt;/rec-number&gt;&lt;foreign-keys&gt;&lt;key app="EN" db-id="a2vz2dfp8xrad6exes75zwpiw5rxwa0vwapv" timestamp="0"&gt;33&lt;/key&gt;&lt;/foreign-keys&gt;&lt;ref-type name="Journal Article"&gt;17&lt;/ref-type&gt;&lt;contributors&gt;&lt;authors&gt;&lt;author&gt;D&amp;apos;Silva, J.&lt;/author&gt;&lt;author&gt;Boyle, R. G.&lt;/author&gt;&lt;author&gt;Lien, R.&lt;/author&gt;&lt;author&gt;Rode, P.&lt;/author&gt;&lt;author&gt;Okuyemi, K. S.&lt;/author&gt;&lt;/authors&gt;&lt;/contributors&gt;&lt;auth-address&gt;ClearWay Minnesota, Minneapolis, Minnesota 55425, USA. jdsilva@clearwaymn.org&lt;/auth-address&gt;&lt;titles&gt;&lt;title&gt;Cessation outcomes among treatment-seeking menthol and nonmenthol smokers&lt;/title&gt;&lt;secondary-title&gt;Am J Prev Med&lt;/secondary-title&gt;&lt;/titles&gt;&lt;pages&gt;S242-8&lt;/pages&gt;&lt;volume&gt;43&lt;/volume&gt;&lt;number&gt;5 Suppl 3&lt;/number&gt;&lt;keywords&gt;&lt;keyword&gt;Adolescent&lt;/keyword&gt;&lt;keyword&gt;Adult&lt;/keyword&gt;&lt;keyword&gt;African Americans/statistics &amp;amp; numerical data&lt;/keyword&gt;&lt;keyword&gt;Age Factors&lt;/keyword&gt;&lt;keyword&gt;Aged&lt;/keyword&gt;&lt;keyword&gt;Educational Status&lt;/keyword&gt;&lt;keyword&gt;Female&lt;/keyword&gt;&lt;keyword&gt;Follow-Up Studies&lt;/keyword&gt;&lt;keyword&gt;Hotlines&lt;/keyword&gt;&lt;keyword&gt;Humans&lt;/keyword&gt;&lt;keyword&gt;Male&lt;/keyword&gt;&lt;keyword&gt;*Menthol&lt;/keyword&gt;&lt;keyword&gt;Middle Aged&lt;/keyword&gt;&lt;keyword&gt;Motivation&lt;/keyword&gt;&lt;keyword&gt;Sex Factors&lt;/keyword&gt;&lt;keyword&gt;Smoking/epidemiology/*prevention &amp;amp; control&lt;/keyword&gt;&lt;keyword&gt;Smoking Cessation/*statistics &amp;amp; numerical data&lt;/keyword&gt;&lt;keyword&gt;Tobacco Products/*statistics &amp;amp; numerical data&lt;/keyword&gt;&lt;keyword&gt;Tobacco Use Disorder/rehabilitation&lt;/keyword&gt;&lt;keyword&gt;United States&lt;/keyword&gt;&lt;keyword&gt;United States Food and Drug Administration&lt;/keyword&gt;&lt;keyword&gt;Young Adult&lt;/keyword&gt;&lt;/keywords&gt;&lt;dates&gt;&lt;year&gt;2012&lt;/year&gt;&lt;pub-dates&gt;&lt;date&gt;Nov&lt;/date&gt;&lt;/pub-dates&gt;&lt;/dates&gt;&lt;isbn&gt;1873-2607 (Electronic)&amp;#xD;0749-3797 (Linking)&lt;/isbn&gt;&lt;accession-num&gt;23079223&lt;/accession-num&gt;&lt;urls&gt;&lt;related-urls&gt;&lt;url&gt;http://www.ncbi.nlm.nih.gov/pubmed/23079223&lt;/url&gt;&lt;/related-urls&gt;&lt;/urls&gt;&lt;electronic-resource-num&gt;10.1016/j.amepre.2012.07.033&lt;/electronic-resource-num&gt;&lt;research-notes&gt;#174&lt;/research-notes&gt;&lt;/record&gt;&lt;/Cite&gt;&lt;/EndNote&gt;</w:instrText>
      </w:r>
      <w:r w:rsidRPr="00830244">
        <w:rPr>
          <w:rFonts w:eastAsia="Calibri" w:cstheme="minorHAnsi"/>
        </w:rPr>
        <w:fldChar w:fldCharType="separate"/>
      </w:r>
      <w:r>
        <w:rPr>
          <w:rFonts w:eastAsia="Calibri" w:cstheme="minorHAnsi"/>
          <w:noProof/>
        </w:rPr>
        <w:t>(</w:t>
      </w:r>
      <w:hyperlink w:anchor="_ENREF_42" w:tooltip="D'Silva, 2012 #33" w:history="1">
        <w:r>
          <w:rPr>
            <w:rFonts w:eastAsia="Calibri" w:cstheme="minorHAnsi"/>
            <w:noProof/>
          </w:rPr>
          <w:t>42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enrolled over 6,000 adults in Minnesota who registered for cessation counseling services via a quit line. Over 95 percent of participants were current smokers at the time of enrollment; the remainder were former smokers trying to remain abstinent. Using both responder and intent-to-treat analyses, the authors found no significant differences in cessation outcomes between menthol and non-menthol smokers; </w:t>
      </w:r>
      <w:r w:rsidRPr="00830244">
        <w:rPr>
          <w:rFonts w:eastAsia="Calibri" w:cstheme="minorHAnsi"/>
        </w:rPr>
        <w:lastRenderedPageBreak/>
        <w:t xml:space="preserve">results presented here are from the intent-to-treat analyses. Prolonged abstinence was reported by 33.7 and 30.3 percent of menthol and non-menthol smokers, respectively. </w:t>
      </w:r>
    </w:p>
    <w:p w14:paraId="08E39E0C"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the COMMIT study, Hyland et al. </w:t>
      </w:r>
      <w:r w:rsidRPr="00830244">
        <w:rPr>
          <w:rFonts w:eastAsia="Calibri" w:cstheme="minorHAnsi"/>
        </w:rPr>
        <w:fldChar w:fldCharType="begin"/>
      </w:r>
      <w:r>
        <w:rPr>
          <w:rFonts w:eastAsia="Calibri" w:cstheme="minorHAnsi"/>
        </w:rPr>
        <w:instrText xml:space="preserve"> ADDIN EN.CITE &lt;EndNote&gt;&lt;Cite&gt;&lt;RecNum&gt;87&lt;/RecNum&gt;&lt;DisplayText&gt;(46,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830244">
        <w:rPr>
          <w:rFonts w:eastAsia="Calibri" w:cstheme="minorHAnsi"/>
        </w:rPr>
        <w:fldChar w:fldCharType="separate"/>
      </w:r>
      <w:r>
        <w:rPr>
          <w:rFonts w:eastAsia="Calibri" w:cstheme="minorHAnsi"/>
          <w:noProof/>
        </w:rPr>
        <w:t>(</w:t>
      </w:r>
      <w:hyperlink w:anchor="_ENREF_46" w:tooltip="Hyland, 2010 #100" w:history="1">
        <w:r>
          <w:rPr>
            <w:rFonts w:eastAsia="Calibri" w:cstheme="minorHAnsi"/>
            <w:noProof/>
          </w:rPr>
          <w:t>46</w:t>
        </w:r>
      </w:hyperlink>
      <w:r>
        <w:rPr>
          <w:rFonts w:eastAsia="Calibri" w:cstheme="minorHAnsi"/>
          <w:noProof/>
        </w:rPr>
        <w:t xml:space="preserve">, </w:t>
      </w:r>
      <w:hyperlink w:anchor="_ENREF_50" w:tooltip="Hyland, 2002 #87" w:history="1">
        <w:r>
          <w:rPr>
            <w:rFonts w:eastAsia="Calibri" w:cstheme="minorHAnsi"/>
            <w:noProof/>
          </w:rPr>
          <w:t>50</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reported adjusted quit rates for the overall sample and for White participants but only unadjusted rates of quitting for Black participants. After at least 13 years of follow up, the rate of quitting was higher for Black menthol smokers than for Black non-menthol smokers, both overall (17.0% vs. 9.4%) and in the subset of those who made a quit attempt (26.9% vs. 10.0%).</w:t>
      </w:r>
    </w:p>
    <w:p w14:paraId="1F32EB15"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the Wisconsin Smokers’ Health Study, Smith et al. </w:t>
      </w:r>
      <w:r w:rsidRPr="00830244">
        <w:rPr>
          <w:rFonts w:eastAsia="Calibri" w:cstheme="minorHAnsi"/>
        </w:rPr>
        <w:fldChar w:fldCharType="begin"/>
      </w:r>
      <w:r>
        <w:rPr>
          <w:rFonts w:eastAsia="Calibri" w:cstheme="minorHAnsi"/>
        </w:rPr>
        <w:instrText xml:space="preserve"> ADDIN EN.CITE &lt;EndNote&gt;&lt;Cite&gt;&lt;RecNum&gt;11&lt;/RecNum&gt;&lt;DisplayText&gt;(45)&lt;/DisplayText&gt;&lt;record&gt;&lt;rec-number&gt;11&lt;/rec-number&gt;&lt;foreign-keys&gt;&lt;key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830244">
        <w:rPr>
          <w:rFonts w:eastAsia="Calibri" w:cstheme="minorHAnsi"/>
        </w:rPr>
        <w:fldChar w:fldCharType="separate"/>
      </w:r>
      <w:r>
        <w:rPr>
          <w:rFonts w:eastAsia="Calibri" w:cstheme="minorHAnsi"/>
          <w:noProof/>
        </w:rPr>
        <w:t>(</w:t>
      </w:r>
      <w:hyperlink w:anchor="_ENREF_45" w:tooltip="Smith, 2014 #11" w:history="1">
        <w:r>
          <w:rPr>
            <w:rFonts w:eastAsia="Calibri" w:cstheme="minorHAnsi"/>
            <w:noProof/>
          </w:rPr>
          <w:t>45</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reported odds of 7-day PPA at Weeks 4, 8, and 26 between White non-menthol smokers and Black and White (combined) menthol smokers: across three different adjustment models (none of which adequately adjusted for age, gender, and race/ethnicity), White non-menthol smokers were </w:t>
      </w:r>
      <w:r>
        <w:rPr>
          <w:rFonts w:eastAsia="Calibri" w:cstheme="minorHAnsi"/>
        </w:rPr>
        <w:t>statistically significantly</w:t>
      </w:r>
      <w:r w:rsidRPr="00830244">
        <w:rPr>
          <w:rFonts w:eastAsia="Calibri" w:cstheme="minorHAnsi"/>
        </w:rPr>
        <w:t xml:space="preserve"> less likely to report 7-day PPA. In the same analysis, but for 7-day PPA at 6 months, their first two models found that White non-menthol smokers were significant less likely to report 7-day PPA at 6 months in two models; however, the third model (adjusted for time, interaction between non-menthol versus menthol and time, cessation treatment, education, FTND, living with a smoker, and having friends who smoke), found no significant difference.</w:t>
      </w:r>
    </w:p>
    <w:p w14:paraId="7F714B5C"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Stahre et al. </w:t>
      </w:r>
      <w:r w:rsidRPr="00830244">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830244">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adult current and former smokers in the 2005 National Health Interview Survey Cancer Control Supplement (NHIS-CCS). The quit ratio was calculated as the number of former smokers divided by the sum of the number of current and former smokers). </w:t>
      </w:r>
      <w:r>
        <w:rPr>
          <w:rFonts w:eastAsia="Calibri" w:cstheme="minorHAnsi"/>
        </w:rPr>
        <w:t>Statistically significantly</w:t>
      </w:r>
      <w:r w:rsidRPr="00830244">
        <w:rPr>
          <w:rFonts w:eastAsia="Calibri" w:cstheme="minorHAnsi"/>
        </w:rPr>
        <w:t xml:space="preserve"> fewer menthol smokers than non-menthol smokers quit (47% vs. 50%, respectively; p=0.01). When examining quit ratio by menthol status within racial/ethnic subgroups, </w:t>
      </w:r>
      <w:r>
        <w:rPr>
          <w:rFonts w:eastAsia="Calibri" w:cstheme="minorHAnsi"/>
        </w:rPr>
        <w:t>statistically significantly</w:t>
      </w:r>
      <w:r w:rsidRPr="00830244">
        <w:rPr>
          <w:rFonts w:eastAsia="Calibri" w:cstheme="minorHAnsi"/>
        </w:rPr>
        <w:t xml:space="preserve"> fewer Black menthol smokers quit compared to Black non-menthol smokers (34% vs. 49%; p&lt;0.001). No significant differences in quit ratios between menthol and non-menthol smokers were reports among White smokers (52% vs. 50%), Asian-American smokers (38% vs. 42%), American Indian/Alaskan Native smokers (52% vs. 35%), or Hispanic smokers (40% vs. 45%). Furthermore, interaction term results found that Black menthol smokers were </w:t>
      </w:r>
      <w:r>
        <w:rPr>
          <w:rFonts w:eastAsia="Calibri" w:cstheme="minorHAnsi"/>
        </w:rPr>
        <w:t>statistically significantly</w:t>
      </w:r>
      <w:r w:rsidRPr="00830244">
        <w:rPr>
          <w:rFonts w:eastAsia="Calibri" w:cstheme="minorHAnsi"/>
        </w:rPr>
        <w:t xml:space="preserve"> less likely than </w:t>
      </w:r>
      <w:r>
        <w:rPr>
          <w:rFonts w:eastAsia="Calibri" w:cstheme="minorHAnsi"/>
        </w:rPr>
        <w:t>W</w:t>
      </w:r>
      <w:r w:rsidRPr="00830244">
        <w:rPr>
          <w:rFonts w:eastAsia="Calibri" w:cstheme="minorHAnsi"/>
        </w:rPr>
        <w:t>hite non-menthol smokers to have quit smoking (OR=0.72, 95% CI: 0.53, 0.97); However, no significant difference in quitting was found between American Indian/Alaskan native menthol smokers and White non-menthol smokers (OR=2.00, 05% CI: 0.56, 7.23), nor between Asian menthol smokers and White non-menthol smokers (OR=0.74, 95% CI: 0.37, 1.48).</w:t>
      </w:r>
    </w:p>
    <w:p w14:paraId="3864F43F" w14:textId="77777777" w:rsidR="007F0AE0" w:rsidRPr="00830244" w:rsidRDefault="007F0AE0" w:rsidP="007F0AE0">
      <w:pPr>
        <w:spacing w:after="120" w:line="240" w:lineRule="auto"/>
        <w:jc w:val="both"/>
        <w:rPr>
          <w:rFonts w:eastAsia="Calibri" w:cstheme="minorHAnsi"/>
          <w:color w:val="000000"/>
        </w:rPr>
      </w:pPr>
      <w:r w:rsidRPr="00830244">
        <w:rPr>
          <w:rFonts w:cstheme="minorHAnsi"/>
          <w:color w:val="000000" w:themeColor="text1"/>
        </w:rPr>
        <w:t xml:space="preserve">According </w:t>
      </w:r>
      <w:r w:rsidRPr="00830244">
        <w:rPr>
          <w:rFonts w:eastAsia="Calibri" w:cstheme="minorHAnsi"/>
          <w:color w:val="000000"/>
        </w:rPr>
        <w:t>to 2003 and 2006-2007 TUS-CPS, Trinidad et al.</w:t>
      </w:r>
      <w:r>
        <w:rPr>
          <w:rFonts w:eastAsia="Calibri" w:cstheme="minorHAnsi"/>
          <w:color w:val="000000"/>
        </w:rPr>
        <w:t xml:space="preserve"> </w:t>
      </w:r>
      <w:r>
        <w:rPr>
          <w:rFonts w:eastAsia="Calibri" w:cstheme="minorHAnsi"/>
          <w:color w:val="000000"/>
        </w:rPr>
        <w:fldChar w:fldCharType="begin"/>
      </w:r>
      <w:r>
        <w:rPr>
          <w:rFonts w:eastAsia="Calibri" w:cstheme="minorHAnsi"/>
          <w:color w:val="000000"/>
        </w:rPr>
        <w:instrText xml:space="preserve"> ADDIN EN.CITE &lt;EndNote&gt;&lt;Cite&gt;&lt;Author&gt;Trinidad&lt;/Author&gt;&lt;Year&gt;2010&lt;/Year&gt;&lt;RecNum&gt;58&lt;/RecNum&gt;&lt;DisplayText&gt;(52)&lt;/DisplayText&gt;&lt;record&gt;&lt;rec-number&gt;58&lt;/rec-number&gt;&lt;foreign-keys&gt;&lt;key app="EN" db-id="a2vz2dfp8xrad6exes75zwpiw5rxwa0vwapv" timestamp="0"&gt;58&lt;/key&gt;&lt;/foreign-keys&gt;&lt;ref-type name="Journal Article"&gt;17&lt;/ref-type&gt;&lt;contributors&gt;&lt;authors&gt;&lt;author&gt;Trinidad, D. R.&lt;/author&gt;&lt;author&gt;Perez-Stable, E. J.&lt;/author&gt;&lt;author&gt;Messer, K.&lt;/author&gt;&lt;author&gt;White, M. M.&lt;/author&gt;&lt;author&gt;Pierce, J. P.&lt;/author&gt;&lt;/authors&gt;&lt;/contributors&gt;&lt;auth-address&gt;School of Community and Global Health, Claremont Graduate University, San Dimas, CA 91773, USA. dennis.trinidad@cgu.edu&lt;/auth-address&gt;&lt;titles&gt;&lt;title&gt;Menthol cigarettes and smoking cessation among racial/ethnic groups in the United States&lt;/title&gt;&lt;secondary-title&gt;Addiction&lt;/secondary-title&gt;&lt;/titles&gt;&lt;periodical&gt;&lt;full-title&gt;Addiction&lt;/full-title&gt;&lt;/periodical&gt;&lt;pages&gt;84-94&lt;/pages&gt;&lt;volume&gt;105 Suppl 1&lt;/volume&gt;&lt;keywords&gt;&lt;keyword&gt;Adult&lt;/keyword&gt;&lt;keyword&gt;Aged&lt;/keyword&gt;&lt;keyword&gt;Demography&lt;/keyword&gt;&lt;keyword&gt;Ethnic Groups/*statistics &amp;amp; numerical data&lt;/keyword&gt;&lt;keyword&gt;European Continental Ancestry Group/statistics &amp;amp; numerical data&lt;/keyword&gt;&lt;keyword&gt;Female&lt;/keyword&gt;&lt;keyword&gt;Humans&lt;/keyword&gt;&lt;keyword&gt;Logistic Models&lt;/keyword&gt;&lt;keyword&gt;Male&lt;/keyword&gt;&lt;keyword&gt;*Menthol&lt;/keyword&gt;&lt;keyword&gt;Middle Aged&lt;/keyword&gt;&lt;keyword&gt;*Population Surveillance&lt;/keyword&gt;&lt;keyword&gt;Smoking/*ethnology/therapy&lt;/keyword&gt;&lt;keyword&gt;Smoking Cessation/*ethnology/psychology&lt;/keyword&gt;&lt;keyword&gt;United States/epidemiology&lt;/keyword&gt;&lt;keyword&gt;Young Adult&lt;/keyword&gt;&lt;/keywords&gt;&lt;dates&gt;&lt;year&gt;2010&lt;/year&gt;&lt;pub-dates&gt;&lt;date&gt;Dec&lt;/date&gt;&lt;/pub-dates&gt;&lt;/dates&gt;&lt;isbn&gt;1360-0443 (Electronic)&amp;#xD;0965-2140 (Linking)&lt;/isbn&gt;&lt;accession-num&gt;21059139&lt;/accession-num&gt;&lt;urls&gt;&lt;related-urls&gt;&lt;url&gt;http://www.ncbi.nlm.nih.gov/pubmed/21059139&lt;/url&gt;&lt;/related-urls&gt;&lt;/urls&gt;&lt;custom2&gt;PMC4214376&lt;/custom2&gt;&lt;electronic-resource-num&gt;10.1111/j.1360-0443.2010.03187.x&lt;/electronic-resource-num&gt;&lt;research-notes&gt;#286&lt;/research-notes&gt;&lt;/record&gt;&lt;/Cite&gt;&lt;/EndNote&gt;</w:instrText>
      </w:r>
      <w:r>
        <w:rPr>
          <w:rFonts w:eastAsia="Calibri" w:cstheme="minorHAnsi"/>
          <w:color w:val="000000"/>
        </w:rPr>
        <w:fldChar w:fldCharType="separate"/>
      </w:r>
      <w:r>
        <w:rPr>
          <w:rFonts w:eastAsia="Calibri" w:cstheme="minorHAnsi"/>
          <w:noProof/>
          <w:color w:val="000000"/>
        </w:rPr>
        <w:t>(</w:t>
      </w:r>
      <w:hyperlink w:anchor="_ENREF_52" w:tooltip="Trinidad, 2010 #58" w:history="1">
        <w:r>
          <w:rPr>
            <w:rFonts w:eastAsia="Calibri" w:cstheme="minorHAnsi"/>
            <w:noProof/>
            <w:color w:val="000000"/>
          </w:rPr>
          <w:t>52</w:t>
        </w:r>
      </w:hyperlink>
      <w:r>
        <w:rPr>
          <w:rFonts w:eastAsia="Calibri" w:cstheme="minorHAnsi"/>
          <w:noProof/>
          <w:color w:val="000000"/>
        </w:rPr>
        <w:t>)</w:t>
      </w:r>
      <w:r>
        <w:rPr>
          <w:rFonts w:eastAsia="Calibri" w:cstheme="minorHAnsi"/>
          <w:color w:val="000000"/>
        </w:rPr>
        <w:fldChar w:fldCharType="end"/>
      </w:r>
      <w:r>
        <w:rPr>
          <w:rFonts w:eastAsia="Calibri" w:cstheme="minorHAnsi"/>
          <w:color w:val="000000"/>
        </w:rPr>
        <w:t xml:space="preserve"> </w:t>
      </w:r>
      <w:r w:rsidRPr="00830244">
        <w:rPr>
          <w:rFonts w:eastAsia="Calibri" w:cstheme="minorHAnsi"/>
          <w:color w:val="000000"/>
        </w:rPr>
        <w:t>examined long-term duration of abstinence for former smokers age 20 to 65 by race/ethnicity; however, only adjusted results for the subgroup analyses for reported. Of former smokers who had abstained for less than six months among the overall sample, 6.3% (6.1 to 6.6) were menthol smokers, and 20.0% (19.6 to 20.5) were non-menthol smokers; of former smokers who had abstained for more than six months among the overall sample, 20.2% (18.7 to 21.6) were menthol smokers, and 56.5% (54.8 to 58.2) were non-menthol smokers.</w:t>
      </w:r>
    </w:p>
    <w:p w14:paraId="13FAD70D" w14:textId="77777777" w:rsidR="007F0AE0" w:rsidRPr="00830244" w:rsidRDefault="007F0AE0" w:rsidP="007F0AE0">
      <w:pPr>
        <w:pStyle w:val="BodyText"/>
        <w:jc w:val="both"/>
        <w:rPr>
          <w:rFonts w:cstheme="minorHAnsi"/>
          <w:color w:val="000000" w:themeColor="text1"/>
        </w:rPr>
      </w:pPr>
      <w:r w:rsidRPr="00830244">
        <w:rPr>
          <w:rFonts w:asciiTheme="minorHAnsi" w:hAnsiTheme="minorHAnsi" w:cstheme="minorHAnsi"/>
          <w:color w:val="000000" w:themeColor="text1"/>
          <w:sz w:val="22"/>
          <w:szCs w:val="22"/>
        </w:rPr>
        <w:t xml:space="preserve">Blot et al. </w:t>
      </w:r>
      <w:r w:rsidRPr="00830244">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 </w:instrText>
      </w:r>
      <w:r>
        <w:rPr>
          <w:rFonts w:asciiTheme="minorHAnsi" w:hAnsiTheme="minorHAnsi" w:cstheme="minorHAnsi"/>
          <w:color w:val="000000" w:themeColor="text1"/>
          <w:sz w:val="22"/>
          <w:szCs w:val="22"/>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asciiTheme="minorHAnsi" w:hAnsiTheme="minorHAnsi" w:cstheme="minorHAnsi"/>
          <w:color w:val="000000" w:themeColor="text1"/>
          <w:sz w:val="22"/>
          <w:szCs w:val="22"/>
        </w:rPr>
        <w:instrText xml:space="preserve"> ADDIN EN.CITE.DATA </w:instrText>
      </w:r>
      <w:r>
        <w:rPr>
          <w:rFonts w:asciiTheme="minorHAnsi" w:hAnsiTheme="minorHAnsi" w:cstheme="minorHAnsi"/>
          <w:color w:val="000000" w:themeColor="text1"/>
          <w:sz w:val="22"/>
          <w:szCs w:val="22"/>
        </w:rPr>
      </w:r>
      <w:r>
        <w:rPr>
          <w:rFonts w:asciiTheme="minorHAnsi" w:hAnsiTheme="minorHAnsi" w:cstheme="minorHAnsi"/>
          <w:color w:val="000000" w:themeColor="text1"/>
          <w:sz w:val="22"/>
          <w:szCs w:val="22"/>
        </w:rPr>
        <w:fldChar w:fldCharType="end"/>
      </w:r>
      <w:r w:rsidRPr="00830244">
        <w:rPr>
          <w:rFonts w:asciiTheme="minorHAnsi" w:hAnsiTheme="minorHAnsi" w:cstheme="minorHAnsi"/>
          <w:color w:val="000000" w:themeColor="text1"/>
          <w:sz w:val="22"/>
          <w:szCs w:val="22"/>
        </w:rPr>
        <w:fldChar w:fldCharType="separate"/>
      </w:r>
      <w:r>
        <w:rPr>
          <w:rFonts w:asciiTheme="minorHAnsi" w:hAnsiTheme="minorHAnsi" w:cstheme="minorHAnsi"/>
          <w:noProof/>
          <w:color w:val="000000" w:themeColor="text1"/>
          <w:sz w:val="22"/>
          <w:szCs w:val="22"/>
        </w:rPr>
        <w:t>(</w:t>
      </w:r>
      <w:hyperlink w:anchor="_ENREF_56" w:tooltip="Blot, 2011 #48" w:history="1">
        <w:r>
          <w:rPr>
            <w:rFonts w:asciiTheme="minorHAnsi" w:hAnsiTheme="minorHAnsi" w:cstheme="minorHAnsi"/>
            <w:noProof/>
            <w:color w:val="000000" w:themeColor="text1"/>
            <w:sz w:val="22"/>
            <w:szCs w:val="22"/>
          </w:rPr>
          <w:t>56</w:t>
        </w:r>
      </w:hyperlink>
      <w:r>
        <w:rPr>
          <w:rFonts w:asciiTheme="minorHAnsi" w:hAnsiTheme="minorHAnsi" w:cstheme="minorHAnsi"/>
          <w:noProof/>
          <w:color w:val="000000" w:themeColor="text1"/>
          <w:sz w:val="22"/>
          <w:szCs w:val="22"/>
        </w:rPr>
        <w:t>)</w:t>
      </w:r>
      <w:r w:rsidRPr="00830244">
        <w:rPr>
          <w:rFonts w:asciiTheme="minorHAnsi" w:hAnsiTheme="minorHAnsi" w:cstheme="minorHAnsi"/>
          <w:color w:val="000000" w:themeColor="text1"/>
          <w:sz w:val="22"/>
          <w:szCs w:val="22"/>
        </w:rPr>
        <w:fldChar w:fldCharType="end"/>
      </w:r>
      <w:r w:rsidRPr="00830244">
        <w:rPr>
          <w:rFonts w:asciiTheme="minorHAnsi" w:hAnsiTheme="minorHAnsi" w:cstheme="minorHAnsi"/>
          <w:color w:val="000000" w:themeColor="text1"/>
          <w:sz w:val="22"/>
          <w:szCs w:val="22"/>
        </w:rPr>
        <w:t xml:space="preserve"> performed a nested case-control study of lung cancer using data from “ever smokers” in the Southern Community Cohort Study—a prospective cohort study of adults age 40 to 79 living in 12 southern states. The authors assessed quitting smoking for ever-smokers retrospectively (based on self-report of having quit before entry into the cohort). Among the total sample (adjusted for age and gender, but not for race/ethnicity) odds of having entered as former smokers rather than current smokers or not </w:t>
      </w:r>
      <w:r>
        <w:rPr>
          <w:rFonts w:asciiTheme="minorHAnsi" w:hAnsiTheme="minorHAnsi" w:cstheme="minorHAnsi"/>
          <w:color w:val="000000" w:themeColor="text1"/>
          <w:sz w:val="22"/>
          <w:szCs w:val="22"/>
        </w:rPr>
        <w:t>statistically significantly</w:t>
      </w:r>
      <w:r w:rsidRPr="00830244">
        <w:rPr>
          <w:rFonts w:asciiTheme="minorHAnsi" w:hAnsiTheme="minorHAnsi" w:cstheme="minorHAnsi"/>
          <w:color w:val="000000" w:themeColor="text1"/>
          <w:sz w:val="22"/>
          <w:szCs w:val="22"/>
        </w:rPr>
        <w:t xml:space="preserve"> different between menthol and non-menthol smokers (OR=1.02, 95% CI: 0.89, 1.16). </w:t>
      </w:r>
    </w:p>
    <w:p w14:paraId="1918D01D" w14:textId="77777777" w:rsidR="007F0AE0" w:rsidRPr="00830244" w:rsidRDefault="007F0AE0" w:rsidP="007F0AE0">
      <w:pPr>
        <w:spacing w:after="120" w:line="240" w:lineRule="auto"/>
        <w:jc w:val="both"/>
        <w:rPr>
          <w:rFonts w:cstheme="minorHAnsi"/>
          <w:color w:val="000000" w:themeColor="text1"/>
        </w:rPr>
      </w:pPr>
      <w:r w:rsidRPr="00830244">
        <w:rPr>
          <w:rFonts w:cstheme="minorHAnsi"/>
          <w:color w:val="000000" w:themeColor="text1"/>
        </w:rPr>
        <w:t xml:space="preserve">Kanyuch et al. </w:t>
      </w:r>
      <w:r w:rsidRPr="00830244">
        <w:rPr>
          <w:rFonts w:cstheme="minorHAnsi"/>
          <w:color w:val="000000" w:themeColor="text1"/>
        </w:rPr>
        <w:fldChar w:fldCharType="begin"/>
      </w:r>
      <w:r>
        <w:rPr>
          <w:rFonts w:cstheme="minorHAnsi"/>
          <w:color w:val="000000" w:themeColor="text1"/>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830244">
        <w:rPr>
          <w:rFonts w:cstheme="minorHAnsi"/>
          <w:color w:val="000000" w:themeColor="text1"/>
        </w:rPr>
        <w:fldChar w:fldCharType="separate"/>
      </w:r>
      <w:r>
        <w:rPr>
          <w:rFonts w:cstheme="minorHAnsi"/>
          <w:noProof/>
          <w:color w:val="000000" w:themeColor="text1"/>
        </w:rPr>
        <w:t>(</w:t>
      </w:r>
      <w:hyperlink w:anchor="_ENREF_72" w:tooltip="Kanyuch, 2011 #49" w:history="1">
        <w:r>
          <w:rPr>
            <w:rFonts w:cstheme="minorHAnsi"/>
            <w:noProof/>
            <w:color w:val="000000" w:themeColor="text1"/>
          </w:rPr>
          <w:t>72</w:t>
        </w:r>
      </w:hyperlink>
      <w:r>
        <w:rPr>
          <w:rFonts w:cstheme="minorHAnsi"/>
          <w:noProof/>
          <w:color w:val="000000" w:themeColor="text1"/>
        </w:rPr>
        <w:t>)</w:t>
      </w:r>
      <w:r w:rsidRPr="00830244">
        <w:rPr>
          <w:rFonts w:cstheme="minorHAnsi"/>
          <w:color w:val="000000" w:themeColor="text1"/>
        </w:rPr>
        <w:fldChar w:fldCharType="end"/>
      </w:r>
      <w:r w:rsidRPr="00830244">
        <w:rPr>
          <w:rFonts w:cstheme="minorHAnsi"/>
          <w:color w:val="000000" w:themeColor="text1"/>
        </w:rPr>
        <w:t xml:space="preserve"> analyzed data from the COPDGene cohort—a study conducted in 21 centers across the United States designed to identify genetic factors associated with chronic obstructive pulmonary disease (COPD). Due to limited information on study methodology, particularly the lack of a definition of “current” or “persistent” smoking, this study was rated “poor” quality. In the sample of more than 1,100 Black and White participants who had ever smoked, adjusting for gender only, logistic regression model results yielded no difference in being a current (rather than former) smoker when comparing menthol to non-menthol smoking (OR=1.92, 95% CI: 0.91, 4.05). Subgroup analysis of White participants also resulted in a non-</w:t>
      </w:r>
      <w:r w:rsidRPr="00830244">
        <w:rPr>
          <w:rFonts w:cstheme="minorHAnsi"/>
          <w:color w:val="000000" w:themeColor="text1"/>
        </w:rPr>
        <w:lastRenderedPageBreak/>
        <w:t xml:space="preserve">significant difference between menthol and non-menthol smokers (OR=1.14, 95% CI: 0.40, 3.25); however, was </w:t>
      </w:r>
      <w:r>
        <w:rPr>
          <w:rFonts w:cstheme="minorHAnsi"/>
          <w:color w:val="000000" w:themeColor="text1"/>
        </w:rPr>
        <w:t>statistically significantly</w:t>
      </w:r>
      <w:r w:rsidRPr="00830244">
        <w:rPr>
          <w:rFonts w:cstheme="minorHAnsi"/>
          <w:color w:val="000000" w:themeColor="text1"/>
        </w:rPr>
        <w:t xml:space="preserve"> higher likelihood of persistent smoking among Black menthol smokers (compared to Black non-menthol smokers (OR=2.84, 95% CI: 1.13, 7.12).</w:t>
      </w:r>
    </w:p>
    <w:p w14:paraId="67F49976"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Also using the 2005 NHIS, Mendiondo et al. </w:t>
      </w:r>
      <w:r w:rsidRPr="00830244">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830244">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5,949 adult former smokers. Former smokers were those “not currently smoking” at the time of interview. Of all former smokers, 24.7 percent were former menthol smokers, compared with 75.3 percent former non-menthol smokers. Of all Black former smokers, 61.7 percent were former menthol smokers, compared with 38.3 percent former non-menthol smokers; of all White former smokers, 21.0 percent were former menthol smokers, compared with 79.0 percent former non-menthol smokers; among all Hispanic former smokers, 23.4 percent were former menthol smokers, compared with 76.6 percent former non-menthol smokers. Mendiondo et al. </w:t>
      </w:r>
      <w:r w:rsidRPr="00830244">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830244">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also reported interaction term results (using White non-menthol smokers as a reference category: they found that, for former smokers, Black race was </w:t>
      </w:r>
      <w:r>
        <w:rPr>
          <w:rFonts w:eastAsia="Calibri" w:cstheme="minorHAnsi"/>
        </w:rPr>
        <w:t>statistically significantly</w:t>
      </w:r>
      <w:r w:rsidRPr="00830244">
        <w:rPr>
          <w:rFonts w:eastAsia="Calibri" w:cstheme="minorHAnsi"/>
        </w:rPr>
        <w:t xml:space="preserve"> associated with higher odds of being menthol smokers (OR=6.04, 95% CI: 4.70, 7.75), whereas Hispanic race was not </w:t>
      </w:r>
      <w:r>
        <w:rPr>
          <w:rFonts w:eastAsia="Calibri" w:cstheme="minorHAnsi"/>
        </w:rPr>
        <w:t>statistically significantly</w:t>
      </w:r>
      <w:r w:rsidRPr="00830244">
        <w:rPr>
          <w:rFonts w:eastAsia="Calibri" w:cstheme="minorHAnsi"/>
        </w:rPr>
        <w:t xml:space="preserve"> associated with offs of being menthol smokers (OR=0.99, 95% CI: 0.71, 1.39).</w:t>
      </w:r>
    </w:p>
    <w:p w14:paraId="2DB03529"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the Lung Health Study, a trial of over 5,900 smokers age 35 to 60 years with obstructive lung impairment, Murray et al. </w:t>
      </w:r>
      <w:r w:rsidRPr="00830244">
        <w:rPr>
          <w:rFonts w:eastAsia="Calibri" w:cstheme="minorHAnsi"/>
        </w:rPr>
        <w:fldChar w:fldCharType="begin"/>
      </w:r>
      <w:r>
        <w:rPr>
          <w:rFonts w:eastAsia="Calibri" w:cstheme="minorHAnsi"/>
        </w:rPr>
        <w:instrText xml:space="preserve"> ADDIN EN.CITE &lt;EndNote&gt;&lt;Cite&gt;&lt;RecNum&gt;77&lt;/RecNum&gt;&lt;DisplayText&gt;(60)&lt;/DisplayText&gt;&lt;record&gt;&lt;rec-number&gt;77&lt;/rec-number&gt;&lt;foreign-keys&gt;&lt;key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830244">
        <w:rPr>
          <w:rFonts w:eastAsia="Calibri" w:cstheme="minorHAnsi"/>
        </w:rPr>
        <w:fldChar w:fldCharType="separate"/>
      </w:r>
      <w:r>
        <w:rPr>
          <w:rFonts w:eastAsia="Calibri" w:cstheme="minorHAnsi"/>
          <w:noProof/>
        </w:rPr>
        <w:t>(</w:t>
      </w:r>
      <w:hyperlink w:anchor="_ENREF_60" w:tooltip="Murray, 2007 #77" w:history="1">
        <w:r>
          <w:rPr>
            <w:rFonts w:eastAsia="Calibri" w:cstheme="minorHAnsi"/>
            <w:noProof/>
          </w:rPr>
          <w:t>60</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defined sustained quitters as biochemically confirmed abstainers at the five annual visits who could recall no month with mean smoking greater than one CPD at any annual visit. Intermittent smokers were those who were biochemically confirmed quitters at some annual visits and smokers at others. They found no significant difference between menthol and non-menthol smokers in sustained or intermittent quitting over five years. Among men, 16.6 percent of menthol and 17.2 percent of non-menthol smokers were sustained quitters, and 26.0 percent and 26.9 percent, respectively, were intermittent quitters (p=0.80;</w:t>
      </w:r>
      <w:r w:rsidRPr="00830244">
        <w:rPr>
          <w:rFonts w:cstheme="minorHAnsi"/>
        </w:rPr>
        <w:t xml:space="preserve"> </w:t>
      </w:r>
      <w:r w:rsidRPr="00830244">
        <w:rPr>
          <w:rFonts w:eastAsia="Calibri" w:cstheme="minorHAnsi"/>
        </w:rPr>
        <w:t>3-group comparison, current smokers vs. sustained quitters vs. intermittent quitters). Among women, 13.8 percent of menthol and 15.4 percent of non-menthol smokers were sustained quitters, and 30.4 percent and 28.7 percent, respectively, were intermittent quitters (p=0.57;</w:t>
      </w:r>
      <w:r w:rsidRPr="00830244">
        <w:rPr>
          <w:rFonts w:cstheme="minorHAnsi"/>
        </w:rPr>
        <w:t xml:space="preserve"> </w:t>
      </w:r>
      <w:r w:rsidRPr="00830244">
        <w:rPr>
          <w:rFonts w:eastAsia="Calibri" w:cstheme="minorHAnsi"/>
        </w:rPr>
        <w:t>3-group comparison, current smokers vs. sustained quitters vs. intermittent quitters).</w:t>
      </w:r>
    </w:p>
    <w:p w14:paraId="5BF431F2"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a two-year cohort study (2001 to 2003) of over 1,000 treatment seekers, Foulds et al. </w:t>
      </w:r>
      <w:r w:rsidRPr="00830244">
        <w:rPr>
          <w:rFonts w:eastAsia="Calibri" w:cstheme="minorHAnsi"/>
        </w:rPr>
        <w:fldChar w:fldCharType="begin"/>
      </w:r>
      <w:r>
        <w:rPr>
          <w:rFonts w:eastAsia="Calibri" w:cstheme="minorHAnsi"/>
        </w:rPr>
        <w:instrText xml:space="preserve"> ADDIN EN.CITE &lt;EndNote&gt;&lt;Cite&gt;&lt;RecNum&gt;95&lt;/RecNum&gt;&lt;DisplayText&gt;(66)&lt;/DisplayText&gt;&lt;record&gt;&lt;rec-number&gt;95&lt;/rec-number&gt;&lt;foreign-keys&gt;&lt;key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830244">
        <w:rPr>
          <w:rFonts w:eastAsia="Calibri" w:cstheme="minorHAnsi"/>
        </w:rPr>
        <w:fldChar w:fldCharType="separate"/>
      </w:r>
      <w:r>
        <w:rPr>
          <w:rFonts w:eastAsia="Calibri" w:cstheme="minorHAnsi"/>
          <w:noProof/>
        </w:rPr>
        <w:t>(</w:t>
      </w:r>
      <w:hyperlink w:anchor="_ENREF_66" w:tooltip="Foulds, 2006 #95" w:history="1">
        <w:r>
          <w:rPr>
            <w:rFonts w:eastAsia="Calibri" w:cstheme="minorHAnsi"/>
            <w:noProof/>
          </w:rPr>
          <w:t>66</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found that </w:t>
      </w:r>
      <w:r>
        <w:rPr>
          <w:rFonts w:eastAsia="Calibri" w:cstheme="minorHAnsi"/>
        </w:rPr>
        <w:t>statistically significantly</w:t>
      </w:r>
      <w:r w:rsidRPr="00830244">
        <w:rPr>
          <w:rFonts w:eastAsia="Calibri" w:cstheme="minorHAnsi"/>
        </w:rPr>
        <w:t xml:space="preserve"> fewer menthol smokers than non-menthol smokers reported 7-day Point (or Period) Prevalence Abstinence (PPA) at 26 weeks (24.9% and 35.8%, respectively, p&lt;0.0001) post-quit. </w:t>
      </w:r>
    </w:p>
    <w:p w14:paraId="422CF8C4" w14:textId="77777777" w:rsidR="007F0AE0" w:rsidRPr="00830244" w:rsidRDefault="007F0AE0" w:rsidP="007F0AE0">
      <w:pPr>
        <w:spacing w:after="120" w:line="240" w:lineRule="auto"/>
        <w:jc w:val="both"/>
        <w:rPr>
          <w:rFonts w:eastAsia="Calibri" w:cstheme="minorHAnsi"/>
        </w:rPr>
      </w:pPr>
      <w:r w:rsidRPr="00830244">
        <w:rPr>
          <w:rFonts w:cstheme="minorHAnsi"/>
          <w:color w:val="000000" w:themeColor="text1"/>
        </w:rPr>
        <w:t>Keeler et al.</w:t>
      </w:r>
      <w:r>
        <w:rPr>
          <w:rFonts w:cstheme="minorHAnsi"/>
          <w:color w:val="000000" w:themeColor="text1"/>
        </w:rPr>
        <w:t xml:space="preserve"> </w: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Pr>
          <w:rFonts w:cstheme="minorHAnsi"/>
          <w:color w:val="000000" w:themeColor="text1"/>
        </w:rPr>
        <w:fldChar w:fldCharType="separate"/>
      </w:r>
      <w:r>
        <w:rPr>
          <w:rFonts w:cstheme="minorHAnsi"/>
          <w:noProof/>
          <w:color w:val="000000" w:themeColor="text1"/>
        </w:rPr>
        <w:t>(</w:t>
      </w:r>
      <w:hyperlink w:anchor="_ENREF_29" w:tooltip="Keeler, 2017 #660" w:history="1">
        <w:r>
          <w:rPr>
            <w:rFonts w:cstheme="minorHAnsi"/>
            <w:noProof/>
            <w:color w:val="000000" w:themeColor="text1"/>
          </w:rPr>
          <w:t>29</w:t>
        </w:r>
      </w:hyperlink>
      <w:r>
        <w:rPr>
          <w:rFonts w:cstheme="minorHAnsi"/>
          <w:noProof/>
          <w:color w:val="000000" w:themeColor="text1"/>
        </w:rPr>
        <w:t>)</w:t>
      </w:r>
      <w:r>
        <w:rPr>
          <w:rFonts w:cstheme="minorHAnsi"/>
          <w:color w:val="000000" w:themeColor="text1"/>
        </w:rPr>
        <w:fldChar w:fldCharType="end"/>
      </w:r>
      <w:r w:rsidRPr="00830244">
        <w:rPr>
          <w:rFonts w:cstheme="minorHAnsi"/>
          <w:color w:val="000000" w:themeColor="text1"/>
        </w:rPr>
        <w:t xml:space="preserve"> reported on rate of successful cessation, defined as smoking abstinence of 3 months or longer, among a nationally-representative sample of adults. </w:t>
      </w:r>
      <w:r w:rsidRPr="00830244">
        <w:rPr>
          <w:rFonts w:eastAsia="Calibri" w:cstheme="minorHAnsi"/>
        </w:rPr>
        <w:t>Based on interaction term results, no difference in rate of abstinence (≥3 months) between Black menthol smokers and non-Black non-menthol smokers was reported (OR=1.10, 95% CI: 0.79–1.55; p=0.5640).</w:t>
      </w:r>
    </w:p>
    <w:p w14:paraId="5250479A"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In a publication from the Kick it at Swope trial, Harris et al. </w:t>
      </w:r>
      <w:r w:rsidRPr="00830244">
        <w:rPr>
          <w:rFonts w:eastAsia="Calibri" w:cstheme="minorHAnsi"/>
        </w:rPr>
        <w:fldChar w:fldCharType="begin"/>
      </w:r>
      <w:r>
        <w:rPr>
          <w:rFonts w:eastAsia="Calibri" w:cstheme="minorHAnsi"/>
        </w:rPr>
        <w:instrText xml:space="preserve"> ADDIN EN.CITE &lt;EndNote&gt;&lt;Cite&gt;&lt;RecNum&gt;82&lt;/RecNum&gt;&lt;DisplayText&gt;(48)&lt;/DisplayText&gt;&lt;record&gt;&lt;rec-number&gt;82&lt;/rec-number&gt;&lt;foreign-keys&gt;&lt;key app="EN" db-id="a2vz2dfp8xrad6exes75zwpiw5rxwa0vwapv" timestamp="0"&gt;82&lt;/key&gt;&lt;/foreign-keys&gt;&lt;ref-type name="Journal Article"&gt;17&lt;/ref-type&gt;&lt;contributors&gt;&lt;authors&gt;&lt;author&gt;Harris, K. J.&lt;/author&gt;&lt;author&gt;Okuyemi, K. S.&lt;/author&gt;&lt;author&gt;Catley, D.&lt;/author&gt;&lt;author&gt;Mayo, M. S.&lt;/author&gt;&lt;author&gt;Ge, B.&lt;/author&gt;&lt;author&gt;Ahluwalia, J. S.&lt;/author&gt;&lt;/authors&gt;&lt;/contributors&gt;&lt;auth-address&gt;Department of Psychology, University of Montana, Missoula, MT 59812, USA. kari.harris@umontana.edu&lt;/auth-address&gt;&lt;titles&gt;&lt;title&gt;Predictors of smoking cessation among African-Americans enrolled in a randomized controlled trial of bupropion&lt;/title&gt;&lt;secondary-title&gt;Prev Med&lt;/secondary-title&gt;&lt;/titles&gt;&lt;pages&gt;498-502&lt;/pages&gt;&lt;volume&gt;38&lt;/volume&gt;&lt;number&gt;4&lt;/number&gt;&lt;keywords&gt;&lt;keyword&gt;Adult&lt;/keyword&gt;&lt;keyword&gt;*African Americans&lt;/keyword&gt;&lt;keyword&gt;Bupropion/*therapeutic use&lt;/keyword&gt;&lt;keyword&gt;Dopamine Uptake Inhibitors/*therapeutic use&lt;/keyword&gt;&lt;keyword&gt;Double-Blind Method&lt;/keyword&gt;&lt;keyword&gt;Female&lt;/keyword&gt;&lt;keyword&gt;Follow-Up Studies&lt;/keyword&gt;&lt;keyword&gt;Humans&lt;/keyword&gt;&lt;keyword&gt;Male&lt;/keyword&gt;&lt;keyword&gt;Middle Aged&lt;/keyword&gt;&lt;keyword&gt;Predictive Value of Tests&lt;/keyword&gt;&lt;keyword&gt;Smoking Cessation/*ethnology&lt;/keyword&gt;&lt;/keywords&gt;&lt;dates&gt;&lt;year&gt;2004&lt;/year&gt;&lt;pub-dates&gt;&lt;date&gt;Apr&lt;/date&gt;&lt;/pub-dates&gt;&lt;/dates&gt;&lt;isbn&gt;0091-7435 (Print)&amp;#xD;0091-7435 (Linking)&lt;/isbn&gt;&lt;accession-num&gt;15020185&lt;/accession-num&gt;&lt;urls&gt;&lt;related-urls&gt;&lt;url&gt;http://www.ncbi.nlm.nih.gov/pubmed/15020185&lt;/url&gt;&lt;/related-urls&gt;&lt;/urls&gt;&lt;electronic-resource-num&gt;10.1016/j.ypmed.2003.12.008&lt;/electronic-resource-num&gt;&lt;research-notes&gt;#412&lt;/research-notes&gt;&lt;/record&gt;&lt;/Cite&gt;&lt;/EndNote&gt;</w:instrText>
      </w:r>
      <w:r w:rsidRPr="00830244">
        <w:rPr>
          <w:rFonts w:eastAsia="Calibri" w:cstheme="minorHAnsi"/>
        </w:rPr>
        <w:fldChar w:fldCharType="separate"/>
      </w:r>
      <w:r>
        <w:rPr>
          <w:rFonts w:eastAsia="Calibri" w:cstheme="minorHAnsi"/>
          <w:noProof/>
        </w:rPr>
        <w:t>(</w:t>
      </w:r>
      <w:hyperlink w:anchor="_ENREF_48" w:tooltip="Harris, 2004 #82" w:history="1">
        <w:r>
          <w:rPr>
            <w:rFonts w:eastAsia="Calibri" w:cstheme="minorHAnsi"/>
            <w:noProof/>
          </w:rPr>
          <w:t>48</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found that menthol was associated with a </w:t>
      </w:r>
      <w:r>
        <w:rPr>
          <w:rFonts w:eastAsia="Calibri" w:cstheme="minorHAnsi"/>
        </w:rPr>
        <w:t>statistically significant</w:t>
      </w:r>
      <w:r w:rsidRPr="00830244">
        <w:rPr>
          <w:rFonts w:eastAsia="Calibri" w:cstheme="minorHAnsi"/>
        </w:rPr>
        <w:t xml:space="preserve"> lower rate of 7-day PPA at the end of a 7-week medication (or placebo) phase. Specifically, 28.3 percent of menthol smokers and 41.5 percent of non-menthol smokers were abstinent at seven weeks (p=0.0062). This contradicts their finding from multiple regression analysis, that menthol was not a significant predictor of abstinence (data not reported). In addition to the adjusted 7-week data from that cessation treatment study among Black smokers, the Okuyemi et al. </w:t>
      </w:r>
      <w:r w:rsidRPr="00830244">
        <w:rPr>
          <w:rFonts w:eastAsia="Calibri" w:cstheme="minorHAnsi"/>
        </w:rPr>
        <w:fldChar w:fldCharType="begin"/>
      </w:r>
      <w:r>
        <w:rPr>
          <w:rFonts w:eastAsia="Calibri" w:cstheme="minorHAnsi"/>
        </w:rPr>
        <w:instrText xml:space="preserve"> ADDIN EN.CITE &lt;EndNote&gt;&lt;Cite&gt;&lt;RecNum&gt;85&lt;/RecNum&gt;&lt;DisplayText&gt;(49)&lt;/DisplayText&gt;&lt;record&gt;&lt;rec-number&gt;85&lt;/rec-number&gt;&lt;foreign-keys&gt;&lt;key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830244">
        <w:rPr>
          <w:rFonts w:eastAsia="Calibri" w:cstheme="minorHAnsi"/>
        </w:rPr>
        <w:fldChar w:fldCharType="separate"/>
      </w:r>
      <w:r>
        <w:rPr>
          <w:rFonts w:eastAsia="Calibri" w:cstheme="minorHAnsi"/>
          <w:noProof/>
        </w:rPr>
        <w:t>(</w:t>
      </w:r>
      <w:hyperlink w:anchor="_ENREF_49" w:tooltip="Okuyemi, 2003 #85" w:history="1">
        <w:r>
          <w:rPr>
            <w:rFonts w:eastAsia="Calibri" w:cstheme="minorHAnsi"/>
            <w:noProof/>
          </w:rPr>
          <w:t>49</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published unadjusted data from the same study for 6-month abstinence. Seven-day PPA at six months was found reported (and biochemically confirmed) by 21.4 percent of menthol smokers and 27.0 percent of non-menthol smokers (p=0.21). </w:t>
      </w:r>
    </w:p>
    <w:p w14:paraId="6CD7B4F6"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 xml:space="preserve">Brooks et al. </w:t>
      </w:r>
      <w:r w:rsidRPr="00830244">
        <w:rPr>
          <w:rFonts w:eastAsia="Calibri" w:cstheme="minorHAnsi"/>
        </w:rPr>
        <w:fldChar w:fldCharType="begin"/>
      </w:r>
      <w:r>
        <w:rPr>
          <w:rFonts w:eastAsia="Calibri" w:cstheme="minorHAnsi"/>
        </w:rPr>
        <w:instrText xml:space="preserve"> ADDIN EN.CITE &lt;EndNote&gt;&lt;Cite&gt;&lt;RecNum&gt;290&lt;/RecNum&gt;&lt;DisplayText&gt;(21)&lt;/DisplayText&gt;&lt;record&gt;&lt;rec-number&gt;290&lt;/rec-number&gt;&lt;foreign-keys&gt;&lt;key app="EN" db-id="a2vz2dfp8xrad6exes75zwpiw5rxwa0vwapv" timestamp="1484765626"&gt;290&lt;/key&gt;&lt;/foreign-keys&gt;&lt;ref-type name="Journal Article"&gt;17&lt;/ref-type&gt;&lt;contributors&gt;&lt;authors&gt;&lt;author&gt;Brooks, D. R.&lt;/author&gt;&lt;author&gt;Palmer, J. R.&lt;/author&gt;&lt;author&gt;Strom, B. L.&lt;/author&gt;&lt;author&gt;Rosenberg, L.&lt;/author&gt;&lt;/authors&gt;&lt;/contributors&gt;&lt;auth-address&gt;Department of Epidemiology, Boston University School of Public Health, Boston, MA 02118, USA. danbrook@bu.edu&lt;/auth-address&gt;&lt;titles&gt;&lt;title&gt;Menthol cigarettes and risk of lung cancer&lt;/title&gt;&lt;secondary-title&gt;Am J Epidemiol&lt;/secondary-title&gt;&lt;/titles&gt;&lt;periodical&gt;&lt;full-title&gt;Am J Epidemiol&lt;/full-title&gt;&lt;/periodical&gt;&lt;pages&gt;609-16; discussion 617-20&lt;/pages&gt;&lt;volume&gt;158&lt;/volume&gt;&lt;number&gt;7&lt;/number&gt;&lt;keywords&gt;&lt;keyword&gt;Adult&lt;/keyword&gt;&lt;keyword&gt;African Continental Ancestry Group&lt;/keyword&gt;&lt;keyword&gt;Age Distribution&lt;/keyword&gt;&lt;keyword&gt;Aged&lt;/keyword&gt;&lt;keyword&gt;Case-Control Studies&lt;/keyword&gt;&lt;keyword&gt;European Continental Ancestry Group&lt;/keyword&gt;&lt;keyword&gt;Female&lt;/keyword&gt;&lt;keyword&gt;Humans&lt;/keyword&gt;&lt;keyword&gt;Lung Neoplasms/*epidemiology&lt;/keyword&gt;&lt;keyword&gt;Male&lt;/keyword&gt;&lt;keyword&gt;Menthol/*administration &amp;amp; dosage&lt;/keyword&gt;&lt;keyword&gt;Middle Aged&lt;/keyword&gt;&lt;keyword&gt;Multivariate Analysis&lt;/keyword&gt;&lt;keyword&gt;Odds Ratio&lt;/keyword&gt;&lt;keyword&gt;Population Surveillance&lt;/keyword&gt;&lt;keyword&gt;Risk Assessment&lt;/keyword&gt;&lt;keyword&gt;Risk Factors&lt;/keyword&gt;&lt;keyword&gt;Sex Distribution&lt;/keyword&gt;&lt;keyword&gt;Smoking/*epidemiology&lt;/keyword&gt;&lt;keyword&gt;Socioeconomic Factors&lt;/keyword&gt;&lt;keyword&gt;United States/epidemiology&lt;/keyword&gt;&lt;/keywords&gt;&lt;dates&gt;&lt;year&gt;2003&lt;/year&gt;&lt;pub-dates&gt;&lt;date&gt;Oct 01&lt;/date&gt;&lt;/pub-dates&gt;&lt;/dates&gt;&lt;isbn&gt;0002-9262 (Print)&amp;#xD;0002-9262 (Linking)&lt;/isbn&gt;&lt;accession-num&gt;14507595&lt;/accession-num&gt;&lt;urls&gt;&lt;related-urls&gt;&lt;url&gt;https://www.ncbi.nlm.nih.gov/pubmed/14507595&lt;/url&gt;&lt;/related-urls&gt;&lt;/urls&gt;&lt;/record&gt;&lt;/Cite&gt;&lt;/EndNote&gt;</w:instrText>
      </w:r>
      <w:r w:rsidRPr="00830244">
        <w:rPr>
          <w:rFonts w:eastAsia="Calibri" w:cstheme="minorHAnsi"/>
        </w:rPr>
        <w:fldChar w:fldCharType="separate"/>
      </w:r>
      <w:r>
        <w:rPr>
          <w:rFonts w:eastAsia="Calibri" w:cstheme="minorHAnsi"/>
          <w:noProof/>
        </w:rPr>
        <w:t>(</w:t>
      </w:r>
      <w:hyperlink w:anchor="_ENREF_21" w:tooltip="Brooks, 2003 #290" w:history="1">
        <w:r>
          <w:rPr>
            <w:rFonts w:eastAsia="Calibri" w:cstheme="minorHAnsi"/>
            <w:noProof/>
          </w:rPr>
          <w:t>21</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a case-control study in which cases were lung cancer patients and controls were admitted to the hospital for conditions unrelated to smoking. Participants were adults aged 40 to 70 years and had smoked for at least twenty years. Duration of abstinence was reported by cigarette type among the controls only (N=4,110). Only 38 percent of controls reported brand information for “at least 60 percent of the total duration of smoking.” To increase sample size, the authors “inferred” information about cigarette type during periods of unknown brand history (i.e., menthol or non-menthol preference). The </w:t>
      </w:r>
      <w:r w:rsidRPr="00830244">
        <w:rPr>
          <w:rFonts w:eastAsia="Calibri" w:cstheme="minorHAnsi"/>
        </w:rPr>
        <w:lastRenderedPageBreak/>
        <w:t>authors “inferred” whether someone was a menthol or non-menthol user for roughly seven percent of the control sample. Of the current smokers, 31.6 percent had ever smoked menthol cigarettes; of the former smokers who had quit in the past 1-5 years, 26.4 percent had ever smoked menthol cigarettes; of the former smokers who had quit in the past 6-10 years, 20.6 percent had ever smoked menthol cigarettes; and of the former smokers who had quite 11 years ago or longer, 16.0 percent had ever smoked menthol cigarettes.</w:t>
      </w:r>
    </w:p>
    <w:p w14:paraId="2A462F4A" w14:textId="77777777" w:rsidR="007F0AE0" w:rsidRPr="00830244" w:rsidRDefault="007F0AE0" w:rsidP="007F0AE0">
      <w:pPr>
        <w:spacing w:after="120" w:line="240" w:lineRule="auto"/>
        <w:jc w:val="both"/>
        <w:rPr>
          <w:rFonts w:eastAsia="Calibri" w:cstheme="minorHAnsi"/>
        </w:rPr>
      </w:pPr>
      <w:r w:rsidRPr="00830244">
        <w:rPr>
          <w:rFonts w:eastAsia="Calibri" w:cstheme="minorHAnsi"/>
        </w:rPr>
        <w:t>In a study by Lewis et al. (</w:t>
      </w:r>
      <w:hyperlink w:anchor="_ENREF_55" w:tooltip="Lewis, 2014 #17" w:history="1">
        <w:r w:rsidRPr="00830244">
          <w:rPr>
            <w:rFonts w:cstheme="minorHAnsi"/>
            <w:noProof/>
            <w:color w:val="000000" w:themeColor="text1"/>
          </w:rPr>
          <w:t>Lewis et al., 2014</w:t>
        </w:r>
      </w:hyperlink>
      <w:r w:rsidRPr="00830244">
        <w:rPr>
          <w:rFonts w:eastAsia="Calibri" w:cstheme="minorHAnsi"/>
        </w:rPr>
        <w:t>), quit rates were compared among Black and non-Black panelists: the quit rates among Black menthol and non-menthol smokers were 17.0 percent and 18.5 percent, respectively; the quit rates among non-Black menthol and non-menthol smokers were 21.3 percent and 26.8 percent, respectively.</w:t>
      </w:r>
    </w:p>
    <w:p w14:paraId="6190EF57" w14:textId="77777777" w:rsidR="007F0AE0" w:rsidRPr="00DE2832" w:rsidRDefault="007F0AE0" w:rsidP="007F0AE0">
      <w:pPr>
        <w:spacing w:after="120" w:line="240" w:lineRule="auto"/>
        <w:jc w:val="both"/>
        <w:rPr>
          <w:rFonts w:eastAsia="Calibri" w:cstheme="minorHAnsi"/>
        </w:rPr>
      </w:pPr>
      <w:r w:rsidRPr="00830244">
        <w:rPr>
          <w:rFonts w:eastAsia="Calibri" w:cstheme="minorHAnsi"/>
        </w:rPr>
        <w:t xml:space="preserve">Sidney et al. </w:t>
      </w:r>
      <w:r w:rsidRPr="00830244">
        <w:rPr>
          <w:rFonts w:eastAsia="Calibri" w:cstheme="minorHAnsi"/>
        </w:rPr>
        <w:fldChar w:fldCharType="begin"/>
      </w:r>
      <w:r>
        <w:rPr>
          <w:rFonts w:eastAsia="Calibri" w:cstheme="minorHAnsi"/>
        </w:rPr>
        <w:instrText xml:space="preserve"> ADDIN EN.CITE &lt;EndNote&gt;&lt;Cite&gt;&lt;RecNum&gt;92&lt;/RecNum&gt;&lt;DisplayText&gt;(73)&lt;/DisplayText&gt;&lt;record&gt;&lt;rec-number&gt;92&lt;/rec-number&gt;&lt;foreign-keys&gt;&lt;key app="EN" db-id="a2vz2dfp8xrad6exes75zwpiw5rxwa0vwapv" timestamp="0"&gt;92&lt;/key&gt;&lt;/foreign-keys&gt;&lt;ref-type name="Journal Article"&gt;17&lt;/ref-type&gt;&lt;contributors&gt;&lt;authors&gt;&lt;author&gt;Sidney, S.&lt;/author&gt;&lt;author&gt;Tekawa, I. S.&lt;/author&gt;&lt;author&gt;Friedman, G. D.&lt;/author&gt;&lt;/authors&gt;&lt;/contributors&gt;&lt;titles&gt;&lt;title&gt;Mentholated cigarette use among multiphasic examinees, 1979-86&lt;/title&gt;&lt;secondary-title&gt;Am J Public Health&lt;/secondary-title&gt;&lt;/titles&gt;&lt;periodical&gt;&lt;full-title&gt;Am J Public Health&lt;/full-title&gt;&lt;/periodical&gt;&lt;pages&gt;1415-1416&lt;/pages&gt;&lt;volume&gt;79&lt;/volume&gt;&lt;section&gt;1415&lt;/section&gt;&lt;dates&gt;&lt;year&gt;1989&lt;/year&gt;&lt;/dates&gt;&lt;urls&gt;&lt;/urls&gt;&lt;research-notes&gt;#505&lt;/research-notes&gt;&lt;/record&gt;&lt;/Cite&gt;&lt;/EndNote&gt;</w:instrText>
      </w:r>
      <w:r w:rsidRPr="00830244">
        <w:rPr>
          <w:rFonts w:eastAsia="Calibri" w:cstheme="minorHAnsi"/>
        </w:rPr>
        <w:fldChar w:fldCharType="separate"/>
      </w:r>
      <w:r>
        <w:rPr>
          <w:rFonts w:eastAsia="Calibri" w:cstheme="minorHAnsi"/>
          <w:noProof/>
        </w:rPr>
        <w:t>(</w:t>
      </w:r>
      <w:hyperlink w:anchor="_ENREF_73" w:tooltip="Sidney, 1989 #92" w:history="1">
        <w:r>
          <w:rPr>
            <w:rFonts w:eastAsia="Calibri" w:cstheme="minorHAnsi"/>
            <w:noProof/>
          </w:rPr>
          <w:t>73</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smoking cessation data from 1,688 Black Health Maintenance Organization (HMO) enrollees in California, all less than 40 years old at baseline, for a mean of 4.5 years. They reported a difference in quit rate was equally likely in both menthol and non-menthol groups: 15.4 percent of menthol smokers had quit, compared with 17.5 percent of non-menthol smokers.</w:t>
      </w:r>
    </w:p>
    <w:p w14:paraId="103AC50F" w14:textId="77777777" w:rsidR="007F0AE0" w:rsidRPr="00DE2832" w:rsidRDefault="007F0AE0" w:rsidP="007F0AE0">
      <w:pPr>
        <w:spacing w:after="120" w:line="240" w:lineRule="auto"/>
        <w:jc w:val="both"/>
        <w:outlineLvl w:val="1"/>
        <w:rPr>
          <w:rFonts w:eastAsia="Calibri" w:cstheme="minorHAnsi"/>
          <w:i/>
          <w:u w:val="single"/>
        </w:rPr>
      </w:pPr>
      <w:r w:rsidRPr="00DE2832">
        <w:rPr>
          <w:rFonts w:eastAsia="Calibri" w:cstheme="minorHAnsi"/>
          <w:i/>
          <w:u w:val="single"/>
        </w:rPr>
        <w:t>Unadjusted Results: Return to Smoking/Relapse</w:t>
      </w:r>
    </w:p>
    <w:p w14:paraId="39A68BDE" w14:textId="77777777" w:rsidR="007F0AE0" w:rsidRPr="00DE2832" w:rsidRDefault="007F0AE0" w:rsidP="007F0AE0">
      <w:pPr>
        <w:spacing w:after="120" w:line="240" w:lineRule="auto"/>
        <w:jc w:val="both"/>
        <w:rPr>
          <w:rFonts w:eastAsia="Calibri" w:cstheme="minorHAnsi"/>
          <w:i/>
        </w:rPr>
      </w:pPr>
      <w:r w:rsidRPr="00DE2832">
        <w:rPr>
          <w:rFonts w:eastAsia="Calibri" w:cstheme="minorHAnsi"/>
          <w:i/>
        </w:rPr>
        <w:t>Three studies reported rates of return to smoking/</w:t>
      </w:r>
      <w:r w:rsidRPr="00180E8E">
        <w:rPr>
          <w:rFonts w:eastAsia="Calibri" w:cstheme="minorHAnsi"/>
          <w:i/>
        </w:rPr>
        <w:t>relapse</w:t>
      </w:r>
      <w:r>
        <w:rPr>
          <w:rFonts w:eastAsia="Calibri" w:cstheme="minorHAnsi"/>
          <w:i/>
        </w:rPr>
        <w:t xml:space="preserve"> </w:t>
      </w:r>
      <w:r>
        <w:rPr>
          <w:rFonts w:eastAsia="Calibri" w:cstheme="minorHAnsi"/>
          <w:i/>
        </w:rPr>
        <w:fldChar w:fldCharType="begin">
          <w:fldData xml:space="preserve">PEVuZE5vdGU+PENpdGU+PEF1dGhvcj5EZWxuZXZvPC9BdXRob3I+PFllYXI+MjAxNTwvWWVhcj48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</w:fldData>
        </w:fldChar>
      </w:r>
      <w:r>
        <w:rPr>
          <w:rFonts w:eastAsia="Calibri" w:cstheme="minorHAnsi"/>
          <w:i/>
        </w:rPr>
        <w:instrText xml:space="preserve"> ADDIN EN.CITE </w:instrText>
      </w:r>
      <w:r>
        <w:rPr>
          <w:rFonts w:eastAsia="Calibri" w:cstheme="minorHAnsi"/>
          <w:i/>
        </w:rPr>
        <w:fldChar w:fldCharType="begin">
          <w:fldData xml:space="preserve">PEVuZE5vdGU+PENpdGU+PEF1dGhvcj5EZWxuZXZvPC9BdXRob3I+PFllYXI+MjAxNTwvWWVhcj48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2" w:tooltip="Fagan, 2010 #56" w:history="1">
        <w:r>
          <w:rPr>
            <w:rFonts w:eastAsia="Calibri" w:cstheme="minorHAnsi"/>
            <w:i/>
            <w:noProof/>
          </w:rPr>
          <w:t>12</w:t>
        </w:r>
      </w:hyperlink>
      <w:r>
        <w:rPr>
          <w:rFonts w:eastAsia="Calibri" w:cstheme="minorHAnsi"/>
          <w:i/>
          <w:noProof/>
        </w:rPr>
        <w:t xml:space="preserve">, </w:t>
      </w:r>
      <w:hyperlink w:anchor="_ENREF_18" w:tooltip="Delnevo, 2015 #1" w:history="1">
        <w:r>
          <w:rPr>
            <w:rFonts w:eastAsia="Calibri" w:cstheme="minorHAnsi"/>
            <w:i/>
            <w:noProof/>
          </w:rPr>
          <w:t>18</w:t>
        </w:r>
      </w:hyperlink>
      <w:r>
        <w:rPr>
          <w:rFonts w:eastAsia="Calibri" w:cstheme="minorHAnsi"/>
          <w:i/>
          <w:noProof/>
        </w:rPr>
        <w:t xml:space="preserve">, </w:t>
      </w:r>
      <w:hyperlink w:anchor="_ENREF_42" w:tooltip="D'Silva, 2012 #33" w:history="1">
        <w:r>
          <w:rPr>
            <w:rFonts w:eastAsia="Calibri" w:cstheme="minorHAnsi"/>
            <w:i/>
            <w:noProof/>
          </w:rPr>
          <w:t>42</w:t>
        </w:r>
      </w:hyperlink>
      <w:r>
        <w:rPr>
          <w:rFonts w:eastAsia="Calibri" w:cstheme="minorHAnsi"/>
          <w:i/>
          <w:noProof/>
        </w:rPr>
        <w:t>)</w:t>
      </w:r>
      <w:r>
        <w:rPr>
          <w:rFonts w:eastAsia="Calibri" w:cstheme="minorHAnsi"/>
          <w:i/>
        </w:rPr>
        <w:fldChar w:fldCharType="end"/>
      </w:r>
      <w:r w:rsidRPr="00180E8E">
        <w:rPr>
          <w:rFonts w:eastAsia="Calibri" w:cstheme="minorHAnsi"/>
          <w:i/>
        </w:rPr>
        <w:t xml:space="preserve">, of which only one study </w:t>
      </w:r>
      <w:r w:rsidRPr="00180E8E">
        <w:rPr>
          <w:rFonts w:eastAsia="Calibri" w:cstheme="minorHAnsi"/>
          <w:i/>
          <w:noProof/>
        </w:rPr>
        <w:t>(</w:t>
      </w:r>
      <w:hyperlink w:anchor="_ENREF_14" w:tooltip="D'Silva, 2012 #33" w:history="1">
        <w:r w:rsidRPr="00180E8E">
          <w:rPr>
            <w:rFonts w:eastAsia="Calibri" w:cstheme="minorHAnsi"/>
            <w:i/>
            <w:noProof/>
          </w:rPr>
          <w:t>D'Silva et al., 2012</w:t>
        </w:r>
      </w:hyperlink>
      <w:r w:rsidRPr="00180E8E">
        <w:rPr>
          <w:rFonts w:eastAsia="Calibri" w:cstheme="minorHAnsi"/>
          <w:i/>
          <w:noProof/>
        </w:rPr>
        <w:t>)</w:t>
      </w:r>
      <w:r w:rsidRPr="00180E8E">
        <w:rPr>
          <w:rFonts w:eastAsia="Calibri" w:cstheme="minorHAnsi"/>
          <w:i/>
        </w:rPr>
        <w:t xml:space="preserve"> was adequately designed to measure return to smoking/relapse. It was a prospective study that involved over 6,000 smokers desiri</w:t>
      </w:r>
      <w:r w:rsidRPr="00DE2832">
        <w:rPr>
          <w:rFonts w:eastAsia="Calibri" w:cstheme="minorHAnsi"/>
          <w:i/>
        </w:rPr>
        <w:t xml:space="preserve">ng to quit, </w:t>
      </w:r>
      <w:r>
        <w:rPr>
          <w:rFonts w:eastAsia="Calibri" w:cstheme="minorHAnsi"/>
          <w:i/>
        </w:rPr>
        <w:t>and observed a lower rate returning to smoking among menthol smokers, although significance testing was not performed.</w:t>
      </w:r>
    </w:p>
    <w:p w14:paraId="45509F10"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the only study that truly measured return to smoking, D’Silva et al. </w:t>
      </w:r>
      <w:r w:rsidRPr="00DE2832">
        <w:rPr>
          <w:rFonts w:eastAsia="Calibri" w:cstheme="minorHAnsi"/>
        </w:rPr>
        <w:fldChar w:fldCharType="begin"/>
      </w:r>
      <w:r>
        <w:rPr>
          <w:rFonts w:eastAsia="Calibri" w:cstheme="minorHAnsi"/>
        </w:rPr>
        <w:instrText xml:space="preserve"> ADDIN EN.CITE &lt;EndNote&gt;&lt;Cite&gt;&lt;RecNum&gt;33&lt;/RecNum&gt;&lt;DisplayText&gt;(42)&lt;/DisplayText&gt;&lt;record&gt;&lt;rec-number&gt;33&lt;/rec-number&gt;&lt;foreign-keys&gt;&lt;key app="EN" db-id="a2vz2dfp8xrad6exes75zwpiw5rxwa0vwapv" timestamp="0"&gt;33&lt;/key&gt;&lt;/foreign-keys&gt;&lt;ref-type name="Journal Article"&gt;17&lt;/ref-type&gt;&lt;contributors&gt;&lt;authors&gt;&lt;author&gt;D&amp;apos;Silva, J.&lt;/author&gt;&lt;author&gt;Boyle, R. G.&lt;/author&gt;&lt;author&gt;Lien, R.&lt;/author&gt;&lt;author&gt;Rode, P.&lt;/author&gt;&lt;author&gt;Okuyemi, K. S.&lt;/author&gt;&lt;/authors&gt;&lt;/contributors&gt;&lt;auth-address&gt;ClearWay Minnesota, Minneapolis, Minnesota 55425, USA. jdsilva@clearwaymn.org&lt;/auth-address&gt;&lt;titles&gt;&lt;title&gt;Cessation outcomes among treatment-seeking menthol and nonmenthol smokers&lt;/title&gt;&lt;secondary-title&gt;Am J Prev Med&lt;/secondary-title&gt;&lt;/titles&gt;&lt;pages&gt;S242-8&lt;/pages&gt;&lt;volume&gt;43&lt;/volume&gt;&lt;number&gt;5 Suppl 3&lt;/number&gt;&lt;keywords&gt;&lt;keyword&gt;Adolescent&lt;/keyword&gt;&lt;keyword&gt;Adult&lt;/keyword&gt;&lt;keyword&gt;African Americans/statistics &amp;amp; numerical data&lt;/keyword&gt;&lt;keyword&gt;Age Factors&lt;/keyword&gt;&lt;keyword&gt;Aged&lt;/keyword&gt;&lt;keyword&gt;Educational Status&lt;/keyword&gt;&lt;keyword&gt;Female&lt;/keyword&gt;&lt;keyword&gt;Follow-Up Studies&lt;/keyword&gt;&lt;keyword&gt;Hotlines&lt;/keyword&gt;&lt;keyword&gt;Humans&lt;/keyword&gt;&lt;keyword&gt;Male&lt;/keyword&gt;&lt;keyword&gt;*Menthol&lt;/keyword&gt;&lt;keyword&gt;Middle Aged&lt;/keyword&gt;&lt;keyword&gt;Motivation&lt;/keyword&gt;&lt;keyword&gt;Sex Factors&lt;/keyword&gt;&lt;keyword&gt;Smoking/epidemiology/*prevention &amp;amp; control&lt;/keyword&gt;&lt;keyword&gt;Smoking Cessation/*statistics &amp;amp; numerical data&lt;/keyword&gt;&lt;keyword&gt;Tobacco Products/*statistics &amp;amp; numerical data&lt;/keyword&gt;&lt;keyword&gt;Tobacco Use Disorder/rehabilitation&lt;/keyword&gt;&lt;keyword&gt;United States&lt;/keyword&gt;&lt;keyword&gt;United States Food and Drug Administration&lt;/keyword&gt;&lt;keyword&gt;Young Adult&lt;/keyword&gt;&lt;/keywords&gt;&lt;dates&gt;&lt;year&gt;2012&lt;/year&gt;&lt;pub-dates&gt;&lt;date&gt;Nov&lt;/date&gt;&lt;/pub-dates&gt;&lt;/dates&gt;&lt;isbn&gt;1873-2607 (Electronic)&amp;#xD;0749-3797 (Linking)&lt;/isbn&gt;&lt;accession-num&gt;23079223&lt;/accession-num&gt;&lt;urls&gt;&lt;related-urls&gt;&lt;url&gt;http://www.ncbi.nlm.nih.gov/pubmed/23079223&lt;/url&gt;&lt;/related-urls&gt;&lt;/urls&gt;&lt;electronic-resource-num&gt;10.1016/j.amepre.2012.07.033&lt;/electronic-resource-num&gt;&lt;research-notes&gt;#174&lt;/research-notes&gt;&lt;/record&gt;&lt;/Cite&gt;&lt;/EndNote&gt;</w:instrText>
      </w:r>
      <w:r w:rsidRPr="00DE2832">
        <w:rPr>
          <w:rFonts w:eastAsia="Calibri" w:cstheme="minorHAnsi"/>
        </w:rPr>
        <w:fldChar w:fldCharType="separate"/>
      </w:r>
      <w:r>
        <w:rPr>
          <w:rFonts w:eastAsia="Calibri" w:cstheme="minorHAnsi"/>
          <w:noProof/>
        </w:rPr>
        <w:t>(</w:t>
      </w:r>
      <w:hyperlink w:anchor="_ENREF_42" w:tooltip="D'Silva, 2012 #33" w:history="1">
        <w:r>
          <w:rPr>
            <w:rFonts w:eastAsia="Calibri" w:cstheme="minorHAnsi"/>
            <w:noProof/>
          </w:rPr>
          <w:t>42</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followed over six thousand adults in Minnesota who registered for cessation counseling services via a quit line. Over 95 percent of participants were current smokers at the time of enrollment; the remainder were trying to remain abstinent. Investigators defined relapse as having achieved prolonged abstinence but using tobacco in the last 30 days. They reported that smoking menthol ci</w:t>
      </w:r>
      <w:r>
        <w:rPr>
          <w:rFonts w:eastAsia="Calibri" w:cstheme="minorHAnsi"/>
        </w:rPr>
        <w:t>garettes was associated with a</w:t>
      </w:r>
      <w:r w:rsidRPr="00DE2832">
        <w:rPr>
          <w:rFonts w:eastAsia="Calibri" w:cstheme="minorHAnsi"/>
        </w:rPr>
        <w:t xml:space="preserve"> rate of return</w:t>
      </w:r>
      <w:r>
        <w:rPr>
          <w:rFonts w:eastAsia="Calibri" w:cstheme="minorHAnsi"/>
        </w:rPr>
        <w:t>ing to smoking at seven months of 48.5% (</w:t>
      </w:r>
      <w:r w:rsidRPr="00DE2832">
        <w:rPr>
          <w:rFonts w:eastAsia="Calibri" w:cstheme="minorHAnsi"/>
        </w:rPr>
        <w:t>95% CI: 36.3</w:t>
      </w:r>
      <w:r>
        <w:rPr>
          <w:rFonts w:eastAsia="Calibri" w:cstheme="minorHAnsi"/>
        </w:rPr>
        <w:t xml:space="preserve">, 60.9), and smoking </w:t>
      </w:r>
      <w:r w:rsidRPr="00DE2832">
        <w:rPr>
          <w:rFonts w:eastAsia="Calibri" w:cstheme="minorHAnsi"/>
        </w:rPr>
        <w:t xml:space="preserve">non-menthol </w:t>
      </w:r>
      <w:r>
        <w:rPr>
          <w:rFonts w:eastAsia="Calibri" w:cstheme="minorHAnsi"/>
        </w:rPr>
        <w:t>cigarettes was associate with a rate of returning to smoking of 54.4% (</w:t>
      </w:r>
      <w:r w:rsidRPr="00DE2832">
        <w:rPr>
          <w:rFonts w:eastAsia="Calibri" w:cstheme="minorHAnsi"/>
        </w:rPr>
        <w:t>95% CI: 48.4</w:t>
      </w:r>
      <w:r>
        <w:rPr>
          <w:rFonts w:eastAsia="Calibri" w:cstheme="minorHAnsi"/>
        </w:rPr>
        <w:t xml:space="preserve">, </w:t>
      </w:r>
      <w:r w:rsidRPr="00DE2832">
        <w:rPr>
          <w:rFonts w:eastAsia="Calibri" w:cstheme="minorHAnsi"/>
        </w:rPr>
        <w:t>60.2).</w:t>
      </w:r>
    </w:p>
    <w:p w14:paraId="40F2F35E"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their analysis of data from young adults 18 to 34 years old collected during the 2011 National Young Adult Health Survey, Delnevo et al. </w:t>
      </w:r>
      <w:r w:rsidRPr="00DE2832">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DE2832">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found that the rate of increase “via relapse or initiation” from one year to the time of interview was </w:t>
      </w:r>
      <w:r>
        <w:rPr>
          <w:rFonts w:eastAsia="Calibri" w:cstheme="minorHAnsi"/>
        </w:rPr>
        <w:t xml:space="preserve">11.4% in </w:t>
      </w:r>
      <w:r w:rsidRPr="00DE2832">
        <w:rPr>
          <w:rFonts w:eastAsia="Calibri" w:cstheme="minorHAnsi"/>
        </w:rPr>
        <w:t xml:space="preserve">menthol smokers </w:t>
      </w:r>
      <w:r>
        <w:rPr>
          <w:rFonts w:eastAsia="Calibri" w:cstheme="minorHAnsi"/>
        </w:rPr>
        <w:t>compared to 5.7% in non-menthol smokers.</w:t>
      </w:r>
    </w:p>
    <w:p w14:paraId="436F2CB9" w14:textId="77777777" w:rsidR="007F0AE0" w:rsidRPr="00DE2832" w:rsidRDefault="007F0AE0" w:rsidP="007F0AE0">
      <w:pPr>
        <w:spacing w:after="120" w:line="240" w:lineRule="auto"/>
        <w:jc w:val="both"/>
        <w:rPr>
          <w:rFonts w:eastAsia="Calibri" w:cstheme="minorHAnsi"/>
          <w:i/>
          <w:u w:val="single"/>
        </w:rPr>
      </w:pPr>
      <w:r w:rsidRPr="00DE2832">
        <w:rPr>
          <w:rFonts w:eastAsia="Calibri" w:cstheme="minorHAnsi"/>
        </w:rPr>
        <w:t xml:space="preserve">Similarly, Fagan et al. </w:t>
      </w:r>
      <w:r w:rsidRPr="00DE2832">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 </w:instrText>
      </w:r>
      <w:r>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DE2832">
        <w:rPr>
          <w:rFonts w:eastAsia="Calibri" w:cstheme="minorHAnsi"/>
        </w:rPr>
        <w:fldChar w:fldCharType="separate"/>
      </w:r>
      <w:r>
        <w:rPr>
          <w:rFonts w:eastAsia="Calibri" w:cstheme="minorHAnsi"/>
          <w:noProof/>
        </w:rPr>
        <w:t>(</w:t>
      </w:r>
      <w:hyperlink w:anchor="_ENREF_12" w:tooltip="Fagan, 2010 #56" w:history="1">
        <w:r>
          <w:rPr>
            <w:rFonts w:eastAsia="Calibri" w:cstheme="minorHAnsi"/>
            <w:noProof/>
          </w:rPr>
          <w:t>12</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analyzed data for return to smoking from adult daily smokers in the 2003 and 2006-2007 TUS-CPS. Respondents were asked, “</w:t>
      </w:r>
      <w:r w:rsidRPr="00DE2832">
        <w:rPr>
          <w:rFonts w:eastAsia="Calibri" w:cstheme="minorHAnsi"/>
          <w:i/>
        </w:rPr>
        <w:t>Around this time 12 months ago, were you smoking cigarettes every day, some days, or not at all?”</w:t>
      </w:r>
      <w:r w:rsidRPr="00DE2832">
        <w:rPr>
          <w:rFonts w:eastAsia="Calibri" w:cstheme="minorHAnsi"/>
        </w:rPr>
        <w:t xml:space="preserve"> The rate of initiation or return to smoking was essentially the same for menthol smokers and non-menthol smokers (3.4% vs. 3.3%). Again, the data were not reported in a way that makes presentation of relapse rates alone possible; results cannot be generalized to reflect relapse alone.</w:t>
      </w:r>
    </w:p>
    <w:p w14:paraId="1B138B4D" w14:textId="77777777" w:rsidR="007F0AE0" w:rsidRPr="00DE2832" w:rsidRDefault="007F0AE0" w:rsidP="007F0AE0">
      <w:pPr>
        <w:spacing w:after="120" w:line="240" w:lineRule="auto"/>
        <w:jc w:val="both"/>
        <w:outlineLvl w:val="1"/>
        <w:rPr>
          <w:rFonts w:eastAsia="Calibri" w:cstheme="minorHAnsi"/>
          <w:i/>
          <w:u w:val="single"/>
        </w:rPr>
      </w:pPr>
      <w:r w:rsidRPr="00DE2832">
        <w:rPr>
          <w:rFonts w:eastAsia="Calibri" w:cstheme="minorHAnsi"/>
          <w:i/>
          <w:u w:val="single"/>
        </w:rPr>
        <w:t>Unadjusted Results: Change in Smoking Quantity/Frequency</w:t>
      </w:r>
    </w:p>
    <w:p w14:paraId="57D3D77F" w14:textId="77777777" w:rsidR="007F0AE0" w:rsidRPr="00DE2832" w:rsidRDefault="007F0AE0" w:rsidP="007F0AE0">
      <w:pPr>
        <w:spacing w:after="120" w:line="240" w:lineRule="auto"/>
        <w:jc w:val="both"/>
        <w:rPr>
          <w:rFonts w:eastAsia="Calibri" w:cstheme="minorHAnsi"/>
          <w:i/>
        </w:rPr>
      </w:pPr>
      <w:r w:rsidRPr="00DE2832">
        <w:rPr>
          <w:rFonts w:eastAsia="Calibri" w:cstheme="minorHAnsi"/>
          <w:i/>
        </w:rPr>
        <w:t>Three studies reported changes or differences in smoking frequency</w:t>
      </w:r>
      <w:r>
        <w:rPr>
          <w:rFonts w:eastAsia="Calibri" w:cstheme="minorHAnsi"/>
          <w:i/>
        </w:rPr>
        <w:t xml:space="preserve"> </w:t>
      </w:r>
      <w:r>
        <w:rPr>
          <w:rFonts w:eastAsia="Calibri" w:cstheme="minorHAnsi"/>
          <w:i/>
        </w:rPr>
        <w:fldChar w:fldCharType="begin">
          <w:fldData xml:space="preserve">PEVuZE5vdGU+PENpdGU+PEF1dGhvcj5CZXJnPC9BdXRob3I+PFllYXI+MjAxMDwvWWVhcj48UmVj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cmVzZWFyY2gtbm90ZXM+IzAyMjwvcmVzZWFyY2gtbm90ZXM+PC9yZWNvcmQ+PC9DaXRlPjxDaXRl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</w:fldData>
        </w:fldChar>
      </w:r>
      <w:r>
        <w:rPr>
          <w:rFonts w:eastAsia="Calibri" w:cstheme="minorHAnsi"/>
          <w:i/>
        </w:rPr>
        <w:instrText xml:space="preserve"> ADDIN EN.CITE </w:instrText>
      </w:r>
      <w:r>
        <w:rPr>
          <w:rFonts w:eastAsia="Calibri" w:cstheme="minorHAnsi"/>
          <w:i/>
        </w:rPr>
        <w:fldChar w:fldCharType="begin">
          <w:fldData xml:space="preserve">PEVuZE5vdGU+PENpdGU+PEF1dGhvcj5CZXJnPC9BdXRob3I+PFllYXI+MjAxMDwvWWVhcj48UmVj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cmVzZWFyY2gtbm90ZXM+IzAyMjwvcmVzZWFyY2gtbm90ZXM+PC9yZWNvcmQ+PC9DaXRlPjxDaXRl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8" w:tooltip="Delnevo, 2015 #1" w:history="1">
        <w:r>
          <w:rPr>
            <w:rFonts w:eastAsia="Calibri" w:cstheme="minorHAnsi"/>
            <w:i/>
            <w:noProof/>
          </w:rPr>
          <w:t>18</w:t>
        </w:r>
      </w:hyperlink>
      <w:r>
        <w:rPr>
          <w:rFonts w:eastAsia="Calibri" w:cstheme="minorHAnsi"/>
          <w:i/>
          <w:noProof/>
        </w:rPr>
        <w:t xml:space="preserve">, </w:t>
      </w:r>
      <w:hyperlink w:anchor="_ENREF_28" w:tooltip="Gubner, 2018 #601" w:history="1">
        <w:r>
          <w:rPr>
            <w:rFonts w:eastAsia="Calibri" w:cstheme="minorHAnsi"/>
            <w:i/>
            <w:noProof/>
          </w:rPr>
          <w:t>28</w:t>
        </w:r>
      </w:hyperlink>
      <w:r>
        <w:rPr>
          <w:rFonts w:eastAsia="Calibri" w:cstheme="minorHAnsi"/>
          <w:i/>
          <w:noProof/>
        </w:rPr>
        <w:t xml:space="preserve">, </w:t>
      </w:r>
      <w:hyperlink w:anchor="_ENREF_67" w:tooltip="Berg, 2010 #102" w:history="1">
        <w:r>
          <w:rPr>
            <w:rFonts w:eastAsia="Calibri" w:cstheme="minorHAnsi"/>
            <w:i/>
            <w:noProof/>
          </w:rPr>
          <w:t>67</w:t>
        </w:r>
      </w:hyperlink>
      <w:r>
        <w:rPr>
          <w:rFonts w:eastAsia="Calibri" w:cstheme="minorHAnsi"/>
          <w:i/>
          <w:noProof/>
        </w:rPr>
        <w:t>)</w:t>
      </w:r>
      <w:r>
        <w:rPr>
          <w:rFonts w:eastAsia="Calibri" w:cstheme="minorHAnsi"/>
          <w:i/>
        </w:rPr>
        <w:fldChar w:fldCharType="end"/>
      </w:r>
      <w:r w:rsidRPr="00DE2832">
        <w:rPr>
          <w:rFonts w:eastAsia="Calibri" w:cstheme="minorHAnsi"/>
          <w:i/>
        </w:rPr>
        <w:t xml:space="preserve">. A survey of young adults </w:t>
      </w:r>
      <w:r>
        <w:rPr>
          <w:rFonts w:eastAsia="Calibri" w:cstheme="minorHAnsi"/>
          <w:i/>
        </w:rPr>
        <w:t>observed</w:t>
      </w:r>
      <w:r w:rsidRPr="00DE2832">
        <w:rPr>
          <w:rFonts w:eastAsia="Calibri" w:cstheme="minorHAnsi"/>
          <w:i/>
        </w:rPr>
        <w:t xml:space="preserve"> that more menthol smokers reduced smoking frequency during the past year than non-menthol smokers,</w:t>
      </w:r>
      <w:r>
        <w:rPr>
          <w:rFonts w:eastAsia="Calibri" w:cstheme="minorHAnsi"/>
          <w:i/>
        </w:rPr>
        <w:t xml:space="preserve"> but also that more menthol smokers increased their smoking frequency during the past-year (significance testing not reported). A</w:t>
      </w:r>
      <w:r w:rsidRPr="00DE2832">
        <w:rPr>
          <w:rFonts w:eastAsia="Calibri" w:cstheme="minorHAnsi"/>
          <w:i/>
        </w:rPr>
        <w:t>nother survey reported no difference in the number of smoking days per week between menthol and non-menthol smokers. A third study, reporting on results of a cessation trial, found comparable proportions of menthol smokers within both those that reduced their smoking by 50% and those that did not.</w:t>
      </w:r>
    </w:p>
    <w:p w14:paraId="74FF0AC2"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an analysis of data from young adults 18 to 34 years old collected during the 2011 National Young Adult Health Survey, Delnevo et al. </w:t>
      </w:r>
      <w:r w:rsidRPr="00DE2832">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DE2832">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found that a decrease in smoking frequency (from smoking “every day” to smoking “some days”) over the past 12 months was more prevalent in menthol smokers (5.8%, 95% CI: 2.4</w:t>
      </w:r>
      <w:r>
        <w:rPr>
          <w:rFonts w:eastAsia="Calibri" w:cstheme="minorHAnsi"/>
        </w:rPr>
        <w:t>0</w:t>
      </w:r>
      <w:r w:rsidRPr="00DE2832">
        <w:rPr>
          <w:rFonts w:eastAsia="Calibri" w:cstheme="minorHAnsi"/>
        </w:rPr>
        <w:t xml:space="preserve"> </w:t>
      </w:r>
      <w:r w:rsidRPr="00DE2832">
        <w:rPr>
          <w:rFonts w:eastAsia="Calibri" w:cstheme="minorHAnsi"/>
        </w:rPr>
        <w:lastRenderedPageBreak/>
        <w:t>to 13.5</w:t>
      </w:r>
      <w:r>
        <w:rPr>
          <w:rFonts w:eastAsia="Calibri" w:cstheme="minorHAnsi"/>
        </w:rPr>
        <w:t>0</w:t>
      </w:r>
      <w:r w:rsidRPr="00DE2832">
        <w:rPr>
          <w:rFonts w:eastAsia="Calibri" w:cstheme="minorHAnsi"/>
        </w:rPr>
        <w:t>) than non-menthol smokers (4.5%, 95% CI: 2.6</w:t>
      </w:r>
      <w:r>
        <w:rPr>
          <w:rFonts w:eastAsia="Calibri" w:cstheme="minorHAnsi"/>
        </w:rPr>
        <w:t xml:space="preserve">0, </w:t>
      </w:r>
      <w:r w:rsidRPr="00DE2832">
        <w:rPr>
          <w:rFonts w:eastAsia="Calibri" w:cstheme="minorHAnsi"/>
        </w:rPr>
        <w:t>7.7</w:t>
      </w:r>
      <w:r>
        <w:rPr>
          <w:rFonts w:eastAsia="Calibri" w:cstheme="minorHAnsi"/>
        </w:rPr>
        <w:t>0</w:t>
      </w:r>
      <w:r w:rsidRPr="00DE2832">
        <w:rPr>
          <w:rFonts w:eastAsia="Calibri" w:cstheme="minorHAnsi"/>
        </w:rPr>
        <w:t>)</w:t>
      </w:r>
      <w:r>
        <w:rPr>
          <w:rFonts w:eastAsia="Calibri" w:cstheme="minorHAnsi"/>
        </w:rPr>
        <w:t>; however, the authors also observed that an increase in smoking frequency (from “some days” to “every day” was also more prevalent in menthol smokers (8.3%, 95% CI: 5.20, 13.10) than non-menthol smokers (4.2%, 95% CI: 2.70, 16.50).</w:t>
      </w:r>
    </w:p>
    <w:p w14:paraId="774CBCB1"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In</w:t>
      </w:r>
      <w:r>
        <w:rPr>
          <w:rFonts w:eastAsia="Calibri" w:cstheme="minorHAnsi"/>
        </w:rPr>
        <w:t xml:space="preserve"> a study by Gubner et al. </w:t>
      </w:r>
      <w:r>
        <w:rPr>
          <w:rFonts w:eastAsia="Calibri" w:cstheme="minorHAnsi"/>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Pr>
          <w:rFonts w:eastAsia="Calibri" w:cstheme="minorHAnsi"/>
        </w:rPr>
        <w:fldChar w:fldCharType="separate"/>
      </w:r>
      <w:r>
        <w:rPr>
          <w:rFonts w:eastAsia="Calibri" w:cstheme="minorHAnsi"/>
          <w:noProof/>
        </w:rPr>
        <w:t>(</w:t>
      </w:r>
      <w:hyperlink w:anchor="_ENREF_28" w:tooltip="Gubner, 2018 #601" w:history="1">
        <w:r>
          <w:rPr>
            <w:rFonts w:eastAsia="Calibri" w:cstheme="minorHAnsi"/>
            <w:noProof/>
          </w:rPr>
          <w:t>28</w:t>
        </w:r>
      </w:hyperlink>
      <w:r>
        <w:rPr>
          <w:rFonts w:eastAsia="Calibri" w:cstheme="minorHAnsi"/>
          <w:noProof/>
        </w:rPr>
        <w:t>)</w:t>
      </w:r>
      <w:r>
        <w:rPr>
          <w:rFonts w:eastAsia="Calibri" w:cstheme="minorHAnsi"/>
        </w:rPr>
        <w:fldChar w:fldCharType="end"/>
      </w:r>
      <w:r w:rsidRPr="00DE2832">
        <w:rPr>
          <w:rFonts w:eastAsia="Calibri" w:cstheme="minorHAnsi"/>
        </w:rPr>
        <w:t xml:space="preserve"> assessing menthol cigarette smoking among Individuals with substance use disorders from 24 treatment centers across the </w:t>
      </w:r>
      <w:r>
        <w:rPr>
          <w:rFonts w:eastAsia="Calibri" w:cstheme="minorHAnsi"/>
        </w:rPr>
        <w:t>U.S.</w:t>
      </w:r>
      <w:r w:rsidRPr="00DE2832">
        <w:rPr>
          <w:rFonts w:eastAsia="Calibri" w:cstheme="minorHAnsi"/>
        </w:rPr>
        <w:t xml:space="preserve">, no difference in the number of smoking days per week was observed between menthol (6.5±1.3) and non-menthol (6.6±1.2) smokers (p=0.13). </w:t>
      </w:r>
    </w:p>
    <w:p w14:paraId="55EFDB32" w14:textId="77777777" w:rsidR="007F0AE0" w:rsidRPr="000E6F62" w:rsidRDefault="007F0AE0" w:rsidP="007F0AE0">
      <w:pPr>
        <w:spacing w:after="120" w:line="240" w:lineRule="auto"/>
        <w:jc w:val="both"/>
        <w:rPr>
          <w:rFonts w:eastAsia="Calibri" w:cstheme="minorHAnsi"/>
        </w:rPr>
      </w:pPr>
      <w:r w:rsidRPr="00DE2832">
        <w:rPr>
          <w:rFonts w:eastAsia="Calibri" w:cstheme="minorHAnsi"/>
        </w:rPr>
        <w:t>Reporting on results from a cessation trial, Berg et al.</w:t>
      </w:r>
      <w:r>
        <w:rPr>
          <w:rFonts w:eastAsia="Calibri" w:cstheme="minorHAnsi"/>
        </w:rPr>
        <w:t xml:space="preserve"> </w:t>
      </w:r>
      <w:r>
        <w:rPr>
          <w:rFonts w:eastAsia="Calibri" w:cstheme="minorHAnsi"/>
        </w:rPr>
        <w:fldChar w:fldCharType="begin"/>
      </w:r>
      <w:r>
        <w:rPr>
          <w:rFonts w:eastAsia="Calibri" w:cstheme="minorHAnsi"/>
        </w:rPr>
        <w:instrText xml:space="preserve"> ADDIN EN.CITE &lt;EndNote&gt;&lt;Cite&gt;&lt;Author&gt;Berg&lt;/Author&gt;&lt;Year&gt;2010&lt;/Year&gt;&lt;RecNum&gt;102&lt;/RecNum&gt;&lt;DisplayText&gt;(67)&lt;/DisplayText&gt;&lt;record&gt;&lt;rec-number&gt;102&lt;/rec-number&gt;&lt;foreign-keys&gt;&lt;key app="EN" db-id="a2vz2dfp8xrad6exes75zwpiw5rxwa0vwapv" timestamp="0"&gt;102&lt;/key&gt;&lt;/foreign-keys&gt;&lt;ref-type name="Journal Article"&gt;17&lt;/ref-type&gt;&lt;contributors&gt;&lt;authors&gt;&lt;author&gt;Berg, C. J.&lt;/author&gt;&lt;author&gt;Thomas, J. L.&lt;/author&gt;&lt;author&gt;Guo, H.&lt;/author&gt;&lt;author&gt;An, L. C.&lt;/author&gt;&lt;author&gt;Okuyemi, K. S.&lt;/author&gt;&lt;author&gt;Collins, T. C.&lt;/author&gt;&lt;author&gt;Ahluwalia, J. S.&lt;/author&gt;&lt;/authors&gt;&lt;/contributors&gt;&lt;auth-address&gt;Department of Behavioral Sciences and Health Education, Emory University, 1518 Clifton Road NE, Atlanta, GA 30322, USA. carlajberg@gmail.com&lt;/auth-address&gt;&lt;titles&gt;&lt;title&gt;Predictors of smoking reduction among Blacks&lt;/title&gt;&lt;secondary-title&gt;Nicotine Tob Res&lt;/secondary-title&gt;&lt;/titles&gt;&lt;periodical&gt;&lt;full-title&gt;Nicotine Tob Res&lt;/full-title&gt;&lt;/periodical&gt;&lt;pages&gt;423-31&lt;/pages&gt;&lt;volume&gt;12&lt;/volume&gt;&lt;number&gt;4&lt;/number&gt;&lt;keywords&gt;&lt;keyword&gt;African Americans&lt;/keyword&gt;&lt;keyword&gt;Body Mass Index&lt;/keyword&gt;&lt;keyword&gt;Cotinine/blood&lt;/keyword&gt;&lt;keyword&gt;Humans&lt;/keyword&gt;&lt;keyword&gt;Multivariate Analysis&lt;/keyword&gt;&lt;keyword&gt;Placebo Effect&lt;/keyword&gt;&lt;keyword&gt;Smoking/blood/*psychology&lt;/keyword&gt;&lt;keyword&gt;Smoking Cessation/*psychology&lt;/keyword&gt;&lt;keyword&gt;Stress, Psychological/physiopathology&lt;/keyword&gt;&lt;keyword&gt;Surveys and Questionnaires&lt;/keyword&gt;&lt;/keywords&gt;&lt;dates&gt;&lt;year&gt;2010&lt;/year&gt;&lt;pub-dates&gt;&lt;date&gt;Apr&lt;/date&gt;&lt;/pub-dates&gt;&lt;/dates&gt;&lt;isbn&gt;1469-994X (Electronic)&amp;#xD;1462-2203 (Linking)&lt;/isbn&gt;&lt;accession-num&gt;20194521&lt;/accession-num&gt;&lt;urls&gt;&lt;related-urls&gt;&lt;url&gt;http://www.ncbi.nlm.nih.gov/pubmed/20194521&lt;/url&gt;&lt;/related-urls&gt;&lt;/urls&gt;&lt;custom2&gt;PMC2847079&lt;/custom2&gt;&lt;electronic-resource-num&gt;10.1093/ntr/ntq019&lt;/electronic-resource-num&gt;&lt;research-notes&gt;#823&lt;/research-notes&gt;&lt;/record&gt;&lt;/Cite&gt;&lt;/EndNote&gt;</w:instrText>
      </w:r>
      <w:r>
        <w:rPr>
          <w:rFonts w:eastAsia="Calibri" w:cstheme="minorHAnsi"/>
        </w:rPr>
        <w:fldChar w:fldCharType="separate"/>
      </w:r>
      <w:r>
        <w:rPr>
          <w:rFonts w:eastAsia="Calibri" w:cstheme="minorHAnsi"/>
          <w:noProof/>
        </w:rPr>
        <w:t>(</w:t>
      </w:r>
      <w:hyperlink w:anchor="_ENREF_67" w:tooltip="Berg, 2010 #102" w:history="1">
        <w:r>
          <w:rPr>
            <w:rFonts w:eastAsia="Calibri" w:cstheme="minorHAnsi"/>
            <w:noProof/>
          </w:rPr>
          <w:t>67</w:t>
        </w:r>
      </w:hyperlink>
      <w:r>
        <w:rPr>
          <w:rFonts w:eastAsia="Calibri" w:cstheme="minorHAnsi"/>
          <w:noProof/>
        </w:rPr>
        <w:t>)</w:t>
      </w:r>
      <w:r>
        <w:rPr>
          <w:rFonts w:eastAsia="Calibri" w:cstheme="minorHAnsi"/>
        </w:rPr>
        <w:fldChar w:fldCharType="end"/>
      </w:r>
      <w:r w:rsidRPr="00DE2832">
        <w:rPr>
          <w:rFonts w:eastAsia="Calibri" w:cstheme="minorHAnsi"/>
          <w:noProof/>
        </w:rPr>
        <w:t xml:space="preserve"> found that the proportion of menthol smokers among participants who reduced their cigerattes consumption by 50% or more was comparable to the proportion of menthol smokers among the participants who either increased their cigarette consomption </w:t>
      </w:r>
      <w:r w:rsidRPr="000E6F62">
        <w:rPr>
          <w:rFonts w:eastAsia="Calibri" w:cstheme="minorHAnsi"/>
          <w:noProof/>
        </w:rPr>
        <w:t>or did not reduce their consumption by 50% (80.8% versue 83.9%, respectively).</w:t>
      </w:r>
    </w:p>
    <w:p w14:paraId="6DB8E19B" w14:textId="77777777" w:rsidR="007F0AE0" w:rsidRPr="000E6F62" w:rsidRDefault="007F0AE0" w:rsidP="007F0AE0">
      <w:pPr>
        <w:spacing w:after="120" w:line="240" w:lineRule="auto"/>
        <w:jc w:val="both"/>
        <w:outlineLvl w:val="1"/>
        <w:rPr>
          <w:rFonts w:eastAsia="Calibri" w:cstheme="minorHAnsi"/>
          <w:i/>
          <w:u w:val="single"/>
        </w:rPr>
      </w:pPr>
      <w:r w:rsidRPr="000E6F62">
        <w:rPr>
          <w:rFonts w:eastAsia="Calibri" w:cstheme="minorHAnsi"/>
          <w:i/>
          <w:u w:val="single"/>
        </w:rPr>
        <w:t>Unadjusted Results: Number/Percent who Made a Quit Attempt</w:t>
      </w:r>
    </w:p>
    <w:p w14:paraId="68B3EC58" w14:textId="77777777" w:rsidR="007F0AE0" w:rsidRPr="000E6F62" w:rsidRDefault="007F0AE0" w:rsidP="007F0AE0">
      <w:pPr>
        <w:spacing w:after="120" w:line="240" w:lineRule="auto"/>
        <w:jc w:val="both"/>
        <w:rPr>
          <w:rFonts w:eastAsia="Calibri" w:cstheme="minorHAnsi"/>
          <w:i/>
        </w:rPr>
      </w:pPr>
      <w:r w:rsidRPr="000E6F62">
        <w:rPr>
          <w:rFonts w:eastAsia="Calibri" w:cstheme="minorHAnsi"/>
          <w:i/>
        </w:rPr>
        <w:t xml:space="preserve">Thirteen analyses across fourteen studies reported a measure of attempting to quit and did not adjust for potential confounders </w:t>
      </w:r>
      <w:r w:rsidRPr="000E6F62">
        <w:rPr>
          <w:rFonts w:eastAsia="Calibri" w:cstheme="minorHAnsi"/>
          <w:i/>
        </w:rPr>
        <w:fldChar w:fldCharType="begin">
          <w:fldData xml:space="preserve">PEVuZE5vdGU+PENpdGU+PEF1dGhvcj5BbGV4YW5kZXI8L0F1dGhvcj48WWVhcj4yMDEwPC9ZZWFy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</w:fldData>
        </w:fldChar>
      </w:r>
      <w:r>
        <w:rPr>
          <w:rFonts w:eastAsia="Calibri" w:cstheme="minorHAnsi"/>
          <w:i/>
        </w:rPr>
        <w:instrText xml:space="preserve"> ADDIN EN.CITE </w:instrText>
      </w:r>
      <w:r>
        <w:rPr>
          <w:rFonts w:eastAsia="Calibri" w:cstheme="minorHAnsi"/>
          <w:i/>
        </w:rPr>
        <w:fldChar w:fldCharType="begin">
          <w:fldData xml:space="preserve">PEVuZE5vdGU+PENpdGU+PEF1dGhvcj5BbGV4YW5kZXI8L0F1dGhvcj48WWVhcj4yMDEwPC9ZZWFy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sidRPr="000E6F62">
        <w:rPr>
          <w:rFonts w:eastAsia="Calibri" w:cstheme="minorHAnsi"/>
          <w:i/>
        </w:rPr>
        <w:fldChar w:fldCharType="separate"/>
      </w:r>
      <w:r>
        <w:rPr>
          <w:rFonts w:eastAsia="Calibri" w:cstheme="minorHAnsi"/>
          <w:i/>
          <w:noProof/>
        </w:rPr>
        <w:t>(</w:t>
      </w:r>
      <w:hyperlink w:anchor="_ENREF_12" w:tooltip="Fagan, 2010 #56" w:history="1">
        <w:r>
          <w:rPr>
            <w:rFonts w:eastAsia="Calibri" w:cstheme="minorHAnsi"/>
            <w:i/>
            <w:noProof/>
          </w:rPr>
          <w:t>12</w:t>
        </w:r>
      </w:hyperlink>
      <w:r>
        <w:rPr>
          <w:rFonts w:eastAsia="Calibri" w:cstheme="minorHAnsi"/>
          <w:i/>
          <w:noProof/>
        </w:rPr>
        <w:t xml:space="preserve">, </w:t>
      </w:r>
      <w:hyperlink w:anchor="_ENREF_14" w:tooltip="Alexander, 2010 #59" w:history="1">
        <w:r>
          <w:rPr>
            <w:rFonts w:eastAsia="Calibri" w:cstheme="minorHAnsi"/>
            <w:i/>
            <w:noProof/>
          </w:rPr>
          <w:t>14</w:t>
        </w:r>
      </w:hyperlink>
      <w:r>
        <w:rPr>
          <w:rFonts w:eastAsia="Calibri" w:cstheme="minorHAnsi"/>
          <w:i/>
          <w:noProof/>
        </w:rPr>
        <w:t xml:space="preserve">, </w:t>
      </w:r>
      <w:hyperlink w:anchor="_ENREF_25" w:tooltip="Fagan, 2015 #5" w:history="1">
        <w:r>
          <w:rPr>
            <w:rFonts w:eastAsia="Calibri" w:cstheme="minorHAnsi"/>
            <w:i/>
            <w:noProof/>
          </w:rPr>
          <w:t>25</w:t>
        </w:r>
      </w:hyperlink>
      <w:r>
        <w:rPr>
          <w:rFonts w:eastAsia="Calibri" w:cstheme="minorHAnsi"/>
          <w:i/>
          <w:noProof/>
        </w:rPr>
        <w:t xml:space="preserve">, </w:t>
      </w:r>
      <w:hyperlink w:anchor="_ENREF_28" w:tooltip="Gubner, 2018 #601" w:history="1">
        <w:r>
          <w:rPr>
            <w:rFonts w:eastAsia="Calibri" w:cstheme="minorHAnsi"/>
            <w:i/>
            <w:noProof/>
          </w:rPr>
          <w:t>28</w:t>
        </w:r>
      </w:hyperlink>
      <w:r>
        <w:rPr>
          <w:rFonts w:eastAsia="Calibri" w:cstheme="minorHAnsi"/>
          <w:i/>
          <w:noProof/>
        </w:rPr>
        <w:t xml:space="preserve">, </w:t>
      </w:r>
      <w:hyperlink w:anchor="_ENREF_29" w:tooltip="Keeler, 2017 #660" w:history="1">
        <w:r>
          <w:rPr>
            <w:rFonts w:eastAsia="Calibri" w:cstheme="minorHAnsi"/>
            <w:i/>
            <w:noProof/>
          </w:rPr>
          <w:t>29</w:t>
        </w:r>
      </w:hyperlink>
      <w:r>
        <w:rPr>
          <w:rFonts w:eastAsia="Calibri" w:cstheme="minorHAnsi"/>
          <w:i/>
          <w:noProof/>
        </w:rPr>
        <w:t xml:space="preserve">, </w:t>
      </w:r>
      <w:hyperlink w:anchor="_ENREF_32" w:tooltip="Stahre, 2010 #57" w:history="1">
        <w:r>
          <w:rPr>
            <w:rFonts w:eastAsia="Calibri" w:cstheme="minorHAnsi"/>
            <w:i/>
            <w:noProof/>
          </w:rPr>
          <w:t>32-34</w:t>
        </w:r>
      </w:hyperlink>
      <w:r>
        <w:rPr>
          <w:rFonts w:eastAsia="Calibri" w:cstheme="minorHAnsi"/>
          <w:i/>
          <w:noProof/>
        </w:rPr>
        <w:t xml:space="preserve">, </w:t>
      </w:r>
      <w:hyperlink w:anchor="_ENREF_38" w:tooltip="Pearson, 2011 #39" w:history="1">
        <w:r>
          <w:rPr>
            <w:rFonts w:eastAsia="Calibri" w:cstheme="minorHAnsi"/>
            <w:i/>
            <w:noProof/>
          </w:rPr>
          <w:t>38</w:t>
        </w:r>
      </w:hyperlink>
      <w:r>
        <w:rPr>
          <w:rFonts w:eastAsia="Calibri" w:cstheme="minorHAnsi"/>
          <w:i/>
          <w:noProof/>
        </w:rPr>
        <w:t xml:space="preserve">, </w:t>
      </w:r>
      <w:hyperlink w:anchor="_ENREF_39" w:tooltip="Pearson, 2012 #34" w:history="1">
        <w:r>
          <w:rPr>
            <w:rFonts w:eastAsia="Calibri" w:cstheme="minorHAnsi"/>
            <w:i/>
            <w:noProof/>
          </w:rPr>
          <w:t>39</w:t>
        </w:r>
      </w:hyperlink>
      <w:r>
        <w:rPr>
          <w:rFonts w:eastAsia="Calibri" w:cstheme="minorHAnsi"/>
          <w:i/>
          <w:noProof/>
        </w:rPr>
        <w:t xml:space="preserve">, </w:t>
      </w:r>
      <w:hyperlink w:anchor="_ENREF_42" w:tooltip="D'Silva, 2012 #33" w:history="1">
        <w:r>
          <w:rPr>
            <w:rFonts w:eastAsia="Calibri" w:cstheme="minorHAnsi"/>
            <w:i/>
            <w:noProof/>
          </w:rPr>
          <w:t>42-44</w:t>
        </w:r>
      </w:hyperlink>
      <w:r>
        <w:rPr>
          <w:rFonts w:eastAsia="Calibri" w:cstheme="minorHAnsi"/>
          <w:i/>
          <w:noProof/>
        </w:rPr>
        <w:t xml:space="preserve">, </w:t>
      </w:r>
      <w:hyperlink w:anchor="_ENREF_47" w:tooltip="Gandhi, 2009 #67" w:history="1">
        <w:r>
          <w:rPr>
            <w:rFonts w:eastAsia="Calibri" w:cstheme="minorHAnsi"/>
            <w:i/>
            <w:noProof/>
          </w:rPr>
          <w:t>47</w:t>
        </w:r>
      </w:hyperlink>
      <w:r>
        <w:rPr>
          <w:rFonts w:eastAsia="Calibri" w:cstheme="minorHAnsi"/>
          <w:i/>
          <w:noProof/>
        </w:rPr>
        <w:t>)</w:t>
      </w:r>
      <w:r w:rsidRPr="000E6F62">
        <w:rPr>
          <w:rFonts w:eastAsia="Calibri" w:cstheme="minorHAnsi"/>
          <w:i/>
        </w:rPr>
        <w:fldChar w:fldCharType="end"/>
      </w:r>
      <w:r w:rsidRPr="000E6F62">
        <w:rPr>
          <w:rFonts w:eastAsia="Calibri" w:cstheme="minorHAnsi"/>
          <w:i/>
        </w:rPr>
        <w:t xml:space="preserve">. Studies generally defined a quit attempt as the participant trying to quit by intentionally not smoking for 24 hours usually within the past year; deviations from that definition are described below. </w:t>
      </w:r>
    </w:p>
    <w:p w14:paraId="597EE1AE" w14:textId="77777777" w:rsidR="007F0AE0" w:rsidRPr="00F52E88" w:rsidRDefault="007F0AE0" w:rsidP="007F0AE0">
      <w:pPr>
        <w:spacing w:after="120" w:line="240" w:lineRule="auto"/>
        <w:jc w:val="both"/>
        <w:rPr>
          <w:rFonts w:eastAsia="Calibri" w:cstheme="minorHAnsi"/>
          <w:i/>
        </w:rPr>
      </w:pPr>
      <w:r w:rsidRPr="000E6F62">
        <w:rPr>
          <w:rFonts w:eastAsia="Calibri" w:cstheme="minorHAnsi"/>
          <w:i/>
        </w:rPr>
        <w:t xml:space="preserve">Three studies (from four references) found that </w:t>
      </w:r>
      <w:r>
        <w:rPr>
          <w:rFonts w:eastAsia="Calibri" w:cstheme="minorHAnsi"/>
          <w:i/>
        </w:rPr>
        <w:t>statistically significantly</w:t>
      </w:r>
      <w:r w:rsidRPr="000E6F62">
        <w:rPr>
          <w:rFonts w:eastAsia="Calibri" w:cstheme="minorHAnsi"/>
          <w:i/>
        </w:rPr>
        <w:t xml:space="preserve"> more menthol smokers than non-menthol smokers made at least one quit attempt; two additional studies reported more menthol smokers having made a quit attempt than non-menthol smokers, although neither reported statistical significance for their results. One study reported that menthol smokers were </w:t>
      </w:r>
      <w:r>
        <w:rPr>
          <w:rFonts w:eastAsia="Calibri" w:cstheme="minorHAnsi"/>
          <w:i/>
        </w:rPr>
        <w:t>statistically significantly</w:t>
      </w:r>
      <w:r w:rsidRPr="000E6F62">
        <w:rPr>
          <w:rFonts w:eastAsia="Calibri" w:cstheme="minorHAnsi"/>
          <w:i/>
        </w:rPr>
        <w:t xml:space="preserve"> more likely to seek help in quitting (except for</w:t>
      </w:r>
      <w:r>
        <w:rPr>
          <w:rFonts w:eastAsia="Calibri" w:cstheme="minorHAnsi"/>
          <w:i/>
        </w:rPr>
        <w:t xml:space="preserve"> using a nicotine patch, which was equally likely among menthol and non-menthol smokers). Another study also found that menthol smokers reported using nicotine replacement more than non-menthol smokers, although statistical significance was not reported. Two studies reported decreased rates of quit attempts among menthol smokers, although neither reported statistical significance. The remaining four studies found no difference in rates of past-year quit attempts between menthol and non-menthol smokers, although one of the studies did report mixed findings in their racial/ethnic subgroup analyses.</w:t>
      </w:r>
    </w:p>
    <w:p w14:paraId="73A4B7C2"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In a cross-sectional study assessing menthol cigarette smoking among Individuals with substance use disorders from 24 treatment centers across the </w:t>
      </w:r>
      <w:r>
        <w:rPr>
          <w:rFonts w:eastAsia="Calibri" w:cstheme="minorHAnsi"/>
        </w:rPr>
        <w:t>U.S.</w:t>
      </w:r>
      <w:r w:rsidRPr="00766E75">
        <w:rPr>
          <w:rFonts w:eastAsia="Calibri" w:cstheme="minorHAnsi"/>
        </w:rPr>
        <w:t>, Gubner et al.</w:t>
      </w:r>
      <w:r>
        <w:rPr>
          <w:rFonts w:eastAsia="Calibri" w:cstheme="minorHAnsi"/>
        </w:rPr>
        <w:t xml:space="preserve"> </w:t>
      </w:r>
      <w:r>
        <w:rPr>
          <w:rFonts w:eastAsia="Calibri" w:cstheme="minorHAnsi"/>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PEVuZE5vdGU+PENpdGU+PEF1dGhvcj5HdWJuZXI8L0F1dGhvcj48WWVhcj4yMDE4PC9ZZWFyPjxS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==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Pr>
          <w:rFonts w:eastAsia="Calibri" w:cstheme="minorHAnsi"/>
        </w:rPr>
        <w:fldChar w:fldCharType="separate"/>
      </w:r>
      <w:r>
        <w:rPr>
          <w:rFonts w:eastAsia="Calibri" w:cstheme="minorHAnsi"/>
          <w:noProof/>
        </w:rPr>
        <w:t>(</w:t>
      </w:r>
      <w:hyperlink w:anchor="_ENREF_28" w:tooltip="Gubner, 2018 #601" w:history="1">
        <w:r>
          <w:rPr>
            <w:rFonts w:eastAsia="Calibri" w:cstheme="minorHAnsi"/>
            <w:noProof/>
          </w:rPr>
          <w:t>28</w:t>
        </w:r>
      </w:hyperlink>
      <w:r>
        <w:rPr>
          <w:rFonts w:eastAsia="Calibri" w:cstheme="minorHAnsi"/>
          <w:noProof/>
        </w:rPr>
        <w:t>)</w:t>
      </w:r>
      <w:r>
        <w:rPr>
          <w:rFonts w:eastAsia="Calibri" w:cstheme="minorHAnsi"/>
        </w:rPr>
        <w:fldChar w:fldCharType="end"/>
      </w:r>
      <w:r w:rsidRPr="00766E75">
        <w:rPr>
          <w:rFonts w:eastAsia="Calibri" w:cstheme="minorHAnsi"/>
        </w:rPr>
        <w:t xml:space="preserve"> found no difference in the prevalence of past-year quit attempts between menthol (47.8%) and non-menthol (44.4%) smokers (p=0.32).</w:t>
      </w:r>
    </w:p>
    <w:p w14:paraId="112A8EBB" w14:textId="77777777" w:rsidR="007F0AE0" w:rsidRPr="00766E75" w:rsidRDefault="007F0AE0" w:rsidP="007F0AE0">
      <w:pPr>
        <w:spacing w:after="120" w:line="240" w:lineRule="auto"/>
        <w:jc w:val="both"/>
        <w:rPr>
          <w:rFonts w:eastAsia="Calibri" w:cstheme="minorHAnsi"/>
          <w:b/>
          <w:i/>
          <w:u w:val="single"/>
        </w:rPr>
      </w:pPr>
      <w:r w:rsidRPr="00766E75">
        <w:rPr>
          <w:rFonts w:eastAsia="Calibri" w:cstheme="minorHAnsi"/>
        </w:rPr>
        <w:t xml:space="preserve">In a cross-sectional study of young adults age 18 to 35 in Hawaii, Fagan et al. </w:t>
      </w:r>
      <w:r w:rsidRPr="00766E75">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 </w:instrText>
      </w:r>
      <w:r>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66E75">
        <w:rPr>
          <w:rFonts w:eastAsia="Calibri" w:cstheme="minorHAnsi"/>
        </w:rPr>
        <w:fldChar w:fldCharType="separate"/>
      </w:r>
      <w:r>
        <w:rPr>
          <w:rFonts w:eastAsia="Calibri" w:cstheme="minorHAnsi"/>
          <w:noProof/>
        </w:rPr>
        <w:t>(</w:t>
      </w:r>
      <w:hyperlink w:anchor="_ENREF_25" w:tooltip="Fagan, 2015 #5" w:history="1">
        <w:r>
          <w:rPr>
            <w:rFonts w:eastAsia="Calibri" w:cstheme="minorHAnsi"/>
            <w:noProof/>
          </w:rPr>
          <w:t>25</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found that the prevalence of menthol smokers who “</w:t>
      </w:r>
      <w:r w:rsidRPr="00766E75">
        <w:rPr>
          <w:rFonts w:eastAsia="Calibri" w:cstheme="minorHAnsi"/>
          <w:i/>
        </w:rPr>
        <w:t>tried to quit smoking completely in the past 12 months</w:t>
      </w:r>
      <w:r w:rsidRPr="00766E75">
        <w:rPr>
          <w:rFonts w:eastAsia="Calibri" w:cstheme="minorHAnsi"/>
        </w:rPr>
        <w:t xml:space="preserve">” was not </w:t>
      </w:r>
      <w:r>
        <w:rPr>
          <w:rFonts w:eastAsia="Calibri" w:cstheme="minorHAnsi"/>
        </w:rPr>
        <w:t>statistically significantly</w:t>
      </w:r>
      <w:r w:rsidRPr="00766E75">
        <w:rPr>
          <w:rFonts w:eastAsia="Calibri" w:cstheme="minorHAnsi"/>
        </w:rPr>
        <w:t xml:space="preserve"> higher than that of non-menthol smokers (43.3% and 40.7%, respectively; p=0.74). </w:t>
      </w:r>
    </w:p>
    <w:p w14:paraId="28B25C26" w14:textId="77777777" w:rsidR="007F0AE0" w:rsidRPr="00766E75" w:rsidRDefault="007F0AE0" w:rsidP="007F0AE0">
      <w:pPr>
        <w:spacing w:after="120" w:line="240" w:lineRule="auto"/>
        <w:jc w:val="both"/>
        <w:rPr>
          <w:rFonts w:eastAsia="Calibri" w:cstheme="minorHAnsi"/>
          <w:u w:val="single"/>
        </w:rPr>
      </w:pPr>
      <w:r w:rsidRPr="00766E75">
        <w:rPr>
          <w:rFonts w:eastAsia="Calibri" w:cstheme="minorHAnsi"/>
        </w:rPr>
        <w:t xml:space="preserve">In addition to presenting adjusted rates of cessation in their cohort study (see adjusted results), Thihalolipavan et al. </w:t>
      </w:r>
      <w:r w:rsidRPr="00766E75">
        <w:rPr>
          <w:rFonts w:eastAsia="Calibri" w:cstheme="minorHAnsi"/>
        </w:rPr>
        <w:fldChar w:fldCharType="begin"/>
      </w:r>
      <w:r>
        <w:rPr>
          <w:rFonts w:eastAsia="Calibri" w:cstheme="minorHAnsi"/>
        </w:rPr>
        <w:instrText xml:space="preserve"> ADDIN EN.CITE &lt;EndNote&gt;&lt;Cite&gt;&lt;RecNum&gt;12&lt;/RecNum&gt;&lt;DisplayText&gt;(43)&lt;/DisplayText&gt;&lt;record&gt;&lt;rec-number&gt;12&lt;/rec-number&gt;&lt;foreign-keys&gt;&lt;key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766E75">
        <w:rPr>
          <w:rFonts w:eastAsia="Calibri" w:cstheme="minorHAnsi"/>
        </w:rPr>
        <w:fldChar w:fldCharType="separate"/>
      </w:r>
      <w:r>
        <w:rPr>
          <w:rFonts w:eastAsia="Calibri" w:cstheme="minorHAnsi"/>
          <w:noProof/>
        </w:rPr>
        <w:t>(</w:t>
      </w:r>
      <w:hyperlink w:anchor="_ENREF_43" w:tooltip="Thihalolipavan, 2014 #12" w:history="1">
        <w:r>
          <w:rPr>
            <w:rFonts w:eastAsia="Calibri" w:cstheme="minorHAnsi"/>
            <w:noProof/>
          </w:rPr>
          <w:t>43</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also reported unadjusted rates of “any nicotine replacement therapy use” between baseline and follow up (3 to 6 weeks after baseline). They found that 71.8 percent of menthol smokers reported using nicotine replacement, compared with 66.4 percent of non-menthol smokers. The significance was not reported, and this study was rated </w:t>
      </w:r>
      <w:r>
        <w:rPr>
          <w:rFonts w:eastAsia="Calibri" w:cstheme="minorHAnsi"/>
        </w:rPr>
        <w:t>“</w:t>
      </w:r>
      <w:r w:rsidRPr="00766E75">
        <w:rPr>
          <w:rFonts w:eastAsia="Calibri" w:cstheme="minorHAnsi"/>
        </w:rPr>
        <w:t>poo</w:t>
      </w:r>
      <w:r>
        <w:rPr>
          <w:rFonts w:eastAsia="Calibri" w:cstheme="minorHAnsi"/>
        </w:rPr>
        <w:t xml:space="preserve">r” </w:t>
      </w:r>
      <w:r w:rsidRPr="00766E75">
        <w:rPr>
          <w:rFonts w:eastAsia="Calibri" w:cstheme="minorHAnsi"/>
        </w:rPr>
        <w:t>quality.</w:t>
      </w:r>
    </w:p>
    <w:p w14:paraId="5D85EAD4"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D’Silva et al. </w:t>
      </w:r>
      <w:r w:rsidRPr="00766E75">
        <w:rPr>
          <w:rFonts w:eastAsia="Calibri" w:cstheme="minorHAnsi"/>
        </w:rPr>
        <w:fldChar w:fldCharType="begin"/>
      </w:r>
      <w:r>
        <w:rPr>
          <w:rFonts w:eastAsia="Calibri" w:cstheme="minorHAnsi"/>
        </w:rPr>
        <w:instrText xml:space="preserve"> ADDIN EN.CITE &lt;EndNote&gt;&lt;Cite&gt;&lt;RecNum&gt;33&lt;/RecNum&gt;&lt;DisplayText&gt;(42)&lt;/DisplayText&gt;&lt;record&gt;&lt;rec-number&gt;33&lt;/rec-number&gt;&lt;foreign-keys&gt;&lt;key app="EN" db-id="a2vz2dfp8xrad6exes75zwpiw5rxwa0vwapv" timestamp="0"&gt;33&lt;/key&gt;&lt;/foreign-keys&gt;&lt;ref-type name="Journal Article"&gt;17&lt;/ref-type&gt;&lt;contributors&gt;&lt;authors&gt;&lt;author&gt;D&amp;apos;Silva, J.&lt;/author&gt;&lt;author&gt;Boyle, R. G.&lt;/author&gt;&lt;author&gt;Lien, R.&lt;/author&gt;&lt;author&gt;Rode, P.&lt;/author&gt;&lt;author&gt;Okuyemi, K. S.&lt;/author&gt;&lt;/authors&gt;&lt;/contributors&gt;&lt;auth-address&gt;ClearWay Minnesota, Minneapolis, Minnesota 55425, USA. jdsilva@clearwaymn.org&lt;/auth-address&gt;&lt;titles&gt;&lt;title&gt;Cessation outcomes among treatment-seeking menthol and nonmenthol smokers&lt;/title&gt;&lt;secondary-title&gt;Am J Prev Med&lt;/secondary-title&gt;&lt;/titles&gt;&lt;pages&gt;S242-8&lt;/pages&gt;&lt;volume&gt;43&lt;/volume&gt;&lt;number&gt;5 Suppl 3&lt;/number&gt;&lt;keywords&gt;&lt;keyword&gt;Adolescent&lt;/keyword&gt;&lt;keyword&gt;Adult&lt;/keyword&gt;&lt;keyword&gt;African Americans/statistics &amp;amp; numerical data&lt;/keyword&gt;&lt;keyword&gt;Age Factors&lt;/keyword&gt;&lt;keyword&gt;Aged&lt;/keyword&gt;&lt;keyword&gt;Educational Status&lt;/keyword&gt;&lt;keyword&gt;Female&lt;/keyword&gt;&lt;keyword&gt;Follow-Up Studies&lt;/keyword&gt;&lt;keyword&gt;Hotlines&lt;/keyword&gt;&lt;keyword&gt;Humans&lt;/keyword&gt;&lt;keyword&gt;Male&lt;/keyword&gt;&lt;keyword&gt;*Menthol&lt;/keyword&gt;&lt;keyword&gt;Middle Aged&lt;/keyword&gt;&lt;keyword&gt;Motivation&lt;/keyword&gt;&lt;keyword&gt;Sex Factors&lt;/keyword&gt;&lt;keyword&gt;Smoking/epidemiology/*prevention &amp;amp; control&lt;/keyword&gt;&lt;keyword&gt;Smoking Cessation/*statistics &amp;amp; numerical data&lt;/keyword&gt;&lt;keyword&gt;Tobacco Products/*statistics &amp;amp; numerical data&lt;/keyword&gt;&lt;keyword&gt;Tobacco Use Disorder/rehabilitation&lt;/keyword&gt;&lt;keyword&gt;United States&lt;/keyword&gt;&lt;keyword&gt;United States Food and Drug Administration&lt;/keyword&gt;&lt;keyword&gt;Young Adult&lt;/keyword&gt;&lt;/keywords&gt;&lt;dates&gt;&lt;year&gt;2012&lt;/year&gt;&lt;pub-dates&gt;&lt;date&gt;Nov&lt;/date&gt;&lt;/pub-dates&gt;&lt;/dates&gt;&lt;isbn&gt;1873-2607 (Electronic)&amp;#xD;0749-3797 (Linking)&lt;/isbn&gt;&lt;accession-num&gt;23079223&lt;/accession-num&gt;&lt;urls&gt;&lt;related-urls&gt;&lt;url&gt;http://www.ncbi.nlm.nih.gov/pubmed/23079223&lt;/url&gt;&lt;/related-urls&gt;&lt;/urls&gt;&lt;electronic-resource-num&gt;10.1016/j.amepre.2012.07.033&lt;/electronic-resource-num&gt;&lt;research-notes&gt;#174&lt;/research-notes&gt;&lt;/record&gt;&lt;/Cite&gt;&lt;/EndNote&gt;</w:instrText>
      </w:r>
      <w:r w:rsidRPr="00766E75">
        <w:rPr>
          <w:rFonts w:eastAsia="Calibri" w:cstheme="minorHAnsi"/>
        </w:rPr>
        <w:fldChar w:fldCharType="separate"/>
      </w:r>
      <w:r>
        <w:rPr>
          <w:rFonts w:eastAsia="Calibri" w:cstheme="minorHAnsi"/>
          <w:noProof/>
        </w:rPr>
        <w:t>(</w:t>
      </w:r>
      <w:hyperlink w:anchor="_ENREF_42" w:tooltip="D'Silva, 2012 #33" w:history="1">
        <w:r>
          <w:rPr>
            <w:rFonts w:eastAsia="Calibri" w:cstheme="minorHAnsi"/>
            <w:noProof/>
          </w:rPr>
          <w:t>42</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followed over 6,000 adults in Minnesota who registered for cessation counseling services via a quit line. Over 95 percent of participants were current smokers at the time of enrollment; the remainder were former smokers trying to remain abstinent. Menthol smokers reported slightly lower rates of 24-hour abstinence than non-menthol smokers (52.5% and 55.6%, respectively).</w:t>
      </w:r>
    </w:p>
    <w:p w14:paraId="758EBCBA"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In 2012, O’Connor et al. </w:t>
      </w:r>
      <w:r w:rsidRPr="00766E75">
        <w:rPr>
          <w:rFonts w:eastAsia="Calibri" w:cstheme="minorHAnsi"/>
        </w:rPr>
        <w:fldChar w:fldCharType="begin"/>
      </w:r>
      <w:r>
        <w:rPr>
          <w:rFonts w:eastAsia="Calibri" w:cstheme="minorHAnsi"/>
        </w:rPr>
        <w:instrText xml:space="preserve"> ADDIN EN.CITE &lt;EndNote&gt;&lt;Cite&gt;&lt;RecNum&gt;36&lt;/RecNum&gt;&lt;DisplayText&gt;(33)&lt;/DisplayText&gt;&lt;record&gt;&lt;rec-number&gt;36&lt;/rec-number&gt;&lt;foreign-keys&gt;&lt;key app="EN" db-id="a2vz2dfp8xrad6exes75zwpiw5rxwa0vwapv" timestamp="0"&gt;36&lt;/key&gt;&lt;/foreign-keys&gt;&lt;ref-type name="Journal Article"&gt;17&lt;/ref-type&gt;&lt;contributors&gt;&lt;authors&gt;&lt;author&gt;O&amp;apos;Connor, R. J.&lt;/author&gt;&lt;author&gt;Bansal-Travers, M.&lt;/author&gt;&lt;author&gt;Carter, L. P.&lt;/author&gt;&lt;author&gt;Cummings, K. M.&lt;/author&gt;&lt;/authors&gt;&lt;/contributors&gt;&lt;auth-address&gt;Department of Health Behavior, Division of Cancer Prevention and Population Sciences, Roswell Park Cancer Institute, Elm and Carlton Streets, Buffalo, NY 14263, USA. richard.oconnor@roswellpark.org&lt;/auth-address&gt;&lt;titles&gt;&lt;title&gt;What would menthol smokers do if menthol in cigarettes were banned? Behavioral intentions and simulated demand&lt;/title&gt;&lt;secondary-title&gt;Addiction&lt;/secondary-title&gt;&lt;/titles&gt;&lt;periodical&gt;&lt;full-title&gt;Addiction&lt;/full-title&gt;&lt;/periodical&gt;&lt;pages&gt;1330-8&lt;/pages&gt;&lt;volume&gt;107&lt;/volume&gt;&lt;number&gt;7&lt;/number&gt;&lt;keywords&gt;&lt;keyword&gt;Adolescent&lt;/keyword&gt;&lt;keyword&gt;Adult&lt;/keyword&gt;&lt;keyword&gt;Aged&lt;/keyword&gt;&lt;keyword&gt;Commerce&lt;/keyword&gt;&lt;keyword&gt;Economics, Behavioral&lt;/keyword&gt;&lt;keyword&gt;Female&lt;/keyword&gt;&lt;keyword&gt;Humans&lt;/keyword&gt;&lt;keyword&gt;*Intention&lt;/keyword&gt;&lt;keyword&gt;Male&lt;/keyword&gt;&lt;keyword&gt;*Menthol&lt;/keyword&gt;&lt;keyword&gt;Middle Aged&lt;/keyword&gt;&lt;keyword&gt;Multivariate Analysis&lt;/keyword&gt;&lt;keyword&gt;Smoking/economics/*legislation &amp;amp; jurisprudence/psychology&lt;/keyword&gt;&lt;keyword&gt;Smoking Cessation/psychology&lt;/keyword&gt;&lt;keyword&gt;United States&lt;/keyword&gt;&lt;keyword&gt;Young Adult&lt;/keyword&gt;&lt;/keywords&gt;&lt;dates&gt;&lt;year&gt;2012&lt;/year&gt;&lt;pub-dates&gt;&lt;date&gt;Jul&lt;/date&gt;&lt;/pub-dates&gt;&lt;/dates&gt;&lt;isbn&gt;1360-0443 (Electronic)&amp;#xD;0965-2140 (Linking)&lt;/isbn&gt;&lt;accession-num&gt;22471735&lt;/accession-num&gt;&lt;urls&gt;&lt;related-urls&gt;&lt;url&gt;http://www.ncbi.nlm.nih.gov/pubmed/22471735&lt;/url&gt;&lt;/related-urls&gt;&lt;/urls&gt;&lt;custom2&gt;PMC3370153&lt;/custom2&gt;&lt;electronic-resource-num&gt;10.1111/j.1360-0443.2012.03822.x&lt;/electronic-resource-num&gt;&lt;research-notes&gt;#189&lt;/research-notes&gt;&lt;/record&gt;&lt;/Cite&gt;&lt;/EndNote&gt;</w:instrText>
      </w:r>
      <w:r w:rsidRPr="00766E75">
        <w:rPr>
          <w:rFonts w:eastAsia="Calibri" w:cstheme="minorHAnsi"/>
        </w:rPr>
        <w:fldChar w:fldCharType="separate"/>
      </w:r>
      <w:r>
        <w:rPr>
          <w:rFonts w:eastAsia="Calibri" w:cstheme="minorHAnsi"/>
          <w:noProof/>
        </w:rPr>
        <w:t>(</w:t>
      </w:r>
      <w:hyperlink w:anchor="_ENREF_33" w:tooltip="O'Connor, 2012 #36" w:history="1">
        <w:r>
          <w:rPr>
            <w:rFonts w:eastAsia="Calibri" w:cstheme="minorHAnsi"/>
            <w:noProof/>
          </w:rPr>
          <w:t>33</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published findings from a different online survey designed to assess public attitudes toward a menthol ban among current youth and adult smokers. Using data from 471 current </w:t>
      </w:r>
      <w:r w:rsidRPr="00766E75">
        <w:rPr>
          <w:rFonts w:eastAsia="Calibri" w:cstheme="minorHAnsi"/>
        </w:rPr>
        <w:lastRenderedPageBreak/>
        <w:t xml:space="preserve">smokers, they found that menthol and non-menthol smokers reported nearly identical prevalence of at least one 24-hour quit attempt in the last year (64.9% and 64.3%, respectively; p=0.43). </w:t>
      </w:r>
    </w:p>
    <w:p w14:paraId="7FEB131E"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Using data from over 2,600 participants in a nationally-representative commercial online survey, Pearson et al. </w:t>
      </w:r>
      <w:r w:rsidRPr="00766E75">
        <w:rPr>
          <w:rFonts w:eastAsia="Calibri" w:cstheme="minorHAnsi"/>
        </w:rPr>
        <w:fldChar w:fldCharType="begin"/>
      </w:r>
      <w:r>
        <w:rPr>
          <w:rFonts w:eastAsia="Calibri" w:cstheme="minorHAnsi"/>
        </w:rPr>
        <w:instrText xml:space="preserve"> ADDIN EN.CITE &lt;EndNote&gt;&lt;Cite&gt;&lt;RecNum&gt;34&lt;/RecNum&gt;&lt;DisplayText&gt;(38, 39)&lt;/DisplayText&gt;&lt;record&gt;&lt;rec-number&gt;34&lt;/rec-number&gt;&lt;foreign-keys&gt;&lt;key app="EN" db-id="a2vz2dfp8xrad6exes75zwpiw5rxwa0vwapv" timestamp="0"&gt;34&lt;/key&gt;&lt;/foreign-keys&gt;&lt;ref-type name="Journal Article"&gt;17&lt;/ref-type&gt;&lt;contributors&gt;&lt;authors&gt;&lt;author&gt;Pearson, J. L.&lt;/author&gt;&lt;author&gt;Abrams, D. B.&lt;/author&gt;&lt;author&gt;Niaura, R. S.&lt;/author&gt;&lt;author&gt;Richardson, A.&lt;/author&gt;&lt;author&gt;Vallone, D.&lt;/author&gt;&lt;/authors&gt;&lt;/contributors&gt;&lt;titles&gt;&lt;title&gt;A ban on menthol cigarettes: Impact on public opinion and smokers&amp;apos; intention to quit&lt;/title&gt;&lt;secondary-title&gt;Am J Public Health&lt;/secondary-title&gt;&lt;/titles&gt;&lt;periodical&gt;&lt;full-title&gt;Am J Public Health&lt;/full-title&gt;&lt;/periodical&gt;&lt;pages&gt;e107-e114&lt;/pages&gt;&lt;volume&gt;102&lt;/volume&gt;&lt;number&gt;11&lt;/number&gt;&lt;section&gt;e107&lt;/section&gt;&lt;dates&gt;&lt;year&gt;2012&lt;/year&gt;&lt;/dates&gt;&lt;urls&gt;&lt;/urls&gt;&lt;electronic-resource-num&gt;10.2105/AJPH.2012.300804&lt;/electronic-resource-num&gt;&lt;research-notes&gt;#175&lt;/research-notes&gt;&lt;/record&gt;&lt;/Cite&gt;&lt;Cite&gt;&lt;RecNum&gt;39&lt;/RecNum&gt;&lt;record&gt;&lt;rec-number&gt;39&lt;/rec-number&gt;&lt;foreign-keys&gt;&lt;key app="EN" db-id="a2vz2dfp8xrad6exes75zwpiw5rxwa0vwapv" timestamp="0"&gt;39&lt;/key&gt;&lt;/foreign-keys&gt;&lt;ref-type name="Thesis"&gt;32&lt;/ref-type&gt;&lt;contributors&gt;&lt;authors&gt;&lt;author&gt;Pearson, J. L.&lt;/author&gt;&lt;/authors&gt;&lt;tertiary-authors&gt;&lt;author&gt;Abrams, D. B.&lt;/author&gt;&lt;/tertiary-authors&gt;&lt;/contributors&gt;&lt;titles&gt;&lt;title&gt;Public reaction to potential food and drug administration actions under the family smoking prevention and tobacco control act: Regulating e-cigarettes, banning menthol, and reducing cigarette nicotine content&lt;/title&gt;&lt;/titles&gt;&lt;pages&gt;142&lt;/pages&gt;&lt;volume&gt;PhD, Public Health&lt;/volume&gt;&lt;number&gt;3492521&lt;/number&gt;&lt;dates&gt;&lt;year&gt;2011&lt;/year&gt;&lt;/dates&gt;&lt;publisher&gt;Johns Hopkins University&lt;/publisher&gt;&lt;urls&gt;&lt;/urls&gt;&lt;research-notes&gt;#211&lt;/research-notes&gt;&lt;/record&gt;&lt;/Cite&gt;&lt;/EndNote&gt;</w:instrText>
      </w:r>
      <w:r w:rsidRPr="00766E75">
        <w:rPr>
          <w:rFonts w:eastAsia="Calibri" w:cstheme="minorHAnsi"/>
        </w:rPr>
        <w:fldChar w:fldCharType="separate"/>
      </w:r>
      <w:r>
        <w:rPr>
          <w:rFonts w:eastAsia="Calibri" w:cstheme="minorHAnsi"/>
          <w:noProof/>
        </w:rPr>
        <w:t>(</w:t>
      </w:r>
      <w:hyperlink w:anchor="_ENREF_38" w:tooltip="Pearson, 2011 #39" w:history="1">
        <w:r>
          <w:rPr>
            <w:rFonts w:eastAsia="Calibri" w:cstheme="minorHAnsi"/>
            <w:noProof/>
          </w:rPr>
          <w:t>38</w:t>
        </w:r>
      </w:hyperlink>
      <w:r>
        <w:rPr>
          <w:rFonts w:eastAsia="Calibri" w:cstheme="minorHAnsi"/>
          <w:noProof/>
        </w:rPr>
        <w:t xml:space="preserve">, </w:t>
      </w:r>
      <w:hyperlink w:anchor="_ENREF_39" w:tooltip="Pearson, 2012 #34" w:history="1">
        <w:r>
          <w:rPr>
            <w:rFonts w:eastAsia="Calibri" w:cstheme="minorHAnsi"/>
            <w:noProof/>
          </w:rPr>
          <w:t>39</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found that </w:t>
      </w:r>
      <w:r>
        <w:rPr>
          <w:rFonts w:eastAsia="Calibri" w:cstheme="minorHAnsi"/>
        </w:rPr>
        <w:t>statistically significantly</w:t>
      </w:r>
      <w:r w:rsidRPr="00766E75">
        <w:rPr>
          <w:rFonts w:eastAsia="Calibri" w:cstheme="minorHAnsi"/>
        </w:rPr>
        <w:t xml:space="preserve"> more menthol smokers than non-menthol smokers made a quit attempt (intentionally quit for at least 24 hours) in the past 3 months (39.8 versus 27.0 percent, respectively; p&lt;0.001).</w:t>
      </w:r>
    </w:p>
    <w:p w14:paraId="7849674C" w14:textId="77777777" w:rsidR="007F0AE0" w:rsidRDefault="007F0AE0" w:rsidP="007F0AE0">
      <w:pPr>
        <w:jc w:val="both"/>
        <w:rPr>
          <w:b/>
          <w:lang w:val="en-GB"/>
        </w:rPr>
      </w:pPr>
      <w:r w:rsidRPr="00766E75">
        <w:rPr>
          <w:rFonts w:eastAsia="Calibri" w:cstheme="minorHAnsi"/>
        </w:rPr>
        <w:t xml:space="preserve">In 2011, Kahende et al. </w:t>
      </w:r>
      <w:r w:rsidRPr="00766E75">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66E75">
        <w:rPr>
          <w:rFonts w:eastAsia="Calibri" w:cstheme="minorHAnsi"/>
        </w:rPr>
        <w:fldChar w:fldCharType="separate"/>
      </w:r>
      <w:r>
        <w:rPr>
          <w:rFonts w:eastAsia="Calibri" w:cstheme="minorHAnsi"/>
          <w:noProof/>
        </w:rPr>
        <w:t>(</w:t>
      </w:r>
      <w:hyperlink w:anchor="_ENREF_34" w:tooltip="Kahende, 2011 #43" w:history="1">
        <w:r>
          <w:rPr>
            <w:rFonts w:eastAsia="Calibri" w:cstheme="minorHAnsi"/>
            <w:noProof/>
          </w:rPr>
          <w:t>34</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analyzed data from more than 16,000 adult participants in the TUS-CPS in 2003 or 2006-2007 who reported smoking in the past year. Participants were asked if they had stopped smoking for one day or longer because they were trying to quit. Approximately the same proportion of menthol smokers as non-menthol smokers reported attempting to quit (menthol: 44.7%, 95% CI: 43.4%, 46.1%; non-menthol: 44.0%, 95% CI: 43.2%, 44.7%). </w:t>
      </w:r>
      <w:r w:rsidRPr="00DE2832">
        <w:rPr>
          <w:rFonts w:eastAsia="Calibri" w:cstheme="minorHAnsi"/>
        </w:rPr>
        <w:t>Among Black participants, there was no difference between menthol and non-menthol smokers reporting a quit attempt in the past year (menthol=47.2%, 95% CI: 44.9%</w:t>
      </w:r>
      <w:r>
        <w:rPr>
          <w:rFonts w:eastAsia="Calibri" w:cstheme="minorHAnsi"/>
        </w:rPr>
        <w:t xml:space="preserve">, </w:t>
      </w:r>
      <w:r w:rsidRPr="00DE2832">
        <w:rPr>
          <w:rFonts w:eastAsia="Calibri" w:cstheme="minorHAnsi"/>
        </w:rPr>
        <w:t>49.6%; non-menthol=41.2%, 95% CI: 36.5%</w:t>
      </w:r>
      <w:r>
        <w:rPr>
          <w:rFonts w:eastAsia="Calibri" w:cstheme="minorHAnsi"/>
        </w:rPr>
        <w:t>, 46.0%). A</w:t>
      </w:r>
      <w:r w:rsidRPr="003E05E9">
        <w:rPr>
          <w:rFonts w:eastAsia="Calibri" w:cstheme="minorHAnsi"/>
        </w:rPr>
        <w:t>mong Hispanic smokers, no difference was detected between menthol and non-menthol smokers in reported past year quit attempts</w:t>
      </w:r>
      <w:r>
        <w:rPr>
          <w:rFonts w:eastAsia="Calibri" w:cstheme="minorHAnsi"/>
        </w:rPr>
        <w:t xml:space="preserve"> (menthol=51.7%, 95% CI: 47.3</w:t>
      </w:r>
      <w:r w:rsidRPr="003E05E9">
        <w:rPr>
          <w:rFonts w:eastAsia="Calibri" w:cstheme="minorHAnsi"/>
        </w:rPr>
        <w:t xml:space="preserve">, </w:t>
      </w:r>
      <w:r>
        <w:rPr>
          <w:rFonts w:eastAsia="Calibri" w:cstheme="minorHAnsi"/>
        </w:rPr>
        <w:t>56.1</w:t>
      </w:r>
      <w:r w:rsidRPr="003E05E9">
        <w:rPr>
          <w:rFonts w:eastAsia="Calibri" w:cstheme="minorHAnsi"/>
        </w:rPr>
        <w:t>; non-menthol=47.2%</w:t>
      </w:r>
      <w:r>
        <w:rPr>
          <w:rFonts w:eastAsia="Calibri" w:cstheme="minorHAnsi"/>
        </w:rPr>
        <w:t>, 95% CI: 44.7</w:t>
      </w:r>
      <w:r w:rsidRPr="003E05E9">
        <w:rPr>
          <w:rFonts w:eastAsia="Calibri" w:cstheme="minorHAnsi"/>
        </w:rPr>
        <w:t xml:space="preserve">, </w:t>
      </w:r>
      <w:r>
        <w:rPr>
          <w:rFonts w:eastAsia="Calibri" w:cstheme="minorHAnsi"/>
        </w:rPr>
        <w:t>49.6)</w:t>
      </w:r>
      <w:r w:rsidRPr="003E05E9">
        <w:rPr>
          <w:rFonts w:eastAsia="Calibri" w:cstheme="minorHAnsi"/>
        </w:rPr>
        <w:t xml:space="preserve">. </w:t>
      </w:r>
      <w:r w:rsidRPr="00974E13">
        <w:rPr>
          <w:rFonts w:eastAsia="Calibri" w:cstheme="minorHAnsi"/>
        </w:rPr>
        <w:t xml:space="preserve">Among Asian American/Pacific Islander smokers, </w:t>
      </w:r>
      <w:r>
        <w:rPr>
          <w:rFonts w:eastAsia="Calibri" w:cstheme="minorHAnsi"/>
        </w:rPr>
        <w:t>a higher prevalence of past-year quit attempts was</w:t>
      </w:r>
      <w:r w:rsidRPr="00974E13">
        <w:rPr>
          <w:rFonts w:eastAsia="Calibri" w:cstheme="minorHAnsi"/>
        </w:rPr>
        <w:t xml:space="preserve"> observed </w:t>
      </w:r>
      <w:r>
        <w:rPr>
          <w:rFonts w:eastAsia="Calibri" w:cstheme="minorHAnsi"/>
        </w:rPr>
        <w:t xml:space="preserve">in </w:t>
      </w:r>
      <w:r w:rsidRPr="00974E13">
        <w:rPr>
          <w:rFonts w:eastAsia="Calibri" w:cstheme="minorHAnsi"/>
        </w:rPr>
        <w:t xml:space="preserve">menthol </w:t>
      </w:r>
      <w:r>
        <w:rPr>
          <w:rFonts w:eastAsia="Calibri" w:cstheme="minorHAnsi"/>
        </w:rPr>
        <w:t xml:space="preserve">compared to non-menthol smokers </w:t>
      </w:r>
      <w:r w:rsidRPr="00974E13">
        <w:rPr>
          <w:rFonts w:eastAsia="Calibri" w:cstheme="minorHAnsi"/>
        </w:rPr>
        <w:t xml:space="preserve">(menthol=53.5%, 95% CI: 44.8, 61.9; non-menthol=49.2%, 95% CI: 44.4, 54.1). Among American Indian/Alaskan native smokers, </w:t>
      </w:r>
      <w:r>
        <w:rPr>
          <w:rFonts w:eastAsia="Calibri" w:cstheme="minorHAnsi"/>
        </w:rPr>
        <w:t>a higher prevalence of past-year quit attempts was</w:t>
      </w:r>
      <w:r w:rsidRPr="00974E13">
        <w:rPr>
          <w:rFonts w:eastAsia="Calibri" w:cstheme="minorHAnsi"/>
        </w:rPr>
        <w:t xml:space="preserve"> observed </w:t>
      </w:r>
      <w:r>
        <w:rPr>
          <w:rFonts w:eastAsia="Calibri" w:cstheme="minorHAnsi"/>
        </w:rPr>
        <w:t xml:space="preserve">in </w:t>
      </w:r>
      <w:r w:rsidRPr="00974E13">
        <w:rPr>
          <w:rFonts w:eastAsia="Calibri" w:cstheme="minorHAnsi"/>
        </w:rPr>
        <w:t xml:space="preserve">menthol </w:t>
      </w:r>
      <w:r>
        <w:rPr>
          <w:rFonts w:eastAsia="Calibri" w:cstheme="minorHAnsi"/>
        </w:rPr>
        <w:t>compared to non-menthol smokers</w:t>
      </w:r>
      <w:r w:rsidRPr="00974E13">
        <w:rPr>
          <w:rFonts w:eastAsia="Calibri" w:cstheme="minorHAnsi"/>
        </w:rPr>
        <w:t xml:space="preserve"> (menthol=52.6%, 95% CI: 38.9, 65.9; non-menthol=47.7%, 95% CI: 40.4, 55.2).</w:t>
      </w:r>
      <w:r>
        <w:rPr>
          <w:rFonts w:eastAsia="Calibri" w:cstheme="minorHAnsi"/>
        </w:rPr>
        <w:t xml:space="preserve"> </w:t>
      </w:r>
      <w:r w:rsidRPr="00974E13">
        <w:rPr>
          <w:rFonts w:eastAsia="Calibri" w:cstheme="minorHAnsi"/>
        </w:rPr>
        <w:t>Among smokers reporting more than one race/ethnicity, no difference was detected between menthol and non-menthol smokers in reported past year quit attempts (menthol=52.0%, 95% CI: 41.9, 62.0; non-menthol=51.9%, 95% CI: 47.2, 56.5).</w:t>
      </w:r>
    </w:p>
    <w:p w14:paraId="330CC320" w14:textId="77777777" w:rsidR="007F0AE0" w:rsidRPr="0061136F" w:rsidRDefault="007F0AE0" w:rsidP="007F0AE0">
      <w:pPr>
        <w:jc w:val="both"/>
        <w:rPr>
          <w:b/>
          <w:lang w:val="en-GB"/>
        </w:rPr>
      </w:pPr>
      <w:r w:rsidRPr="0061136F">
        <w:rPr>
          <w:lang w:val="en-GB"/>
        </w:rPr>
        <w:t xml:space="preserve">As discussed earlier, </w:t>
      </w:r>
      <w:r w:rsidRPr="00766E75">
        <w:rPr>
          <w:rFonts w:eastAsia="Calibri" w:cstheme="minorHAnsi"/>
        </w:rPr>
        <w:t xml:space="preserve">Kahende et al. </w:t>
      </w:r>
      <w:r w:rsidRPr="00766E75">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66E75">
        <w:rPr>
          <w:rFonts w:eastAsia="Calibri" w:cstheme="minorHAnsi"/>
        </w:rPr>
        <w:fldChar w:fldCharType="separate"/>
      </w:r>
      <w:r>
        <w:rPr>
          <w:rFonts w:eastAsia="Calibri" w:cstheme="minorHAnsi"/>
          <w:noProof/>
        </w:rPr>
        <w:t>(</w:t>
      </w:r>
      <w:hyperlink w:anchor="_ENREF_34" w:tooltip="Kahende, 2011 #43" w:history="1">
        <w:r>
          <w:rPr>
            <w:rFonts w:eastAsia="Calibri" w:cstheme="minorHAnsi"/>
            <w:noProof/>
          </w:rPr>
          <w:t>34</w:t>
        </w:r>
      </w:hyperlink>
      <w:r>
        <w:rPr>
          <w:rFonts w:eastAsia="Calibri" w:cstheme="minorHAnsi"/>
          <w:noProof/>
        </w:rPr>
        <w:t>)</w:t>
      </w:r>
      <w:r w:rsidRPr="00766E75">
        <w:rPr>
          <w:rFonts w:eastAsia="Calibri" w:cstheme="minorHAnsi"/>
        </w:rPr>
        <w:fldChar w:fldCharType="end"/>
      </w:r>
      <w:r>
        <w:rPr>
          <w:rFonts w:eastAsia="Calibri" w:cstheme="minorHAnsi"/>
        </w:rPr>
        <w:t xml:space="preserve"> </w:t>
      </w:r>
      <w:r w:rsidRPr="00766E75">
        <w:rPr>
          <w:rFonts w:eastAsia="Calibri" w:cstheme="minorHAnsi"/>
        </w:rPr>
        <w:t xml:space="preserve">reported adjusted subgroup analysis of White smokers; however, they also reported unadjusted odds of past-year quit attempts between various racial/ethnic subgroups of menthol smokers, using </w:t>
      </w:r>
      <w:r>
        <w:rPr>
          <w:rFonts w:eastAsia="Calibri" w:cstheme="minorHAnsi"/>
        </w:rPr>
        <w:t>W</w:t>
      </w:r>
      <w:r w:rsidRPr="00766E75">
        <w:rPr>
          <w:rFonts w:eastAsia="Calibri" w:cstheme="minorHAnsi"/>
        </w:rPr>
        <w:t>hite non-menthol smokers as their reference group. Black menthol smokers</w:t>
      </w:r>
      <w:r>
        <w:rPr>
          <w:rFonts w:eastAsia="Calibri" w:cstheme="minorHAnsi"/>
        </w:rPr>
        <w:t xml:space="preserve"> were statistically significantly more likely to have made a past-year quit attempt tan White non-menthol smokers</w:t>
      </w:r>
      <w:r w:rsidRPr="00766E75">
        <w:rPr>
          <w:rFonts w:eastAsia="Calibri" w:cstheme="minorHAnsi"/>
        </w:rPr>
        <w:t xml:space="preserve"> (OR=1.22, 95% CI: 1.06, 1.40</w:t>
      </w:r>
      <w:r>
        <w:rPr>
          <w:rFonts w:eastAsia="Calibri" w:cstheme="minorHAnsi"/>
        </w:rPr>
        <w:t>). In all other comparisons</w:t>
      </w:r>
      <w:r w:rsidRPr="00766E75">
        <w:rPr>
          <w:rFonts w:eastAsia="Calibri" w:cstheme="minorHAnsi"/>
        </w:rPr>
        <w:t xml:space="preserve">, there was no significant difference between the </w:t>
      </w:r>
      <w:r>
        <w:rPr>
          <w:rFonts w:eastAsia="Calibri" w:cstheme="minorHAnsi"/>
        </w:rPr>
        <w:t>W</w:t>
      </w:r>
      <w:r w:rsidRPr="00766E75">
        <w:rPr>
          <w:rFonts w:eastAsia="Calibri" w:cstheme="minorHAnsi"/>
        </w:rPr>
        <w:t xml:space="preserve">hite non-menthol smokers and the following groups, with regards to quit attempts: Hispanic menthol smokers (OR=1.08, 95% CI: 0.87, 1.33); Asian-American/Pacific Islander menthol smokers (OR=1.18, 95% CI: 0.77, 1.79); American Indian/Alaskan Native menthol smokers (OR=1.26, 95% CI: 0.66, 2.40); and menthol smokers reporting multiple races (OR=1.10, 95% CI: 0.69, 1.75). </w:t>
      </w:r>
    </w:p>
    <w:p w14:paraId="0BA6677D"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Alexander et al. </w:t>
      </w:r>
      <w:r w:rsidRPr="00766E75">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66E75">
        <w:rPr>
          <w:rFonts w:eastAsia="Calibri" w:cstheme="minorHAnsi"/>
        </w:rPr>
        <w:fldChar w:fldCharType="separate"/>
      </w:r>
      <w:r>
        <w:rPr>
          <w:rFonts w:eastAsia="Calibri" w:cstheme="minorHAnsi"/>
          <w:noProof/>
        </w:rPr>
        <w:t>(</w:t>
      </w:r>
      <w:hyperlink w:anchor="_ENREF_14" w:tooltip="Alexander, 2010 #59" w:history="1">
        <w:r>
          <w:rPr>
            <w:rFonts w:eastAsia="Calibri" w:cstheme="minorHAnsi"/>
            <w:noProof/>
          </w:rPr>
          <w:t>14</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used data from the 2006-2007 TUS-CPS and reported adjusted rates of having </w:t>
      </w:r>
      <w:r w:rsidRPr="00766E75">
        <w:rPr>
          <w:rFonts w:eastAsia="Calibri" w:cstheme="minorHAnsi"/>
          <w:i/>
        </w:rPr>
        <w:t>ever</w:t>
      </w:r>
      <w:r w:rsidRPr="00766E75">
        <w:rPr>
          <w:rFonts w:eastAsia="Calibri" w:cstheme="minorHAnsi"/>
        </w:rPr>
        <w:t xml:space="preserve"> made a quit attempt; they provided only unadjusted data for having made an attempt in the past 12 months. They found that </w:t>
      </w:r>
      <w:r>
        <w:rPr>
          <w:rFonts w:eastAsia="Calibri" w:cstheme="minorHAnsi"/>
        </w:rPr>
        <w:t>statistically significantly</w:t>
      </w:r>
      <w:r w:rsidRPr="00766E75">
        <w:rPr>
          <w:rFonts w:eastAsia="Calibri" w:cstheme="minorHAnsi"/>
        </w:rPr>
        <w:t xml:space="preserve"> more menthol smokers than non-menthol smokers made a quit attempt in the past year (55.0% vs. 50.3%, respectively; p&lt;0.001).</w:t>
      </w:r>
    </w:p>
    <w:p w14:paraId="09DCD71E" w14:textId="77777777" w:rsidR="007F0AE0" w:rsidRPr="00766E75" w:rsidRDefault="007F0AE0" w:rsidP="007F0AE0">
      <w:pPr>
        <w:spacing w:after="120" w:line="240" w:lineRule="auto"/>
        <w:jc w:val="both"/>
        <w:rPr>
          <w:rFonts w:eastAsia="Calibri" w:cstheme="minorHAnsi"/>
        </w:rPr>
      </w:pPr>
      <w:r w:rsidRPr="00766E75">
        <w:rPr>
          <w:rFonts w:eastAsia="Calibri" w:cstheme="minorHAnsi"/>
        </w:rPr>
        <w:t xml:space="preserve">Fagan et al. </w:t>
      </w:r>
      <w:r w:rsidRPr="00766E75">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 </w:instrText>
      </w:r>
      <w:r>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766E75">
        <w:rPr>
          <w:rFonts w:eastAsia="Calibri" w:cstheme="minorHAnsi"/>
        </w:rPr>
        <w:fldChar w:fldCharType="separate"/>
      </w:r>
      <w:r>
        <w:rPr>
          <w:rFonts w:eastAsia="Calibri" w:cstheme="minorHAnsi"/>
          <w:noProof/>
        </w:rPr>
        <w:t>(</w:t>
      </w:r>
      <w:hyperlink w:anchor="_ENREF_12" w:tooltip="Fagan, 2010 #56" w:history="1">
        <w:r>
          <w:rPr>
            <w:rFonts w:eastAsia="Calibri" w:cstheme="minorHAnsi"/>
            <w:noProof/>
          </w:rPr>
          <w:t>12</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analyzed data on quit attempts from adult daily smokers in the 2003 and 2006-2007 TUS-CPS. Among currently smoking adults, slightly more menthol smokers than non-menthol smokers reported having made a quit attempt (intentionally abstaining for at least 24 hours) during the past year (33.8% vs. 31.9%).</w:t>
      </w:r>
    </w:p>
    <w:p w14:paraId="78354FEB" w14:textId="77777777" w:rsidR="007F0AE0" w:rsidRDefault="007F0AE0" w:rsidP="007F0AE0">
      <w:pPr>
        <w:spacing w:after="120" w:line="240" w:lineRule="auto"/>
        <w:jc w:val="both"/>
        <w:rPr>
          <w:rFonts w:eastAsia="Calibri" w:cstheme="minorHAnsi"/>
        </w:rPr>
      </w:pPr>
      <w:r w:rsidRPr="00766E75">
        <w:rPr>
          <w:rFonts w:eastAsia="Calibri" w:cstheme="minorHAnsi"/>
        </w:rPr>
        <w:t xml:space="preserve">Stahre et al. </w:t>
      </w:r>
      <w:r w:rsidRPr="00766E75">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766E75">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presented unadjusted data from the 2005 NHIS-CCS. They found that eight percent more menthol smokers than non-menthol smokers reported having tried to quit smoking in the past year (49% vs. 41%). </w:t>
      </w:r>
    </w:p>
    <w:p w14:paraId="3047E927" w14:textId="77777777" w:rsidR="007F0AE0" w:rsidRPr="00766E75" w:rsidRDefault="007F0AE0" w:rsidP="007F0AE0">
      <w:pPr>
        <w:spacing w:after="120" w:line="240" w:lineRule="auto"/>
        <w:jc w:val="both"/>
        <w:rPr>
          <w:rFonts w:eastAsia="Calibri" w:cstheme="minorHAnsi"/>
        </w:rPr>
      </w:pPr>
      <w:r w:rsidRPr="00830244">
        <w:rPr>
          <w:rFonts w:cstheme="minorHAnsi"/>
          <w:color w:val="000000" w:themeColor="text1"/>
        </w:rPr>
        <w:lastRenderedPageBreak/>
        <w:t>Keeler et al.</w:t>
      </w:r>
      <w:r>
        <w:rPr>
          <w:rFonts w:cstheme="minorHAnsi"/>
          <w:color w:val="000000" w:themeColor="text1"/>
        </w:rPr>
        <w:t xml:space="preserve"> </w: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Pr>
          <w:rFonts w:cstheme="minorHAnsi"/>
          <w:color w:val="000000" w:themeColor="text1"/>
        </w:rPr>
        <w:fldChar w:fldCharType="separate"/>
      </w:r>
      <w:r>
        <w:rPr>
          <w:rFonts w:cstheme="minorHAnsi"/>
          <w:noProof/>
          <w:color w:val="000000" w:themeColor="text1"/>
        </w:rPr>
        <w:t>(</w:t>
      </w:r>
      <w:hyperlink w:anchor="_ENREF_29" w:tooltip="Keeler, 2017 #660" w:history="1">
        <w:r>
          <w:rPr>
            <w:rFonts w:cstheme="minorHAnsi"/>
            <w:noProof/>
            <w:color w:val="000000" w:themeColor="text1"/>
          </w:rPr>
          <w:t>29</w:t>
        </w:r>
      </w:hyperlink>
      <w:r>
        <w:rPr>
          <w:rFonts w:cstheme="minorHAnsi"/>
          <w:noProof/>
          <w:color w:val="000000" w:themeColor="text1"/>
        </w:rPr>
        <w:t>)</w:t>
      </w:r>
      <w:r>
        <w:rPr>
          <w:rFonts w:cstheme="minorHAnsi"/>
          <w:color w:val="000000" w:themeColor="text1"/>
        </w:rPr>
        <w:fldChar w:fldCharType="end"/>
      </w:r>
      <w:r w:rsidRPr="00830244">
        <w:rPr>
          <w:rFonts w:cstheme="minorHAnsi"/>
          <w:color w:val="000000" w:themeColor="text1"/>
        </w:rPr>
        <w:t xml:space="preserve"> reported on rate of </w:t>
      </w:r>
      <w:r>
        <w:rPr>
          <w:rFonts w:cstheme="minorHAnsi"/>
          <w:color w:val="000000" w:themeColor="text1"/>
        </w:rPr>
        <w:t>past-year quit attempts</w:t>
      </w:r>
      <w:r w:rsidRPr="00830244">
        <w:rPr>
          <w:rFonts w:cstheme="minorHAnsi"/>
          <w:color w:val="000000" w:themeColor="text1"/>
        </w:rPr>
        <w:t xml:space="preserve"> among a nationally-representative sample of adults. </w:t>
      </w:r>
      <w:r w:rsidRPr="00830244">
        <w:rPr>
          <w:rFonts w:eastAsia="Calibri" w:cstheme="minorHAnsi"/>
        </w:rPr>
        <w:t>Based on interaction term results,</w:t>
      </w:r>
      <w:r>
        <w:rPr>
          <w:rFonts w:eastAsia="Calibri" w:cstheme="minorHAnsi"/>
        </w:rPr>
        <w:t xml:space="preserve"> Black menthol smokers were statistically significantly more likely to have reported past-year quit attempts than</w:t>
      </w:r>
      <w:r w:rsidRPr="00830244">
        <w:rPr>
          <w:rFonts w:eastAsia="Calibri" w:cstheme="minorHAnsi"/>
        </w:rPr>
        <w:t xml:space="preserve"> non-Black non-menthol smokers (</w:t>
      </w:r>
      <w:r w:rsidRPr="00766E75">
        <w:rPr>
          <w:rFonts w:eastAsia="Calibri" w:cstheme="minorHAnsi"/>
        </w:rPr>
        <w:t>OR=1.37, 95% CI: 1.15</w:t>
      </w:r>
      <w:r>
        <w:rPr>
          <w:rFonts w:eastAsia="Calibri" w:cstheme="minorHAnsi"/>
        </w:rPr>
        <w:t xml:space="preserve">, </w:t>
      </w:r>
      <w:r w:rsidRPr="00766E75">
        <w:rPr>
          <w:rFonts w:eastAsia="Calibri" w:cstheme="minorHAnsi"/>
        </w:rPr>
        <w:t>1.63; p=0.0006</w:t>
      </w:r>
      <w:r w:rsidRPr="00830244">
        <w:rPr>
          <w:rFonts w:eastAsia="Calibri" w:cstheme="minorHAnsi"/>
        </w:rPr>
        <w:t>).</w:t>
      </w:r>
    </w:p>
    <w:p w14:paraId="51C83D88" w14:textId="77777777" w:rsidR="007F0AE0" w:rsidRPr="00766E75" w:rsidRDefault="007F0AE0" w:rsidP="007F0AE0">
      <w:pPr>
        <w:spacing w:after="120" w:line="240" w:lineRule="auto"/>
        <w:jc w:val="both"/>
        <w:rPr>
          <w:rFonts w:eastAsia="Calibri" w:cstheme="minorHAnsi"/>
          <w:i/>
        </w:rPr>
      </w:pPr>
      <w:r w:rsidRPr="00766E75">
        <w:rPr>
          <w:rFonts w:eastAsia="Calibri" w:cstheme="minorHAnsi"/>
        </w:rPr>
        <w:t xml:space="preserve">In addition to their adjusted analyses of cessation, Gandhi et al. </w:t>
      </w:r>
      <w:r w:rsidRPr="00766E75">
        <w:rPr>
          <w:rFonts w:eastAsia="Calibri" w:cstheme="minorHAnsi"/>
        </w:rPr>
        <w:fldChar w:fldCharType="begin"/>
      </w:r>
      <w:r>
        <w:rPr>
          <w:rFonts w:eastAsia="Calibri" w:cstheme="minorHAnsi"/>
        </w:rPr>
        <w:instrText xml:space="preserve"> ADDIN EN.CITE &lt;EndNote&gt;&lt;Cite&gt;&lt;RecNum&gt;67&lt;/RecNum&gt;&lt;DisplayText&gt;(47)&lt;/DisplayText&gt;&lt;record&gt;&lt;rec-number&gt;67&lt;/rec-number&gt;&lt;foreign-keys&gt;&lt;key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766E75">
        <w:rPr>
          <w:rFonts w:eastAsia="Calibri" w:cstheme="minorHAnsi"/>
        </w:rPr>
        <w:fldChar w:fldCharType="separate"/>
      </w:r>
      <w:r>
        <w:rPr>
          <w:rFonts w:eastAsia="Calibri" w:cstheme="minorHAnsi"/>
          <w:noProof/>
        </w:rPr>
        <w:t>(</w:t>
      </w:r>
      <w:hyperlink w:anchor="_ENREF_47" w:tooltip="Gandhi, 2009 #67" w:history="1">
        <w:r>
          <w:rPr>
            <w:rFonts w:eastAsia="Calibri" w:cstheme="minorHAnsi"/>
            <w:noProof/>
          </w:rPr>
          <w:t>47</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reported unadjusted rates of quit attempts. In their analysis of over 1,600 treatment seekers, 89.4 percent of menthol smokers and 91.6 percent of non-menthol smokers reported making a</w:t>
      </w:r>
      <w:r w:rsidRPr="00766E75">
        <w:rPr>
          <w:rFonts w:eastAsia="Calibri" w:cstheme="minorHAnsi"/>
          <w:i/>
        </w:rPr>
        <w:t xml:space="preserve"> </w:t>
      </w:r>
      <w:r w:rsidRPr="00766E75">
        <w:rPr>
          <w:rFonts w:eastAsia="Calibri" w:cstheme="minorHAnsi"/>
        </w:rPr>
        <w:t xml:space="preserve">previous attempt to quit smoking. </w:t>
      </w:r>
    </w:p>
    <w:p w14:paraId="09ED655F" w14:textId="77777777" w:rsidR="007F0AE0" w:rsidRPr="00DE2832" w:rsidRDefault="007F0AE0" w:rsidP="007F0AE0">
      <w:pPr>
        <w:spacing w:after="120" w:line="240" w:lineRule="auto"/>
        <w:jc w:val="both"/>
        <w:rPr>
          <w:rFonts w:eastAsia="Calibri" w:cstheme="minorHAnsi"/>
          <w:i/>
        </w:rPr>
      </w:pPr>
      <w:r w:rsidRPr="00766E75">
        <w:rPr>
          <w:rFonts w:eastAsia="Calibri" w:cstheme="minorHAnsi"/>
        </w:rPr>
        <w:t xml:space="preserve">Hersey et al. </w:t>
      </w:r>
      <w:r w:rsidRPr="00766E75">
        <w:rPr>
          <w:rFonts w:eastAsia="Calibri" w:cstheme="minorHAnsi"/>
        </w:rPr>
        <w:fldChar w:fldCharType="begin"/>
      </w:r>
      <w:r>
        <w:rPr>
          <w:rFonts w:eastAsia="Calibri" w:cstheme="minorHAnsi"/>
        </w:rPr>
        <w:instrText xml:space="preserve"> ADDIN EN.CITE &lt;EndNote&gt;&lt;Cite&gt;&lt;RecNum&gt;80&lt;/RecNum&gt;&lt;DisplayText&gt;(44)&lt;/DisplayText&gt;&lt;record&gt;&lt;rec-number&gt;80&lt;/rec-number&gt;&lt;foreign-keys&gt;&lt;key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sidRPr="00766E75">
        <w:rPr>
          <w:rFonts w:eastAsia="Calibri" w:cstheme="minorHAnsi"/>
        </w:rPr>
        <w:fldChar w:fldCharType="separate"/>
      </w:r>
      <w:r>
        <w:rPr>
          <w:rFonts w:eastAsia="Calibri" w:cstheme="minorHAnsi"/>
          <w:noProof/>
        </w:rPr>
        <w:t>(</w:t>
      </w:r>
      <w:hyperlink w:anchor="_ENREF_44" w:tooltip="Hersey, 2006 #80" w:history="1">
        <w:r>
          <w:rPr>
            <w:rFonts w:eastAsia="Calibri" w:cstheme="minorHAnsi"/>
            <w:noProof/>
          </w:rPr>
          <w:t>44</w:t>
        </w:r>
      </w:hyperlink>
      <w:r>
        <w:rPr>
          <w:rFonts w:eastAsia="Calibri" w:cstheme="minorHAnsi"/>
          <w:noProof/>
        </w:rPr>
        <w:t>)</w:t>
      </w:r>
      <w:r w:rsidRPr="00766E75">
        <w:rPr>
          <w:rFonts w:eastAsia="Calibri" w:cstheme="minorHAnsi"/>
        </w:rPr>
        <w:fldChar w:fldCharType="end"/>
      </w:r>
      <w:r w:rsidRPr="00766E75">
        <w:rPr>
          <w:rFonts w:eastAsia="Calibri" w:cstheme="minorHAnsi"/>
        </w:rPr>
        <w:t xml:space="preserve"> analyzed data on use of tobacco cessation aids from over 3,000 middle and high school smokers collected during the National Youth Tobacco Survey. They found that menthol was positively and </w:t>
      </w:r>
      <w:r>
        <w:rPr>
          <w:rFonts w:eastAsia="Calibri" w:cstheme="minorHAnsi"/>
        </w:rPr>
        <w:t>statistically significantly</w:t>
      </w:r>
      <w:r w:rsidRPr="00766E75">
        <w:rPr>
          <w:rFonts w:eastAsia="Calibri" w:cstheme="minorHAnsi"/>
        </w:rPr>
        <w:t xml:space="preserve"> associated with seeking help with quitting via school programs (menthol 7.8% vs. non-menthol 5.1%), community programs (3.9% vs. 1.4%), a telephone helpline (2.7% to 1.4%), nicotine gum (9.7% vs. 7.0%), or an internet quit site (4.9% to 3.2%). Use of a nicotine patch was similar between young menthol and non-menthol smokers (5.7% vs. 5.2%).</w:t>
      </w:r>
    </w:p>
    <w:p w14:paraId="7356B49E" w14:textId="77777777" w:rsidR="007F0AE0" w:rsidRPr="00DE2832" w:rsidRDefault="007F0AE0" w:rsidP="007F0AE0">
      <w:pPr>
        <w:spacing w:after="120" w:line="240" w:lineRule="auto"/>
        <w:jc w:val="both"/>
        <w:outlineLvl w:val="1"/>
        <w:rPr>
          <w:rFonts w:eastAsia="Calibri" w:cstheme="minorHAnsi"/>
          <w:i/>
          <w:u w:val="single"/>
        </w:rPr>
      </w:pPr>
      <w:r w:rsidRPr="00DE2832">
        <w:rPr>
          <w:rFonts w:eastAsia="Calibri" w:cstheme="minorHAnsi"/>
          <w:i/>
          <w:u w:val="single"/>
        </w:rPr>
        <w:t>Unadjusted Results: Number of Quit Attempts per Person</w:t>
      </w:r>
    </w:p>
    <w:p w14:paraId="605BF9B2" w14:textId="77777777" w:rsidR="007F0AE0" w:rsidRDefault="007F0AE0" w:rsidP="007F0AE0">
      <w:pPr>
        <w:spacing w:after="120" w:line="240" w:lineRule="auto"/>
        <w:rPr>
          <w:rFonts w:eastAsia="Calibri" w:cstheme="minorHAnsi"/>
          <w:i/>
        </w:rPr>
      </w:pPr>
      <w:r w:rsidRPr="00DE2832">
        <w:rPr>
          <w:rFonts w:eastAsia="Calibri" w:cstheme="minorHAnsi"/>
          <w:i/>
        </w:rPr>
        <w:t>Fourteen studies</w:t>
      </w:r>
      <w:r>
        <w:rPr>
          <w:rFonts w:eastAsia="Calibri" w:cstheme="minorHAnsi"/>
          <w:i/>
        </w:rPr>
        <w:t xml:space="preserve"> </w:t>
      </w:r>
      <w:r w:rsidRPr="00DE2832">
        <w:rPr>
          <w:rFonts w:eastAsia="Calibri" w:cstheme="minorHAnsi"/>
          <w:i/>
        </w:rPr>
        <w:t xml:space="preserve">reported unadjusted data on the number of quit attempts in </w:t>
      </w:r>
      <w:r>
        <w:rPr>
          <w:rFonts w:eastAsia="Calibri" w:cstheme="minorHAnsi"/>
          <w:i/>
        </w:rPr>
        <w:t xml:space="preserve">menthol and non-menthol smokers </w:t>
      </w:r>
      <w:r>
        <w:rPr>
          <w:rFonts w:eastAsia="Calibri" w:cstheme="minorHAnsi"/>
          <w:i/>
        </w:rPr>
        <w:fldChar w:fldCharType="begin">
          <w:fldData xml:space="preserve">PEVuZE5vdGU+PENpdGU+PEF1dGhvcj5BbGV4YW5kZXI8L0F1dGhvcj48WWVhcj4yMDEwPC9ZZWFy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</w:fldData>
        </w:fldChar>
      </w:r>
      <w:r>
        <w:rPr>
          <w:rFonts w:eastAsia="Calibri" w:cstheme="minorHAnsi"/>
          <w:i/>
        </w:rPr>
        <w:instrText xml:space="preserve"> ADDIN EN.CITE </w:instrText>
      </w:r>
      <w:r>
        <w:rPr>
          <w:rFonts w:eastAsia="Calibri" w:cstheme="minorHAnsi"/>
          <w:i/>
        </w:rPr>
        <w:fldChar w:fldCharType="begin">
          <w:fldData xml:space="preserve">PEVuZE5vdGU+PENpdGU+PEF1dGhvcj5BbGV4YW5kZXI8L0F1dGhvcj48WWVhcj4yMDEwPC9ZZWFy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2" w:tooltip="Fagan, 2010 #56" w:history="1">
        <w:r>
          <w:rPr>
            <w:rFonts w:eastAsia="Calibri" w:cstheme="minorHAnsi"/>
            <w:i/>
            <w:noProof/>
          </w:rPr>
          <w:t>12-17</w:t>
        </w:r>
      </w:hyperlink>
      <w:r>
        <w:rPr>
          <w:rFonts w:eastAsia="Calibri" w:cstheme="minorHAnsi"/>
          <w:i/>
          <w:noProof/>
        </w:rPr>
        <w:t xml:space="preserve">, </w:t>
      </w:r>
      <w:hyperlink w:anchor="_ENREF_23" w:tooltip="Fu, 2008 #72" w:history="1">
        <w:r>
          <w:rPr>
            <w:rFonts w:eastAsia="Calibri" w:cstheme="minorHAnsi"/>
            <w:i/>
            <w:noProof/>
          </w:rPr>
          <w:t>23-26</w:t>
        </w:r>
      </w:hyperlink>
      <w:r>
        <w:rPr>
          <w:rFonts w:eastAsia="Calibri" w:cstheme="minorHAnsi"/>
          <w:i/>
          <w:noProof/>
        </w:rPr>
        <w:t xml:space="preserve">, </w:t>
      </w:r>
      <w:hyperlink w:anchor="_ENREF_45" w:tooltip="Smith, 2014 #11" w:history="1">
        <w:r>
          <w:rPr>
            <w:rFonts w:eastAsia="Calibri" w:cstheme="minorHAnsi"/>
            <w:i/>
            <w:noProof/>
          </w:rPr>
          <w:t>45</w:t>
        </w:r>
      </w:hyperlink>
      <w:r>
        <w:rPr>
          <w:rFonts w:eastAsia="Calibri" w:cstheme="minorHAnsi"/>
          <w:i/>
          <w:noProof/>
        </w:rPr>
        <w:t xml:space="preserve">, </w:t>
      </w:r>
      <w:hyperlink w:anchor="_ENREF_47" w:tooltip="Gandhi, 2009 #67" w:history="1">
        <w:r>
          <w:rPr>
            <w:rFonts w:eastAsia="Calibri" w:cstheme="minorHAnsi"/>
            <w:i/>
            <w:noProof/>
          </w:rPr>
          <w:t>47</w:t>
        </w:r>
      </w:hyperlink>
      <w:r>
        <w:rPr>
          <w:rFonts w:eastAsia="Calibri" w:cstheme="minorHAnsi"/>
          <w:i/>
          <w:noProof/>
        </w:rPr>
        <w:t xml:space="preserve">, </w:t>
      </w:r>
      <w:hyperlink w:anchor="_ENREF_50" w:tooltip="Hyland, 2002 #87" w:history="1">
        <w:r>
          <w:rPr>
            <w:rFonts w:eastAsia="Calibri" w:cstheme="minorHAnsi"/>
            <w:i/>
            <w:noProof/>
          </w:rPr>
          <w:t>50</w:t>
        </w:r>
      </w:hyperlink>
      <w:r>
        <w:rPr>
          <w:rFonts w:eastAsia="Calibri" w:cstheme="minorHAnsi"/>
          <w:i/>
          <w:noProof/>
        </w:rPr>
        <w:t xml:space="preserve">, </w:t>
      </w:r>
      <w:hyperlink w:anchor="_ENREF_51" w:tooltip="Jarvik, 1994 #90" w:history="1">
        <w:r>
          <w:rPr>
            <w:rFonts w:eastAsia="Calibri" w:cstheme="minorHAnsi"/>
            <w:i/>
            <w:noProof/>
          </w:rPr>
          <w:t>51</w:t>
        </w:r>
      </w:hyperlink>
      <w:r>
        <w:rPr>
          <w:rFonts w:eastAsia="Calibri" w:cstheme="minorHAnsi"/>
          <w:i/>
          <w:noProof/>
        </w:rPr>
        <w:t>)</w:t>
      </w:r>
      <w:r>
        <w:rPr>
          <w:rFonts w:eastAsia="Calibri" w:cstheme="minorHAnsi"/>
          <w:i/>
        </w:rPr>
        <w:fldChar w:fldCharType="end"/>
      </w:r>
      <w:r>
        <w:rPr>
          <w:rFonts w:eastAsia="Calibri" w:cstheme="minorHAnsi"/>
          <w:i/>
        </w:rPr>
        <w:t>.</w:t>
      </w:r>
      <w:r w:rsidRPr="00DE2832">
        <w:rPr>
          <w:rFonts w:eastAsia="Calibri" w:cstheme="minorHAnsi"/>
          <w:i/>
        </w:rPr>
        <w:t xml:space="preserve"> Most studies considered a quit attempt to be intentionally not smoking for at least 24 hours; exceptions are described in the detailed </w:t>
      </w:r>
      <w:r w:rsidRPr="000753C1">
        <w:rPr>
          <w:rFonts w:eastAsia="Calibri" w:cstheme="minorHAnsi"/>
          <w:i/>
        </w:rPr>
        <w:t>synthesis.</w:t>
      </w:r>
    </w:p>
    <w:p w14:paraId="43871BDF" w14:textId="77777777" w:rsidR="007F0AE0" w:rsidRPr="00B9410A" w:rsidRDefault="007F0AE0" w:rsidP="007F0AE0">
      <w:pPr>
        <w:spacing w:after="120" w:line="240" w:lineRule="auto"/>
        <w:jc w:val="both"/>
        <w:rPr>
          <w:rFonts w:eastAsia="Calibri" w:cstheme="minorHAnsi"/>
          <w:i/>
        </w:rPr>
      </w:pPr>
      <w:r w:rsidRPr="00B9410A">
        <w:rPr>
          <w:rFonts w:eastAsia="Calibri" w:cstheme="minorHAnsi"/>
          <w:i/>
        </w:rPr>
        <w:t xml:space="preserve">One found that menthol smokers reported </w:t>
      </w:r>
      <w:r>
        <w:rPr>
          <w:rFonts w:eastAsia="Calibri" w:cstheme="minorHAnsi"/>
          <w:i/>
        </w:rPr>
        <w:t>statistically significantly</w:t>
      </w:r>
      <w:r w:rsidRPr="00B9410A">
        <w:rPr>
          <w:rFonts w:eastAsia="Calibri" w:cstheme="minorHAnsi"/>
          <w:i/>
        </w:rPr>
        <w:t xml:space="preserve"> more quit attempts than non-menthol smokers. Three studies reported fewer quit attempts among menthol smokers, although only one reported statistical significance. Two studies reported a significant difference in the number of quit attempts between menthol and non-menthol smokers, for which the direction of significance could not be determined. Two studies reported mixed findings: one study observed a higher number of quit attempts among White menthol smokers compared with White non-menthol smokers, and a lower number of quit attempts among Black menthol smokers compared with Black non-menthol smokers; the second study reported no difference in the number of lifetime quit attempts between menthol and non-menthol smokers, but also reported </w:t>
      </w:r>
      <w:r>
        <w:rPr>
          <w:rFonts w:eastAsia="Calibri" w:cstheme="minorHAnsi"/>
          <w:i/>
        </w:rPr>
        <w:t>statistically significantly</w:t>
      </w:r>
      <w:r w:rsidRPr="00B9410A">
        <w:rPr>
          <w:rFonts w:eastAsia="Calibri" w:cstheme="minorHAnsi"/>
          <w:i/>
        </w:rPr>
        <w:t xml:space="preserve"> more recent quit attempts among menthol smokers. The remaining six studies reported no differences between menthol and non-menthol smokers in terms of number of quit attempts</w:t>
      </w:r>
    </w:p>
    <w:p w14:paraId="31451DAB"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a cross-sectional study of young adults age 18-35 in Hawaii, Fagan et al. </w:t>
      </w:r>
      <w:r w:rsidRPr="00DE2832">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 </w:instrText>
      </w:r>
      <w:r>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DE2832">
        <w:rPr>
          <w:rFonts w:eastAsia="Calibri" w:cstheme="minorHAnsi"/>
        </w:rPr>
        <w:fldChar w:fldCharType="separate"/>
      </w:r>
      <w:r>
        <w:rPr>
          <w:rFonts w:eastAsia="Calibri" w:cstheme="minorHAnsi"/>
          <w:noProof/>
        </w:rPr>
        <w:t>(</w:t>
      </w:r>
      <w:hyperlink w:anchor="_ENREF_25" w:tooltip="Fagan, 2015 #5" w:history="1">
        <w:r>
          <w:rPr>
            <w:rFonts w:eastAsia="Calibri" w:cstheme="minorHAnsi"/>
            <w:noProof/>
          </w:rPr>
          <w:t>25</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observed that, in the past year: fewer menthol smokers (7.1%) made a single quit attempt, compared with non-menthol smokers (18.6%); more menthol smokers (25.2%) made 2-3 quit attempts compared with non-menthol smokers (16.9%); and more menthol smokers (11.0%) than non-menthol smokers (5.1%) reported more than three attempts in the past year. The number of quit attempts between menthol and non-menthol smokers was found to be </w:t>
      </w:r>
      <w:r>
        <w:rPr>
          <w:rFonts w:eastAsia="Calibri" w:cstheme="minorHAnsi"/>
        </w:rPr>
        <w:t>statistically significantly</w:t>
      </w:r>
      <w:r w:rsidRPr="00DE2832">
        <w:rPr>
          <w:rFonts w:eastAsia="Calibri" w:cstheme="minorHAnsi"/>
        </w:rPr>
        <w:t xml:space="preserve"> different; however, the direction of this result was not specified.</w:t>
      </w:r>
    </w:p>
    <w:p w14:paraId="438FF2ED"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In the Wisconsin Smokers’ Health Study, Smith et al. </w:t>
      </w:r>
      <w:r w:rsidRPr="001C32D8">
        <w:rPr>
          <w:rFonts w:eastAsia="Calibri" w:cstheme="minorHAnsi"/>
        </w:rPr>
        <w:fldChar w:fldCharType="begin"/>
      </w:r>
      <w:r>
        <w:rPr>
          <w:rFonts w:eastAsia="Calibri" w:cstheme="minorHAnsi"/>
        </w:rPr>
        <w:instrText xml:space="preserve"> ADDIN EN.CITE &lt;EndNote&gt;&lt;Cite&gt;&lt;RecNum&gt;11&lt;/RecNum&gt;&lt;DisplayText&gt;(45)&lt;/DisplayText&gt;&lt;record&gt;&lt;rec-number&gt;11&lt;/rec-number&gt;&lt;foreign-keys&gt;&lt;key app="EN" db-id="a2vz2dfp8xrad6exes75zwpiw5rxwa0vwapv" timestamp="0"&gt;11&lt;/key&gt;&lt;/foreign-keys&gt;&lt;ref-type name="Journal Article"&gt;17&lt;/ref-type&gt;&lt;contributors&gt;&lt;authors&gt;&lt;author&gt;Smith, S. S.&lt;/author&gt;&lt;author&gt;Fiore, M. C.&lt;/author&gt;&lt;author&gt;Baker, T. B.&lt;/author&gt;&lt;/authors&gt;&lt;/contributors&gt;&lt;auth-address&gt;Department of Medicine, University of Wisconsin School of Medicine and Public Health (UWSMPH), Madison, WI, USA; Center for Tobacco Research and Intervention, UWSMPH, Madison, WI, USA.&lt;/auth-address&gt;&lt;titles&gt;&lt;title&gt;Smoking cessation in smokers who smoke menthol and non-menthol cigarettes&lt;/title&gt;&lt;secondary-title&gt;Addiction&lt;/secondary-title&gt;&lt;/titles&gt;&lt;periodical&gt;&lt;full-title&gt;Addiction&lt;/full-title&gt;&lt;/periodical&gt;&lt;pages&gt;2107-17&lt;/pages&gt;&lt;volume&gt;109&lt;/volume&gt;&lt;number&gt;12&lt;/number&gt;&lt;keywords&gt;&lt;keyword&gt;Clinical trial&lt;/keyword&gt;&lt;keyword&gt;gender&lt;/keyword&gt;&lt;keyword&gt;generalized estimating equations&lt;/keyword&gt;&lt;keyword&gt;longitudinal&lt;/keyword&gt;&lt;keyword&gt;menthol&lt;/keyword&gt;&lt;keyword&gt;race/ethnicity&lt;/keyword&gt;&lt;keyword&gt;smoking cessation&lt;/keyword&gt;&lt;keyword&gt;tobacco&lt;/keyword&gt;&lt;/keywords&gt;&lt;dates&gt;&lt;year&gt;2014&lt;/year&gt;&lt;pub-dates&gt;&lt;date&gt;Dec&lt;/date&gt;&lt;/pub-dates&gt;&lt;/dates&gt;&lt;isbn&gt;1360-0443 (Electronic)&amp;#xD;0965-2140 (Linking)&lt;/isbn&gt;&lt;accession-num&gt;24938369&lt;/accession-num&gt;&lt;urls&gt;&lt;related-urls&gt;&lt;url&gt;http://www.ncbi.nlm.nih.gov/pubmed/24938369&lt;/url&gt;&lt;/related-urls&gt;&lt;/urls&gt;&lt;custom2&gt;PMC4443703&lt;/custom2&gt;&lt;electronic-resource-num&gt;10.1111/add.12661&lt;/electronic-resource-num&gt;&lt;research-notes&gt;#060&lt;/research-notes&gt;&lt;/record&gt;&lt;/Cite&gt;&lt;/EndNote&gt;</w:instrText>
      </w:r>
      <w:r w:rsidRPr="001C32D8">
        <w:rPr>
          <w:rFonts w:eastAsia="Calibri" w:cstheme="minorHAnsi"/>
        </w:rPr>
        <w:fldChar w:fldCharType="separate"/>
      </w:r>
      <w:r>
        <w:rPr>
          <w:rFonts w:eastAsia="Calibri" w:cstheme="minorHAnsi"/>
          <w:noProof/>
        </w:rPr>
        <w:t>(</w:t>
      </w:r>
      <w:hyperlink w:anchor="_ENREF_45" w:tooltip="Smith, 2014 #11" w:history="1">
        <w:r>
          <w:rPr>
            <w:rFonts w:eastAsia="Calibri" w:cstheme="minorHAnsi"/>
            <w:noProof/>
          </w:rPr>
          <w:t>45</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unadjusted mean numbers of previous quit attempts (definition not reported) at baseline per person. They found that menthol was </w:t>
      </w:r>
      <w:r>
        <w:rPr>
          <w:rFonts w:eastAsia="Calibri" w:cstheme="minorHAnsi"/>
        </w:rPr>
        <w:t>statistically significantly</w:t>
      </w:r>
      <w:r w:rsidRPr="001C32D8">
        <w:rPr>
          <w:rFonts w:eastAsia="Calibri" w:cstheme="minorHAnsi"/>
        </w:rPr>
        <w:t xml:space="preserve"> associated with fewer quit attempts; on average, menthol smokers reported 1.2 fewer quit attempts than non-menthol smokers (4.9 vs. 6.1; p=0.02). </w:t>
      </w:r>
    </w:p>
    <w:p w14:paraId="046744B8"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Unadjusted data were reported in the Kick It at Swope III study of Black light smokers (&lt;10 CPD) </w:t>
      </w:r>
      <w:r w:rsidRPr="001C32D8">
        <w:rPr>
          <w:rFonts w:eastAsia="Calibri" w:cstheme="minorHAnsi"/>
        </w:rPr>
        <w:fldChar w:fldCharType="begin">
          <w:fldData xml:space="preserve">PEVuZE5vdGU+PENpdGU+PFJlY051bT40MDwvUmVjTnVtPjxEaXNwbGF5VGV4dD4oMjYsIDI3KTwv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</w:fldData>
        </w:fldChar>
      </w:r>
      <w:r>
        <w:rPr>
          <w:rFonts w:eastAsia="Calibri" w:cstheme="minorHAnsi"/>
        </w:rPr>
        <w:instrText xml:space="preserve"> ADDIN EN.CITE </w:instrText>
      </w:r>
      <w:r>
        <w:rPr>
          <w:rFonts w:eastAsia="Calibri" w:cstheme="minorHAnsi"/>
        </w:rPr>
        <w:fldChar w:fldCharType="begin">
          <w:fldData xml:space="preserve">PEVuZE5vdGU+PENpdGU+PFJlY051bT40MDwvUmVjTnVtPjxEaXNwbGF5VGV4dD4oMjYsIDI3KTwv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1C32D8">
        <w:rPr>
          <w:rFonts w:eastAsia="Calibri" w:cstheme="minorHAnsi"/>
        </w:rPr>
        <w:fldChar w:fldCharType="separate"/>
      </w:r>
      <w:r>
        <w:rPr>
          <w:rFonts w:eastAsia="Calibri" w:cstheme="minorHAnsi"/>
          <w:noProof/>
        </w:rPr>
        <w:t>(</w:t>
      </w:r>
      <w:hyperlink w:anchor="_ENREF_26" w:tooltip="Faseru, 2011 #40" w:history="1">
        <w:r>
          <w:rPr>
            <w:rFonts w:eastAsia="Calibri" w:cstheme="minorHAnsi"/>
            <w:noProof/>
          </w:rPr>
          <w:t>26</w:t>
        </w:r>
      </w:hyperlink>
      <w:r>
        <w:rPr>
          <w:rFonts w:eastAsia="Calibri" w:cstheme="minorHAnsi"/>
          <w:noProof/>
        </w:rPr>
        <w:t xml:space="preserve">, </w:t>
      </w:r>
      <w:hyperlink w:anchor="_ENREF_27" w:tooltip="Faseru, 2013 #29" w:history="1">
        <w:r>
          <w:rPr>
            <w:rFonts w:eastAsia="Calibri" w:cstheme="minorHAnsi"/>
            <w:noProof/>
          </w:rPr>
          <w:t>27</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They found that, on average at baseline, menthol and non-menthol smokers were not </w:t>
      </w:r>
      <w:r>
        <w:rPr>
          <w:rFonts w:eastAsia="Calibri" w:cstheme="minorHAnsi"/>
        </w:rPr>
        <w:t>statistically significantly</w:t>
      </w:r>
      <w:r w:rsidRPr="001C32D8">
        <w:rPr>
          <w:rFonts w:eastAsia="Calibri" w:cstheme="minorHAnsi"/>
        </w:rPr>
        <w:t xml:space="preserve"> different in their reporting a 24-hour quit attempt in the past year (3.8 vs. 3.0; p=0.3795). </w:t>
      </w:r>
    </w:p>
    <w:p w14:paraId="08C3F96D"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In a cross-sectional analysis of more than 900 treatment-seeking women (mean age 41), Rosenbloom et al. </w:t>
      </w:r>
      <w:r w:rsidRPr="001C32D8">
        <w:rPr>
          <w:rFonts w:eastAsia="Calibri" w:cstheme="minorHAnsi"/>
        </w:rPr>
        <w:fldChar w:fldCharType="begin"/>
      </w:r>
      <w:r>
        <w:rPr>
          <w:rFonts w:eastAsia="Calibri" w:cstheme="minorHAnsi"/>
        </w:rPr>
        <w:instrText xml:space="preserve"> ADDIN EN.CITE &lt;EndNote&gt;&lt;Cite&gt;&lt;RecNum&gt;32&lt;/RecNum&gt;&lt;DisplayText&gt;(17)&lt;/DisplayText&gt;&lt;record&gt;&lt;rec-number&gt;32&lt;/rec-number&gt;&lt;foreign-keys&gt;&lt;key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1C32D8">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found that menthol and non-menthol smokers reported essentially the same number of quit attempts (definition not reported; 3.1 vs. 3.3; p=0.81). Similarly, number of quit attempts among a subsample of White </w:t>
      </w:r>
      <w:r w:rsidRPr="001C32D8">
        <w:rPr>
          <w:rFonts w:eastAsia="Calibri" w:cstheme="minorHAnsi"/>
        </w:rPr>
        <w:lastRenderedPageBreak/>
        <w:t>smokers was essentially the same between menthol and non-menthol smokers (3.2 vs. 3.3; p=0.98), as was a subsample of Black smokers (3.0 vs. 3.0; p=0.98).</w:t>
      </w:r>
    </w:p>
    <w:p w14:paraId="61446F03"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King et al. </w:t>
      </w:r>
      <w:r w:rsidRPr="001C32D8">
        <w:rPr>
          <w:rFonts w:eastAsia="Calibri" w:cstheme="minorHAnsi"/>
        </w:rPr>
        <w:fldChar w:fldCharType="begin"/>
      </w:r>
      <w:r>
        <w:rPr>
          <w:rFonts w:eastAsia="Calibri" w:cstheme="minorHAnsi"/>
        </w:rPr>
        <w:instrText xml:space="preserve"> ADDIN EN.CITE &lt;EndNote&gt;&lt;Cite&gt;&lt;RecNum&gt;104&lt;/RecNum&gt;&lt;DisplayText&gt;(13)&lt;/DisplayText&gt;&lt;record&gt;&lt;rec-number&gt;104&lt;/rec-number&gt;&lt;foreign-keys&gt;&lt;key app="EN" db-id="a2vz2dfp8xrad6exes75zwpiw5rxwa0vwapv" timestamp="0"&gt;104&lt;/key&gt;&lt;/foreign-keys&gt;&lt;ref-type name="Unpublished Work"&gt;34&lt;/ref-type&gt;&lt;contributors&gt;&lt;authors&gt;&lt;author&gt;King, A. &lt;/author&gt;&lt;author&gt;Cao, D. &lt;/author&gt;&lt;author&gt;Matthews, A.&lt;/author&gt;&lt;/authors&gt;&lt;/contributors&gt;&lt;titles&gt;&lt;title&gt;Influence of menthol use on smoking cessation outcomes in a smoking cessation treatment program&lt;/title&gt;&lt;/titles&gt;&lt;dates&gt;&lt;year&gt;2011&lt;/year&gt;&lt;/dates&gt;&lt;urls&gt;&lt;/urls&gt;&lt;research-notes&gt;#830&lt;/research-notes&gt;&lt;/record&gt;&lt;/Cite&gt;&lt;/EndNote&gt;</w:instrText>
      </w:r>
      <w:r w:rsidRPr="001C32D8">
        <w:rPr>
          <w:rFonts w:eastAsia="Calibri" w:cstheme="minorHAnsi"/>
        </w:rPr>
        <w:fldChar w:fldCharType="separate"/>
      </w:r>
      <w:r>
        <w:rPr>
          <w:rFonts w:eastAsia="Calibri" w:cstheme="minorHAnsi"/>
          <w:noProof/>
        </w:rPr>
        <w:t>(</w:t>
      </w:r>
      <w:hyperlink w:anchor="_ENREF_13" w:tooltip="King, 2011 #104" w:history="1">
        <w:r>
          <w:rPr>
            <w:rFonts w:eastAsia="Calibri" w:cstheme="minorHAnsi"/>
            <w:noProof/>
          </w:rPr>
          <w:t>13</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data from a trial of cessation aids and counseling in White and Black adult smokers age 18 to 65 who average between 10 and 40 CPD. The study included 10 study visits over the course of 3 months of treatment. Authors reported that “…menthol users and non-menthol users were comparable in terms of… number of prior quit attempts…” as reported at baseline. No additional data were provided. </w:t>
      </w:r>
    </w:p>
    <w:p w14:paraId="1963AA92"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Hyland et al.</w:t>
      </w:r>
      <w:r>
        <w:rPr>
          <w:rFonts w:eastAsia="Calibri" w:cstheme="minorHAnsi"/>
        </w:rPr>
        <w:t xml:space="preserve"> </w:t>
      </w:r>
      <w:r>
        <w:rPr>
          <w:rFonts w:eastAsia="Calibri" w:cstheme="minorHAnsi"/>
        </w:rPr>
        <w:fldChar w:fldCharType="begin"/>
      </w:r>
      <w:r>
        <w:rPr>
          <w:rFonts w:eastAsia="Calibri" w:cstheme="minorHAnsi"/>
        </w:rPr>
        <w:instrText xml:space="preserve"> ADDIN EN.CITE &lt;EndNote&gt;&lt;Cite&gt;&lt;Author&gt;Hyland&lt;/Author&gt;&lt;Year&gt;2002&lt;/Year&gt;&lt;RecNum&gt;87&lt;/RecNum&gt;&lt;DisplayText&gt;(50)&lt;/DisplayText&gt;&lt;record&gt;&lt;rec-number&gt;87&lt;/rec-number&gt;&lt;foreign-keys&gt;&lt;key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Pr>
          <w:rFonts w:eastAsia="Calibri" w:cstheme="minorHAnsi"/>
        </w:rPr>
        <w:fldChar w:fldCharType="separate"/>
      </w:r>
      <w:r>
        <w:rPr>
          <w:rFonts w:eastAsia="Calibri" w:cstheme="minorHAnsi"/>
          <w:noProof/>
        </w:rPr>
        <w:t>(</w:t>
      </w:r>
      <w:hyperlink w:anchor="_ENREF_50" w:tooltip="Hyland, 2002 #87" w:history="1">
        <w:r>
          <w:rPr>
            <w:rFonts w:eastAsia="Calibri" w:cstheme="minorHAnsi"/>
            <w:noProof/>
          </w:rPr>
          <w:t>50</w:t>
        </w:r>
      </w:hyperlink>
      <w:r>
        <w:rPr>
          <w:rFonts w:eastAsia="Calibri" w:cstheme="minorHAnsi"/>
          <w:noProof/>
        </w:rPr>
        <w:t>)</w:t>
      </w:r>
      <w:r>
        <w:rPr>
          <w:rFonts w:eastAsia="Calibri" w:cstheme="minorHAnsi"/>
        </w:rPr>
        <w:fldChar w:fldCharType="end"/>
      </w:r>
      <w:r w:rsidRPr="001C32D8">
        <w:rPr>
          <w:rFonts w:eastAsia="Calibri" w:cstheme="minorHAnsi"/>
        </w:rPr>
        <w:t xml:space="preserve"> reported data from the longitudinal Community Intervention Trial for Smoking Cessation (COMMIT), a community-based trial of a multifaceted public health intervention to increase cessation rates. Participants were current smokers between 25 and 64 years of age at baseline. Of participants who </w:t>
      </w:r>
      <w:r w:rsidRPr="001C32D8">
        <w:rPr>
          <w:rFonts w:eastAsia="Calibri" w:cstheme="minorHAnsi"/>
          <w:i/>
        </w:rPr>
        <w:t xml:space="preserve">did not </w:t>
      </w:r>
      <w:r w:rsidRPr="001C32D8">
        <w:rPr>
          <w:rFonts w:eastAsia="Calibri" w:cstheme="minorHAnsi"/>
        </w:rPr>
        <w:t xml:space="preserve">make a quit attempt prior to enrolling, 23.3 percent smoked menthols. Of enrollees making one attempt prior to entering the cohort, 23.4 percent smoked menthols; of participants making at least two attempts, 27.0 percent smoked menthols. </w:t>
      </w:r>
    </w:p>
    <w:p w14:paraId="1F936CC5"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Fagan et al. </w:t>
      </w:r>
      <w:r w:rsidRPr="001C32D8">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 </w:instrText>
      </w:r>
      <w:r>
        <w:rPr>
          <w:rFonts w:eastAsia="Calibri" w:cstheme="minorHAnsi"/>
        </w:rPr>
        <w:fldChar w:fldCharType="begin">
          <w:fldData xml:space="preserve">PEVuZE5vdGU+PENpdGU+PFJlY051bT41NjwvUmVjTnVtPjxEaXNwbGF5VGV4dD4oMTIpPC9EaXNw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1C32D8">
        <w:rPr>
          <w:rFonts w:eastAsia="Calibri" w:cstheme="minorHAnsi"/>
        </w:rPr>
        <w:fldChar w:fldCharType="separate"/>
      </w:r>
      <w:r>
        <w:rPr>
          <w:rFonts w:eastAsia="Calibri" w:cstheme="minorHAnsi"/>
          <w:noProof/>
        </w:rPr>
        <w:t>(</w:t>
      </w:r>
      <w:hyperlink w:anchor="_ENREF_12" w:tooltip="Fagan, 2010 #56" w:history="1">
        <w:r>
          <w:rPr>
            <w:rFonts w:eastAsia="Calibri" w:cstheme="minorHAnsi"/>
            <w:noProof/>
          </w:rPr>
          <w:t>12</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analyzed data on quit attempts from adult daily smokers in the 2003 and 2006-2007 TUS-CPS. The geometric mean number of past-year quit attempts was </w:t>
      </w:r>
      <w:r>
        <w:rPr>
          <w:rFonts w:eastAsia="Calibri" w:cstheme="minorHAnsi"/>
        </w:rPr>
        <w:t>statistically significantly</w:t>
      </w:r>
      <w:r w:rsidRPr="001C32D8">
        <w:rPr>
          <w:rFonts w:eastAsia="Calibri" w:cstheme="minorHAnsi"/>
        </w:rPr>
        <w:t xml:space="preserve"> higher for menthol smokers (2.23, 95% CI: 2.16, 2.30) compared to non-menthol smokers (2.14, 95% CI: 2.10, 2.18; p&lt;0.05). </w:t>
      </w:r>
    </w:p>
    <w:p w14:paraId="75C09136"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Alexander et al. </w:t>
      </w:r>
      <w:r w:rsidRPr="001C32D8">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PEVuZE5vdGU+PENpdGU+PFJlY051bT41OTwvUmVjTnVtPjxEaXNwbGF5VGV4dD4oMTQpPC9EaXNw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1C32D8">
        <w:rPr>
          <w:rFonts w:eastAsia="Calibri" w:cstheme="minorHAnsi"/>
        </w:rPr>
        <w:fldChar w:fldCharType="separate"/>
      </w:r>
      <w:r>
        <w:rPr>
          <w:rFonts w:eastAsia="Calibri" w:cstheme="minorHAnsi"/>
          <w:noProof/>
        </w:rPr>
        <w:t>(</w:t>
      </w:r>
      <w:hyperlink w:anchor="_ENREF_14" w:tooltip="Alexander, 2010 #59" w:history="1">
        <w:r>
          <w:rPr>
            <w:rFonts w:eastAsia="Calibri" w:cstheme="minorHAnsi"/>
            <w:noProof/>
          </w:rPr>
          <w:t>14</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unadjusted mean numbers of quit attempts (</w:t>
      </w:r>
      <w:r w:rsidRPr="001C32D8">
        <w:rPr>
          <w:rFonts w:eastAsia="Calibri" w:cstheme="minorHAnsi"/>
          <w:i/>
        </w:rPr>
        <w:t>“How many times during the past 12 months have you stopped smoking because you were trying to quit?”</w:t>
      </w:r>
      <w:r w:rsidRPr="001C32D8">
        <w:rPr>
          <w:rFonts w:eastAsia="Calibri" w:cstheme="minorHAnsi"/>
        </w:rPr>
        <w:t xml:space="preserve">) made by menthol and non-menthol smokers using data from the 2006-2007 TUS-CPS. In the previous 12 months, menthol smokers were no different than non-menthol smokers in reporting quit attempts (means 4.0 and 3.8, 95% CI: 3.6, 4.4 and 3.6, 3.9, respectively). </w:t>
      </w:r>
    </w:p>
    <w:p w14:paraId="778FC80A"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Gandhi et al. </w:t>
      </w:r>
      <w:r w:rsidRPr="001C32D8">
        <w:rPr>
          <w:rFonts w:eastAsia="Calibri" w:cstheme="minorHAnsi"/>
        </w:rPr>
        <w:fldChar w:fldCharType="begin"/>
      </w:r>
      <w:r>
        <w:rPr>
          <w:rFonts w:eastAsia="Calibri" w:cstheme="minorHAnsi"/>
        </w:rPr>
        <w:instrText xml:space="preserve"> ADDIN EN.CITE &lt;EndNote&gt;&lt;Cite&gt;&lt;RecNum&gt;67&lt;/RecNum&gt;&lt;DisplayText&gt;(47)&lt;/DisplayText&gt;&lt;record&gt;&lt;rec-number&gt;67&lt;/rec-number&gt;&lt;foreign-keys&gt;&lt;key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1C32D8">
        <w:rPr>
          <w:rFonts w:eastAsia="Calibri" w:cstheme="minorHAnsi"/>
        </w:rPr>
        <w:fldChar w:fldCharType="separate"/>
      </w:r>
      <w:r>
        <w:rPr>
          <w:rFonts w:eastAsia="Calibri" w:cstheme="minorHAnsi"/>
          <w:noProof/>
        </w:rPr>
        <w:t>(</w:t>
      </w:r>
      <w:hyperlink w:anchor="_ENREF_47" w:tooltip="Gandhi, 2009 #67" w:history="1">
        <w:r>
          <w:rPr>
            <w:rFonts w:eastAsia="Calibri" w:cstheme="minorHAnsi"/>
            <w:noProof/>
          </w:rPr>
          <w:t>47</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unadjusted rates of quit attempts (definition not reported). In their analysis of over 1,600 treatment seekers, a significant difference in number of quit attempts was reported between menthol and non-menthol smokers (p=0.01); however, the direction could not be determined. More specifically, menthol smokers more often reported making no previous attempts (10.6% vs. 8.4%) or one to five attempts (70.2 % to 66.8%); more non-menthol smokers than menthol smokers reported making six or more attempts. </w:t>
      </w:r>
    </w:p>
    <w:p w14:paraId="61FA188C"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Fu et al. </w:t>
      </w:r>
      <w:r w:rsidRPr="001C32D8">
        <w:rPr>
          <w:rFonts w:eastAsia="Calibri" w:cstheme="minorHAnsi"/>
        </w:rPr>
        <w:fldChar w:fldCharType="begin">
          <w:fldData xml:space="preserve">PEVuZE5vdGU+PENpdGU+PFJlY051bT43MjwvUmVjTnVtPjxEaXNwbGF5VGV4dD4oMjMpPC9EaXNw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</w:fldData>
        </w:fldChar>
      </w:r>
      <w:r>
        <w:rPr>
          <w:rFonts w:eastAsia="Calibri" w:cstheme="minorHAnsi"/>
        </w:rPr>
        <w:instrText xml:space="preserve"> ADDIN EN.CITE </w:instrText>
      </w:r>
      <w:r>
        <w:rPr>
          <w:rFonts w:eastAsia="Calibri" w:cstheme="minorHAnsi"/>
        </w:rPr>
        <w:fldChar w:fldCharType="begin">
          <w:fldData xml:space="preserve">PEVuZE5vdGU+PENpdGU+PFJlY051bT43MjwvUmVjTnVtPjxEaXNwbGF5VGV4dD4oMjMpPC9EaXNw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1C32D8">
        <w:rPr>
          <w:rFonts w:eastAsia="Calibri" w:cstheme="minorHAnsi"/>
        </w:rPr>
        <w:fldChar w:fldCharType="separate"/>
      </w:r>
      <w:r>
        <w:rPr>
          <w:rFonts w:eastAsia="Calibri" w:cstheme="minorHAnsi"/>
          <w:noProof/>
        </w:rPr>
        <w:t>(</w:t>
      </w:r>
      <w:hyperlink w:anchor="_ENREF_23" w:tooltip="Fu, 2008 #72" w:history="1">
        <w:r>
          <w:rPr>
            <w:rFonts w:eastAsia="Calibri" w:cstheme="minorHAnsi"/>
            <w:noProof/>
          </w:rPr>
          <w:t>23</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unadjusted baseline data from a study of Veterans Administration Medical Center patients receiving cessation treatment. They found that menthol and non-menthol smokers were no different in reported total 24-hour quit attempts in the 12 months before study enrollment (Menthol: 41% for one or two attempts and 59% for three or more attempts; Non-menthol: 44% for one or two attempts and 56% for three or more attempts).</w:t>
      </w:r>
    </w:p>
    <w:p w14:paraId="528CA8DF"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Among Black light smokers, (fewer than 10 CPD), Kick It at Swope investigators </w:t>
      </w:r>
      <w:r w:rsidRPr="001C32D8">
        <w:rPr>
          <w:rFonts w:eastAsia="Calibri" w:cstheme="minorHAnsi"/>
        </w:rPr>
        <w:fldChar w:fldCharType="begin"/>
      </w:r>
      <w:r>
        <w:rPr>
          <w:rFonts w:eastAsia="Calibri" w:cstheme="minorHAnsi"/>
        </w:rPr>
        <w:instrText xml:space="preserve"> ADDIN EN.CITE &lt;EndNote&gt;&lt;Cite&gt;&lt;RecNum&gt;74&lt;/RecNum&gt;&lt;DisplayText&gt;(24)&lt;/DisplayText&gt;&lt;record&gt;&lt;rec-number&gt;74&lt;/rec-number&gt;&lt;foreign-keys&gt;&lt;key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1C32D8">
        <w:rPr>
          <w:rFonts w:eastAsia="Calibri" w:cstheme="minorHAnsi"/>
        </w:rPr>
        <w:fldChar w:fldCharType="separate"/>
      </w:r>
      <w:r>
        <w:rPr>
          <w:rFonts w:eastAsia="Calibri" w:cstheme="minorHAnsi"/>
          <w:noProof/>
        </w:rPr>
        <w:t>(</w:t>
      </w:r>
      <w:hyperlink w:anchor="_ENREF_24" w:tooltip="Okuyemi, 2007 #74" w:history="1">
        <w:r>
          <w:rPr>
            <w:rFonts w:eastAsia="Calibri" w:cstheme="minorHAnsi"/>
            <w:noProof/>
          </w:rPr>
          <w:t>24</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reported no difference in the number of previous quit attempts (at least 24 hours of abstinence) for menthol (3.25) and non-menthol (3.07; p=0.78) smokers.</w:t>
      </w:r>
    </w:p>
    <w:p w14:paraId="79375012"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In baseline data from an earlier trial that enrolled adult Black smokers, Okuyemi et al. </w:t>
      </w:r>
      <w:r w:rsidRPr="001C32D8">
        <w:rPr>
          <w:rFonts w:eastAsia="Calibri" w:cstheme="minorHAnsi"/>
        </w:rPr>
        <w:fldChar w:fldCharType="begin"/>
      </w:r>
      <w:r>
        <w:rPr>
          <w:rFonts w:eastAsia="Calibri" w:cstheme="minorHAnsi"/>
        </w:rPr>
        <w:instrText xml:space="preserve"> ADDIN EN.CITE &lt;EndNote&gt;&lt;Cite&gt;&lt;RecNum&gt;81&lt;/RecNum&gt;&lt;DisplayText&gt;(15)&lt;/DisplayText&gt;&lt;record&gt;&lt;rec-number&gt;81&lt;/rec-number&gt;&lt;foreign-keys&gt;&lt;key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1C32D8">
        <w:rPr>
          <w:rFonts w:eastAsia="Calibri" w:cstheme="minorHAnsi"/>
        </w:rPr>
        <w:fldChar w:fldCharType="separate"/>
      </w:r>
      <w:r>
        <w:rPr>
          <w:rFonts w:eastAsia="Calibri" w:cstheme="minorHAnsi"/>
          <w:noProof/>
        </w:rPr>
        <w:t>(</w:t>
      </w:r>
      <w:hyperlink w:anchor="_ENREF_15" w:tooltip="Okuyemi, 2004 #81" w:history="1">
        <w:r>
          <w:rPr>
            <w:rFonts w:eastAsia="Calibri" w:cstheme="minorHAnsi"/>
            <w:noProof/>
          </w:rPr>
          <w:t>15</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found that “both groups [menthol and non-menthol smokers] did not differ in their lifetime number of quit attempts” menthol smokers reported more recent quit attempts compared to non-menthol smokers (12 vs. 24 days, respectively; p=0.047).</w:t>
      </w:r>
    </w:p>
    <w:p w14:paraId="5A07B34E" w14:textId="77777777" w:rsidR="007F0AE0" w:rsidRPr="001C32D8" w:rsidRDefault="007F0AE0" w:rsidP="007F0AE0">
      <w:pPr>
        <w:spacing w:after="120" w:line="240" w:lineRule="auto"/>
        <w:jc w:val="both"/>
        <w:rPr>
          <w:rFonts w:eastAsia="Calibri" w:cstheme="minorHAnsi"/>
        </w:rPr>
      </w:pPr>
      <w:r w:rsidRPr="001C32D8">
        <w:rPr>
          <w:rFonts w:eastAsia="Calibri" w:cstheme="minorHAnsi"/>
        </w:rPr>
        <w:t xml:space="preserve">In a cross-sectional study designed to compare puff volume and carbon monoxide absorption in men who smoke at least 15 CPD, Jarvik et al. </w:t>
      </w:r>
      <w:r w:rsidRPr="001C32D8">
        <w:rPr>
          <w:rFonts w:eastAsia="Calibri" w:cstheme="minorHAnsi"/>
        </w:rPr>
        <w:fldChar w:fldCharType="begin"/>
      </w:r>
      <w:r>
        <w:rPr>
          <w:rFonts w:eastAsia="Calibri" w:cstheme="minorHAnsi"/>
        </w:rPr>
        <w:instrText xml:space="preserve"> ADDIN EN.CITE &lt;EndNote&gt;&lt;Cite&gt;&lt;RecNum&gt;90&lt;/RecNum&gt;&lt;DisplayText&gt;(51)&lt;/DisplayText&gt;&lt;record&gt;&lt;rec-number&gt;90&lt;/rec-number&gt;&lt;foreign-keys&gt;&lt;key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1C32D8">
        <w:rPr>
          <w:rFonts w:eastAsia="Calibri" w:cstheme="minorHAnsi"/>
        </w:rPr>
        <w:fldChar w:fldCharType="separate"/>
      </w:r>
      <w:r>
        <w:rPr>
          <w:rFonts w:eastAsia="Calibri" w:cstheme="minorHAnsi"/>
          <w:noProof/>
        </w:rPr>
        <w:t>(</w:t>
      </w:r>
      <w:hyperlink w:anchor="_ENREF_51" w:tooltip="Jarvik, 1994 #90" w:history="1">
        <w:r>
          <w:rPr>
            <w:rFonts w:eastAsia="Calibri" w:cstheme="minorHAnsi"/>
            <w:noProof/>
          </w:rPr>
          <w:t>51</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found differences in the number of quit attempts. White menthol smokers reported having made nearly six times as many quit attempts than White non-menthol smokers (3.25 vs. 0.50). The reverse was found among Black men: Black menthol smokers reported six times fewer quit attempts than Black non-menthol smokers (0.40 vs. 3.40). This study was rated “poor” quality.</w:t>
      </w:r>
    </w:p>
    <w:p w14:paraId="74769F69" w14:textId="77777777" w:rsidR="007F0AE0" w:rsidRPr="00DE2832" w:rsidRDefault="007F0AE0" w:rsidP="007F0AE0">
      <w:pPr>
        <w:spacing w:after="120" w:line="240" w:lineRule="auto"/>
        <w:jc w:val="both"/>
        <w:rPr>
          <w:rFonts w:eastAsia="Calibri" w:cstheme="minorHAnsi"/>
          <w:b/>
        </w:rPr>
      </w:pPr>
      <w:r w:rsidRPr="001C32D8">
        <w:rPr>
          <w:rFonts w:eastAsia="Calibri" w:cstheme="minorHAnsi"/>
        </w:rPr>
        <w:lastRenderedPageBreak/>
        <w:t xml:space="preserve">In another older, small study by some of the same investigators as the Jarvik et al. </w:t>
      </w:r>
      <w:r w:rsidRPr="001C32D8">
        <w:rPr>
          <w:rFonts w:eastAsia="Calibri" w:cstheme="minorHAnsi"/>
        </w:rPr>
        <w:fldChar w:fldCharType="begin"/>
      </w:r>
      <w:r>
        <w:rPr>
          <w:rFonts w:eastAsia="Calibri" w:cstheme="minorHAnsi"/>
        </w:rPr>
        <w:instrText xml:space="preserve"> ADDIN EN.CITE &lt;EndNote&gt;&lt;Cite&gt;&lt;Author&gt;Jarvik&lt;/Author&gt;&lt;Year&gt;1994&lt;/Year&gt;&lt;RecNum&gt;90&lt;/RecNum&gt;&lt;DisplayText&gt;(51)&lt;/DisplayText&gt;&lt;record&gt;&lt;rec-number&gt;90&lt;/rec-number&gt;&lt;foreign-keys&gt;&lt;key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1C32D8">
        <w:rPr>
          <w:rFonts w:eastAsia="Calibri" w:cstheme="minorHAnsi"/>
        </w:rPr>
        <w:fldChar w:fldCharType="separate"/>
      </w:r>
      <w:r>
        <w:rPr>
          <w:rFonts w:eastAsia="Calibri" w:cstheme="minorHAnsi"/>
          <w:noProof/>
        </w:rPr>
        <w:t>(</w:t>
      </w:r>
      <w:hyperlink w:anchor="_ENREF_51" w:tooltip="Jarvik, 1994 #90" w:history="1">
        <w:r>
          <w:rPr>
            <w:rFonts w:eastAsia="Calibri" w:cstheme="minorHAnsi"/>
            <w:noProof/>
          </w:rPr>
          <w:t>51</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paper above, Miller et al. </w:t>
      </w:r>
      <w:r w:rsidRPr="001C32D8">
        <w:rPr>
          <w:rFonts w:eastAsia="Calibri" w:cstheme="minorHAnsi"/>
        </w:rPr>
        <w:fldChar w:fldCharType="begin"/>
      </w:r>
      <w:r>
        <w:rPr>
          <w:rFonts w:eastAsia="Calibri" w:cstheme="minorHAnsi"/>
        </w:rPr>
        <w:instrText xml:space="preserve"> ADDIN EN.CITE &lt;EndNote&gt;&lt;Cite&gt;&lt;RecNum&gt;91&lt;/RecNum&gt;&lt;DisplayText&gt;(16)&lt;/DisplayText&gt;&lt;record&gt;&lt;rec-number&gt;91&lt;/rec-number&gt;&lt;foreign-keys&gt;&lt;key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1C32D8">
        <w:rPr>
          <w:rFonts w:eastAsia="Calibri" w:cstheme="minorHAnsi"/>
        </w:rPr>
        <w:fldChar w:fldCharType="separate"/>
      </w:r>
      <w:r>
        <w:rPr>
          <w:rFonts w:eastAsia="Calibri" w:cstheme="minorHAnsi"/>
          <w:noProof/>
        </w:rPr>
        <w:t>(</w:t>
      </w:r>
      <w:hyperlink w:anchor="_ENREF_16" w:tooltip="Miller, 1994 #91" w:history="1">
        <w:r>
          <w:rPr>
            <w:rFonts w:eastAsia="Calibri" w:cstheme="minorHAnsi"/>
            <w:noProof/>
          </w:rPr>
          <w:t>16</w:t>
        </w:r>
      </w:hyperlink>
      <w:r>
        <w:rPr>
          <w:rFonts w:eastAsia="Calibri" w:cstheme="minorHAnsi"/>
          <w:noProof/>
        </w:rPr>
        <w:t>)</w:t>
      </w:r>
      <w:r w:rsidRPr="001C32D8">
        <w:rPr>
          <w:rFonts w:eastAsia="Calibri" w:cstheme="minorHAnsi"/>
        </w:rPr>
        <w:fldChar w:fldCharType="end"/>
      </w:r>
      <w:r w:rsidRPr="001C32D8">
        <w:rPr>
          <w:rFonts w:eastAsia="Calibri" w:cstheme="minorHAnsi"/>
        </w:rPr>
        <w:t xml:space="preserve"> recruited Black male smokers from an inpatient substance abuse ward at a Veterans Administration Medical Center (N=12). They reported fewer quit attempts (definition not reported) per person among Black menthol smokers (Menthol: 1.50, SD=2.07; Non-menthol: 4.16, SD=4.57).</w:t>
      </w:r>
    </w:p>
    <w:p w14:paraId="05CE6474" w14:textId="77777777" w:rsidR="007F0AE0" w:rsidRPr="00DE2832" w:rsidRDefault="007F0AE0" w:rsidP="007F0AE0">
      <w:pPr>
        <w:spacing w:after="120" w:line="240" w:lineRule="auto"/>
        <w:jc w:val="both"/>
        <w:outlineLvl w:val="1"/>
        <w:rPr>
          <w:rFonts w:eastAsia="Calibri" w:cstheme="minorHAnsi"/>
          <w:b/>
        </w:rPr>
      </w:pPr>
      <w:r w:rsidRPr="00DE2832">
        <w:rPr>
          <w:rFonts w:eastAsia="Calibri" w:cstheme="minorHAnsi"/>
          <w:b/>
        </w:rPr>
        <w:t>Unadjusted Subgroup Analyses</w:t>
      </w:r>
    </w:p>
    <w:p w14:paraId="59F0596E" w14:textId="77777777" w:rsidR="007F0AE0" w:rsidRPr="00DE2832" w:rsidRDefault="007F0AE0" w:rsidP="007F0AE0">
      <w:pPr>
        <w:spacing w:after="120" w:line="240" w:lineRule="auto"/>
        <w:jc w:val="both"/>
        <w:outlineLvl w:val="2"/>
        <w:rPr>
          <w:rFonts w:eastAsia="Calibri" w:cstheme="minorHAnsi"/>
          <w:i/>
          <w:u w:val="single"/>
        </w:rPr>
      </w:pPr>
      <w:r w:rsidRPr="00DE2832">
        <w:rPr>
          <w:rFonts w:eastAsia="Calibri" w:cstheme="minorHAnsi"/>
          <w:i/>
          <w:u w:val="single"/>
        </w:rPr>
        <w:t>Unadjusted Results: Cessation Measures by Race/Ethnicity</w:t>
      </w:r>
    </w:p>
    <w:p w14:paraId="74A3C000"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Whites</w:t>
      </w:r>
    </w:p>
    <w:p w14:paraId="4909C78C" w14:textId="77777777" w:rsidR="007F0AE0" w:rsidRPr="00213032" w:rsidRDefault="007F0AE0" w:rsidP="007F0AE0">
      <w:pPr>
        <w:spacing w:after="120" w:line="240" w:lineRule="auto"/>
        <w:jc w:val="both"/>
        <w:rPr>
          <w:rFonts w:eastAsia="Calibri" w:cstheme="minorHAnsi"/>
          <w:i/>
        </w:rPr>
      </w:pPr>
      <w:r w:rsidRPr="00997401">
        <w:rPr>
          <w:rFonts w:eastAsia="Calibri" w:cstheme="minorHAnsi"/>
          <w:i/>
        </w:rPr>
        <w:t>Unadjusted results for White smokers were reported in s</w:t>
      </w:r>
      <w:r>
        <w:rPr>
          <w:rFonts w:eastAsia="Calibri" w:cstheme="minorHAnsi"/>
          <w:i/>
        </w:rPr>
        <w:t>ix</w:t>
      </w:r>
      <w:r w:rsidRPr="00997401">
        <w:rPr>
          <w:rFonts w:eastAsia="Calibri" w:cstheme="minorHAnsi"/>
          <w:i/>
        </w:rPr>
        <w:t xml:space="preserve"> studies</w:t>
      </w:r>
      <w:r>
        <w:rPr>
          <w:rFonts w:eastAsia="Calibri" w:cstheme="minorHAnsi"/>
          <w:i/>
        </w:rPr>
        <w:t xml:space="preserve"> </w:t>
      </w:r>
      <w:r>
        <w:rPr>
          <w:rFonts w:eastAsia="Calibri" w:cstheme="minorHAnsi"/>
          <w:i/>
        </w:rPr>
        <w:fldChar w:fldCharType="begin">
          <w:fldData xml:space="preserve">PEVuZE5vdGU+PENpdGU+PEF1dGhvcj5KYXJ2aWs8L0F1dGhvcj48WWVhcj4xOTk0PC9ZZWFyPjxS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</w:fldData>
        </w:fldChar>
      </w:r>
      <w:r>
        <w:rPr>
          <w:rFonts w:eastAsia="Calibri" w:cstheme="minorHAnsi"/>
          <w:i/>
        </w:rPr>
        <w:instrText xml:space="preserve"> ADDIN EN.CITE </w:instrText>
      </w:r>
      <w:r>
        <w:rPr>
          <w:rFonts w:eastAsia="Calibri" w:cstheme="minorHAnsi"/>
          <w:i/>
        </w:rPr>
        <w:fldChar w:fldCharType="begin">
          <w:fldData xml:space="preserve">PEVuZE5vdGU+PENpdGU+PEF1dGhvcj5KYXJ2aWs8L0F1dGhvcj48WWVhcj4xOTk0PC9ZZWFyPjxS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7" w:tooltip="Rosenbloom, 2012 #32" w:history="1">
        <w:r>
          <w:rPr>
            <w:rFonts w:eastAsia="Calibri" w:cstheme="minorHAnsi"/>
            <w:i/>
            <w:noProof/>
          </w:rPr>
          <w:t>17</w:t>
        </w:r>
      </w:hyperlink>
      <w:r>
        <w:rPr>
          <w:rFonts w:eastAsia="Calibri" w:cstheme="minorHAnsi"/>
          <w:i/>
          <w:noProof/>
        </w:rPr>
        <w:t xml:space="preserve">, </w:t>
      </w:r>
      <w:hyperlink w:anchor="_ENREF_22" w:tooltip="Mendiondo, 2010 #60" w:history="1">
        <w:r>
          <w:rPr>
            <w:rFonts w:eastAsia="Calibri" w:cstheme="minorHAnsi"/>
            <w:i/>
            <w:noProof/>
          </w:rPr>
          <w:t>22</w:t>
        </w:r>
      </w:hyperlink>
      <w:r>
        <w:rPr>
          <w:rFonts w:eastAsia="Calibri" w:cstheme="minorHAnsi"/>
          <w:i/>
          <w:noProof/>
        </w:rPr>
        <w:t xml:space="preserve">, </w:t>
      </w:r>
      <w:hyperlink w:anchor="_ENREF_32" w:tooltip="Stahre, 2010 #57" w:history="1">
        <w:r>
          <w:rPr>
            <w:rFonts w:eastAsia="Calibri" w:cstheme="minorHAnsi"/>
            <w:i/>
            <w:noProof/>
          </w:rPr>
          <w:t>32</w:t>
        </w:r>
      </w:hyperlink>
      <w:r>
        <w:rPr>
          <w:rFonts w:eastAsia="Calibri" w:cstheme="minorHAnsi"/>
          <w:i/>
          <w:noProof/>
        </w:rPr>
        <w:t xml:space="preserve">, </w:t>
      </w:r>
      <w:hyperlink w:anchor="_ENREF_51" w:tooltip="Jarvik, 1994 #90" w:history="1">
        <w:r>
          <w:rPr>
            <w:rFonts w:eastAsia="Calibri" w:cstheme="minorHAnsi"/>
            <w:i/>
            <w:noProof/>
          </w:rPr>
          <w:t>51</w:t>
        </w:r>
      </w:hyperlink>
      <w:r>
        <w:rPr>
          <w:rFonts w:eastAsia="Calibri" w:cstheme="minorHAnsi"/>
          <w:i/>
          <w:noProof/>
        </w:rPr>
        <w:t xml:space="preserve">, </w:t>
      </w:r>
      <w:hyperlink w:anchor="_ENREF_54" w:tooltip="Sulsky, 2014 #15" w:history="1">
        <w:r>
          <w:rPr>
            <w:rFonts w:eastAsia="Calibri" w:cstheme="minorHAnsi"/>
            <w:i/>
            <w:noProof/>
          </w:rPr>
          <w:t>54</w:t>
        </w:r>
      </w:hyperlink>
      <w:r>
        <w:rPr>
          <w:rFonts w:eastAsia="Calibri" w:cstheme="minorHAnsi"/>
          <w:i/>
          <w:noProof/>
        </w:rPr>
        <w:t xml:space="preserve">, </w:t>
      </w:r>
      <w:hyperlink w:anchor="_ENREF_72" w:tooltip="Kanyuch, 2011 #49" w:history="1">
        <w:r>
          <w:rPr>
            <w:rFonts w:eastAsia="Calibri" w:cstheme="minorHAnsi"/>
            <w:i/>
            <w:noProof/>
          </w:rPr>
          <w:t>72</w:t>
        </w:r>
      </w:hyperlink>
      <w:r>
        <w:rPr>
          <w:rFonts w:eastAsia="Calibri" w:cstheme="minorHAnsi"/>
          <w:i/>
          <w:noProof/>
        </w:rPr>
        <w:t>)</w:t>
      </w:r>
      <w:r>
        <w:rPr>
          <w:rFonts w:eastAsia="Calibri" w:cstheme="minorHAnsi"/>
          <w:i/>
        </w:rPr>
        <w:fldChar w:fldCharType="end"/>
      </w:r>
      <w:r>
        <w:rPr>
          <w:rFonts w:cstheme="minorHAnsi"/>
          <w:i/>
          <w:noProof/>
          <w:color w:val="000000" w:themeColor="text1"/>
        </w:rPr>
        <w:t>, and were inconsistent.</w:t>
      </w:r>
      <w:r w:rsidRPr="005C5519">
        <w:rPr>
          <w:rFonts w:eastAsia="Calibri" w:cstheme="minorHAnsi"/>
          <w:i/>
        </w:rPr>
        <w:t xml:space="preserve"> </w:t>
      </w:r>
      <w:r w:rsidRPr="00213032">
        <w:rPr>
          <w:rFonts w:eastAsia="Calibri" w:cstheme="minorHAnsi"/>
          <w:i/>
        </w:rPr>
        <w:t xml:space="preserve">One study reported that mean time since quitting was </w:t>
      </w:r>
      <w:r>
        <w:rPr>
          <w:rFonts w:eastAsia="Calibri" w:cstheme="minorHAnsi"/>
          <w:i/>
        </w:rPr>
        <w:t>statistically significantly</w:t>
      </w:r>
      <w:r w:rsidRPr="00213032">
        <w:rPr>
          <w:rFonts w:eastAsia="Calibri" w:cstheme="minorHAnsi"/>
          <w:i/>
        </w:rPr>
        <w:t xml:space="preserve"> shorter for White menthol smokers, compared to White non-menthol smoker. One study reported a very slightly higher cessation rate among White menthol smokers, although significance wasn’t reported. Three studies reported non-significant differences between menthol and non-menthol smokers, in terms of longest reported quit time (less than 90 days), number of quit attempts, and odds of being current versus former smoker.</w:t>
      </w:r>
    </w:p>
    <w:p w14:paraId="17390FF7" w14:textId="77777777" w:rsidR="007F0AE0" w:rsidRDefault="007F0AE0" w:rsidP="007F0AE0">
      <w:pPr>
        <w:spacing w:after="120" w:line="240" w:lineRule="auto"/>
        <w:jc w:val="both"/>
        <w:rPr>
          <w:rFonts w:eastAsia="Calibri" w:cstheme="minorHAnsi"/>
          <w:i/>
        </w:rPr>
      </w:pPr>
      <w:r w:rsidRPr="00213032">
        <w:rPr>
          <w:rFonts w:eastAsia="Calibri" w:cstheme="minorHAnsi"/>
          <w:i/>
        </w:rPr>
        <w:t xml:space="preserve">One study reported mixed results, depending on the data set used. Using data from the 2005 NHIS-CCS, no </w:t>
      </w:r>
      <w:r>
        <w:rPr>
          <w:rFonts w:eastAsia="Calibri" w:cstheme="minorHAnsi"/>
          <w:i/>
        </w:rPr>
        <w:t xml:space="preserve">differences </w:t>
      </w:r>
      <w:r w:rsidRPr="00213032">
        <w:rPr>
          <w:rFonts w:eastAsia="Calibri" w:cstheme="minorHAnsi"/>
          <w:i/>
        </w:rPr>
        <w:t>w</w:t>
      </w:r>
      <w:r>
        <w:rPr>
          <w:rFonts w:eastAsia="Calibri" w:cstheme="minorHAnsi"/>
          <w:i/>
        </w:rPr>
        <w:t>er</w:t>
      </w:r>
      <w:r w:rsidRPr="00213032">
        <w:rPr>
          <w:rFonts w:eastAsia="Calibri" w:cstheme="minorHAnsi"/>
          <w:i/>
        </w:rPr>
        <w:t xml:space="preserve">e reported for regular and daily menthol cigarette use and being a long-term former versus current smoker; similarly, no associations between menthol cigarette use and being a short-term former versus current regular or daily smoker were reported. Using data from the 2010-2011 TUS-CPS, White menthol smokers were </w:t>
      </w:r>
      <w:r>
        <w:rPr>
          <w:rFonts w:eastAsia="Calibri" w:cstheme="minorHAnsi"/>
          <w:i/>
        </w:rPr>
        <w:t>statistically significantly</w:t>
      </w:r>
      <w:r w:rsidRPr="00213032">
        <w:rPr>
          <w:rFonts w:eastAsia="Calibri" w:cstheme="minorHAnsi"/>
          <w:i/>
        </w:rPr>
        <w:t xml:space="preserve"> less likely to be short-term former versus current regular or daily smokers, as well as short-term former versus current regular or daily smokers</w:t>
      </w:r>
      <w:r>
        <w:rPr>
          <w:rFonts w:eastAsia="Calibri" w:cstheme="minorHAnsi"/>
          <w:i/>
        </w:rPr>
        <w:t>.</w:t>
      </w:r>
    </w:p>
    <w:p w14:paraId="032642DD" w14:textId="77777777" w:rsidR="007F0AE0" w:rsidRPr="005E2C9E" w:rsidRDefault="007F0AE0" w:rsidP="007F0AE0">
      <w:pPr>
        <w:spacing w:after="120" w:line="240" w:lineRule="auto"/>
        <w:jc w:val="both"/>
        <w:rPr>
          <w:rFonts w:eastAsia="Calibri" w:cstheme="minorHAnsi"/>
        </w:rPr>
      </w:pPr>
      <w:r w:rsidRPr="00DE2832">
        <w:rPr>
          <w:rFonts w:eastAsia="Calibri" w:cstheme="minorHAnsi"/>
        </w:rPr>
        <w:t xml:space="preserve">In a cross-sectional analysis of female smokers, Rosenbloom et al. </w:t>
      </w:r>
      <w:r w:rsidRPr="00DE2832">
        <w:rPr>
          <w:rFonts w:eastAsia="Calibri" w:cstheme="minorHAnsi"/>
        </w:rPr>
        <w:fldChar w:fldCharType="begin"/>
      </w:r>
      <w:r>
        <w:rPr>
          <w:rFonts w:eastAsia="Calibri" w:cstheme="minorHAnsi"/>
        </w:rPr>
        <w:instrText xml:space="preserve"> ADDIN EN.CITE &lt;EndNote&gt;&lt;Cite&gt;&lt;RecNum&gt;32&lt;/RecNum&gt;&lt;DisplayText&gt;(17)&lt;/DisplayText&gt;&lt;record&gt;&lt;rec-number&gt;32&lt;/rec-number&gt;&lt;foreign-keys&gt;&lt;key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DE2832">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reported the percentages of women who reported being unable to have quit for at least 90 days. They found that fewer White menthol smokers, compared to White non-menthol smokers, reported longest quit time less than 90 days but the difference was not significant (46.6% vs. 53.7%, respectively; p=0.11). They also reported that White menthol and non-menthol smokers reported a nearly identical number of quit attempts (definition not reported; </w:t>
      </w:r>
      <w:r>
        <w:rPr>
          <w:rFonts w:eastAsia="Calibri" w:cstheme="minorHAnsi"/>
        </w:rPr>
        <w:t>3.2 vs. 3.3; p=0.98</w:t>
      </w:r>
      <w:r w:rsidRPr="005E2C9E">
        <w:rPr>
          <w:rFonts w:eastAsia="Calibri" w:cstheme="minorHAnsi"/>
        </w:rPr>
        <w:t xml:space="preserve">). </w:t>
      </w:r>
    </w:p>
    <w:p w14:paraId="6DDFBA60" w14:textId="77777777" w:rsidR="007F0AE0" w:rsidRPr="006F399A" w:rsidRDefault="007F0AE0" w:rsidP="007F0AE0">
      <w:pPr>
        <w:spacing w:after="120" w:line="240" w:lineRule="auto"/>
        <w:jc w:val="both"/>
        <w:rPr>
          <w:rFonts w:eastAsia="Calibri" w:cstheme="minorHAnsi"/>
        </w:rPr>
      </w:pPr>
      <w:r w:rsidRPr="00DE2832">
        <w:rPr>
          <w:rFonts w:eastAsia="Calibri" w:cstheme="minorHAnsi"/>
        </w:rPr>
        <w:t xml:space="preserve">Mendiondo et al. </w:t>
      </w:r>
      <w:r w:rsidRPr="00DE2832">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DE2832">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analyzed data from White former smokers using the 2005 NHIS-CCS. They found that the mean time since quitting was </w:t>
      </w:r>
      <w:r>
        <w:rPr>
          <w:rFonts w:eastAsia="Calibri" w:cstheme="minorHAnsi"/>
        </w:rPr>
        <w:t>statistically significantly</w:t>
      </w:r>
      <w:r w:rsidRPr="00DE2832">
        <w:rPr>
          <w:rFonts w:eastAsia="Calibri" w:cstheme="minorHAnsi"/>
        </w:rPr>
        <w:t xml:space="preserve"> shorter for White menthol smokers (16.6 years) than White non-menthol smokers (18.5 years; p=0.002). Of all White former smokers, 21.0 percent </w:t>
      </w:r>
      <w:r w:rsidRPr="006F399A">
        <w:rPr>
          <w:rFonts w:eastAsia="Calibri" w:cstheme="minorHAnsi"/>
        </w:rPr>
        <w:t>smoked menthol cigarettes before quitting, and 79.0 percent smoked non-menthol cigarettes.</w:t>
      </w:r>
    </w:p>
    <w:p w14:paraId="3AFDE785" w14:textId="77777777" w:rsidR="007F0AE0" w:rsidRPr="006F399A" w:rsidRDefault="007F0AE0" w:rsidP="007F0AE0">
      <w:pPr>
        <w:spacing w:after="120" w:line="240" w:lineRule="auto"/>
        <w:jc w:val="both"/>
        <w:rPr>
          <w:rFonts w:cstheme="minorHAnsi"/>
          <w:color w:val="000000" w:themeColor="text1"/>
        </w:rPr>
      </w:pPr>
      <w:r w:rsidRPr="006F399A">
        <w:rPr>
          <w:rFonts w:cstheme="minorHAnsi"/>
          <w:color w:val="000000" w:themeColor="text1"/>
        </w:rPr>
        <w:t xml:space="preserve">Kanyuch et al. </w:t>
      </w:r>
      <w:r w:rsidRPr="006F399A">
        <w:rPr>
          <w:rFonts w:cstheme="minorHAnsi"/>
          <w:color w:val="000000" w:themeColor="text1"/>
        </w:rPr>
        <w:fldChar w:fldCharType="begin"/>
      </w:r>
      <w:r>
        <w:rPr>
          <w:rFonts w:cstheme="minorHAnsi"/>
          <w:color w:val="000000" w:themeColor="text1"/>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6F399A">
        <w:rPr>
          <w:rFonts w:cstheme="minorHAnsi"/>
          <w:color w:val="000000" w:themeColor="text1"/>
        </w:rPr>
        <w:fldChar w:fldCharType="separate"/>
      </w:r>
      <w:r>
        <w:rPr>
          <w:rFonts w:cstheme="minorHAnsi"/>
          <w:noProof/>
          <w:color w:val="000000" w:themeColor="text1"/>
        </w:rPr>
        <w:t>(</w:t>
      </w:r>
      <w:hyperlink w:anchor="_ENREF_72" w:tooltip="Kanyuch, 2011 #49" w:history="1">
        <w:r>
          <w:rPr>
            <w:rFonts w:cstheme="minorHAnsi"/>
            <w:noProof/>
            <w:color w:val="000000" w:themeColor="text1"/>
          </w:rPr>
          <w:t>72</w:t>
        </w:r>
      </w:hyperlink>
      <w:r>
        <w:rPr>
          <w:rFonts w:cstheme="minorHAnsi"/>
          <w:noProof/>
          <w:color w:val="000000" w:themeColor="text1"/>
        </w:rPr>
        <w:t>)</w:t>
      </w:r>
      <w:r w:rsidRPr="006F399A">
        <w:rPr>
          <w:rFonts w:cstheme="minorHAnsi"/>
          <w:color w:val="000000" w:themeColor="text1"/>
        </w:rPr>
        <w:fldChar w:fldCharType="end"/>
      </w:r>
      <w:r w:rsidRPr="006F399A">
        <w:rPr>
          <w:rFonts w:cstheme="minorHAnsi"/>
          <w:color w:val="000000" w:themeColor="text1"/>
        </w:rPr>
        <w:t xml:space="preserve"> analyzed data from the COPDGene cohort—a study conducted in 21 centers across the United States designed to identify genetic factors associated with chronic obstructive pulmonary disease (COPD). Due to limited information on study methodology, particularly the lack of a definition of “current” or “persistent” smoking, this study was rated “poor” quality. Subgroup analysis of White participants resulted in a non-significant difference between menthol and non-menthol smokers, in terms of being a current (rather than former) smoke</w:t>
      </w:r>
      <w:r>
        <w:rPr>
          <w:rFonts w:cstheme="minorHAnsi"/>
          <w:color w:val="000000" w:themeColor="text1"/>
        </w:rPr>
        <w:t>r</w:t>
      </w:r>
      <w:r w:rsidRPr="006F399A">
        <w:rPr>
          <w:rFonts w:cstheme="minorHAnsi"/>
          <w:color w:val="000000" w:themeColor="text1"/>
        </w:rPr>
        <w:t xml:space="preserve"> (OR=1.14, 95% CI: 0.40, 3.25).</w:t>
      </w:r>
    </w:p>
    <w:p w14:paraId="39A7A06D" w14:textId="77777777" w:rsidR="007F0AE0" w:rsidRDefault="007F0AE0" w:rsidP="007F0AE0">
      <w:pPr>
        <w:spacing w:after="120" w:line="240" w:lineRule="auto"/>
        <w:jc w:val="both"/>
        <w:rPr>
          <w:rFonts w:eastAsia="Calibri" w:cstheme="minorHAnsi"/>
        </w:rPr>
      </w:pPr>
      <w:r w:rsidRPr="006F399A">
        <w:rPr>
          <w:rFonts w:eastAsia="Calibri" w:cstheme="minorHAnsi"/>
        </w:rPr>
        <w:t xml:space="preserve">In 2014, Sulsky et al. </w:t>
      </w:r>
      <w:r w:rsidRPr="006F399A">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6F399A">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6F399A">
        <w:rPr>
          <w:rFonts w:eastAsia="Calibri" w:cstheme="minorHAnsi"/>
        </w:rPr>
        <w:fldChar w:fldCharType="end"/>
      </w:r>
      <w:r w:rsidRPr="006F399A">
        <w:rPr>
          <w:rFonts w:eastAsia="Calibri" w:cstheme="minorHAnsi"/>
        </w:rPr>
        <w:t xml:space="preserve"> analyzed data from the 2005 and 2010 NHIS and the 2010-2011 TUS-CPS, performing subgroup analysis in which they reported a number of odds ratios, using various adjustment models (most of which were not adequately adjusted for age, race</w:t>
      </w:r>
      <w:r>
        <w:rPr>
          <w:rFonts w:eastAsia="Calibri" w:cstheme="minorHAnsi"/>
        </w:rPr>
        <w:t xml:space="preserve">/ethnicity, and gender). Using data from the </w:t>
      </w:r>
      <w:r w:rsidRPr="00830244">
        <w:rPr>
          <w:rFonts w:eastAsia="Calibri" w:cstheme="minorHAnsi"/>
        </w:rPr>
        <w:t>2005 and 2010 NHIS</w:t>
      </w:r>
      <w:r>
        <w:rPr>
          <w:rFonts w:eastAsia="Calibri" w:cstheme="minorHAnsi"/>
        </w:rPr>
        <w:t>, f</w:t>
      </w:r>
      <w:r w:rsidRPr="003D0DDE">
        <w:rPr>
          <w:rFonts w:eastAsia="Calibri" w:cstheme="minorHAnsi"/>
        </w:rPr>
        <w:t xml:space="preserve">or White smokers (i.e., regular or daily smokers) </w:t>
      </w:r>
      <w:r>
        <w:rPr>
          <w:rFonts w:eastAsia="Calibri" w:cstheme="minorHAnsi"/>
        </w:rPr>
        <w:t>no differences</w:t>
      </w:r>
      <w:r w:rsidRPr="003D0DDE">
        <w:rPr>
          <w:rFonts w:eastAsia="Calibri" w:cstheme="minorHAnsi"/>
        </w:rPr>
        <w:t xml:space="preserve"> for menthol cigarette use and being a long-term former vers</w:t>
      </w:r>
      <w:r>
        <w:rPr>
          <w:rFonts w:eastAsia="Calibri" w:cstheme="minorHAnsi"/>
        </w:rPr>
        <w:t>us current smoker were reported; similarly, no difference</w:t>
      </w:r>
      <w:r w:rsidRPr="003D0DDE">
        <w:rPr>
          <w:rFonts w:eastAsia="Calibri" w:cstheme="minorHAnsi"/>
        </w:rPr>
        <w:t xml:space="preserve">s between menthol cigarette use and being a short-term former versus current regular or daily smoker were reported for </w:t>
      </w:r>
      <w:r>
        <w:rPr>
          <w:rFonts w:eastAsia="Calibri" w:cstheme="minorHAnsi"/>
        </w:rPr>
        <w:t xml:space="preserve">White smokers. Using data from the </w:t>
      </w:r>
      <w:r w:rsidRPr="00830244">
        <w:rPr>
          <w:rFonts w:eastAsia="Calibri" w:cstheme="minorHAnsi"/>
        </w:rPr>
        <w:t>2010-2011 TUS-CPS</w:t>
      </w:r>
      <w:r>
        <w:rPr>
          <w:rFonts w:eastAsia="Calibri" w:cstheme="minorHAnsi"/>
        </w:rPr>
        <w:t xml:space="preserve">, </w:t>
      </w:r>
      <w:r w:rsidRPr="003D0DDE">
        <w:rPr>
          <w:rFonts w:eastAsia="Calibri" w:cstheme="minorHAnsi"/>
        </w:rPr>
        <w:t xml:space="preserve">White menthol smokers were </w:t>
      </w:r>
      <w:r>
        <w:rPr>
          <w:rFonts w:eastAsia="Calibri" w:cstheme="minorHAnsi"/>
        </w:rPr>
        <w:t>statistically significantly</w:t>
      </w:r>
      <w:r w:rsidRPr="003D0DDE">
        <w:rPr>
          <w:rFonts w:eastAsia="Calibri" w:cstheme="minorHAnsi"/>
        </w:rPr>
        <w:t xml:space="preserve"> less likely to be short-term former versus current regular or daily smokers</w:t>
      </w:r>
      <w:r>
        <w:rPr>
          <w:rFonts w:eastAsia="Calibri" w:cstheme="minorHAnsi"/>
        </w:rPr>
        <w:t>, across all models.</w:t>
      </w:r>
    </w:p>
    <w:p w14:paraId="6EC23788"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lastRenderedPageBreak/>
        <w:t xml:space="preserve">Stahre et al. </w:t>
      </w:r>
      <w:r w:rsidRPr="00DE2832">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DE2832">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analyzed data from current and former smokers age 18 and older in the 2005 NHIS-CCS. The quit ratio was calculated as the number of former smokers divided by the sum of the number of current and former smokers). Among White participants, menthol smokers had a slightly higher rate of cessation, compared with non-menthol smokers (52% vs. 50%; significance not reported). </w:t>
      </w:r>
    </w:p>
    <w:p w14:paraId="2BD9569E"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an older and very small cross-sectional study (N=18), designed to compare puff volume and carbon monoxide absorption in men who smoke at least 15 CPD, Jarvik et al. </w:t>
      </w:r>
      <w:r w:rsidRPr="00DE2832">
        <w:rPr>
          <w:rFonts w:eastAsia="Calibri" w:cstheme="minorHAnsi"/>
        </w:rPr>
        <w:fldChar w:fldCharType="begin"/>
      </w:r>
      <w:r>
        <w:rPr>
          <w:rFonts w:eastAsia="Calibri" w:cstheme="minorHAnsi"/>
        </w:rPr>
        <w:instrText xml:space="preserve"> ADDIN EN.CITE &lt;EndNote&gt;&lt;Cite&gt;&lt;RecNum&gt;90&lt;/RecNum&gt;&lt;DisplayText&gt;(51)&lt;/DisplayText&gt;&lt;record&gt;&lt;rec-number&gt;90&lt;/rec-number&gt;&lt;foreign-keys&gt;&lt;key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DE2832">
        <w:rPr>
          <w:rFonts w:eastAsia="Calibri" w:cstheme="minorHAnsi"/>
        </w:rPr>
        <w:fldChar w:fldCharType="separate"/>
      </w:r>
      <w:r>
        <w:rPr>
          <w:rFonts w:eastAsia="Calibri" w:cstheme="minorHAnsi"/>
          <w:noProof/>
        </w:rPr>
        <w:t>(</w:t>
      </w:r>
      <w:hyperlink w:anchor="_ENREF_51" w:tooltip="Jarvik, 1994 #90" w:history="1">
        <w:r>
          <w:rPr>
            <w:rFonts w:eastAsia="Calibri" w:cstheme="minorHAnsi"/>
            <w:noProof/>
          </w:rPr>
          <w:t>51</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found no difference between White menthol and non-menthol smokers and the mean number of quit attempts (3.25 vs. 0.50, respectively). </w:t>
      </w:r>
    </w:p>
    <w:p w14:paraId="4BDCA8C4"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 xml:space="preserve">Blacks </w:t>
      </w:r>
    </w:p>
    <w:p w14:paraId="6B4337F9" w14:textId="77777777" w:rsidR="007F0AE0" w:rsidRDefault="007F0AE0" w:rsidP="007F0AE0">
      <w:pPr>
        <w:spacing w:after="120" w:line="240" w:lineRule="auto"/>
        <w:jc w:val="both"/>
        <w:rPr>
          <w:rFonts w:eastAsia="Calibri" w:cstheme="minorHAnsi"/>
          <w:i/>
        </w:rPr>
      </w:pPr>
      <w:r>
        <w:rPr>
          <w:rFonts w:eastAsia="Calibri" w:cstheme="minorHAnsi"/>
          <w:i/>
        </w:rPr>
        <w:t xml:space="preserve">Unadjusted results for Black smokers were reported in fifteen studies (from eighteen references), yielding mixed results </w:t>
      </w:r>
      <w:r>
        <w:rPr>
          <w:rFonts w:eastAsia="Calibri" w:cstheme="minorHAnsi"/>
          <w:i/>
        </w:rPr>
        <w:fldChar w:fldCharType="begin">
          <w:fldData xml:space="preserve">PEVuZE5vdGU+PENpdGU+PEF1dGhvcj5CZXJnPC9BdXRob3I+PFllYXI+MjAxMDwvWWVhcj48UmVj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</w:fldData>
        </w:fldChar>
      </w:r>
      <w:r>
        <w:rPr>
          <w:rFonts w:eastAsia="Calibri" w:cstheme="minorHAnsi"/>
          <w:i/>
        </w:rPr>
        <w:instrText xml:space="preserve"> ADDIN EN.CITE </w:instrText>
      </w:r>
      <w:r>
        <w:rPr>
          <w:rFonts w:eastAsia="Calibri" w:cstheme="minorHAnsi"/>
          <w:i/>
        </w:rPr>
        <w:fldChar w:fldCharType="begin">
          <w:fldData xml:space="preserve">PEVuZE5vdGU+PENpdGU+PEF1dGhvcj5CZXJnPC9BdXRob3I+PFllYXI+MjAxMDwvWWVhcj48UmVj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5" w:tooltip="Okuyemi, 2004 #81" w:history="1">
        <w:r>
          <w:rPr>
            <w:rFonts w:eastAsia="Calibri" w:cstheme="minorHAnsi"/>
            <w:i/>
            <w:noProof/>
          </w:rPr>
          <w:t>15-17</w:t>
        </w:r>
      </w:hyperlink>
      <w:r>
        <w:rPr>
          <w:rFonts w:eastAsia="Calibri" w:cstheme="minorHAnsi"/>
          <w:i/>
          <w:noProof/>
        </w:rPr>
        <w:t xml:space="preserve">, </w:t>
      </w:r>
      <w:hyperlink w:anchor="_ENREF_22" w:tooltip="Mendiondo, 2010 #60" w:history="1">
        <w:r>
          <w:rPr>
            <w:rFonts w:eastAsia="Calibri" w:cstheme="minorHAnsi"/>
            <w:i/>
            <w:noProof/>
          </w:rPr>
          <w:t>22</w:t>
        </w:r>
      </w:hyperlink>
      <w:r>
        <w:rPr>
          <w:rFonts w:eastAsia="Calibri" w:cstheme="minorHAnsi"/>
          <w:i/>
          <w:noProof/>
        </w:rPr>
        <w:t xml:space="preserve">, </w:t>
      </w:r>
      <w:hyperlink w:anchor="_ENREF_24" w:tooltip="Okuyemi, 2007 #74" w:history="1">
        <w:r>
          <w:rPr>
            <w:rFonts w:eastAsia="Calibri" w:cstheme="minorHAnsi"/>
            <w:i/>
            <w:noProof/>
          </w:rPr>
          <w:t>24</w:t>
        </w:r>
      </w:hyperlink>
      <w:r>
        <w:rPr>
          <w:rFonts w:eastAsia="Calibri" w:cstheme="minorHAnsi"/>
          <w:i/>
          <w:noProof/>
        </w:rPr>
        <w:t xml:space="preserve">, </w:t>
      </w:r>
      <w:hyperlink w:anchor="_ENREF_26" w:tooltip="Faseru, 2011 #40" w:history="1">
        <w:r>
          <w:rPr>
            <w:rFonts w:eastAsia="Calibri" w:cstheme="minorHAnsi"/>
            <w:i/>
            <w:noProof/>
          </w:rPr>
          <w:t>26</w:t>
        </w:r>
      </w:hyperlink>
      <w:r>
        <w:rPr>
          <w:rFonts w:eastAsia="Calibri" w:cstheme="minorHAnsi"/>
          <w:i/>
          <w:noProof/>
        </w:rPr>
        <w:t xml:space="preserve">, </w:t>
      </w:r>
      <w:hyperlink w:anchor="_ENREF_27" w:tooltip="Faseru, 2013 #29" w:history="1">
        <w:r>
          <w:rPr>
            <w:rFonts w:eastAsia="Calibri" w:cstheme="minorHAnsi"/>
            <w:i/>
            <w:noProof/>
          </w:rPr>
          <w:t>27</w:t>
        </w:r>
      </w:hyperlink>
      <w:r>
        <w:rPr>
          <w:rFonts w:eastAsia="Calibri" w:cstheme="minorHAnsi"/>
          <w:i/>
          <w:noProof/>
        </w:rPr>
        <w:t xml:space="preserve">, </w:t>
      </w:r>
      <w:hyperlink w:anchor="_ENREF_32" w:tooltip="Stahre, 2010 #57" w:history="1">
        <w:r>
          <w:rPr>
            <w:rFonts w:eastAsia="Calibri" w:cstheme="minorHAnsi"/>
            <w:i/>
            <w:noProof/>
          </w:rPr>
          <w:t>32</w:t>
        </w:r>
      </w:hyperlink>
      <w:r>
        <w:rPr>
          <w:rFonts w:eastAsia="Calibri" w:cstheme="minorHAnsi"/>
          <w:i/>
          <w:noProof/>
        </w:rPr>
        <w:t xml:space="preserve">, </w:t>
      </w:r>
      <w:hyperlink w:anchor="_ENREF_34" w:tooltip="Kahende, 2011 #43" w:history="1">
        <w:r>
          <w:rPr>
            <w:rFonts w:eastAsia="Calibri" w:cstheme="minorHAnsi"/>
            <w:i/>
            <w:noProof/>
          </w:rPr>
          <w:t>34</w:t>
        </w:r>
      </w:hyperlink>
      <w:r>
        <w:rPr>
          <w:rFonts w:eastAsia="Calibri" w:cstheme="minorHAnsi"/>
          <w:i/>
          <w:noProof/>
        </w:rPr>
        <w:t xml:space="preserve">, </w:t>
      </w:r>
      <w:hyperlink w:anchor="_ENREF_46" w:tooltip="Hyland, 2010 #100" w:history="1">
        <w:r>
          <w:rPr>
            <w:rFonts w:eastAsia="Calibri" w:cstheme="minorHAnsi"/>
            <w:i/>
            <w:noProof/>
          </w:rPr>
          <w:t>46</w:t>
        </w:r>
      </w:hyperlink>
      <w:r>
        <w:rPr>
          <w:rFonts w:eastAsia="Calibri" w:cstheme="minorHAnsi"/>
          <w:i/>
          <w:noProof/>
        </w:rPr>
        <w:t xml:space="preserve">, </w:t>
      </w:r>
      <w:hyperlink w:anchor="_ENREF_48" w:tooltip="Harris, 2004 #82" w:history="1">
        <w:r>
          <w:rPr>
            <w:rFonts w:eastAsia="Calibri" w:cstheme="minorHAnsi"/>
            <w:i/>
            <w:noProof/>
          </w:rPr>
          <w:t>48</w:t>
        </w:r>
      </w:hyperlink>
      <w:r>
        <w:rPr>
          <w:rFonts w:eastAsia="Calibri" w:cstheme="minorHAnsi"/>
          <w:i/>
          <w:noProof/>
        </w:rPr>
        <w:t xml:space="preserve">, </w:t>
      </w:r>
      <w:hyperlink w:anchor="_ENREF_49" w:tooltip="Okuyemi, 2003 #85" w:history="1">
        <w:r>
          <w:rPr>
            <w:rFonts w:eastAsia="Calibri" w:cstheme="minorHAnsi"/>
            <w:i/>
            <w:noProof/>
          </w:rPr>
          <w:t>49</w:t>
        </w:r>
      </w:hyperlink>
      <w:r>
        <w:rPr>
          <w:rFonts w:eastAsia="Calibri" w:cstheme="minorHAnsi"/>
          <w:i/>
          <w:noProof/>
        </w:rPr>
        <w:t xml:space="preserve">, </w:t>
      </w:r>
      <w:hyperlink w:anchor="_ENREF_51" w:tooltip="Jarvik, 1994 #90" w:history="1">
        <w:r>
          <w:rPr>
            <w:rFonts w:eastAsia="Calibri" w:cstheme="minorHAnsi"/>
            <w:i/>
            <w:noProof/>
          </w:rPr>
          <w:t>51</w:t>
        </w:r>
      </w:hyperlink>
      <w:r>
        <w:rPr>
          <w:rFonts w:eastAsia="Calibri" w:cstheme="minorHAnsi"/>
          <w:i/>
          <w:noProof/>
        </w:rPr>
        <w:t xml:space="preserve">, </w:t>
      </w:r>
      <w:hyperlink w:anchor="_ENREF_53" w:tooltip="Lewis, 2014 #17" w:history="1">
        <w:r>
          <w:rPr>
            <w:rFonts w:eastAsia="Calibri" w:cstheme="minorHAnsi"/>
            <w:i/>
            <w:noProof/>
          </w:rPr>
          <w:t>53</w:t>
        </w:r>
      </w:hyperlink>
      <w:r>
        <w:rPr>
          <w:rFonts w:eastAsia="Calibri" w:cstheme="minorHAnsi"/>
          <w:i/>
          <w:noProof/>
        </w:rPr>
        <w:t xml:space="preserve">, </w:t>
      </w:r>
      <w:hyperlink w:anchor="_ENREF_54" w:tooltip="Sulsky, 2014 #15" w:history="1">
        <w:r>
          <w:rPr>
            <w:rFonts w:eastAsia="Calibri" w:cstheme="minorHAnsi"/>
            <w:i/>
            <w:noProof/>
          </w:rPr>
          <w:t>54</w:t>
        </w:r>
      </w:hyperlink>
      <w:r>
        <w:rPr>
          <w:rFonts w:eastAsia="Calibri" w:cstheme="minorHAnsi"/>
          <w:i/>
          <w:noProof/>
        </w:rPr>
        <w:t xml:space="preserve">, </w:t>
      </w:r>
      <w:hyperlink w:anchor="_ENREF_67" w:tooltip="Berg, 2010 #102" w:history="1">
        <w:r>
          <w:rPr>
            <w:rFonts w:eastAsia="Calibri" w:cstheme="minorHAnsi"/>
            <w:i/>
            <w:noProof/>
          </w:rPr>
          <w:t>67</w:t>
        </w:r>
      </w:hyperlink>
      <w:r>
        <w:rPr>
          <w:rFonts w:eastAsia="Calibri" w:cstheme="minorHAnsi"/>
          <w:i/>
          <w:noProof/>
        </w:rPr>
        <w:t xml:space="preserve">, </w:t>
      </w:r>
      <w:hyperlink w:anchor="_ENREF_72" w:tooltip="Kanyuch, 2011 #49" w:history="1">
        <w:r>
          <w:rPr>
            <w:rFonts w:eastAsia="Calibri" w:cstheme="minorHAnsi"/>
            <w:i/>
            <w:noProof/>
          </w:rPr>
          <w:t>72</w:t>
        </w:r>
      </w:hyperlink>
      <w:r>
        <w:rPr>
          <w:rFonts w:eastAsia="Calibri" w:cstheme="minorHAnsi"/>
          <w:i/>
          <w:noProof/>
        </w:rPr>
        <w:t xml:space="preserve">, </w:t>
      </w:r>
      <w:hyperlink w:anchor="_ENREF_73" w:tooltip="Sidney, 1989 #92" w:history="1">
        <w:r>
          <w:rPr>
            <w:rFonts w:eastAsia="Calibri" w:cstheme="minorHAnsi"/>
            <w:i/>
            <w:noProof/>
          </w:rPr>
          <w:t>73</w:t>
        </w:r>
      </w:hyperlink>
      <w:r>
        <w:rPr>
          <w:rFonts w:eastAsia="Calibri" w:cstheme="minorHAnsi"/>
          <w:i/>
          <w:noProof/>
        </w:rPr>
        <w:t>)</w:t>
      </w:r>
      <w:r>
        <w:rPr>
          <w:rFonts w:eastAsia="Calibri" w:cstheme="minorHAnsi"/>
          <w:i/>
        </w:rPr>
        <w:fldChar w:fldCharType="end"/>
      </w:r>
      <w:r>
        <w:rPr>
          <w:rFonts w:eastAsia="Calibri" w:cstheme="minorHAnsi"/>
          <w:i/>
        </w:rPr>
        <w:t>.</w:t>
      </w:r>
    </w:p>
    <w:p w14:paraId="0CC74452" w14:textId="77777777" w:rsidR="007F0AE0" w:rsidRPr="00B81F21" w:rsidRDefault="007F0AE0" w:rsidP="007F0AE0">
      <w:pPr>
        <w:spacing w:after="120" w:line="240" w:lineRule="auto"/>
        <w:jc w:val="both"/>
        <w:rPr>
          <w:rFonts w:eastAsia="Calibri" w:cstheme="minorHAnsi"/>
          <w:i/>
        </w:rPr>
      </w:pPr>
      <w:r>
        <w:rPr>
          <w:rFonts w:eastAsia="Calibri" w:cstheme="minorHAnsi"/>
          <w:i/>
        </w:rPr>
        <w:t xml:space="preserve">Six studies (from eight references) reported nonsignificant findings, in terms of quit duration (of less than 90 days), mean number of quit attempts, rate of quit attempts, </w:t>
      </w:r>
      <w:r w:rsidRPr="00B81F21">
        <w:rPr>
          <w:rFonts w:eastAsia="Calibri" w:cstheme="minorHAnsi"/>
          <w:i/>
        </w:rPr>
        <w:t>duration of longest quit attempt</w:t>
      </w:r>
      <w:r>
        <w:rPr>
          <w:rFonts w:eastAsia="Calibri" w:cstheme="minorHAnsi"/>
          <w:i/>
        </w:rPr>
        <w:t>, rate of abstinence, r</w:t>
      </w:r>
      <w:r w:rsidRPr="00B81F21">
        <w:rPr>
          <w:rFonts w:eastAsia="Calibri" w:cstheme="minorHAnsi"/>
          <w:i/>
        </w:rPr>
        <w:t xml:space="preserve">eduction in cigarette consumption, </w:t>
      </w:r>
      <w:r>
        <w:rPr>
          <w:rFonts w:eastAsia="Calibri" w:cstheme="minorHAnsi"/>
          <w:i/>
        </w:rPr>
        <w:t xml:space="preserve">and </w:t>
      </w:r>
      <w:r w:rsidRPr="00B81F21">
        <w:rPr>
          <w:rFonts w:eastAsia="Calibri" w:cstheme="minorHAnsi"/>
          <w:i/>
        </w:rPr>
        <w:t>quit rates</w:t>
      </w:r>
      <w:r>
        <w:rPr>
          <w:rFonts w:eastAsia="Calibri" w:cstheme="minorHAnsi"/>
          <w:i/>
        </w:rPr>
        <w:t>.</w:t>
      </w:r>
    </w:p>
    <w:p w14:paraId="5394B0D0" w14:textId="77777777" w:rsidR="007F0AE0" w:rsidRPr="00B81F21" w:rsidRDefault="007F0AE0" w:rsidP="007F0AE0">
      <w:pPr>
        <w:spacing w:after="120" w:line="240" w:lineRule="auto"/>
        <w:jc w:val="both"/>
        <w:rPr>
          <w:rFonts w:eastAsia="Calibri" w:cstheme="minorHAnsi"/>
          <w:i/>
          <w:noProof/>
        </w:rPr>
      </w:pPr>
      <w:r w:rsidRPr="00B81F21">
        <w:rPr>
          <w:rFonts w:eastAsia="Calibri" w:cstheme="minorHAnsi"/>
          <w:i/>
          <w:noProof/>
        </w:rPr>
        <w:t>One study</w:t>
      </w:r>
      <w:r>
        <w:rPr>
          <w:rFonts w:eastAsia="Calibri" w:cstheme="minorHAnsi"/>
          <w:i/>
          <w:noProof/>
        </w:rPr>
        <w:t xml:space="preserve"> (from two references)</w:t>
      </w:r>
      <w:r w:rsidRPr="00B81F21">
        <w:rPr>
          <w:rFonts w:eastAsia="Calibri" w:cstheme="minorHAnsi"/>
          <w:i/>
          <w:noProof/>
        </w:rPr>
        <w:t xml:space="preserve"> reported a higher rate of quitting among Black menthol smokers compared to Black non-menthol smokers, although significance was not reported.</w:t>
      </w:r>
    </w:p>
    <w:p w14:paraId="0A501028" w14:textId="77777777" w:rsidR="007F0AE0" w:rsidRPr="004C10D0" w:rsidRDefault="007F0AE0" w:rsidP="007F0AE0">
      <w:pPr>
        <w:spacing w:after="120" w:line="240" w:lineRule="auto"/>
        <w:jc w:val="both"/>
        <w:rPr>
          <w:rFonts w:eastAsia="Calibri" w:cstheme="minorHAnsi"/>
          <w:i/>
        </w:rPr>
      </w:pPr>
      <w:r>
        <w:rPr>
          <w:rFonts w:eastAsia="Calibri" w:cstheme="minorHAnsi"/>
          <w:i/>
        </w:rPr>
        <w:t>Six</w:t>
      </w:r>
      <w:r w:rsidRPr="004C10D0">
        <w:rPr>
          <w:rFonts w:eastAsia="Calibri" w:cstheme="minorHAnsi"/>
          <w:i/>
        </w:rPr>
        <w:t xml:space="preserve"> studies</w:t>
      </w:r>
      <w:r>
        <w:rPr>
          <w:rFonts w:eastAsia="Calibri" w:cstheme="minorHAnsi"/>
          <w:i/>
        </w:rPr>
        <w:t xml:space="preserve"> (from seven references) </w:t>
      </w:r>
      <w:r w:rsidRPr="004C10D0">
        <w:rPr>
          <w:rFonts w:eastAsia="Calibri" w:cstheme="minorHAnsi"/>
          <w:i/>
        </w:rPr>
        <w:t xml:space="preserve">reported negative associations between menthol smoking and cessation outcomes among Black smokers, with one study each reporting one of the following outcomes: </w:t>
      </w:r>
      <w:r>
        <w:rPr>
          <w:rFonts w:eastAsia="Calibri" w:cstheme="minorHAnsi"/>
          <w:i/>
        </w:rPr>
        <w:t>statistically significant lower odds of abstinent smokers being Black menthol smokers; statistically significant</w:t>
      </w:r>
      <w:r w:rsidRPr="004C10D0">
        <w:rPr>
          <w:rFonts w:eastAsia="Calibri" w:cstheme="minorHAnsi"/>
          <w:i/>
        </w:rPr>
        <w:t xml:space="preserve"> shorter time since quitting among Black menthol smokers; </w:t>
      </w:r>
      <w:r>
        <w:rPr>
          <w:rFonts w:eastAsia="Calibri" w:cstheme="minorHAnsi"/>
          <w:i/>
        </w:rPr>
        <w:t>statistically significant</w:t>
      </w:r>
      <w:r w:rsidRPr="004C10D0">
        <w:rPr>
          <w:rFonts w:eastAsia="Calibri" w:cstheme="minorHAnsi"/>
          <w:i/>
        </w:rPr>
        <w:t xml:space="preserve"> lower quit ratio among Black menthol smokers; </w:t>
      </w:r>
      <w:r>
        <w:rPr>
          <w:rFonts w:eastAsia="Calibri" w:cstheme="minorHAnsi"/>
          <w:i/>
        </w:rPr>
        <w:t>statistically significant</w:t>
      </w:r>
      <w:r w:rsidRPr="004C10D0">
        <w:rPr>
          <w:rFonts w:eastAsia="Calibri" w:cstheme="minorHAnsi"/>
          <w:i/>
        </w:rPr>
        <w:t xml:space="preserve"> higher likelihood of persistent smoking among Black menthol smokers; lower number of quit attempts among Black menthol smokers (significance not reported); and lower duration of abstinence among Black menthol smokers (significance not reported).</w:t>
      </w:r>
    </w:p>
    <w:p w14:paraId="3C8873EC" w14:textId="77777777" w:rsidR="007F0AE0" w:rsidRPr="003A1F67" w:rsidRDefault="007F0AE0" w:rsidP="007F0AE0">
      <w:pPr>
        <w:spacing w:after="120" w:line="240" w:lineRule="auto"/>
        <w:jc w:val="both"/>
        <w:rPr>
          <w:rFonts w:eastAsia="Calibri" w:cstheme="minorHAnsi"/>
          <w:i/>
        </w:rPr>
      </w:pPr>
      <w:r w:rsidRPr="00C60297">
        <w:rPr>
          <w:rFonts w:eastAsia="Calibri" w:cstheme="minorHAnsi"/>
          <w:i/>
        </w:rPr>
        <w:t xml:space="preserve">Three studies (from four references) reported mixed results. One study (from two references) reported a </w:t>
      </w:r>
      <w:r>
        <w:rPr>
          <w:rFonts w:eastAsia="Calibri" w:cstheme="minorHAnsi"/>
          <w:i/>
        </w:rPr>
        <w:t>statistically significant</w:t>
      </w:r>
      <w:r w:rsidRPr="00C60297">
        <w:rPr>
          <w:rFonts w:eastAsia="Calibri" w:cstheme="minorHAnsi"/>
          <w:i/>
        </w:rPr>
        <w:t xml:space="preserve"> lower 7-day PPA at 7 weeks among Black menthol smokers; however, at 6 months, no significant difference in 7-day PPA was reported.</w:t>
      </w:r>
      <w:r>
        <w:rPr>
          <w:rFonts w:eastAsia="Calibri" w:cstheme="minorHAnsi"/>
          <w:i/>
        </w:rPr>
        <w:t xml:space="preserve"> </w:t>
      </w:r>
      <w:r w:rsidRPr="00C60297">
        <w:rPr>
          <w:rFonts w:eastAsia="Calibri" w:cstheme="minorHAnsi"/>
          <w:i/>
        </w:rPr>
        <w:t xml:space="preserve">One study reported no differences among Black menthol and non-menthol smokers in terms of duration of most recent quit attempt, duration of longest quit attempt, or lifetime number of quit attempts; however, they also found that Black menthol smokers reported </w:t>
      </w:r>
      <w:r>
        <w:rPr>
          <w:rFonts w:eastAsia="Calibri" w:cstheme="minorHAnsi"/>
          <w:i/>
        </w:rPr>
        <w:t>statistically significantly</w:t>
      </w:r>
      <w:r w:rsidRPr="00C60297">
        <w:rPr>
          <w:rFonts w:eastAsia="Calibri" w:cstheme="minorHAnsi"/>
          <w:i/>
        </w:rPr>
        <w:t xml:space="preserve"> more recent quit attempts, compared to Black non-menthol smokers.</w:t>
      </w:r>
      <w:r>
        <w:rPr>
          <w:rFonts w:eastAsia="Calibri" w:cstheme="minorHAnsi"/>
          <w:i/>
        </w:rPr>
        <w:t xml:space="preserve"> </w:t>
      </w:r>
      <w:r w:rsidRPr="003A1F67">
        <w:rPr>
          <w:rFonts w:eastAsia="Calibri" w:cstheme="minorHAnsi"/>
          <w:i/>
        </w:rPr>
        <w:t xml:space="preserve">A third study reported conflicting significance in terms of odds of being a short-term versus former versus current smoker, based on the data set used (one finding no significant difference, and the other finding </w:t>
      </w:r>
      <w:r>
        <w:rPr>
          <w:rFonts w:eastAsia="Calibri" w:cstheme="minorHAnsi"/>
          <w:i/>
        </w:rPr>
        <w:t>statistically significant</w:t>
      </w:r>
      <w:r w:rsidRPr="003A1F67">
        <w:rPr>
          <w:rFonts w:eastAsia="Calibri" w:cstheme="minorHAnsi"/>
          <w:i/>
        </w:rPr>
        <w:t xml:space="preserve"> lower odds among Black menthol smokers). This study also reported </w:t>
      </w:r>
      <w:r>
        <w:rPr>
          <w:rFonts w:eastAsia="Calibri" w:cstheme="minorHAnsi"/>
          <w:i/>
        </w:rPr>
        <w:t>statistically significant</w:t>
      </w:r>
      <w:r w:rsidRPr="003A1F67">
        <w:rPr>
          <w:rFonts w:eastAsia="Calibri" w:cstheme="minorHAnsi"/>
          <w:i/>
        </w:rPr>
        <w:t xml:space="preserve"> lower odds of Black menthol smokers being long-term former versus current daily smokers; however, in terms of the odds of Black menthol smokers being long-term former versus current regular smokers, the odds were </w:t>
      </w:r>
      <w:r>
        <w:rPr>
          <w:rFonts w:eastAsia="Calibri" w:cstheme="minorHAnsi"/>
          <w:i/>
        </w:rPr>
        <w:t>statistically significantly</w:t>
      </w:r>
      <w:r w:rsidRPr="003A1F67">
        <w:rPr>
          <w:rFonts w:eastAsia="Calibri" w:cstheme="minorHAnsi"/>
          <w:i/>
        </w:rPr>
        <w:t xml:space="preserve"> lower in one adjustment model, and non-</w:t>
      </w:r>
      <w:r>
        <w:rPr>
          <w:rFonts w:eastAsia="Calibri" w:cstheme="minorHAnsi"/>
          <w:i/>
        </w:rPr>
        <w:t>statistically significantly</w:t>
      </w:r>
      <w:r w:rsidRPr="003A1F67">
        <w:rPr>
          <w:rFonts w:eastAsia="Calibri" w:cstheme="minorHAnsi"/>
          <w:i/>
        </w:rPr>
        <w:t xml:space="preserve"> different in another.</w:t>
      </w:r>
    </w:p>
    <w:p w14:paraId="59D3F0B6"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two publications from the most recent Kick It at Swope cessation trial, Faseru et al. (2013 and 2011) </w:t>
      </w:r>
      <w:r w:rsidRPr="008A0F1F">
        <w:rPr>
          <w:rFonts w:eastAsia="Calibri" w:cstheme="minorHAnsi"/>
        </w:rPr>
        <w:fldChar w:fldCharType="begin">
          <w:fldData xml:space="preserve">PEVuZE5vdGU+PENpdGU+PFJlY051bT4yOTwvUmVjTnVtPjxEaXNwbGF5VGV4dD4oMjYsIDI3KTwv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</w:fldData>
        </w:fldChar>
      </w:r>
      <w:r>
        <w:rPr>
          <w:rFonts w:eastAsia="Calibri" w:cstheme="minorHAnsi"/>
        </w:rPr>
        <w:instrText xml:space="preserve"> ADDIN EN.CITE </w:instrText>
      </w:r>
      <w:r>
        <w:rPr>
          <w:rFonts w:eastAsia="Calibri" w:cstheme="minorHAnsi"/>
        </w:rPr>
        <w:fldChar w:fldCharType="begin">
          <w:fldData xml:space="preserve">PEVuZE5vdGU+PENpdGU+PFJlY051bT4yOTwvUmVjTnVtPjxEaXNwbGF5VGV4dD4oMjYsIDI3KTwv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A0F1F">
        <w:rPr>
          <w:rFonts w:eastAsia="Calibri" w:cstheme="minorHAnsi"/>
        </w:rPr>
        <w:fldChar w:fldCharType="separate"/>
      </w:r>
      <w:r>
        <w:rPr>
          <w:rFonts w:eastAsia="Calibri" w:cstheme="minorHAnsi"/>
          <w:noProof/>
        </w:rPr>
        <w:t>(</w:t>
      </w:r>
      <w:hyperlink w:anchor="_ENREF_26" w:tooltip="Faseru, 2011 #40" w:history="1">
        <w:r>
          <w:rPr>
            <w:rFonts w:eastAsia="Calibri" w:cstheme="minorHAnsi"/>
            <w:noProof/>
          </w:rPr>
          <w:t>26</w:t>
        </w:r>
      </w:hyperlink>
      <w:r>
        <w:rPr>
          <w:rFonts w:eastAsia="Calibri" w:cstheme="minorHAnsi"/>
          <w:noProof/>
        </w:rPr>
        <w:t xml:space="preserve">, </w:t>
      </w:r>
      <w:hyperlink w:anchor="_ENREF_27" w:tooltip="Faseru, 2013 #29" w:history="1">
        <w:r>
          <w:rPr>
            <w:rFonts w:eastAsia="Calibri" w:cstheme="minorHAnsi"/>
            <w:noProof/>
          </w:rPr>
          <w:t>27</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reported data from 270 Black adults who smoked up to 10 CPD (light smokers) for at least two years, had smoked at least 25 days in the month prior to enrollment, and were interested in quitting. Enrollees received either bupropion or placebo for seven weeks plus biweekly health counseling. Adjusted data at week seven were presented above; outcomes at week 26 were only reported in unadjusted comparison. At week 26, participants who were abstinent were </w:t>
      </w:r>
      <w:r>
        <w:rPr>
          <w:rFonts w:eastAsia="Calibri" w:cstheme="minorHAnsi"/>
        </w:rPr>
        <w:t>statistically significantly</w:t>
      </w:r>
      <w:r w:rsidRPr="008A0F1F">
        <w:rPr>
          <w:rFonts w:eastAsia="Calibri" w:cstheme="minorHAnsi"/>
        </w:rPr>
        <w:t xml:space="preserve"> less likely to smoke menthol cigarettes (p=0.005). They also found that, on average at baseline, menthol and non-menthol smokers were no different in 24-hour quit attempts in the past year (3.8 vs. 3.0; p=0.3795).</w:t>
      </w:r>
    </w:p>
    <w:p w14:paraId="32C65700" w14:textId="77777777" w:rsidR="007F0AE0" w:rsidRPr="008A0F1F" w:rsidRDefault="007F0AE0" w:rsidP="007F0AE0">
      <w:pPr>
        <w:spacing w:after="120" w:line="240" w:lineRule="auto"/>
        <w:jc w:val="both"/>
      </w:pPr>
      <w:r w:rsidRPr="008A0F1F">
        <w:rPr>
          <w:rFonts w:eastAsia="Calibri" w:cstheme="minorHAnsi"/>
        </w:rPr>
        <w:t xml:space="preserve">In a cross-sectional analysis of female smokers, Rosenbloom et al. </w:t>
      </w:r>
      <w:r w:rsidRPr="008A0F1F">
        <w:rPr>
          <w:rFonts w:eastAsia="Calibri" w:cstheme="minorHAnsi"/>
        </w:rPr>
        <w:fldChar w:fldCharType="begin"/>
      </w:r>
      <w:r>
        <w:rPr>
          <w:rFonts w:eastAsia="Calibri" w:cstheme="minorHAnsi"/>
        </w:rPr>
        <w:instrText xml:space="preserve"> ADDIN EN.CITE &lt;EndNote&gt;&lt;Cite&gt;&lt;RecNum&gt;32&lt;/RecNum&gt;&lt;DisplayText&gt;(17)&lt;/DisplayText&gt;&lt;record&gt;&lt;rec-number&gt;32&lt;/rec-number&gt;&lt;foreign-keys&gt;&lt;key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8A0F1F">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reported the percentages of women who reported being unable to have quit for at least 90 days. They found that no difference between Black </w:t>
      </w:r>
      <w:r w:rsidRPr="008A0F1F">
        <w:rPr>
          <w:rFonts w:eastAsia="Calibri" w:cstheme="minorHAnsi"/>
        </w:rPr>
        <w:lastRenderedPageBreak/>
        <w:t>menthol and non-menthol smokers quit duration less than 90 days (58.2% vs. 42.8%, respectively; p=0.13). They also found that Black menthol smokers reported the same mean number of quit attempts (definition not reported) as non-menthol smokers (3.0; p=0.98).</w:t>
      </w:r>
    </w:p>
    <w:p w14:paraId="7E046F84"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2011, Kahende et al. </w:t>
      </w:r>
      <w:r w:rsidRPr="008A0F1F">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A0F1F">
        <w:rPr>
          <w:rFonts w:eastAsia="Calibri" w:cstheme="minorHAnsi"/>
        </w:rPr>
        <w:fldChar w:fldCharType="separate"/>
      </w:r>
      <w:r>
        <w:rPr>
          <w:rFonts w:eastAsia="Calibri" w:cstheme="minorHAnsi"/>
          <w:noProof/>
        </w:rPr>
        <w:t>(</w:t>
      </w:r>
      <w:hyperlink w:anchor="_ENREF_34" w:tooltip="Kahende, 2011 #43" w:history="1">
        <w:r>
          <w:rPr>
            <w:rFonts w:eastAsia="Calibri" w:cstheme="minorHAnsi"/>
            <w:noProof/>
          </w:rPr>
          <w:t>34</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analyzed data from more than 16,000 adult participants in the TUS-CPS in 2003 or 2006-2007 who reported smoking in the past year. Participants were asked if they had stopped smoking for one day or longer because they were trying to quit. Among Black participants, there was no difference between menthol and non-menthol smokers reporting a quit attempt in the past year (menthol=47.2%, 95% CI: 44.9%, 49.6%; non-menthol=41.2%, 95% CI: 36.5%, 46.0%). </w:t>
      </w:r>
    </w:p>
    <w:p w14:paraId="0B3716F7"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Using data from the 2005 NHIS-CCS, Mendiondo et al. </w:t>
      </w:r>
      <w:r w:rsidRPr="008A0F1F">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8A0F1F">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analyzed data from Black former smokers. They found that the mean time since quitting was </w:t>
      </w:r>
      <w:r>
        <w:rPr>
          <w:rFonts w:eastAsia="Calibri" w:cstheme="minorHAnsi"/>
        </w:rPr>
        <w:t>statistically significantly</w:t>
      </w:r>
      <w:r w:rsidRPr="008A0F1F">
        <w:rPr>
          <w:rFonts w:eastAsia="Calibri" w:cstheme="minorHAnsi"/>
        </w:rPr>
        <w:t xml:space="preserve"> shorter for Black menthol smokers (12.9 years) than Black non-menthol smokers (17.7 years; p&lt;0.001). Of all Black former smokers, 61.7 percent smoked menthol cigarettes before quitting, and 38.3 percent smoked non-menthols.</w:t>
      </w:r>
    </w:p>
    <w:p w14:paraId="5B78A685"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One iteration of the Kick It at Swope Trial </w:t>
      </w:r>
      <w:r w:rsidRPr="00E05919">
        <w:rPr>
          <w:rFonts w:eastAsia="Calibri" w:cstheme="minorHAnsi"/>
        </w:rPr>
        <w:fldChar w:fldCharType="begin">
          <w:fldData xml:space="preserve">PEVuZE5vdGU+PENpdGU+PFJlY051bT44MjwvUmVjTnVtPjxEaXNwbGF5VGV4dD4oNDgsIDQ5KTwv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</w:fldData>
        </w:fldChar>
      </w:r>
      <w:r>
        <w:rPr>
          <w:rFonts w:eastAsia="Calibri" w:cstheme="minorHAnsi"/>
        </w:rPr>
        <w:instrText xml:space="preserve"> ADDIN EN.CITE </w:instrText>
      </w:r>
      <w:r>
        <w:rPr>
          <w:rFonts w:eastAsia="Calibri" w:cstheme="minorHAnsi"/>
        </w:rPr>
        <w:fldChar w:fldCharType="begin">
          <w:fldData xml:space="preserve">PEVuZE5vdGU+PENpdGU+PFJlY051bT44MjwvUmVjTnVtPjxEaXNwbGF5VGV4dD4oNDgsIDQ5KTwv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E05919">
        <w:rPr>
          <w:rFonts w:eastAsia="Calibri" w:cstheme="minorHAnsi"/>
        </w:rPr>
        <w:fldChar w:fldCharType="separate"/>
      </w:r>
      <w:r>
        <w:rPr>
          <w:rFonts w:eastAsia="Calibri" w:cstheme="minorHAnsi"/>
          <w:noProof/>
        </w:rPr>
        <w:t>(</w:t>
      </w:r>
      <w:hyperlink w:anchor="_ENREF_48" w:tooltip="Harris, 2004 #82" w:history="1">
        <w:r>
          <w:rPr>
            <w:rFonts w:eastAsia="Calibri" w:cstheme="minorHAnsi"/>
            <w:noProof/>
          </w:rPr>
          <w:t>48</w:t>
        </w:r>
      </w:hyperlink>
      <w:r>
        <w:rPr>
          <w:rFonts w:eastAsia="Calibri" w:cstheme="minorHAnsi"/>
          <w:noProof/>
        </w:rPr>
        <w:t xml:space="preserve">, </w:t>
      </w:r>
      <w:hyperlink w:anchor="_ENREF_49" w:tooltip="Okuyemi, 2003 #85" w:history="1">
        <w:r>
          <w:rPr>
            <w:rFonts w:eastAsia="Calibri" w:cstheme="minorHAnsi"/>
            <w:noProof/>
          </w:rPr>
          <w:t>49</w:t>
        </w:r>
      </w:hyperlink>
      <w:r>
        <w:rPr>
          <w:rFonts w:eastAsia="Calibri" w:cstheme="minorHAnsi"/>
          <w:noProof/>
        </w:rPr>
        <w:t>)</w:t>
      </w:r>
      <w:r w:rsidRPr="00E05919">
        <w:rPr>
          <w:rFonts w:eastAsia="Calibri" w:cstheme="minorHAnsi"/>
        </w:rPr>
        <w:fldChar w:fldCharType="end"/>
      </w:r>
      <w:r w:rsidRPr="008A0F1F">
        <w:rPr>
          <w:rFonts w:eastAsia="Calibri" w:cstheme="minorHAnsi"/>
        </w:rPr>
        <w:t xml:space="preserve"> found that menthol was associated with a </w:t>
      </w:r>
      <w:r>
        <w:rPr>
          <w:rFonts w:eastAsia="Calibri" w:cstheme="minorHAnsi"/>
        </w:rPr>
        <w:t>statistically significant</w:t>
      </w:r>
      <w:r w:rsidRPr="008A0F1F">
        <w:rPr>
          <w:rFonts w:eastAsia="Calibri" w:cstheme="minorHAnsi"/>
        </w:rPr>
        <w:t xml:space="preserve"> lower rate of 7-day PPA at the end of a 7-week medication (or placebo) phase. Specifically, 28.3 percent of menthol smokers and 41.5 percent of non-menthol smokers were abstinent at 7 weeks (p=0.0062). This contradicts their finding from multiple regression analysis, that menthol was not a significant predictor of abstinence (actual adjusted data were not reported). In addition to the adjusted 7-week data from their cessation treatment study among Black smokers, the authors published unadjusted data for 6-month abstinence.</w:t>
      </w:r>
      <w:r w:rsidRPr="00E05919">
        <w:rPr>
          <w:rFonts w:eastAsia="Calibri" w:cstheme="minorHAnsi"/>
        </w:rPr>
        <w:fldChar w:fldCharType="begin"/>
      </w:r>
      <w:r>
        <w:rPr>
          <w:rFonts w:eastAsia="Calibri" w:cstheme="minorHAnsi"/>
        </w:rPr>
        <w:instrText xml:space="preserve"> ADDIN EN.CITE &lt;EndNote&gt;&lt;Cite&gt;&lt;RecNum&gt;85&lt;/RecNum&gt;&lt;DisplayText&gt;(49)&lt;/DisplayText&gt;&lt;record&gt;&lt;rec-number&gt;85&lt;/rec-number&gt;&lt;foreign-keys&gt;&lt;key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E05919">
        <w:rPr>
          <w:rFonts w:eastAsia="Calibri" w:cstheme="minorHAnsi"/>
        </w:rPr>
        <w:fldChar w:fldCharType="separate"/>
      </w:r>
      <w:r>
        <w:rPr>
          <w:rFonts w:eastAsia="Calibri" w:cstheme="minorHAnsi"/>
          <w:noProof/>
        </w:rPr>
        <w:t>(</w:t>
      </w:r>
      <w:hyperlink w:anchor="_ENREF_49" w:tooltip="Okuyemi, 2003 #85" w:history="1">
        <w:r>
          <w:rPr>
            <w:rFonts w:eastAsia="Calibri" w:cstheme="minorHAnsi"/>
            <w:noProof/>
          </w:rPr>
          <w:t>49</w:t>
        </w:r>
      </w:hyperlink>
      <w:r>
        <w:rPr>
          <w:rFonts w:eastAsia="Calibri" w:cstheme="minorHAnsi"/>
          <w:noProof/>
        </w:rPr>
        <w:t>)</w:t>
      </w:r>
      <w:r w:rsidRPr="00E05919">
        <w:rPr>
          <w:rFonts w:eastAsia="Calibri" w:cstheme="minorHAnsi"/>
        </w:rPr>
        <w:fldChar w:fldCharType="end"/>
      </w:r>
      <w:r w:rsidRPr="008A0F1F">
        <w:rPr>
          <w:rFonts w:eastAsia="Calibri" w:cstheme="minorHAnsi"/>
        </w:rPr>
        <w:t xml:space="preserve"> No statistical difference was reported in seven-day PPA at 6 months (and biochemically confirmed) between menthol smokers (21.4%) and non-menthol smokers (27.0%; p=0.21).</w:t>
      </w:r>
    </w:p>
    <w:p w14:paraId="3E991D46"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unadjusted baseline (cross-sectional) data from another of the Kick It at Swope trials among Black “light smokers,” Okuyemi et al. </w:t>
      </w:r>
      <w:r w:rsidRPr="008A0F1F">
        <w:rPr>
          <w:rFonts w:eastAsia="Calibri" w:cstheme="minorHAnsi"/>
        </w:rPr>
        <w:fldChar w:fldCharType="begin"/>
      </w:r>
      <w:r>
        <w:rPr>
          <w:rFonts w:eastAsia="Calibri" w:cstheme="minorHAnsi"/>
        </w:rPr>
        <w:instrText xml:space="preserve"> ADDIN EN.CITE &lt;EndNote&gt;&lt;Cite&gt;&lt;RecNum&gt;74&lt;/RecNum&gt;&lt;DisplayText&gt;(24)&lt;/DisplayText&gt;&lt;record&gt;&lt;rec-number&gt;74&lt;/rec-number&gt;&lt;foreign-keys&gt;&lt;key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8A0F1F">
        <w:rPr>
          <w:rFonts w:eastAsia="Calibri" w:cstheme="minorHAnsi"/>
        </w:rPr>
        <w:fldChar w:fldCharType="separate"/>
      </w:r>
      <w:r>
        <w:rPr>
          <w:rFonts w:eastAsia="Calibri" w:cstheme="minorHAnsi"/>
          <w:noProof/>
        </w:rPr>
        <w:t>(</w:t>
      </w:r>
      <w:hyperlink w:anchor="_ENREF_24" w:tooltip="Okuyemi, 2007 #74" w:history="1">
        <w:r>
          <w:rPr>
            <w:rFonts w:eastAsia="Calibri" w:cstheme="minorHAnsi"/>
            <w:noProof/>
          </w:rPr>
          <w:t>24</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reported the mean longest single recalled quit period within a prospective cohort study, focusing on Black smokers motivated to quit (N=755). They found that menthol smokers (350.7±767.3 days) and non-menthol smokers (418.2±880.6 days) did not differ </w:t>
      </w:r>
      <w:r>
        <w:rPr>
          <w:rFonts w:eastAsia="Calibri" w:cstheme="minorHAnsi"/>
        </w:rPr>
        <w:t>statistically significantly</w:t>
      </w:r>
      <w:r w:rsidRPr="008A0F1F">
        <w:rPr>
          <w:rFonts w:eastAsia="Calibri" w:cstheme="minorHAnsi"/>
        </w:rPr>
        <w:t xml:space="preserve"> in terms of duration of longest quit attempt (p=0.407). </w:t>
      </w:r>
      <w:r w:rsidRPr="008A0F1F">
        <w:rPr>
          <w:rFonts w:cstheme="minorHAnsi"/>
        </w:rPr>
        <w:t>Okuyemi et al.</w:t>
      </w:r>
      <w:r>
        <w:rPr>
          <w:rFonts w:cstheme="minorHAnsi"/>
        </w:rPr>
        <w:t xml:space="preserve"> </w:t>
      </w:r>
      <w:r>
        <w:rPr>
          <w:rFonts w:cstheme="minorHAnsi"/>
        </w:rPr>
        <w:fldChar w:fldCharType="begin"/>
      </w:r>
      <w:r>
        <w:rPr>
          <w:rFonts w:cstheme="minorHAnsi"/>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Pr>
          <w:rFonts w:cstheme="minorHAnsi"/>
        </w:rPr>
        <w:fldChar w:fldCharType="separate"/>
      </w:r>
      <w:r>
        <w:rPr>
          <w:rFonts w:cstheme="minorHAnsi"/>
          <w:noProof/>
        </w:rPr>
        <w:t>(</w:t>
      </w:r>
      <w:hyperlink w:anchor="_ENREF_24" w:tooltip="Okuyemi, 2007 #74" w:history="1">
        <w:r>
          <w:rPr>
            <w:rFonts w:cstheme="minorHAnsi"/>
            <w:noProof/>
          </w:rPr>
          <w:t>24</w:t>
        </w:r>
      </w:hyperlink>
      <w:r>
        <w:rPr>
          <w:rFonts w:cstheme="minorHAnsi"/>
          <w:noProof/>
        </w:rPr>
        <w:t>)</w:t>
      </w:r>
      <w:r>
        <w:rPr>
          <w:rFonts w:cstheme="minorHAnsi"/>
        </w:rPr>
        <w:fldChar w:fldCharType="end"/>
      </w:r>
      <w:r w:rsidRPr="008A0F1F">
        <w:rPr>
          <w:rFonts w:cstheme="minorHAnsi"/>
        </w:rPr>
        <w:t xml:space="preserve"> analyses also showed that the abstinence rates at 8 weeks (end of nicotine gum treatment) were not </w:t>
      </w:r>
      <w:r>
        <w:rPr>
          <w:rFonts w:cstheme="minorHAnsi"/>
        </w:rPr>
        <w:t>statistically significantly</w:t>
      </w:r>
      <w:r w:rsidRPr="008A0F1F">
        <w:rPr>
          <w:rFonts w:cstheme="minorHAnsi"/>
        </w:rPr>
        <w:t xml:space="preserve"> different between non-menthol (26.8%) and menthol smokers (22.6%, </w:t>
      </w:r>
      <w:r>
        <w:rPr>
          <w:rFonts w:cstheme="minorHAnsi"/>
        </w:rPr>
        <w:t>p</w:t>
      </w:r>
      <w:r w:rsidRPr="008A0F1F">
        <w:rPr>
          <w:rFonts w:cstheme="minorHAnsi"/>
        </w:rPr>
        <w:t>=0.291); t</w:t>
      </w:r>
      <w:r w:rsidRPr="008A0F1F">
        <w:rPr>
          <w:rFonts w:eastAsia="Calibri" w:cstheme="minorHAnsi"/>
        </w:rPr>
        <w:t>he authors also reported nearly the same number of previous quit attempts (at least 24 hours of abstinence) for menthol (3.25) compared with non-menthol (3.07; p=0.78) smokers.</w:t>
      </w:r>
    </w:p>
    <w:p w14:paraId="1304E1EC" w14:textId="77777777" w:rsidR="007F0AE0" w:rsidRPr="008A0F1F" w:rsidRDefault="007F0AE0" w:rsidP="007F0AE0">
      <w:pPr>
        <w:spacing w:after="120" w:line="240" w:lineRule="auto"/>
        <w:jc w:val="both"/>
        <w:rPr>
          <w:rFonts w:eastAsia="Calibri" w:cstheme="minorHAnsi"/>
          <w:noProof/>
        </w:rPr>
      </w:pPr>
      <w:r w:rsidRPr="008A0F1F">
        <w:rPr>
          <w:rFonts w:cstheme="minorHAnsi"/>
        </w:rPr>
        <w:t>In another analysis from the same study, Berg et al.</w:t>
      </w:r>
      <w:r>
        <w:rPr>
          <w:rFonts w:cstheme="minorHAnsi"/>
        </w:rPr>
        <w:t xml:space="preserve"> </w:t>
      </w:r>
      <w:r>
        <w:rPr>
          <w:rFonts w:cstheme="minorHAnsi"/>
        </w:rPr>
        <w:fldChar w:fldCharType="begin"/>
      </w:r>
      <w:r>
        <w:rPr>
          <w:rFonts w:cstheme="minorHAnsi"/>
        </w:rPr>
        <w:instrText xml:space="preserve"> ADDIN EN.CITE &lt;EndNote&gt;&lt;Cite&gt;&lt;Author&gt;Berg&lt;/Author&gt;&lt;Year&gt;2010&lt;/Year&gt;&lt;RecNum&gt;102&lt;/RecNum&gt;&lt;DisplayText&gt;(67)&lt;/DisplayText&gt;&lt;record&gt;&lt;rec-number&gt;102&lt;/rec-number&gt;&lt;foreign-keys&gt;&lt;key app="EN" db-id="a2vz2dfp8xrad6exes75zwpiw5rxwa0vwapv" timestamp="0"&gt;102&lt;/key&gt;&lt;/foreign-keys&gt;&lt;ref-type name="Journal Article"&gt;17&lt;/ref-type&gt;&lt;contributors&gt;&lt;authors&gt;&lt;author&gt;Berg, C. J.&lt;/author&gt;&lt;author&gt;Thomas, J. L.&lt;/author&gt;&lt;author&gt;Guo, H.&lt;/author&gt;&lt;author&gt;An, L. C.&lt;/author&gt;&lt;author&gt;Okuyemi, K. S.&lt;/author&gt;&lt;author&gt;Collins, T. C.&lt;/author&gt;&lt;author&gt;Ahluwalia, J. S.&lt;/author&gt;&lt;/authors&gt;&lt;/contributors&gt;&lt;auth-address&gt;Department of Behavioral Sciences and Health Education, Emory University, 1518 Clifton Road NE, Atlanta, GA 30322, USA. carlajberg@gmail.com&lt;/auth-address&gt;&lt;titles&gt;&lt;title&gt;Predictors of smoking reduction among Blacks&lt;/title&gt;&lt;secondary-title&gt;Nicotine Tob Res&lt;/secondary-title&gt;&lt;/titles&gt;&lt;periodical&gt;&lt;full-title&gt;Nicotine Tob Res&lt;/full-title&gt;&lt;/periodical&gt;&lt;pages&gt;423-31&lt;/pages&gt;&lt;volume&gt;12&lt;/volume&gt;&lt;number&gt;4&lt;/number&gt;&lt;keywords&gt;&lt;keyword&gt;African Americans&lt;/keyword&gt;&lt;keyword&gt;Body Mass Index&lt;/keyword&gt;&lt;keyword&gt;Cotinine/blood&lt;/keyword&gt;&lt;keyword&gt;Humans&lt;/keyword&gt;&lt;keyword&gt;Multivariate Analysis&lt;/keyword&gt;&lt;keyword&gt;Placebo Effect&lt;/keyword&gt;&lt;keyword&gt;Smoking/blood/*psychology&lt;/keyword&gt;&lt;keyword&gt;Smoking Cessation/*psychology&lt;/keyword&gt;&lt;keyword&gt;Stress, Psychological/physiopathology&lt;/keyword&gt;&lt;keyword&gt;Surveys and Questionnaires&lt;/keyword&gt;&lt;/keywords&gt;&lt;dates&gt;&lt;year&gt;2010&lt;/year&gt;&lt;pub-dates&gt;&lt;date&gt;Apr&lt;/date&gt;&lt;/pub-dates&gt;&lt;/dates&gt;&lt;isbn&gt;1469-994X (Electronic)&amp;#xD;1462-2203 (Linking)&lt;/isbn&gt;&lt;accession-num&gt;20194521&lt;/accession-num&gt;&lt;urls&gt;&lt;related-urls&gt;&lt;url&gt;http://www.ncbi.nlm.nih.gov/pubmed/20194521&lt;/url&gt;&lt;/related-urls&gt;&lt;/urls&gt;&lt;custom2&gt;PMC2847079&lt;/custom2&gt;&lt;electronic-resource-num&gt;10.1093/ntr/ntq019&lt;/electronic-resource-num&gt;&lt;research-notes&gt;#823&lt;/research-notes&gt;&lt;/record&gt;&lt;/Cite&gt;&lt;/EndNote&gt;</w:instrText>
      </w:r>
      <w:r>
        <w:rPr>
          <w:rFonts w:cstheme="minorHAnsi"/>
        </w:rPr>
        <w:fldChar w:fldCharType="separate"/>
      </w:r>
      <w:r>
        <w:rPr>
          <w:rFonts w:cstheme="minorHAnsi"/>
          <w:noProof/>
        </w:rPr>
        <w:t>(</w:t>
      </w:r>
      <w:hyperlink w:anchor="_ENREF_67" w:tooltip="Berg, 2010 #102" w:history="1">
        <w:r>
          <w:rPr>
            <w:rFonts w:cstheme="minorHAnsi"/>
            <w:noProof/>
          </w:rPr>
          <w:t>67</w:t>
        </w:r>
      </w:hyperlink>
      <w:r>
        <w:rPr>
          <w:rFonts w:cstheme="minorHAnsi"/>
          <w:noProof/>
        </w:rPr>
        <w:t>)</w:t>
      </w:r>
      <w:r>
        <w:rPr>
          <w:rFonts w:cstheme="minorHAnsi"/>
        </w:rPr>
        <w:fldChar w:fldCharType="end"/>
      </w:r>
      <w:r w:rsidRPr="008A0F1F">
        <w:rPr>
          <w:rFonts w:eastAsia="Calibri" w:cstheme="minorHAnsi"/>
          <w:noProof/>
        </w:rPr>
        <w:t xml:space="preserve"> reported no significant dfference in the percentages of menthol smokers among participants who did not reduce cigarette consumption (83.9%), those that reduced their consumption (80.8%), and those that quit (72.6%; p=0.07).</w:t>
      </w:r>
      <w:r w:rsidRPr="008A0F1F">
        <w:rPr>
          <w:rFonts w:eastAsia="Calibri" w:cstheme="minorHAnsi"/>
        </w:rPr>
        <w:t xml:space="preserve"> Berg et al.</w:t>
      </w:r>
      <w:r>
        <w:rPr>
          <w:rFonts w:eastAsia="Calibri" w:cstheme="minorHAnsi"/>
        </w:rPr>
        <w:t xml:space="preserve"> </w:t>
      </w:r>
      <w:r>
        <w:rPr>
          <w:rFonts w:eastAsia="Calibri" w:cstheme="minorHAnsi"/>
        </w:rPr>
        <w:fldChar w:fldCharType="begin"/>
      </w:r>
      <w:r>
        <w:rPr>
          <w:rFonts w:eastAsia="Calibri" w:cstheme="minorHAnsi"/>
        </w:rPr>
        <w:instrText xml:space="preserve"> ADDIN EN.CITE &lt;EndNote&gt;&lt;Cite&gt;&lt;Author&gt;Berg&lt;/Author&gt;&lt;Year&gt;2010&lt;/Year&gt;&lt;RecNum&gt;102&lt;/RecNum&gt;&lt;DisplayText&gt;(67)&lt;/DisplayText&gt;&lt;record&gt;&lt;rec-number&gt;102&lt;/rec-number&gt;&lt;foreign-keys&gt;&lt;key app="EN" db-id="a2vz2dfp8xrad6exes75zwpiw5rxwa0vwapv" timestamp="0"&gt;102&lt;/key&gt;&lt;/foreign-keys&gt;&lt;ref-type name="Journal Article"&gt;17&lt;/ref-type&gt;&lt;contributors&gt;&lt;authors&gt;&lt;author&gt;Berg, C. J.&lt;/author&gt;&lt;author&gt;Thomas, J. L.&lt;/author&gt;&lt;author&gt;Guo, H.&lt;/author&gt;&lt;author&gt;An, L. C.&lt;/author&gt;&lt;author&gt;Okuyemi, K. S.&lt;/author&gt;&lt;author&gt;Collins, T. C.&lt;/author&gt;&lt;author&gt;Ahluwalia, J. S.&lt;/author&gt;&lt;/authors&gt;&lt;/contributors&gt;&lt;auth-address&gt;Department of Behavioral Sciences and Health Education, Emory University, 1518 Clifton Road NE, Atlanta, GA 30322, USA. carlajberg@gmail.com&lt;/auth-address&gt;&lt;titles&gt;&lt;title&gt;Predictors of smoking reduction among Blacks&lt;/title&gt;&lt;secondary-title&gt;Nicotine Tob Res&lt;/secondary-title&gt;&lt;/titles&gt;&lt;periodical&gt;&lt;full-title&gt;Nicotine Tob Res&lt;/full-title&gt;&lt;/periodical&gt;&lt;pages&gt;423-31&lt;/pages&gt;&lt;volume&gt;12&lt;/volume&gt;&lt;number&gt;4&lt;/number&gt;&lt;keywords&gt;&lt;keyword&gt;African Americans&lt;/keyword&gt;&lt;keyword&gt;Body Mass Index&lt;/keyword&gt;&lt;keyword&gt;Cotinine/blood&lt;/keyword&gt;&lt;keyword&gt;Humans&lt;/keyword&gt;&lt;keyword&gt;Multivariate Analysis&lt;/keyword&gt;&lt;keyword&gt;Placebo Effect&lt;/keyword&gt;&lt;keyword&gt;Smoking/blood/*psychology&lt;/keyword&gt;&lt;keyword&gt;Smoking Cessation/*psychology&lt;/keyword&gt;&lt;keyword&gt;Stress, Psychological/physiopathology&lt;/keyword&gt;&lt;keyword&gt;Surveys and Questionnaires&lt;/keyword&gt;&lt;/keywords&gt;&lt;dates&gt;&lt;year&gt;2010&lt;/year&gt;&lt;pub-dates&gt;&lt;date&gt;Apr&lt;/date&gt;&lt;/pub-dates&gt;&lt;/dates&gt;&lt;isbn&gt;1469-994X (Electronic)&amp;#xD;1462-2203 (Linking)&lt;/isbn&gt;&lt;accession-num&gt;20194521&lt;/accession-num&gt;&lt;urls&gt;&lt;related-urls&gt;&lt;url&gt;http://www.ncbi.nlm.nih.gov/pubmed/20194521&lt;/url&gt;&lt;/related-urls&gt;&lt;/urls&gt;&lt;custom2&gt;PMC2847079&lt;/custom2&gt;&lt;electronic-resource-num&gt;10.1093/ntr/ntq019&lt;/electronic-resource-num&gt;&lt;research-notes&gt;#823&lt;/research-notes&gt;&lt;/record&gt;&lt;/Cite&gt;&lt;/EndNote&gt;</w:instrText>
      </w:r>
      <w:r>
        <w:rPr>
          <w:rFonts w:eastAsia="Calibri" w:cstheme="minorHAnsi"/>
        </w:rPr>
        <w:fldChar w:fldCharType="separate"/>
      </w:r>
      <w:r>
        <w:rPr>
          <w:rFonts w:eastAsia="Calibri" w:cstheme="minorHAnsi"/>
          <w:noProof/>
        </w:rPr>
        <w:t>(</w:t>
      </w:r>
      <w:hyperlink w:anchor="_ENREF_67" w:tooltip="Berg, 2010 #102" w:history="1">
        <w:r>
          <w:rPr>
            <w:rFonts w:eastAsia="Calibri" w:cstheme="minorHAnsi"/>
            <w:noProof/>
          </w:rPr>
          <w:t>67</w:t>
        </w:r>
      </w:hyperlink>
      <w:r>
        <w:rPr>
          <w:rFonts w:eastAsia="Calibri" w:cstheme="minorHAnsi"/>
          <w:noProof/>
        </w:rPr>
        <w:t>)</w:t>
      </w:r>
      <w:r>
        <w:rPr>
          <w:rFonts w:eastAsia="Calibri" w:cstheme="minorHAnsi"/>
        </w:rPr>
        <w:fldChar w:fldCharType="end"/>
      </w:r>
      <w:r w:rsidRPr="008A0F1F">
        <w:rPr>
          <w:rFonts w:eastAsia="Calibri" w:cstheme="minorHAnsi"/>
          <w:noProof/>
        </w:rPr>
        <w:t xml:space="preserve"> also found that the proportion of menthol smokers among participants who reduced their cigerattes consumption by 50% or more was comparable to the proportion of menthol smokers among the participants who either increased their cigarette consomption or did not reduce their consumption by 50% (80.8% versue 83.9%, respectively).</w:t>
      </w:r>
    </w:p>
    <w:p w14:paraId="3D5BC5E5"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another cross-sectional analysis of baseline data from a cessation trial, Okuyemi et al. </w:t>
      </w:r>
      <w:r w:rsidRPr="008A0F1F">
        <w:rPr>
          <w:rFonts w:eastAsia="Calibri" w:cstheme="minorHAnsi"/>
        </w:rPr>
        <w:fldChar w:fldCharType="begin"/>
      </w:r>
      <w:r>
        <w:rPr>
          <w:rFonts w:eastAsia="Calibri" w:cstheme="minorHAnsi"/>
        </w:rPr>
        <w:instrText xml:space="preserve"> ADDIN EN.CITE &lt;EndNote&gt;&lt;Cite&gt;&lt;RecNum&gt;81&lt;/RecNum&gt;&lt;DisplayText&gt;(15)&lt;/DisplayText&gt;&lt;record&gt;&lt;rec-number&gt;81&lt;/rec-number&gt;&lt;foreign-keys&gt;&lt;key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8A0F1F">
        <w:rPr>
          <w:rFonts w:eastAsia="Calibri" w:cstheme="minorHAnsi"/>
        </w:rPr>
        <w:fldChar w:fldCharType="separate"/>
      </w:r>
      <w:r>
        <w:rPr>
          <w:rFonts w:eastAsia="Calibri" w:cstheme="minorHAnsi"/>
          <w:noProof/>
        </w:rPr>
        <w:t>(</w:t>
      </w:r>
      <w:hyperlink w:anchor="_ENREF_15" w:tooltip="Okuyemi, 2004 #81" w:history="1">
        <w:r>
          <w:rPr>
            <w:rFonts w:eastAsia="Calibri" w:cstheme="minorHAnsi"/>
            <w:noProof/>
          </w:rPr>
          <w:t>15</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analyzed “longest ever quit attempt” and “duration of most recent quit attempt” among Black smokers. Both were non-</w:t>
      </w:r>
      <w:r>
        <w:rPr>
          <w:rFonts w:eastAsia="Calibri" w:cstheme="minorHAnsi"/>
        </w:rPr>
        <w:t>statistically significantly</w:t>
      </w:r>
      <w:r w:rsidRPr="008A0F1F">
        <w:rPr>
          <w:rFonts w:eastAsia="Calibri" w:cstheme="minorHAnsi"/>
        </w:rPr>
        <w:t xml:space="preserve"> shorter for menthol smokers. During the most recent attempt, menthol smokers abstained for 30 days, compared with 36 days for non-menthol smokers (p=0.19). During the longest ever quit attempt, the duration was 90 days for menthol smokers versus 157.5 days for non-menthol smokers (p=0.11). Okuyemi et al. </w:t>
      </w:r>
      <w:r w:rsidRPr="008A0F1F">
        <w:rPr>
          <w:rFonts w:eastAsia="Calibri" w:cstheme="minorHAnsi"/>
        </w:rPr>
        <w:fldChar w:fldCharType="begin"/>
      </w:r>
      <w:r>
        <w:rPr>
          <w:rFonts w:eastAsia="Calibri" w:cstheme="minorHAnsi"/>
        </w:rPr>
        <w:instrText xml:space="preserve"> ADDIN EN.CITE &lt;EndNote&gt;&lt;Cite&gt;&lt;RecNum&gt;81&lt;/RecNum&gt;&lt;DisplayText&gt;(15)&lt;/DisplayText&gt;&lt;record&gt;&lt;rec-number&gt;81&lt;/rec-number&gt;&lt;foreign-keys&gt;&lt;key app="EN" db-id="a2vz2dfp8xrad6exes75zwpiw5rxwa0vwapv" timestamp="0"&gt;81&lt;/key&gt;&lt;/foreign-keys&gt;&lt;ref-type name="Journal Article"&gt;17&lt;/ref-type&gt;&lt;contributors&gt;&lt;authors&gt;&lt;author&gt;Okuyemi, K. S.&lt;/author&gt;&lt;author&gt;Ebersole-Robinson, M. &lt;/author&gt;&lt;author&gt;Nazir, N. &lt;/author&gt;&lt;author&gt;Ahluwalia, J. S.&lt;/author&gt;&lt;/authors&gt;&lt;/contributors&gt;&lt;titles&gt;&lt;title&gt;African-American menthol and nonmenthol smokers: Differences in smoking and cessation experiences&lt;/title&gt;&lt;secondary-title&gt;J Natl Med Assoc&lt;/secondary-title&gt;&lt;/titles&gt;&lt;pages&gt;1208-1211&lt;/pages&gt;&lt;volume&gt;96&lt;/volume&gt;&lt;number&gt;9&lt;/number&gt;&lt;section&gt;1208&lt;/section&gt;&lt;dates&gt;&lt;year&gt;2004&lt;/year&gt;&lt;/dates&gt;&lt;urls&gt;&lt;/urls&gt;&lt;research-notes&gt;#405&lt;/research-notes&gt;&lt;/record&gt;&lt;/Cite&gt;&lt;/EndNote&gt;</w:instrText>
      </w:r>
      <w:r w:rsidRPr="008A0F1F">
        <w:rPr>
          <w:rFonts w:eastAsia="Calibri" w:cstheme="minorHAnsi"/>
        </w:rPr>
        <w:fldChar w:fldCharType="separate"/>
      </w:r>
      <w:r>
        <w:rPr>
          <w:rFonts w:eastAsia="Calibri" w:cstheme="minorHAnsi"/>
          <w:noProof/>
        </w:rPr>
        <w:t>(</w:t>
      </w:r>
      <w:hyperlink w:anchor="_ENREF_15" w:tooltip="Okuyemi, 2004 #81" w:history="1">
        <w:r>
          <w:rPr>
            <w:rFonts w:eastAsia="Calibri" w:cstheme="minorHAnsi"/>
            <w:noProof/>
          </w:rPr>
          <w:t>15</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also found that “both groups [menthol and non-menthol smokers] did not differ in their lifetime number of quit attempts”</w:t>
      </w:r>
      <w:r>
        <w:rPr>
          <w:rFonts w:eastAsia="Calibri" w:cstheme="minorHAnsi"/>
        </w:rPr>
        <w:t>;</w:t>
      </w:r>
      <w:r w:rsidRPr="008A0F1F">
        <w:rPr>
          <w:rFonts w:eastAsia="Calibri" w:cstheme="minorHAnsi"/>
        </w:rPr>
        <w:t xml:space="preserve"> menthol smokers reported more recent quit attempts compared to non-menthol smokers (12 vs. 24 days, respectively; p=0.047).</w:t>
      </w:r>
    </w:p>
    <w:p w14:paraId="04C3ADA6" w14:textId="77777777" w:rsidR="007F0AE0" w:rsidRDefault="007F0AE0" w:rsidP="007F0AE0">
      <w:pPr>
        <w:spacing w:after="120" w:line="240" w:lineRule="auto"/>
        <w:jc w:val="both"/>
        <w:rPr>
          <w:rFonts w:eastAsia="Calibri" w:cstheme="minorHAnsi"/>
        </w:rPr>
      </w:pPr>
      <w:r w:rsidRPr="008A0F1F">
        <w:rPr>
          <w:rFonts w:eastAsia="Calibri" w:cstheme="minorHAnsi"/>
        </w:rPr>
        <w:t xml:space="preserve">In 2014, Sulsky et al. </w:t>
      </w:r>
      <w:r w:rsidRPr="008A0F1F">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A0F1F">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analyzed data from the 2005 and 2010 NHIS and the 2010-2011 TUS-CPS, performing subgroup analysis in which they reported a number of odds ratios, using various adjustment models (most of </w:t>
      </w:r>
      <w:r w:rsidRPr="008A0F1F">
        <w:rPr>
          <w:rFonts w:eastAsia="Calibri" w:cstheme="minorHAnsi"/>
        </w:rPr>
        <w:lastRenderedPageBreak/>
        <w:t xml:space="preserve">which were not adequately adjusted for age, race/ethnicity, and gender). Using data from the 2005 and 2010 NHIS, Black menthol smokers (both regular and daily smokers) were </w:t>
      </w:r>
      <w:r>
        <w:rPr>
          <w:rFonts w:eastAsia="Calibri" w:cstheme="minorHAnsi"/>
        </w:rPr>
        <w:t>statistically significantly</w:t>
      </w:r>
      <w:r w:rsidRPr="008A0F1F">
        <w:rPr>
          <w:rFonts w:eastAsia="Calibri" w:cstheme="minorHAnsi"/>
        </w:rPr>
        <w:t xml:space="preserve"> less likely than Black non-menthol smokers to be long-term former smokers (OR=0.56, 95% CI: 0.45, 0.69 for regular smokers; OR=0.54, 95% CI: 0.44, 0.68 for daily smokers); however, in a second model (using current age instead of duration of smoking), </w:t>
      </w:r>
      <w:r>
        <w:rPr>
          <w:rFonts w:eastAsia="Calibri" w:cstheme="minorHAnsi"/>
        </w:rPr>
        <w:t>no difference</w:t>
      </w:r>
      <w:r w:rsidRPr="008A0F1F">
        <w:rPr>
          <w:rFonts w:eastAsia="Calibri" w:cstheme="minorHAnsi"/>
        </w:rPr>
        <w:t xml:space="preserve"> between menthol cigarette use and being a long-term former versus a regular smoker was reported. </w:t>
      </w:r>
      <w:r>
        <w:rPr>
          <w:rFonts w:eastAsia="Calibri" w:cstheme="minorHAnsi"/>
        </w:rPr>
        <w:t>No difference</w:t>
      </w:r>
      <w:r w:rsidRPr="008A0F1F">
        <w:rPr>
          <w:rFonts w:eastAsia="Calibri" w:cstheme="minorHAnsi"/>
        </w:rPr>
        <w:t xml:space="preserve">s between menthol cigarette use and being a short-term former versus current regular or daily smoker were reported among Black smokers. Using data from the 2010-2011 TUS-CPS, Black menthol smokers were </w:t>
      </w:r>
      <w:r>
        <w:rPr>
          <w:rFonts w:eastAsia="Calibri" w:cstheme="minorHAnsi"/>
        </w:rPr>
        <w:t>statistically significantly</w:t>
      </w:r>
      <w:r w:rsidRPr="008A0F1F">
        <w:rPr>
          <w:rFonts w:eastAsia="Calibri" w:cstheme="minorHAnsi"/>
        </w:rPr>
        <w:t xml:space="preserve"> less likely to be short-term former versus current regular or daily smokers, irrespective the adjustment model applied.</w:t>
      </w:r>
    </w:p>
    <w:p w14:paraId="61E96968" w14:textId="77777777" w:rsidR="007F0AE0" w:rsidRDefault="007F0AE0" w:rsidP="007F0AE0">
      <w:pPr>
        <w:spacing w:after="120" w:line="240" w:lineRule="auto"/>
        <w:jc w:val="both"/>
        <w:rPr>
          <w:rFonts w:eastAsia="Calibri" w:cstheme="minorHAnsi"/>
        </w:rPr>
      </w:pPr>
      <w:r w:rsidRPr="00830244">
        <w:rPr>
          <w:rFonts w:eastAsia="Calibri" w:cstheme="minorHAnsi"/>
        </w:rPr>
        <w:t xml:space="preserve">Stahre et al. </w:t>
      </w:r>
      <w:r w:rsidRPr="00830244">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830244">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adult current and former smokers in the 2005 National Health Interview Survey Cancer Control Supplement (NHIS-CCS). The quit ratio was calculated as the number of former smokers divided by the sum of the number of current and former smokers). When examining quit ratio by menthol status within racial/ethnic subgroups, </w:t>
      </w:r>
      <w:r>
        <w:rPr>
          <w:rFonts w:eastAsia="Calibri" w:cstheme="minorHAnsi"/>
        </w:rPr>
        <w:t>Black menthol smokers reported a statistically significant lower</w:t>
      </w:r>
      <w:r w:rsidRPr="00830244">
        <w:rPr>
          <w:rFonts w:eastAsia="Calibri" w:cstheme="minorHAnsi"/>
        </w:rPr>
        <w:t xml:space="preserve"> quit rati</w:t>
      </w:r>
      <w:r>
        <w:rPr>
          <w:rFonts w:eastAsia="Calibri" w:cstheme="minorHAnsi"/>
        </w:rPr>
        <w:t>o than Black non-menthol smokers (34% vs. 49%; p&lt;0.001).</w:t>
      </w:r>
    </w:p>
    <w:p w14:paraId="527DAC26" w14:textId="77777777" w:rsidR="007F0AE0" w:rsidRPr="008A0F1F" w:rsidRDefault="007F0AE0" w:rsidP="007F0AE0">
      <w:pPr>
        <w:spacing w:after="120" w:line="240" w:lineRule="auto"/>
        <w:jc w:val="both"/>
        <w:rPr>
          <w:rFonts w:cstheme="minorHAnsi"/>
          <w:color w:val="000000" w:themeColor="text1"/>
        </w:rPr>
      </w:pPr>
      <w:r w:rsidRPr="008A0F1F">
        <w:rPr>
          <w:rFonts w:cstheme="minorHAnsi"/>
          <w:color w:val="000000" w:themeColor="text1"/>
        </w:rPr>
        <w:t xml:space="preserve">Kanyuch et al. </w:t>
      </w:r>
      <w:r w:rsidRPr="008A0F1F">
        <w:rPr>
          <w:rFonts w:cstheme="minorHAnsi"/>
          <w:color w:val="000000" w:themeColor="text1"/>
        </w:rPr>
        <w:fldChar w:fldCharType="begin"/>
      </w:r>
      <w:r>
        <w:rPr>
          <w:rFonts w:cstheme="minorHAnsi"/>
          <w:color w:val="000000" w:themeColor="text1"/>
        </w:rPr>
        <w:instrText xml:space="preserve"> ADDIN EN.CITE &lt;EndNote&gt;&lt;Cite&gt;&lt;Author&gt;Kanyuch&lt;/Author&gt;&lt;Year&gt;2011&lt;/Year&gt;&lt;RecNum&gt;49&lt;/RecNum&gt;&lt;DisplayText&gt;(72)&lt;/DisplayText&gt;&lt;record&gt;&lt;rec-number&gt;49&lt;/rec-number&gt;&lt;foreign-keys&gt;&lt;key app="EN" db-id="a2vz2dfp8xrad6exes75zwpiw5rxwa0vwapv" timestamp="0"&gt;49&lt;/key&gt;&lt;/foreign-keys&gt;&lt;ref-type name="Conference Paper"&gt;47&lt;/ref-type&gt;&lt;contributors&gt;&lt;authors&gt;&lt;author&gt;Kanyuch, J. A.&lt;/author&gt;&lt;author&gt;Bercz, P. A.&lt;/author&gt;&lt;author&gt;Chang, J. &lt;/author&gt;&lt;author&gt;Martinez, F. J.&lt;/author&gt;&lt;author&gt;Criner, G. J.&lt;/author&gt;&lt;author&gt;Lawrence, M. J.&lt;/author&gt;&lt;author&gt;Tomko, P. A.&lt;/author&gt;&lt;author&gt;Foreman, M. G.&lt;/author&gt;&lt;author&gt;Silverman, E.&lt;/author&gt;&lt;author&gt;Crapo, J. D.&lt;/author&gt;&lt;author&gt;Sciurba, F. C.&lt;/author&gt;&lt;author&gt;COPDGene Investigators&lt;/author&gt;&lt;/authors&gt;&lt;/contributors&gt;&lt;titles&gt;&lt;title&gt;Menthol cigarette use among African Americans associated with persistent tobacco use&lt;/title&gt;&lt;/titles&gt;&lt;pages&gt;A4568&lt;/pages&gt;&lt;volume&gt;183&lt;/volume&gt;&lt;dates&gt;&lt;year&gt;2011&lt;/year&gt;&lt;/dates&gt;&lt;publisher&gt;Am J Respir Crit Care Med&lt;/publisher&gt;&lt;urls&gt;&lt;/urls&gt;&lt;research-notes&gt;#255&lt;/research-notes&gt;&lt;/record&gt;&lt;/Cite&gt;&lt;/EndNote&gt;</w:instrText>
      </w:r>
      <w:r w:rsidRPr="008A0F1F">
        <w:rPr>
          <w:rFonts w:cstheme="minorHAnsi"/>
          <w:color w:val="000000" w:themeColor="text1"/>
        </w:rPr>
        <w:fldChar w:fldCharType="separate"/>
      </w:r>
      <w:r>
        <w:rPr>
          <w:rFonts w:cstheme="minorHAnsi"/>
          <w:noProof/>
          <w:color w:val="000000" w:themeColor="text1"/>
        </w:rPr>
        <w:t>(</w:t>
      </w:r>
      <w:hyperlink w:anchor="_ENREF_72" w:tooltip="Kanyuch, 2011 #49" w:history="1">
        <w:r>
          <w:rPr>
            <w:rFonts w:cstheme="minorHAnsi"/>
            <w:noProof/>
            <w:color w:val="000000" w:themeColor="text1"/>
          </w:rPr>
          <w:t>72</w:t>
        </w:r>
      </w:hyperlink>
      <w:r>
        <w:rPr>
          <w:rFonts w:cstheme="minorHAnsi"/>
          <w:noProof/>
          <w:color w:val="000000" w:themeColor="text1"/>
        </w:rPr>
        <w:t>)</w:t>
      </w:r>
      <w:r w:rsidRPr="008A0F1F">
        <w:rPr>
          <w:rFonts w:cstheme="minorHAnsi"/>
          <w:color w:val="000000" w:themeColor="text1"/>
        </w:rPr>
        <w:fldChar w:fldCharType="end"/>
      </w:r>
      <w:r w:rsidRPr="008A0F1F">
        <w:rPr>
          <w:rFonts w:cstheme="minorHAnsi"/>
          <w:color w:val="000000" w:themeColor="text1"/>
        </w:rPr>
        <w:t xml:space="preserve"> analyzed data from the COPDGene cohort—a study conducted in 21 centers across the United States designed to identify genetic factors associated with chronic obstructive pulmonary disease (COPD). Due to limited information on study methodology, particularly the lack of a definition of “current” or “persistent” smoking, this study was rated “poor” quality. Subgroup analysis of Black participants found a </w:t>
      </w:r>
      <w:r>
        <w:rPr>
          <w:rFonts w:cstheme="minorHAnsi"/>
          <w:color w:val="000000" w:themeColor="text1"/>
        </w:rPr>
        <w:t>statistically significant</w:t>
      </w:r>
      <w:r w:rsidRPr="008A0F1F">
        <w:rPr>
          <w:rFonts w:cstheme="minorHAnsi"/>
          <w:color w:val="000000" w:themeColor="text1"/>
        </w:rPr>
        <w:t xml:space="preserve"> higher likelihood of persistent smoking among Black menthol smokers (compared to Black non-menthol smokers (OR=2.84, 95% CI: 1.13, 7.12).</w:t>
      </w:r>
    </w:p>
    <w:p w14:paraId="3A4200D3"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the COMMIT study, Hyland et al. </w:t>
      </w:r>
      <w:r w:rsidRPr="008A0F1F">
        <w:rPr>
          <w:rFonts w:eastAsia="Calibri" w:cstheme="minorHAnsi"/>
        </w:rPr>
        <w:fldChar w:fldCharType="begin"/>
      </w:r>
      <w:r>
        <w:rPr>
          <w:rFonts w:eastAsia="Calibri" w:cstheme="minorHAnsi"/>
        </w:rPr>
        <w:instrText xml:space="preserve"> ADDIN EN.CITE &lt;EndNote&gt;&lt;Cite&gt;&lt;RecNum&gt;87&lt;/RecNum&gt;&lt;DisplayText&gt;(46, 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Cite&gt;&lt;RecNum&gt;100&lt;/RecNum&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8A0F1F">
        <w:rPr>
          <w:rFonts w:eastAsia="Calibri" w:cstheme="minorHAnsi"/>
        </w:rPr>
        <w:fldChar w:fldCharType="separate"/>
      </w:r>
      <w:r>
        <w:rPr>
          <w:rFonts w:eastAsia="Calibri" w:cstheme="minorHAnsi"/>
          <w:noProof/>
        </w:rPr>
        <w:t>(</w:t>
      </w:r>
      <w:hyperlink w:anchor="_ENREF_46" w:tooltip="Hyland, 2010 #100" w:history="1">
        <w:r>
          <w:rPr>
            <w:rFonts w:eastAsia="Calibri" w:cstheme="minorHAnsi"/>
            <w:noProof/>
          </w:rPr>
          <w:t>46</w:t>
        </w:r>
      </w:hyperlink>
      <w:r>
        <w:rPr>
          <w:rFonts w:eastAsia="Calibri" w:cstheme="minorHAnsi"/>
          <w:noProof/>
        </w:rPr>
        <w:t xml:space="preserve">, </w:t>
      </w:r>
      <w:hyperlink w:anchor="_ENREF_50" w:tooltip="Hyland, 2002 #87" w:history="1">
        <w:r>
          <w:rPr>
            <w:rFonts w:eastAsia="Calibri" w:cstheme="minorHAnsi"/>
            <w:noProof/>
          </w:rPr>
          <w:t>50</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reported adjusted quit rates for the overall sample and for White participants, but only unadjusted rates of quitting for Black participants. After at least 13 years of follow up, the rate of quitting was higher for Black menthol smokers than for Black non-menthol smokers, both overall (17.0% vs. 9.4%) and in the subset of those who made a</w:t>
      </w:r>
      <w:r>
        <w:rPr>
          <w:rFonts w:eastAsia="Calibri" w:cstheme="minorHAnsi"/>
        </w:rPr>
        <w:t xml:space="preserve"> quit attempt (26.9% vs. 10.0%); however, no significance testing was reported.</w:t>
      </w:r>
    </w:p>
    <w:p w14:paraId="11268263"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In a study by Lewis et al.</w:t>
      </w:r>
      <w:r>
        <w:rPr>
          <w:rFonts w:eastAsia="Calibri" w:cstheme="minorHAnsi"/>
        </w:rPr>
        <w:t xml:space="preserve"> </w:t>
      </w:r>
      <w:r>
        <w:rPr>
          <w:rFonts w:eastAsia="Calibri" w:cstheme="minorHAnsi"/>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Pr>
          <w:rFonts w:eastAsia="Calibri" w:cstheme="minorHAnsi"/>
        </w:rPr>
        <w:fldChar w:fldCharType="separate"/>
      </w:r>
      <w:r>
        <w:rPr>
          <w:rFonts w:eastAsia="Calibri" w:cstheme="minorHAnsi"/>
          <w:noProof/>
        </w:rPr>
        <w:t>(</w:t>
      </w:r>
      <w:hyperlink w:anchor="_ENREF_53" w:tooltip="Lewis, 2014 #17" w:history="1">
        <w:r>
          <w:rPr>
            <w:rFonts w:eastAsia="Calibri" w:cstheme="minorHAnsi"/>
            <w:noProof/>
          </w:rPr>
          <w:t>53</w:t>
        </w:r>
      </w:hyperlink>
      <w:r>
        <w:rPr>
          <w:rFonts w:eastAsia="Calibri" w:cstheme="minorHAnsi"/>
          <w:noProof/>
        </w:rPr>
        <w:t>)</w:t>
      </w:r>
      <w:r>
        <w:rPr>
          <w:rFonts w:eastAsia="Calibri" w:cstheme="minorHAnsi"/>
        </w:rPr>
        <w:fldChar w:fldCharType="end"/>
      </w:r>
      <w:r w:rsidRPr="008A0F1F">
        <w:rPr>
          <w:rFonts w:eastAsia="Calibri" w:cstheme="minorHAnsi"/>
        </w:rPr>
        <w:t>, quit rates were compared among Black panelists: the quit rates among Black menthol and non-menthol smokers were 17.0 percent and 18.5 percent, respectively.</w:t>
      </w:r>
    </w:p>
    <w:p w14:paraId="0D64BA61"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an older and very small cross-sectional study (N=18), designed to compare puff volume and carbon monoxide absorption in men who smoke at least 15 CPD, Jarvik et al. </w:t>
      </w:r>
      <w:r w:rsidRPr="008A0F1F">
        <w:rPr>
          <w:rFonts w:eastAsia="Calibri" w:cstheme="minorHAnsi"/>
        </w:rPr>
        <w:fldChar w:fldCharType="begin"/>
      </w:r>
      <w:r>
        <w:rPr>
          <w:rFonts w:eastAsia="Calibri" w:cstheme="minorHAnsi"/>
        </w:rPr>
        <w:instrText xml:space="preserve"> ADDIN EN.CITE &lt;EndNote&gt;&lt;Cite&gt;&lt;RecNum&gt;90&lt;/RecNum&gt;&lt;DisplayText&gt;(51)&lt;/DisplayText&gt;&lt;record&gt;&lt;rec-number&gt;90&lt;/rec-number&gt;&lt;foreign-keys&gt;&lt;key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8A0F1F">
        <w:rPr>
          <w:rFonts w:eastAsia="Calibri" w:cstheme="minorHAnsi"/>
        </w:rPr>
        <w:fldChar w:fldCharType="separate"/>
      </w:r>
      <w:r>
        <w:rPr>
          <w:rFonts w:eastAsia="Calibri" w:cstheme="minorHAnsi"/>
          <w:noProof/>
        </w:rPr>
        <w:t>(</w:t>
      </w:r>
      <w:hyperlink w:anchor="_ENREF_51" w:tooltip="Jarvik, 1994 #90" w:history="1">
        <w:r>
          <w:rPr>
            <w:rFonts w:eastAsia="Calibri" w:cstheme="minorHAnsi"/>
            <w:noProof/>
          </w:rPr>
          <w:t>51</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w:t>
      </w:r>
      <w:r>
        <w:rPr>
          <w:rFonts w:eastAsia="Calibri" w:cstheme="minorHAnsi"/>
        </w:rPr>
        <w:t>observed</w:t>
      </w:r>
      <w:r w:rsidRPr="008A0F1F">
        <w:rPr>
          <w:rFonts w:eastAsia="Calibri" w:cstheme="minorHAnsi"/>
        </w:rPr>
        <w:t xml:space="preserve"> differences in the number of quit attempts (definition not reported). Black menthol smokers reported six times fewer quit attempts than Black non-menthol smokers (0.40 vs. 3.40). This study was rated </w:t>
      </w:r>
      <w:r>
        <w:rPr>
          <w:rFonts w:eastAsia="Calibri" w:cstheme="minorHAnsi"/>
        </w:rPr>
        <w:t>“</w:t>
      </w:r>
      <w:r w:rsidRPr="008A0F1F">
        <w:rPr>
          <w:rFonts w:eastAsia="Calibri" w:cstheme="minorHAnsi"/>
        </w:rPr>
        <w:t>poor</w:t>
      </w:r>
      <w:r>
        <w:rPr>
          <w:rFonts w:eastAsia="Calibri" w:cstheme="minorHAnsi"/>
        </w:rPr>
        <w:t>”</w:t>
      </w:r>
      <w:r w:rsidRPr="008A0F1F">
        <w:rPr>
          <w:rFonts w:eastAsia="Calibri" w:cstheme="minorHAnsi"/>
        </w:rPr>
        <w:t xml:space="preserve"> quality.</w:t>
      </w:r>
    </w:p>
    <w:p w14:paraId="6C4EC75E" w14:textId="77777777" w:rsidR="007F0AE0" w:rsidRPr="008A0F1F" w:rsidRDefault="007F0AE0" w:rsidP="007F0AE0">
      <w:pPr>
        <w:spacing w:after="120" w:line="240" w:lineRule="auto"/>
        <w:jc w:val="both"/>
        <w:rPr>
          <w:rFonts w:eastAsia="Calibri" w:cstheme="minorHAnsi"/>
        </w:rPr>
      </w:pPr>
      <w:r w:rsidRPr="008A0F1F">
        <w:rPr>
          <w:rFonts w:eastAsia="Calibri" w:cstheme="minorHAnsi"/>
        </w:rPr>
        <w:t xml:space="preserve">In another older and very small study by some of the same investigators as the Jarvik et al. paper above, Miller et al. </w:t>
      </w:r>
      <w:r w:rsidRPr="008A0F1F">
        <w:rPr>
          <w:rFonts w:eastAsia="Calibri" w:cstheme="minorHAnsi"/>
        </w:rPr>
        <w:fldChar w:fldCharType="begin"/>
      </w:r>
      <w:r>
        <w:rPr>
          <w:rFonts w:eastAsia="Calibri" w:cstheme="minorHAnsi"/>
        </w:rPr>
        <w:instrText xml:space="preserve"> ADDIN EN.CITE &lt;EndNote&gt;&lt;Cite&gt;&lt;RecNum&gt;91&lt;/RecNum&gt;&lt;DisplayText&gt;(16)&lt;/DisplayText&gt;&lt;record&gt;&lt;rec-number&gt;91&lt;/rec-number&gt;&lt;foreign-keys&gt;&lt;key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8A0F1F">
        <w:rPr>
          <w:rFonts w:eastAsia="Calibri" w:cstheme="minorHAnsi"/>
        </w:rPr>
        <w:fldChar w:fldCharType="separate"/>
      </w:r>
      <w:r>
        <w:rPr>
          <w:rFonts w:eastAsia="Calibri" w:cstheme="minorHAnsi"/>
          <w:noProof/>
        </w:rPr>
        <w:t>(</w:t>
      </w:r>
      <w:hyperlink w:anchor="_ENREF_16" w:tooltip="Miller, 1994 #91" w:history="1">
        <w:r>
          <w:rPr>
            <w:rFonts w:eastAsia="Calibri" w:cstheme="minorHAnsi"/>
            <w:noProof/>
          </w:rPr>
          <w:t>16</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recruited Black male smokers from an inpatient substance abuse ward at a Veterans Administration Medical Center (N=12). Participants were enrolled in a 21-day drug treatment program and were required to smoke at least 15 CPD and be free of psychotropic medication. They found that the longest duration of abstinence (“days without smoking”) for menthol smokers was shorter (60.3±94.1 days) than non-menthol smokers (98.0± 177.8 days). Miller et al. also found that menthol was associated with fewer quit attempts (definition not reported) per person. Specifically, menthol smokers reported 1.5±2.07 quit attempts and non-menthol smokers reported 4.16±4.57 quit attempts.</w:t>
      </w:r>
      <w:r>
        <w:rPr>
          <w:rFonts w:eastAsia="Calibri" w:cstheme="minorHAnsi"/>
        </w:rPr>
        <w:t xml:space="preserve"> Significance was not reported for either outcome.</w:t>
      </w:r>
    </w:p>
    <w:p w14:paraId="254360D4" w14:textId="77777777" w:rsidR="007F0AE0" w:rsidRPr="00DE2832" w:rsidRDefault="007F0AE0" w:rsidP="007F0AE0">
      <w:pPr>
        <w:spacing w:after="120" w:line="240" w:lineRule="auto"/>
        <w:jc w:val="both"/>
        <w:rPr>
          <w:rFonts w:eastAsia="Calibri" w:cstheme="minorHAnsi"/>
        </w:rPr>
      </w:pPr>
      <w:r w:rsidRPr="008A0F1F">
        <w:rPr>
          <w:rFonts w:eastAsia="Calibri" w:cstheme="minorHAnsi"/>
        </w:rPr>
        <w:t xml:space="preserve">Sidney et al. </w:t>
      </w:r>
      <w:r w:rsidRPr="008A0F1F">
        <w:rPr>
          <w:rFonts w:eastAsia="Calibri" w:cstheme="minorHAnsi"/>
        </w:rPr>
        <w:fldChar w:fldCharType="begin"/>
      </w:r>
      <w:r>
        <w:rPr>
          <w:rFonts w:eastAsia="Calibri" w:cstheme="minorHAnsi"/>
        </w:rPr>
        <w:instrText xml:space="preserve"> ADDIN EN.CITE &lt;EndNote&gt;&lt;Cite&gt;&lt;RecNum&gt;92&lt;/RecNum&gt;&lt;DisplayText&gt;(73)&lt;/DisplayText&gt;&lt;record&gt;&lt;rec-number&gt;92&lt;/rec-number&gt;&lt;foreign-keys&gt;&lt;key app="EN" db-id="a2vz2dfp8xrad6exes75zwpiw5rxwa0vwapv" timestamp="0"&gt;92&lt;/key&gt;&lt;/foreign-keys&gt;&lt;ref-type name="Journal Article"&gt;17&lt;/ref-type&gt;&lt;contributors&gt;&lt;authors&gt;&lt;author&gt;Sidney, S.&lt;/author&gt;&lt;author&gt;Tekawa, I. S.&lt;/author&gt;&lt;author&gt;Friedman, G. D.&lt;/author&gt;&lt;/authors&gt;&lt;/contributors&gt;&lt;titles&gt;&lt;title&gt;Mentholated cigarette use among multiphasic examinees, 1979-86&lt;/title&gt;&lt;secondary-title&gt;Am J Public Health&lt;/secondary-title&gt;&lt;/titles&gt;&lt;periodical&gt;&lt;full-title&gt;Am J Public Health&lt;/full-title&gt;&lt;/periodical&gt;&lt;pages&gt;1415-1416&lt;/pages&gt;&lt;volume&gt;79&lt;/volume&gt;&lt;section&gt;1415&lt;/section&gt;&lt;dates&gt;&lt;year&gt;1989&lt;/year&gt;&lt;/dates&gt;&lt;urls&gt;&lt;/urls&gt;&lt;research-notes&gt;#505&lt;/research-notes&gt;&lt;/record&gt;&lt;/Cite&gt;&lt;/EndNote&gt;</w:instrText>
      </w:r>
      <w:r w:rsidRPr="008A0F1F">
        <w:rPr>
          <w:rFonts w:eastAsia="Calibri" w:cstheme="minorHAnsi"/>
        </w:rPr>
        <w:fldChar w:fldCharType="separate"/>
      </w:r>
      <w:r>
        <w:rPr>
          <w:rFonts w:eastAsia="Calibri" w:cstheme="minorHAnsi"/>
          <w:noProof/>
        </w:rPr>
        <w:t>(</w:t>
      </w:r>
      <w:hyperlink w:anchor="_ENREF_73" w:tooltip="Sidney, 1989 #92" w:history="1">
        <w:r>
          <w:rPr>
            <w:rFonts w:eastAsia="Calibri" w:cstheme="minorHAnsi"/>
            <w:noProof/>
          </w:rPr>
          <w:t>73</w:t>
        </w:r>
      </w:hyperlink>
      <w:r>
        <w:rPr>
          <w:rFonts w:eastAsia="Calibri" w:cstheme="minorHAnsi"/>
          <w:noProof/>
        </w:rPr>
        <w:t>)</w:t>
      </w:r>
      <w:r w:rsidRPr="008A0F1F">
        <w:rPr>
          <w:rFonts w:eastAsia="Calibri" w:cstheme="minorHAnsi"/>
        </w:rPr>
        <w:fldChar w:fldCharType="end"/>
      </w:r>
      <w:r w:rsidRPr="008A0F1F">
        <w:rPr>
          <w:rFonts w:eastAsia="Calibri" w:cstheme="minorHAnsi"/>
        </w:rPr>
        <w:t xml:space="preserve"> analyzed smoking cessation data from 1,688 Black HMO enrollees in California, all less than 40 years old at baseline, for a mean of 4.5 years. They reported a difference in quit rate of 2.1 percent: 15.4 percent of menthol smokers had quit, compared with 17.5 percent of non-menthol smokers, noting that “Quitting was equally likely in both groups”.</w:t>
      </w:r>
    </w:p>
    <w:p w14:paraId="24E66C46" w14:textId="77777777" w:rsidR="007F0AE0" w:rsidRPr="003E05E9" w:rsidRDefault="007F0AE0" w:rsidP="007F0AE0">
      <w:pPr>
        <w:spacing w:after="120" w:line="240" w:lineRule="auto"/>
        <w:jc w:val="both"/>
        <w:outlineLvl w:val="3"/>
        <w:rPr>
          <w:rFonts w:eastAsia="Calibri" w:cstheme="minorHAnsi"/>
          <w:b/>
          <w:i/>
        </w:rPr>
      </w:pPr>
      <w:r w:rsidRPr="003E05E9">
        <w:rPr>
          <w:rFonts w:eastAsia="Calibri" w:cstheme="minorHAnsi"/>
          <w:b/>
          <w:i/>
        </w:rPr>
        <w:t>Hispanics</w:t>
      </w:r>
    </w:p>
    <w:p w14:paraId="36D4894E" w14:textId="77777777" w:rsidR="007F0AE0" w:rsidRPr="003E05E9" w:rsidRDefault="007F0AE0" w:rsidP="007F0AE0">
      <w:pPr>
        <w:spacing w:after="120" w:line="240" w:lineRule="auto"/>
        <w:jc w:val="both"/>
        <w:rPr>
          <w:rFonts w:eastAsia="Calibri" w:cstheme="minorHAnsi"/>
          <w:i/>
        </w:rPr>
      </w:pPr>
      <w:r w:rsidRPr="003E05E9">
        <w:rPr>
          <w:rFonts w:eastAsia="Calibri" w:cstheme="minorHAnsi"/>
          <w:i/>
        </w:rPr>
        <w:lastRenderedPageBreak/>
        <w:t>Three studies reported smoking cessation data for Hispanics only</w:t>
      </w:r>
      <w:r>
        <w:rPr>
          <w:rFonts w:eastAsia="Calibri" w:cstheme="minorHAnsi"/>
          <w:i/>
        </w:rPr>
        <w:t xml:space="preserve"> </w:t>
      </w:r>
      <w:r>
        <w:rPr>
          <w:rFonts w:eastAsia="Calibri" w:cstheme="minorHAnsi"/>
          <w:i/>
        </w:rPr>
        <w:fldChar w:fldCharType="begin">
          <w:fldData xml:space="preserve">PEVuZE5vdGU+PENpdGU+PEF1dGhvcj5LYWhlbmRlPC9BdXRob3I+PFllYXI+MjAxMTwvWWVhcj48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</w:fldData>
        </w:fldChar>
      </w:r>
      <w:r>
        <w:rPr>
          <w:rFonts w:eastAsia="Calibri" w:cstheme="minorHAnsi"/>
          <w:i/>
        </w:rPr>
        <w:instrText xml:space="preserve"> ADDIN EN.CITE </w:instrText>
      </w:r>
      <w:r>
        <w:rPr>
          <w:rFonts w:eastAsia="Calibri" w:cstheme="minorHAnsi"/>
          <w:i/>
        </w:rPr>
        <w:fldChar w:fldCharType="begin">
          <w:fldData xml:space="preserve">PEVuZE5vdGU+PENpdGU+PEF1dGhvcj5LYWhlbmRlPC9BdXRob3I+PFllYXI+MjAxMTwvWWVhcj48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22" w:tooltip="Mendiondo, 2010 #60" w:history="1">
        <w:r>
          <w:rPr>
            <w:rFonts w:eastAsia="Calibri" w:cstheme="minorHAnsi"/>
            <w:i/>
            <w:noProof/>
          </w:rPr>
          <w:t>22</w:t>
        </w:r>
      </w:hyperlink>
      <w:r>
        <w:rPr>
          <w:rFonts w:eastAsia="Calibri" w:cstheme="minorHAnsi"/>
          <w:i/>
          <w:noProof/>
        </w:rPr>
        <w:t xml:space="preserve">, </w:t>
      </w:r>
      <w:hyperlink w:anchor="_ENREF_32" w:tooltip="Stahre, 2010 #57" w:history="1">
        <w:r>
          <w:rPr>
            <w:rFonts w:eastAsia="Calibri" w:cstheme="minorHAnsi"/>
            <w:i/>
            <w:noProof/>
          </w:rPr>
          <w:t>32</w:t>
        </w:r>
      </w:hyperlink>
      <w:r>
        <w:rPr>
          <w:rFonts w:eastAsia="Calibri" w:cstheme="minorHAnsi"/>
          <w:i/>
          <w:noProof/>
        </w:rPr>
        <w:t xml:space="preserve">, </w:t>
      </w:r>
      <w:hyperlink w:anchor="_ENREF_34" w:tooltip="Kahende, 2011 #43" w:history="1">
        <w:r>
          <w:rPr>
            <w:rFonts w:eastAsia="Calibri" w:cstheme="minorHAnsi"/>
            <w:i/>
            <w:noProof/>
          </w:rPr>
          <w:t>34</w:t>
        </w:r>
      </w:hyperlink>
      <w:r>
        <w:rPr>
          <w:rFonts w:eastAsia="Calibri" w:cstheme="minorHAnsi"/>
          <w:i/>
          <w:noProof/>
        </w:rPr>
        <w:t>)</w:t>
      </w:r>
      <w:r>
        <w:rPr>
          <w:rFonts w:eastAsia="Calibri" w:cstheme="minorHAnsi"/>
          <w:i/>
        </w:rPr>
        <w:fldChar w:fldCharType="end"/>
      </w:r>
      <w:r w:rsidRPr="003E05E9">
        <w:rPr>
          <w:rFonts w:eastAsia="Calibri" w:cstheme="minorHAnsi"/>
          <w:i/>
        </w:rPr>
        <w:t xml:space="preserve">. In a study that analyzed data from former smokers, the mean time since quitting was slightly but not </w:t>
      </w:r>
      <w:r>
        <w:rPr>
          <w:rFonts w:eastAsia="Calibri" w:cstheme="minorHAnsi"/>
          <w:i/>
        </w:rPr>
        <w:t>statistically significantly</w:t>
      </w:r>
      <w:r w:rsidRPr="003E05E9">
        <w:rPr>
          <w:rFonts w:eastAsia="Calibri" w:cstheme="minorHAnsi"/>
          <w:i/>
        </w:rPr>
        <w:t xml:space="preserve"> shorter among Hispanic menthol smokers than non-menthol smokers. Another study found that no difference in reported past-year quit attempted between menthol and non-menthol smokers. A third study reported a lower rate of quitting for Hispanic menthol smokers compared with non-menthol smokers, although no significance was reported.</w:t>
      </w:r>
    </w:p>
    <w:p w14:paraId="12A440F1" w14:textId="77777777" w:rsidR="007F0AE0" w:rsidRPr="003E05E9" w:rsidRDefault="007F0AE0" w:rsidP="007F0AE0">
      <w:pPr>
        <w:spacing w:after="120" w:line="240" w:lineRule="auto"/>
        <w:jc w:val="both"/>
        <w:rPr>
          <w:rFonts w:eastAsia="Calibri" w:cstheme="minorHAnsi"/>
        </w:rPr>
      </w:pPr>
      <w:r w:rsidRPr="003E05E9">
        <w:rPr>
          <w:rFonts w:eastAsia="Calibri" w:cstheme="minorHAnsi"/>
        </w:rPr>
        <w:t xml:space="preserve">Using the 2005 NHIS, Mendiondo et al. </w:t>
      </w:r>
      <w:r w:rsidRPr="003E05E9">
        <w:rPr>
          <w:rFonts w:eastAsia="Calibri" w:cstheme="minorHAnsi"/>
        </w:rPr>
        <w:fldChar w:fldCharType="begin"/>
      </w:r>
      <w:r>
        <w:rPr>
          <w:rFonts w:eastAsia="Calibri" w:cstheme="minorHAnsi"/>
        </w:rPr>
        <w:instrText xml:space="preserve"> ADDIN EN.CITE &lt;EndNote&gt;&lt;Cite&gt;&lt;RecNum&gt;60&lt;/RecNum&gt;&lt;DisplayText&gt;(22)&lt;/DisplayText&gt;&lt;record&gt;&lt;rec-number&gt;60&lt;/rec-number&gt;&lt;foreign-keys&gt;&lt;key app="EN" db-id="a2vz2dfp8xrad6exes75zwpiw5rxwa0vwapv" timestamp="0"&gt;60&lt;/key&gt;&lt;/foreign-keys&gt;&lt;ref-type name="Journal Article"&gt;17&lt;/ref-type&gt;&lt;contributors&gt;&lt;authors&gt;&lt;author&gt;Mendiondo, M. S.&lt;/author&gt;&lt;author&gt;Alexander, L. A.&lt;/author&gt;&lt;author&gt;Crawford, T.&lt;/author&gt;&lt;/authors&gt;&lt;/contributors&gt;&lt;auth-address&gt;Department of Biostatistics, College of Public Health, University of Kentucky, USA. marta@email.uky.edu&lt;/auth-address&gt;&lt;titles&gt;&lt;title&gt;Health profile differences for menthol and non-menthol smokers: findings from the National Health Interview Survey&lt;/title&gt;&lt;secondary-title&gt;Addiction&lt;/secondary-title&gt;&lt;/titles&gt;&lt;periodical&gt;&lt;full-title&gt;Addiction&lt;/full-title&gt;&lt;/periodical&gt;&lt;pages&gt;124-40&lt;/pages&gt;&lt;volume&gt;105 Suppl 1&lt;/volume&gt;&lt;keywords&gt;&lt;keyword&gt;Adult&lt;/keyword&gt;&lt;keyword&gt;Asthma/epidemiology&lt;/keyword&gt;&lt;keyword&gt;Body Mass Index&lt;/keyword&gt;&lt;keyword&gt;Female&lt;/keyword&gt;&lt;keyword&gt;*Health Status Indicators&lt;/keyword&gt;&lt;keyword&gt;*Health Surveys&lt;/keyword&gt;&lt;keyword&gt;Humans&lt;/keyword&gt;&lt;keyword&gt;Logistic Models&lt;/keyword&gt;&lt;keyword&gt;Male&lt;/keyword&gt;&lt;keyword&gt;Mental Health/statistics &amp;amp; numerical data&lt;/keyword&gt;&lt;keyword&gt;*Menthol&lt;/keyword&gt;&lt;keyword&gt;Middle Aged&lt;/keyword&gt;&lt;keyword&gt;Patient Acceptance of Health Care/statistics &amp;amp; numerical data&lt;/keyword&gt;&lt;keyword&gt;Smoking/adverse effects/*epidemiology&lt;/keyword&gt;&lt;keyword&gt;Smoking Cessation/statistics &amp;amp; numerical data&lt;/keyword&gt;&lt;keyword&gt;United States/epidemiology&lt;/keyword&gt;&lt;/keywords&gt;&lt;dates&gt;&lt;year&gt;2010&lt;/year&gt;&lt;pub-dates&gt;&lt;date&gt;Dec&lt;/date&gt;&lt;/pub-dates&gt;&lt;/dates&gt;&lt;isbn&gt;1360-0443 (Electronic)&amp;#xD;0965-2140 (Linking)&lt;/isbn&gt;&lt;accession-num&gt;21059143&lt;/accession-num&gt;&lt;urls&gt;&lt;related-urls&gt;&lt;url&gt;http://www.ncbi.nlm.nih.gov/pubmed/21059143&lt;/url&gt;&lt;/related-urls&gt;&lt;/urls&gt;&lt;electronic-resource-num&gt;10.1111/j.1360-0443.2010.03202.x&lt;/electronic-resource-num&gt;&lt;research-notes&gt;#290&lt;/research-notes&gt;&lt;/record&gt;&lt;/Cite&gt;&lt;/EndNote&gt;</w:instrText>
      </w:r>
      <w:r w:rsidRPr="003E05E9">
        <w:rPr>
          <w:rFonts w:eastAsia="Calibri" w:cstheme="minorHAnsi"/>
        </w:rPr>
        <w:fldChar w:fldCharType="separate"/>
      </w:r>
      <w:r>
        <w:rPr>
          <w:rFonts w:eastAsia="Calibri" w:cstheme="minorHAnsi"/>
          <w:noProof/>
        </w:rPr>
        <w:t>(</w:t>
      </w:r>
      <w:hyperlink w:anchor="_ENREF_22" w:tooltip="Mendiondo, 2010 #60" w:history="1">
        <w:r>
          <w:rPr>
            <w:rFonts w:eastAsia="Calibri" w:cstheme="minorHAnsi"/>
            <w:noProof/>
          </w:rPr>
          <w:t>22</w:t>
        </w:r>
      </w:hyperlink>
      <w:r>
        <w:rPr>
          <w:rFonts w:eastAsia="Calibri" w:cstheme="minorHAnsi"/>
          <w:noProof/>
        </w:rPr>
        <w:t>)</w:t>
      </w:r>
      <w:r w:rsidRPr="003E05E9">
        <w:rPr>
          <w:rFonts w:eastAsia="Calibri" w:cstheme="minorHAnsi"/>
        </w:rPr>
        <w:fldChar w:fldCharType="end"/>
      </w:r>
      <w:r w:rsidRPr="003E05E9">
        <w:rPr>
          <w:rFonts w:eastAsia="Calibri" w:cstheme="minorHAnsi"/>
        </w:rPr>
        <w:t xml:space="preserve"> analyzed data from Hispanic former smokers. They found that the mean time since quitting was slightly but not </w:t>
      </w:r>
      <w:r>
        <w:rPr>
          <w:rFonts w:eastAsia="Calibri" w:cstheme="minorHAnsi"/>
        </w:rPr>
        <w:t>statistically significantly</w:t>
      </w:r>
      <w:r w:rsidRPr="003E05E9">
        <w:rPr>
          <w:rFonts w:eastAsia="Calibri" w:cstheme="minorHAnsi"/>
        </w:rPr>
        <w:t xml:space="preserve"> shorter for Hispanic menthol smokers (12.0 years) than Hispanic non-menthol smokers (12.9 years; p=0.50). Of all Hispanic former smokers, 23.4 percent smoked menthols before quitting, and 76.6 percent smoked non-menthols.</w:t>
      </w:r>
    </w:p>
    <w:p w14:paraId="425C1B97" w14:textId="77777777" w:rsidR="007F0AE0" w:rsidRPr="003E05E9" w:rsidRDefault="007F0AE0" w:rsidP="007F0AE0">
      <w:pPr>
        <w:spacing w:after="120" w:line="240" w:lineRule="auto"/>
        <w:jc w:val="both"/>
        <w:rPr>
          <w:rFonts w:eastAsia="Calibri" w:cstheme="minorHAnsi"/>
        </w:rPr>
      </w:pPr>
      <w:r w:rsidRPr="003E05E9">
        <w:rPr>
          <w:rFonts w:eastAsia="Calibri" w:cstheme="minorHAnsi"/>
        </w:rPr>
        <w:t xml:space="preserve">In 2011, Kahende et al. </w:t>
      </w:r>
      <w:r w:rsidRPr="003E05E9">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3E05E9">
        <w:rPr>
          <w:rFonts w:eastAsia="Calibri" w:cstheme="minorHAnsi"/>
        </w:rPr>
        <w:fldChar w:fldCharType="separate"/>
      </w:r>
      <w:r>
        <w:rPr>
          <w:rFonts w:eastAsia="Calibri" w:cstheme="minorHAnsi"/>
          <w:noProof/>
        </w:rPr>
        <w:t>(</w:t>
      </w:r>
      <w:hyperlink w:anchor="_ENREF_34" w:tooltip="Kahende, 2011 #43" w:history="1">
        <w:r>
          <w:rPr>
            <w:rFonts w:eastAsia="Calibri" w:cstheme="minorHAnsi"/>
            <w:noProof/>
          </w:rPr>
          <w:t>34</w:t>
        </w:r>
      </w:hyperlink>
      <w:r>
        <w:rPr>
          <w:rFonts w:eastAsia="Calibri" w:cstheme="minorHAnsi"/>
          <w:noProof/>
        </w:rPr>
        <w:t>)</w:t>
      </w:r>
      <w:r w:rsidRPr="003E05E9">
        <w:rPr>
          <w:rFonts w:eastAsia="Calibri" w:cstheme="minorHAnsi"/>
        </w:rPr>
        <w:fldChar w:fldCharType="end"/>
      </w:r>
      <w:r w:rsidRPr="003E05E9">
        <w:rPr>
          <w:rFonts w:eastAsia="Calibri" w:cstheme="minorHAnsi"/>
        </w:rPr>
        <w:t xml:space="preserve"> analyzed data from more than 16,000 adult participants in the TUS-CPS in 2003 or 2006-2007 who reported smoking in the past year. Participants were asked if they had stopped smoking for one day or longer because they were trying to quit. %). Among Hispanic smokers, no difference was detected between menthol and non-menthol smokers in reported past year quit attempts</w:t>
      </w:r>
      <w:r>
        <w:rPr>
          <w:rFonts w:eastAsia="Calibri" w:cstheme="minorHAnsi"/>
        </w:rPr>
        <w:t xml:space="preserve"> (menthol=51.7%, 95% CI: 47.3</w:t>
      </w:r>
      <w:r w:rsidRPr="003E05E9">
        <w:rPr>
          <w:rFonts w:eastAsia="Calibri" w:cstheme="minorHAnsi"/>
        </w:rPr>
        <w:t xml:space="preserve">, </w:t>
      </w:r>
      <w:r>
        <w:rPr>
          <w:rFonts w:eastAsia="Calibri" w:cstheme="minorHAnsi"/>
        </w:rPr>
        <w:t>56.1</w:t>
      </w:r>
      <w:r w:rsidRPr="003E05E9">
        <w:rPr>
          <w:rFonts w:eastAsia="Calibri" w:cstheme="minorHAnsi"/>
        </w:rPr>
        <w:t>; non-menthol=47.2%</w:t>
      </w:r>
      <w:r>
        <w:rPr>
          <w:rFonts w:eastAsia="Calibri" w:cstheme="minorHAnsi"/>
        </w:rPr>
        <w:t>, 95% CI: 44.7</w:t>
      </w:r>
      <w:r w:rsidRPr="003E05E9">
        <w:rPr>
          <w:rFonts w:eastAsia="Calibri" w:cstheme="minorHAnsi"/>
        </w:rPr>
        <w:t xml:space="preserve">, </w:t>
      </w:r>
      <w:r>
        <w:rPr>
          <w:rFonts w:eastAsia="Calibri" w:cstheme="minorHAnsi"/>
        </w:rPr>
        <w:t>49.6)</w:t>
      </w:r>
      <w:r w:rsidRPr="003E05E9">
        <w:rPr>
          <w:rFonts w:eastAsia="Calibri" w:cstheme="minorHAnsi"/>
        </w:rPr>
        <w:t xml:space="preserve">. </w:t>
      </w:r>
    </w:p>
    <w:p w14:paraId="629B58FA" w14:textId="77777777" w:rsidR="007F0AE0" w:rsidRPr="00DE2832" w:rsidRDefault="007F0AE0" w:rsidP="007F0AE0">
      <w:pPr>
        <w:spacing w:after="120" w:line="240" w:lineRule="auto"/>
        <w:jc w:val="both"/>
        <w:rPr>
          <w:rFonts w:eastAsia="Calibri" w:cstheme="minorHAnsi"/>
          <w:b/>
          <w:i/>
        </w:rPr>
      </w:pPr>
      <w:r w:rsidRPr="003E05E9">
        <w:rPr>
          <w:rFonts w:eastAsia="Calibri" w:cstheme="minorHAnsi"/>
        </w:rPr>
        <w:t xml:space="preserve">Stahre et al. </w:t>
      </w:r>
      <w:r w:rsidRPr="003E05E9">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3E05E9">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3E05E9">
        <w:rPr>
          <w:rFonts w:eastAsia="Calibri" w:cstheme="minorHAnsi"/>
        </w:rPr>
        <w:fldChar w:fldCharType="end"/>
      </w:r>
      <w:r w:rsidRPr="003E05E9">
        <w:rPr>
          <w:rFonts w:eastAsia="Calibri" w:cstheme="minorHAnsi"/>
        </w:rPr>
        <w:t xml:space="preserve"> analyzed data from current and former smokers age 18 and older in the 2005 NHIS-CCS. The quit ratio was calculated as the number of former smokers divided by the sum of the number of current and former smokers). Among Hispanic participants, menthol smokers had a lower rate of quitting, compared with non-menthol smokers (40% vs. 45%; significance not reported).</w:t>
      </w:r>
      <w:r w:rsidRPr="00DE2832">
        <w:rPr>
          <w:rFonts w:eastAsia="Calibri" w:cstheme="minorHAnsi"/>
        </w:rPr>
        <w:t xml:space="preserve"> </w:t>
      </w:r>
    </w:p>
    <w:p w14:paraId="7CB168F3"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Other or Multiple Races/Ethnicities</w:t>
      </w:r>
    </w:p>
    <w:p w14:paraId="3D143554" w14:textId="77777777" w:rsidR="007F0AE0" w:rsidRDefault="007F0AE0" w:rsidP="007F0AE0">
      <w:pPr>
        <w:spacing w:after="120" w:line="240" w:lineRule="auto"/>
        <w:jc w:val="both"/>
        <w:rPr>
          <w:rFonts w:eastAsia="Calibri" w:cstheme="minorHAnsi"/>
          <w:i/>
        </w:rPr>
      </w:pPr>
      <w:r w:rsidRPr="00DE2832">
        <w:rPr>
          <w:rFonts w:eastAsia="Calibri" w:cstheme="minorHAnsi"/>
          <w:i/>
        </w:rPr>
        <w:t xml:space="preserve">Only </w:t>
      </w:r>
      <w:r>
        <w:rPr>
          <w:rFonts w:eastAsia="Calibri" w:cstheme="minorHAnsi"/>
          <w:i/>
        </w:rPr>
        <w:t>two</w:t>
      </w:r>
      <w:r w:rsidRPr="00DE2832">
        <w:rPr>
          <w:rFonts w:eastAsia="Calibri" w:cstheme="minorHAnsi"/>
          <w:i/>
        </w:rPr>
        <w:t xml:space="preserve"> study </w:t>
      </w:r>
      <w:r w:rsidRPr="00DE1BE1">
        <w:rPr>
          <w:rFonts w:eastAsia="Calibri" w:cstheme="minorHAnsi"/>
          <w:i/>
        </w:rPr>
        <w:t>rep</w:t>
      </w:r>
      <w:r w:rsidRPr="00AA288D">
        <w:rPr>
          <w:rFonts w:eastAsia="Calibri" w:cstheme="minorHAnsi"/>
          <w:i/>
        </w:rPr>
        <w:t>orted rates of cessation for races/ethnicities other than those above</w:t>
      </w:r>
      <w:r>
        <w:rPr>
          <w:rFonts w:eastAsia="Calibri" w:cstheme="minorHAnsi"/>
          <w:i/>
        </w:rPr>
        <w:t xml:space="preserve"> </w:t>
      </w:r>
      <w:r>
        <w:rPr>
          <w:rFonts w:eastAsia="Calibri" w:cstheme="minorHAnsi"/>
          <w:i/>
        </w:rPr>
        <w:fldChar w:fldCharType="begin">
          <w:fldData xml:space="preserve">PEVuZE5vdGU+PENpdGU+PEF1dGhvcj5TdGFocmU8L0F1dGhvcj48WWVhcj4yMDEwPC9ZZWFyPjxS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</w:fldData>
        </w:fldChar>
      </w:r>
      <w:r>
        <w:rPr>
          <w:rFonts w:eastAsia="Calibri" w:cstheme="minorHAnsi"/>
          <w:i/>
        </w:rPr>
        <w:instrText xml:space="preserve"> ADDIN EN.CITE </w:instrText>
      </w:r>
      <w:r>
        <w:rPr>
          <w:rFonts w:eastAsia="Calibri" w:cstheme="minorHAnsi"/>
          <w:i/>
        </w:rPr>
        <w:fldChar w:fldCharType="begin">
          <w:fldData xml:space="preserve">PEVuZE5vdGU+PENpdGU+PEF1dGhvcj5TdGFocmU8L0F1dGhvcj48WWVhcj4yMDEwPC9ZZWFyPjxS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32" w:tooltip="Stahre, 2010 #57" w:history="1">
        <w:r>
          <w:rPr>
            <w:rFonts w:eastAsia="Calibri" w:cstheme="minorHAnsi"/>
            <w:i/>
            <w:noProof/>
          </w:rPr>
          <w:t>32</w:t>
        </w:r>
      </w:hyperlink>
      <w:r>
        <w:rPr>
          <w:rFonts w:eastAsia="Calibri" w:cstheme="minorHAnsi"/>
          <w:i/>
          <w:noProof/>
        </w:rPr>
        <w:t xml:space="preserve">, </w:t>
      </w:r>
      <w:hyperlink w:anchor="_ENREF_54" w:tooltip="Sulsky, 2014 #15" w:history="1">
        <w:r>
          <w:rPr>
            <w:rFonts w:eastAsia="Calibri" w:cstheme="minorHAnsi"/>
            <w:i/>
            <w:noProof/>
          </w:rPr>
          <w:t>54</w:t>
        </w:r>
      </w:hyperlink>
      <w:r>
        <w:rPr>
          <w:rFonts w:eastAsia="Calibri" w:cstheme="minorHAnsi"/>
          <w:i/>
          <w:noProof/>
        </w:rPr>
        <w:t>)</w:t>
      </w:r>
      <w:r>
        <w:rPr>
          <w:rFonts w:eastAsia="Calibri" w:cstheme="minorHAnsi"/>
          <w:i/>
        </w:rPr>
        <w:fldChar w:fldCharType="end"/>
      </w:r>
      <w:r w:rsidRPr="00DE1BE1">
        <w:rPr>
          <w:rFonts w:cstheme="minorHAnsi"/>
          <w:i/>
          <w:noProof/>
        </w:rPr>
        <w:t>,</w:t>
      </w:r>
      <w:r w:rsidRPr="00DE1BE1">
        <w:rPr>
          <w:rFonts w:eastAsia="Calibri" w:cstheme="minorHAnsi"/>
          <w:i/>
        </w:rPr>
        <w:t xml:space="preserve"> while another study reported quit attempts</w:t>
      </w:r>
      <w:r>
        <w:rPr>
          <w:rFonts w:eastAsia="Calibri" w:cstheme="minorHAnsi"/>
          <w:i/>
        </w:rPr>
        <w:t xml:space="preserve"> </w:t>
      </w:r>
      <w:r>
        <w:rPr>
          <w:rFonts w:eastAsia="Calibri" w:cstheme="minorHAnsi"/>
          <w:i/>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eastAsia="Calibri" w:cstheme="minorHAnsi"/>
          <w:i/>
        </w:rPr>
        <w:instrText xml:space="preserve"> ADDIN EN.CITE </w:instrText>
      </w:r>
      <w:r>
        <w:rPr>
          <w:rFonts w:eastAsia="Calibri" w:cstheme="minorHAnsi"/>
          <w:i/>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34" w:tooltip="Kahende, 2011 #43" w:history="1">
        <w:r>
          <w:rPr>
            <w:rFonts w:eastAsia="Calibri" w:cstheme="minorHAnsi"/>
            <w:i/>
            <w:noProof/>
          </w:rPr>
          <w:t>34</w:t>
        </w:r>
      </w:hyperlink>
      <w:r>
        <w:rPr>
          <w:rFonts w:eastAsia="Calibri" w:cstheme="minorHAnsi"/>
          <w:i/>
          <w:noProof/>
        </w:rPr>
        <w:t>)</w:t>
      </w:r>
      <w:r>
        <w:rPr>
          <w:rFonts w:eastAsia="Calibri" w:cstheme="minorHAnsi"/>
          <w:i/>
        </w:rPr>
        <w:fldChar w:fldCharType="end"/>
      </w:r>
      <w:r w:rsidRPr="00DE1BE1">
        <w:rPr>
          <w:rFonts w:eastAsia="Calibri" w:cstheme="minorHAnsi"/>
          <w:i/>
        </w:rPr>
        <w:t>. Among Asian Americans/Pacific Islanders, menthol smokers had a higher rate of having made a quit attempt, compared with non-menthol smokers, although significance was not reported. For American Indians/Alaska Natives, the rates of having made a quit attempt was higher for menthol smokers than non-menthol smokers; among smokers reporting more than one race/ethnicity, the same proportion of menthol and non-menthol smokers reported having made a quit attempt, however, significance was not reported for either of these results. Another study reported no</w:t>
      </w:r>
      <w:r>
        <w:rPr>
          <w:rFonts w:eastAsia="Calibri" w:cstheme="minorHAnsi"/>
          <w:i/>
        </w:rPr>
        <w:t xml:space="preserve"> significant</w:t>
      </w:r>
      <w:r w:rsidRPr="00DE1BE1">
        <w:rPr>
          <w:rFonts w:eastAsia="Calibri" w:cstheme="minorHAnsi"/>
          <w:i/>
        </w:rPr>
        <w:t xml:space="preserve"> difference in quit ratios among </w:t>
      </w:r>
      <w:r w:rsidRPr="00DE1BE1">
        <w:rPr>
          <w:rFonts w:cstheme="minorHAnsi"/>
          <w:i/>
        </w:rPr>
        <w:t xml:space="preserve">Asian-American </w:t>
      </w:r>
      <w:r w:rsidRPr="00DE1BE1">
        <w:rPr>
          <w:rFonts w:eastAsia="Calibri" w:cstheme="minorHAnsi"/>
          <w:i/>
        </w:rPr>
        <w:t>menthol and non-menthol smokers, nor American Indian/Alaskan Native menthol and non-menthol smokers.</w:t>
      </w:r>
      <w:r>
        <w:rPr>
          <w:rFonts w:eastAsia="Calibri" w:cstheme="minorHAnsi"/>
          <w:i/>
        </w:rPr>
        <w:t xml:space="preserve"> A third study, </w:t>
      </w:r>
      <w:r w:rsidRPr="00213032">
        <w:rPr>
          <w:rFonts w:eastAsia="Calibri" w:cstheme="minorHAnsi"/>
          <w:i/>
        </w:rPr>
        <w:t xml:space="preserve">reported mixed results, depending on the data set used. Using data from the 2005 NHIS-CCS, </w:t>
      </w:r>
      <w:r>
        <w:rPr>
          <w:rFonts w:eastAsia="Calibri" w:cstheme="minorHAnsi"/>
          <w:i/>
        </w:rPr>
        <w:t>no difference</w:t>
      </w:r>
      <w:r w:rsidRPr="00213032">
        <w:rPr>
          <w:rFonts w:eastAsia="Calibri" w:cstheme="minorHAnsi"/>
          <w:i/>
        </w:rPr>
        <w:t xml:space="preserve">s were reported for regular and daily menthol cigarette use and being a long-term former versus current smoker; similarly, no associations between menthol cigarette use and being a short-term former versus current regular or daily smoker were reported. Using data from the 2010-2011 TUS-CPS, </w:t>
      </w:r>
      <w:r>
        <w:rPr>
          <w:rFonts w:eastAsia="Calibri" w:cstheme="minorHAnsi"/>
          <w:i/>
        </w:rPr>
        <w:t>results were mixed, depending on the model applied.</w:t>
      </w:r>
    </w:p>
    <w:p w14:paraId="4B4EA584" w14:textId="77777777" w:rsidR="007F0AE0" w:rsidRDefault="007F0AE0" w:rsidP="007F0AE0">
      <w:pPr>
        <w:spacing w:after="120" w:line="240" w:lineRule="auto"/>
        <w:jc w:val="both"/>
        <w:rPr>
          <w:rFonts w:eastAsia="Calibri" w:cstheme="minorHAnsi"/>
        </w:rPr>
      </w:pPr>
      <w:r w:rsidRPr="003E05E9">
        <w:rPr>
          <w:rFonts w:eastAsia="Calibri" w:cstheme="minorHAnsi"/>
        </w:rPr>
        <w:t xml:space="preserve">In 2011, Kahende et al. </w:t>
      </w:r>
      <w:r w:rsidRPr="003E05E9">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PEVuZE5vdGU+PENpdGU+PFJlY051bT40MzwvUmVjTnVtPjxEaXNwbGF5VGV4dD4oMzQpPC9EaXNw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3E05E9">
        <w:rPr>
          <w:rFonts w:eastAsia="Calibri" w:cstheme="minorHAnsi"/>
        </w:rPr>
        <w:fldChar w:fldCharType="separate"/>
      </w:r>
      <w:r>
        <w:rPr>
          <w:rFonts w:eastAsia="Calibri" w:cstheme="minorHAnsi"/>
          <w:noProof/>
        </w:rPr>
        <w:t>(</w:t>
      </w:r>
      <w:hyperlink w:anchor="_ENREF_34" w:tooltip="Kahende, 2011 #43" w:history="1">
        <w:r>
          <w:rPr>
            <w:rFonts w:eastAsia="Calibri" w:cstheme="minorHAnsi"/>
            <w:noProof/>
          </w:rPr>
          <w:t>34</w:t>
        </w:r>
      </w:hyperlink>
      <w:r>
        <w:rPr>
          <w:rFonts w:eastAsia="Calibri" w:cstheme="minorHAnsi"/>
          <w:noProof/>
        </w:rPr>
        <w:t>)</w:t>
      </w:r>
      <w:r w:rsidRPr="003E05E9">
        <w:rPr>
          <w:rFonts w:eastAsia="Calibri" w:cstheme="minorHAnsi"/>
        </w:rPr>
        <w:fldChar w:fldCharType="end"/>
      </w:r>
      <w:r w:rsidRPr="003E05E9">
        <w:rPr>
          <w:rFonts w:eastAsia="Calibri" w:cstheme="minorHAnsi"/>
        </w:rPr>
        <w:t xml:space="preserve"> analyzed data from more than 16,000 adult participants in the TUS-CPS in 2003 or 2006-2007 who reported smoking in the past year. Participants were asked if they had </w:t>
      </w:r>
      <w:r w:rsidRPr="00974E13">
        <w:rPr>
          <w:rFonts w:eastAsia="Calibri" w:cstheme="minorHAnsi"/>
        </w:rPr>
        <w:t xml:space="preserve">stopped smoking for one day or longer because they were trying to quit. %). Among Asian American/Pacific Islander smokers, </w:t>
      </w:r>
      <w:r>
        <w:rPr>
          <w:rFonts w:eastAsia="Calibri" w:cstheme="minorHAnsi"/>
        </w:rPr>
        <w:t>a higher prevalence of past-year quit attempts was</w:t>
      </w:r>
      <w:r w:rsidRPr="00974E13">
        <w:rPr>
          <w:rFonts w:eastAsia="Calibri" w:cstheme="minorHAnsi"/>
        </w:rPr>
        <w:t xml:space="preserve"> observed </w:t>
      </w:r>
      <w:r>
        <w:rPr>
          <w:rFonts w:eastAsia="Calibri" w:cstheme="minorHAnsi"/>
        </w:rPr>
        <w:t xml:space="preserve">in </w:t>
      </w:r>
      <w:r w:rsidRPr="00974E13">
        <w:rPr>
          <w:rFonts w:eastAsia="Calibri" w:cstheme="minorHAnsi"/>
        </w:rPr>
        <w:t xml:space="preserve">menthol </w:t>
      </w:r>
      <w:r>
        <w:rPr>
          <w:rFonts w:eastAsia="Calibri" w:cstheme="minorHAnsi"/>
        </w:rPr>
        <w:t xml:space="preserve">compared to non-menthol smokers </w:t>
      </w:r>
      <w:r w:rsidRPr="00974E13">
        <w:rPr>
          <w:rFonts w:eastAsia="Calibri" w:cstheme="minorHAnsi"/>
        </w:rPr>
        <w:t xml:space="preserve">(menthol=53.5%, 95% CI: 44.8, 61.9; non-menthol=49.2%, 95% CI: 44.4, 54.1). Among American Indian/Alaskan native smokers, </w:t>
      </w:r>
      <w:r>
        <w:rPr>
          <w:rFonts w:eastAsia="Calibri" w:cstheme="minorHAnsi"/>
        </w:rPr>
        <w:t>a higher prevalence of past-year quit attempts was</w:t>
      </w:r>
      <w:r w:rsidRPr="00974E13">
        <w:rPr>
          <w:rFonts w:eastAsia="Calibri" w:cstheme="minorHAnsi"/>
        </w:rPr>
        <w:t xml:space="preserve"> observed </w:t>
      </w:r>
      <w:r>
        <w:rPr>
          <w:rFonts w:eastAsia="Calibri" w:cstheme="minorHAnsi"/>
        </w:rPr>
        <w:t xml:space="preserve">in </w:t>
      </w:r>
      <w:r w:rsidRPr="00974E13">
        <w:rPr>
          <w:rFonts w:eastAsia="Calibri" w:cstheme="minorHAnsi"/>
        </w:rPr>
        <w:t xml:space="preserve">menthol </w:t>
      </w:r>
      <w:r>
        <w:rPr>
          <w:rFonts w:eastAsia="Calibri" w:cstheme="minorHAnsi"/>
        </w:rPr>
        <w:t>compared to non-menthol smokers</w:t>
      </w:r>
      <w:r w:rsidRPr="00974E13">
        <w:rPr>
          <w:rFonts w:eastAsia="Calibri" w:cstheme="minorHAnsi"/>
        </w:rPr>
        <w:t xml:space="preserve"> (menthol=52.6%, 95% CI: 38.9, 65.9; non-menthol=47.7%, 95% CI: 40.4, 55.2).</w:t>
      </w:r>
      <w:r>
        <w:rPr>
          <w:rFonts w:eastAsia="Calibri" w:cstheme="minorHAnsi"/>
        </w:rPr>
        <w:t xml:space="preserve"> </w:t>
      </w:r>
      <w:r w:rsidRPr="00974E13">
        <w:rPr>
          <w:rFonts w:eastAsia="Calibri" w:cstheme="minorHAnsi"/>
        </w:rPr>
        <w:t>Among smokers reporting more than one race/ethnicity, no difference was detected between menthol and non-menthol smokers in reported past year quit attempts (menthol=52.0%, 95% CI: 41.9, 62.0; non-menthol=51.9%, 95% CI: 47.2, 56.5).</w:t>
      </w:r>
    </w:p>
    <w:p w14:paraId="2330962A" w14:textId="77777777" w:rsidR="007F0AE0" w:rsidRDefault="007F0AE0" w:rsidP="007F0AE0">
      <w:pPr>
        <w:spacing w:after="120" w:line="240" w:lineRule="auto"/>
        <w:jc w:val="both"/>
        <w:rPr>
          <w:rFonts w:eastAsia="Calibri" w:cstheme="minorHAnsi"/>
        </w:rPr>
      </w:pPr>
      <w:r w:rsidRPr="00830244">
        <w:rPr>
          <w:rFonts w:eastAsia="Calibri" w:cstheme="minorHAnsi"/>
        </w:rPr>
        <w:t xml:space="preserve">Stahre et al. </w:t>
      </w:r>
      <w:r w:rsidRPr="00830244">
        <w:rPr>
          <w:rFonts w:eastAsia="Calibri" w:cstheme="minorHAnsi"/>
        </w:rPr>
        <w:fldChar w:fldCharType="begin"/>
      </w:r>
      <w:r>
        <w:rPr>
          <w:rFonts w:eastAsia="Calibri" w:cstheme="minorHAnsi"/>
        </w:rPr>
        <w:instrText xml:space="preserve"> ADDIN EN.CITE &lt;EndNote&gt;&lt;Cite&gt;&lt;RecNum&gt;57&lt;/RecNum&gt;&lt;DisplayText&gt;(32)&lt;/DisplayText&gt;&lt;record&gt;&lt;rec-number&gt;57&lt;/rec-number&gt;&lt;foreign-keys&gt;&lt;key app="EN" db-id="a2vz2dfp8xrad6exes75zwpiw5rxwa0vwapv" timestamp="0"&gt;57&lt;/key&gt;&lt;/foreign-keys&gt;&lt;ref-type name="Journal Article"&gt;17&lt;/ref-type&gt;&lt;contributors&gt;&lt;authors&gt;&lt;author&gt;Stahre, M.&lt;/author&gt;&lt;author&gt;Okuyemi, K. S.&lt;/author&gt;&lt;author&gt;Joseph, A. M.&lt;/author&gt;&lt;author&gt;Fu, S. S.&lt;/author&gt;&lt;/authors&gt;&lt;/contributors&gt;&lt;auth-address&gt;Department of Epidemiology, University of Minnesota, Memphis, USA.&lt;/auth-address&gt;&lt;titles&gt;&lt;title&gt;Racial/ethnic differences in menthol cigarette smoking, population quit ratios and utilization of evidence-based tobacco cessation treatments&lt;/title&gt;&lt;secondary-title&gt;Addiction&lt;/secondary-title&gt;&lt;/titles&gt;&lt;periodical&gt;&lt;full-title&gt;Addiction&lt;/full-title&gt;&lt;/periodical&gt;&lt;pages&gt;75-83&lt;/pages&gt;&lt;volume&gt;105 Suppl 1&lt;/volume&gt;&lt;keywords&gt;&lt;keyword&gt;Adolescent&lt;/keyword&gt;&lt;keyword&gt;Adult&lt;/keyword&gt;&lt;keyword&gt;Aged&lt;/keyword&gt;&lt;keyword&gt;Epidemiologic Methods&lt;/keyword&gt;&lt;keyword&gt;Ethnic Groups/*statistics &amp;amp; numerical data&lt;/keyword&gt;&lt;keyword&gt;European Continental Ancestry Group/statistics &amp;amp; numerical data&lt;/keyword&gt;&lt;keyword&gt;Female&lt;/keyword&gt;&lt;keyword&gt;Humans&lt;/keyword&gt;&lt;keyword&gt;Male&lt;/keyword&gt;&lt;keyword&gt;*Menthol&lt;/keyword&gt;&lt;keyword&gt;Middle Aged&lt;/keyword&gt;&lt;keyword&gt;Patient Acceptance of Health Care/*ethnology&lt;/keyword&gt;&lt;keyword&gt;Smoking/*ethnology/therapy&lt;/keyword&gt;&lt;keyword&gt;Smoking Cessation/ethnology/*statistics &amp;amp; numerical data&lt;/keyword&gt;&lt;keyword&gt;Socioeconomic Factors&lt;/keyword&gt;&lt;keyword&gt;United States/epidemiology&lt;/keyword&gt;&lt;keyword&gt;Young Adult&lt;/keyword&gt;&lt;/keywords&gt;&lt;dates&gt;&lt;year&gt;2010&lt;/year&gt;&lt;pub-dates&gt;&lt;date&gt;Dec&lt;/date&gt;&lt;/pub-dates&gt;&lt;/dates&gt;&lt;isbn&gt;1360-0443 (Electronic)&amp;#xD;0965-2140 (Linking)&lt;/isbn&gt;&lt;accession-num&gt;21059138&lt;/accession-num&gt;&lt;urls&gt;&lt;related-urls&gt;&lt;url&gt;http://www.ncbi.nlm.nih.gov/pubmed/21059138&lt;/url&gt;&lt;/related-urls&gt;&lt;/urls&gt;&lt;electronic-resource-num&gt;10.1111/j.1360-0443.2010.03200.x&lt;/electronic-resource-num&gt;&lt;research-notes&gt;#285&lt;/research-notes&gt;&lt;/record&gt;&lt;/Cite&gt;&lt;/EndNote&gt;</w:instrText>
      </w:r>
      <w:r w:rsidRPr="00830244">
        <w:rPr>
          <w:rFonts w:eastAsia="Calibri" w:cstheme="minorHAnsi"/>
        </w:rPr>
        <w:fldChar w:fldCharType="separate"/>
      </w:r>
      <w:r>
        <w:rPr>
          <w:rFonts w:eastAsia="Calibri" w:cstheme="minorHAnsi"/>
          <w:noProof/>
        </w:rPr>
        <w:t>(</w:t>
      </w:r>
      <w:hyperlink w:anchor="_ENREF_32" w:tooltip="Stahre, 2010 #57" w:history="1">
        <w:r>
          <w:rPr>
            <w:rFonts w:eastAsia="Calibri" w:cstheme="minorHAnsi"/>
            <w:noProof/>
          </w:rPr>
          <w:t>32</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adult current and former smokers in the 2005 National Health Interview Survey Cancer Control Supplement (NHIS-CCS). The quit ratio was calculated as the number of former </w:t>
      </w:r>
      <w:r w:rsidRPr="00830244">
        <w:rPr>
          <w:rFonts w:eastAsia="Calibri" w:cstheme="minorHAnsi"/>
        </w:rPr>
        <w:lastRenderedPageBreak/>
        <w:t xml:space="preserve">smokers divided by the sum of the number of current and former smokers). When examining quit ratio by menthol status within racial/ethnic subgroups, </w:t>
      </w:r>
      <w:r>
        <w:rPr>
          <w:rFonts w:eastAsia="Calibri" w:cstheme="minorHAnsi"/>
        </w:rPr>
        <w:t>n</w:t>
      </w:r>
      <w:r w:rsidRPr="00830244">
        <w:rPr>
          <w:rFonts w:eastAsia="Calibri" w:cstheme="minorHAnsi"/>
        </w:rPr>
        <w:t>o significant differences in quit ratios between menthol and non-menthol smokers were reports among Asian-American smokers (38% vs. 42%)</w:t>
      </w:r>
      <w:r>
        <w:rPr>
          <w:rFonts w:eastAsia="Calibri" w:cstheme="minorHAnsi"/>
        </w:rPr>
        <w:t xml:space="preserve"> nor</w:t>
      </w:r>
      <w:r w:rsidRPr="00830244">
        <w:rPr>
          <w:rFonts w:eastAsia="Calibri" w:cstheme="minorHAnsi"/>
        </w:rPr>
        <w:t xml:space="preserve"> American Indian/Alaskan Native smokers (52% vs. 35%)</w:t>
      </w:r>
      <w:r>
        <w:rPr>
          <w:rFonts w:eastAsia="Calibri" w:cstheme="minorHAnsi"/>
        </w:rPr>
        <w:t>.</w:t>
      </w:r>
    </w:p>
    <w:p w14:paraId="19FDA19A" w14:textId="77777777" w:rsidR="007F0AE0" w:rsidRDefault="007F0AE0" w:rsidP="007F0AE0">
      <w:pPr>
        <w:spacing w:after="120" w:line="240" w:lineRule="auto"/>
        <w:jc w:val="both"/>
        <w:rPr>
          <w:rFonts w:eastAsia="Calibri" w:cstheme="minorHAnsi"/>
        </w:rPr>
      </w:pPr>
      <w:r w:rsidRPr="00830244">
        <w:rPr>
          <w:rFonts w:eastAsia="Calibri" w:cstheme="minorHAnsi"/>
        </w:rPr>
        <w:t xml:space="preserve">In 2014, Sulsky et al. </w:t>
      </w:r>
      <w:r w:rsidRPr="00830244">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830244">
        <w:rPr>
          <w:rFonts w:eastAsia="Calibri" w:cstheme="minorHAnsi"/>
        </w:rPr>
        <w:fldChar w:fldCharType="end"/>
      </w:r>
      <w:r w:rsidRPr="00830244">
        <w:rPr>
          <w:rFonts w:eastAsia="Calibri" w:cstheme="minorHAnsi"/>
        </w:rPr>
        <w:t xml:space="preserve"> analyzed data from the 2005 and 2010 </w:t>
      </w:r>
      <w:r>
        <w:rPr>
          <w:rFonts w:eastAsia="Calibri" w:cstheme="minorHAnsi"/>
        </w:rPr>
        <w:t xml:space="preserve">NHIS and the 2010-2011 TUS-CPS, performing subgroup analysis in which they reported a number of odds ratios, using various adjustment models (most of which were not adequately adjusted for age, race/ethnicity, and gender). Using data from the </w:t>
      </w:r>
      <w:r w:rsidRPr="00830244">
        <w:rPr>
          <w:rFonts w:eastAsia="Calibri" w:cstheme="minorHAnsi"/>
        </w:rPr>
        <w:t>2005 and 2010 NHIS</w:t>
      </w:r>
      <w:r>
        <w:rPr>
          <w:rFonts w:eastAsia="Calibri" w:cstheme="minorHAnsi"/>
        </w:rPr>
        <w:t>, f</w:t>
      </w:r>
      <w:r w:rsidRPr="003D0DDE">
        <w:rPr>
          <w:rFonts w:eastAsia="Calibri" w:cstheme="minorHAnsi"/>
        </w:rPr>
        <w:t xml:space="preserve">or other race/ethnicity smokers (i.e., regular or daily smokers) </w:t>
      </w:r>
      <w:r>
        <w:rPr>
          <w:rFonts w:eastAsia="Calibri" w:cstheme="minorHAnsi"/>
        </w:rPr>
        <w:t>no difference</w:t>
      </w:r>
      <w:r w:rsidRPr="003D0DDE">
        <w:rPr>
          <w:rFonts w:eastAsia="Calibri" w:cstheme="minorHAnsi"/>
        </w:rPr>
        <w:t xml:space="preserve">s for menthol cigarette use and being a long-term former versus current smoker were reported, irrespective of the model applied. </w:t>
      </w:r>
      <w:r>
        <w:rPr>
          <w:rFonts w:eastAsia="Calibri" w:cstheme="minorHAnsi"/>
        </w:rPr>
        <w:t>No difference</w:t>
      </w:r>
      <w:r w:rsidRPr="003D0DDE">
        <w:rPr>
          <w:rFonts w:eastAsia="Calibri" w:cstheme="minorHAnsi"/>
        </w:rPr>
        <w:t xml:space="preserve">s between menthol cigarette use and being a short-term former versus current regular or daily smoker were reported for </w:t>
      </w:r>
      <w:r>
        <w:rPr>
          <w:rFonts w:eastAsia="Calibri" w:cstheme="minorHAnsi"/>
        </w:rPr>
        <w:t>other race/ethnicity smokers.</w:t>
      </w:r>
    </w:p>
    <w:p w14:paraId="322D4A57" w14:textId="77777777" w:rsidR="007F0AE0" w:rsidRDefault="007F0AE0" w:rsidP="007F0AE0">
      <w:pPr>
        <w:spacing w:after="120" w:line="240" w:lineRule="auto"/>
        <w:jc w:val="both"/>
        <w:rPr>
          <w:rFonts w:eastAsia="Calibri" w:cstheme="minorHAnsi"/>
        </w:rPr>
      </w:pPr>
      <w:r>
        <w:rPr>
          <w:rFonts w:eastAsia="Calibri" w:cstheme="minorHAnsi"/>
        </w:rPr>
        <w:t xml:space="preserve">Using data from the </w:t>
      </w:r>
      <w:r w:rsidRPr="00830244">
        <w:rPr>
          <w:rFonts w:eastAsia="Calibri" w:cstheme="minorHAnsi"/>
        </w:rPr>
        <w:t>2010-2011 TUS-CPS</w:t>
      </w:r>
      <w:r>
        <w:rPr>
          <w:rFonts w:eastAsia="Calibri" w:cstheme="minorHAnsi"/>
        </w:rPr>
        <w:t xml:space="preserve">, </w:t>
      </w:r>
      <w:r w:rsidRPr="00830244">
        <w:rPr>
          <w:rFonts w:eastAsia="Calibri" w:cstheme="minorHAnsi"/>
        </w:rPr>
        <w:t xml:space="preserve">Sulsky et al. </w:t>
      </w:r>
      <w:r w:rsidRPr="00830244">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 </w:instrText>
      </w:r>
      <w:r>
        <w:rPr>
          <w:rFonts w:eastAsia="Calibri" w:cstheme="minorHAnsi"/>
        </w:rPr>
        <w:fldChar w:fldCharType="begin">
          <w:fldData xml:space="preserve">PEVuZE5vdGU+PENpdGU+PFJlY051bT4xNTwvUmVjTnVtPjxEaXNwbGF5VGV4dD4oNTQpPC9EaXNw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830244">
        <w:rPr>
          <w:rFonts w:eastAsia="Calibri" w:cstheme="minorHAnsi"/>
        </w:rPr>
        <w:fldChar w:fldCharType="separate"/>
      </w:r>
      <w:r>
        <w:rPr>
          <w:rFonts w:eastAsia="Calibri" w:cstheme="minorHAnsi"/>
          <w:noProof/>
        </w:rPr>
        <w:t>(</w:t>
      </w:r>
      <w:hyperlink w:anchor="_ENREF_54" w:tooltip="Sulsky, 2014 #15" w:history="1">
        <w:r>
          <w:rPr>
            <w:rFonts w:eastAsia="Calibri" w:cstheme="minorHAnsi"/>
            <w:noProof/>
          </w:rPr>
          <w:t>54</w:t>
        </w:r>
      </w:hyperlink>
      <w:r>
        <w:rPr>
          <w:rFonts w:eastAsia="Calibri" w:cstheme="minorHAnsi"/>
          <w:noProof/>
        </w:rPr>
        <w:t>)</w:t>
      </w:r>
      <w:r w:rsidRPr="00830244">
        <w:rPr>
          <w:rFonts w:eastAsia="Calibri" w:cstheme="minorHAnsi"/>
        </w:rPr>
        <w:fldChar w:fldCharType="end"/>
      </w:r>
      <w:r>
        <w:rPr>
          <w:rFonts w:eastAsia="Calibri" w:cstheme="minorHAnsi"/>
        </w:rPr>
        <w:t xml:space="preserve"> also found that a</w:t>
      </w:r>
      <w:r w:rsidRPr="0036407D">
        <w:rPr>
          <w:rFonts w:eastAsia="Calibri" w:cstheme="minorHAnsi"/>
        </w:rPr>
        <w:t xml:space="preserve">mong other race/ethnicity smokers, there was </w:t>
      </w:r>
      <w:r>
        <w:rPr>
          <w:rFonts w:eastAsia="Calibri" w:cstheme="minorHAnsi"/>
        </w:rPr>
        <w:t>no difference</w:t>
      </w:r>
      <w:r w:rsidRPr="0036407D">
        <w:rPr>
          <w:rFonts w:eastAsia="Calibri" w:cstheme="minorHAnsi"/>
        </w:rPr>
        <w:t xml:space="preserve"> between menthol cigarette use and being a short-term former versus current regular smoker, in two applied adjustment models that included smoking dependence measures of Heaviness of Smoking Index and night waking to smoke, respectively; however, in a limited dependence measures model that omitted these covariates, other race/ethnicity menthol smokers were </w:t>
      </w:r>
      <w:r>
        <w:rPr>
          <w:rFonts w:eastAsia="Calibri" w:cstheme="minorHAnsi"/>
        </w:rPr>
        <w:t>statistically significantly</w:t>
      </w:r>
      <w:r w:rsidRPr="0036407D">
        <w:rPr>
          <w:rFonts w:eastAsia="Calibri" w:cstheme="minorHAnsi"/>
        </w:rPr>
        <w:t xml:space="preserve"> less likely to be short-term former versus current regular smokers (OR=0.79, 95% CI: 0.735, 0.85). The association between menthol cigarette use and being a short-term former versus current daily smoker, among other race/ethnicity smokers, was mixed: in a model adjusting for Heaviness of Smoking Index, other race/ethnicity menthol smokers were </w:t>
      </w:r>
      <w:r>
        <w:rPr>
          <w:rFonts w:eastAsia="Calibri" w:cstheme="minorHAnsi"/>
        </w:rPr>
        <w:t>statistically significantly</w:t>
      </w:r>
      <w:r w:rsidRPr="0036407D">
        <w:rPr>
          <w:rFonts w:eastAsia="Calibri" w:cstheme="minorHAnsi"/>
        </w:rPr>
        <w:t xml:space="preserve"> more likely to be short-term former versus current daily smokers (OR=1.18, 95% CI: 1.01, 1.38); however, in a second model (which replaced adjustment for Heaviness of Smoking Index with night waking to smoke), this difference was not significant. A third model, omitting both dependence measures, reported that other race/ethnicity menthol smokers were </w:t>
      </w:r>
      <w:r>
        <w:rPr>
          <w:rFonts w:eastAsia="Calibri" w:cstheme="minorHAnsi"/>
        </w:rPr>
        <w:t>statistically significantly</w:t>
      </w:r>
      <w:r w:rsidRPr="0036407D">
        <w:rPr>
          <w:rFonts w:eastAsia="Calibri" w:cstheme="minorHAnsi"/>
        </w:rPr>
        <w:t xml:space="preserve"> less likely to be short-term former versus current daily smokers (OR=0.81, 95% CI: 0.75, 0.88).</w:t>
      </w:r>
    </w:p>
    <w:p w14:paraId="0E89CAB1" w14:textId="77777777" w:rsidR="007F0AE0" w:rsidRPr="00DE2832" w:rsidRDefault="007F0AE0" w:rsidP="007F0AE0">
      <w:pPr>
        <w:spacing w:after="120" w:line="240" w:lineRule="auto"/>
        <w:jc w:val="both"/>
        <w:outlineLvl w:val="2"/>
        <w:rPr>
          <w:rFonts w:eastAsia="Calibri" w:cstheme="minorHAnsi"/>
          <w:u w:val="single"/>
        </w:rPr>
      </w:pPr>
      <w:r w:rsidRPr="00DE2832">
        <w:rPr>
          <w:rFonts w:eastAsia="Calibri" w:cstheme="minorHAnsi"/>
          <w:i/>
          <w:u w:val="single"/>
        </w:rPr>
        <w:t>Unadjusted Results: Cessation Measures by Age</w:t>
      </w:r>
    </w:p>
    <w:p w14:paraId="5731AF08"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Youth</w:t>
      </w:r>
    </w:p>
    <w:p w14:paraId="2814B1BB" w14:textId="77777777" w:rsidR="007F0AE0" w:rsidRPr="00DE2832" w:rsidRDefault="007F0AE0" w:rsidP="007F0AE0">
      <w:pPr>
        <w:spacing w:after="120" w:line="240" w:lineRule="auto"/>
        <w:jc w:val="both"/>
        <w:rPr>
          <w:rFonts w:eastAsia="Calibri" w:cstheme="minorHAnsi"/>
          <w:b/>
          <w:i/>
        </w:rPr>
      </w:pPr>
      <w:r w:rsidRPr="00DE2832">
        <w:rPr>
          <w:rFonts w:eastAsia="Calibri" w:cstheme="minorHAnsi"/>
          <w:i/>
        </w:rPr>
        <w:t>One</w:t>
      </w:r>
      <w:r w:rsidRPr="000664C1">
        <w:rPr>
          <w:rFonts w:eastAsia="Calibri" w:cstheme="minorHAnsi"/>
          <w:i/>
        </w:rPr>
        <w:t xml:space="preserve"> study</w:t>
      </w:r>
      <w:r>
        <w:rPr>
          <w:rFonts w:eastAsia="Calibri" w:cstheme="minorHAnsi"/>
          <w:i/>
        </w:rPr>
        <w:t xml:space="preserve"> </w:t>
      </w:r>
      <w:r>
        <w:rPr>
          <w:rFonts w:eastAsia="Calibri" w:cstheme="minorHAnsi"/>
          <w:i/>
        </w:rPr>
        <w:fldChar w:fldCharType="begin"/>
      </w:r>
      <w:r>
        <w:rPr>
          <w:rFonts w:eastAsia="Calibri" w:cstheme="minorHAnsi"/>
          <w:i/>
        </w:rPr>
        <w:instrText xml:space="preserve"> ADDIN EN.CITE &lt;EndNote&gt;&lt;Cite&gt;&lt;Author&gt;Hersey&lt;/Author&gt;&lt;Year&gt;2006&lt;/Year&gt;&lt;RecNum&gt;80&lt;/RecNum&gt;&lt;DisplayText&gt;(44)&lt;/DisplayText&gt;&lt;record&gt;&lt;rec-number&gt;80&lt;/rec-number&gt;&lt;foreign-keys&gt;&lt;key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Pr>
          <w:rFonts w:eastAsia="Calibri" w:cstheme="minorHAnsi"/>
          <w:i/>
        </w:rPr>
        <w:fldChar w:fldCharType="separate"/>
      </w:r>
      <w:r>
        <w:rPr>
          <w:rFonts w:eastAsia="Calibri" w:cstheme="minorHAnsi"/>
          <w:i/>
          <w:noProof/>
        </w:rPr>
        <w:t>(</w:t>
      </w:r>
      <w:hyperlink w:anchor="_ENREF_44" w:tooltip="Hersey, 2006 #80" w:history="1">
        <w:r>
          <w:rPr>
            <w:rFonts w:eastAsia="Calibri" w:cstheme="minorHAnsi"/>
            <w:i/>
            <w:noProof/>
          </w:rPr>
          <w:t>44</w:t>
        </w:r>
      </w:hyperlink>
      <w:r>
        <w:rPr>
          <w:rFonts w:eastAsia="Calibri" w:cstheme="minorHAnsi"/>
          <w:i/>
          <w:noProof/>
        </w:rPr>
        <w:t>)</w:t>
      </w:r>
      <w:r>
        <w:rPr>
          <w:rFonts w:eastAsia="Calibri" w:cstheme="minorHAnsi"/>
          <w:i/>
        </w:rPr>
        <w:fldChar w:fldCharType="end"/>
      </w:r>
      <w:r>
        <w:rPr>
          <w:rFonts w:eastAsia="Calibri" w:cstheme="minorHAnsi"/>
          <w:i/>
        </w:rPr>
        <w:t xml:space="preserve"> </w:t>
      </w:r>
      <w:r w:rsidRPr="00DE2832">
        <w:rPr>
          <w:rFonts w:eastAsia="Calibri" w:cstheme="minorHAnsi"/>
          <w:i/>
        </w:rPr>
        <w:t xml:space="preserve">reported unadjusted data from youth; the authors found that menthol was positively and </w:t>
      </w:r>
      <w:r>
        <w:rPr>
          <w:rFonts w:eastAsia="Calibri" w:cstheme="minorHAnsi"/>
          <w:i/>
        </w:rPr>
        <w:t>statistically significantly</w:t>
      </w:r>
      <w:r w:rsidRPr="00DE2832">
        <w:rPr>
          <w:rFonts w:eastAsia="Calibri" w:cstheme="minorHAnsi"/>
          <w:i/>
        </w:rPr>
        <w:t xml:space="preserve"> associated with seeking help with quitting.</w:t>
      </w:r>
    </w:p>
    <w:p w14:paraId="3CF31505" w14:textId="77777777" w:rsidR="007F0AE0" w:rsidRPr="00DE2832" w:rsidRDefault="007F0AE0" w:rsidP="007F0AE0">
      <w:pPr>
        <w:spacing w:after="120" w:line="240" w:lineRule="auto"/>
        <w:jc w:val="both"/>
        <w:rPr>
          <w:rFonts w:eastAsia="Calibri" w:cstheme="minorHAnsi"/>
          <w:vertAlign w:val="superscript"/>
        </w:rPr>
      </w:pPr>
      <w:r w:rsidRPr="00DE2832">
        <w:rPr>
          <w:rFonts w:eastAsia="Calibri" w:cstheme="minorHAnsi"/>
        </w:rPr>
        <w:t xml:space="preserve">Hersey et al. </w:t>
      </w:r>
      <w:r w:rsidRPr="00DE2832">
        <w:rPr>
          <w:rFonts w:eastAsia="Calibri" w:cstheme="minorHAnsi"/>
        </w:rPr>
        <w:fldChar w:fldCharType="begin"/>
      </w:r>
      <w:r>
        <w:rPr>
          <w:rFonts w:eastAsia="Calibri" w:cstheme="minorHAnsi"/>
        </w:rPr>
        <w:instrText xml:space="preserve"> ADDIN EN.CITE &lt;EndNote&gt;&lt;Cite&gt;&lt;RecNum&gt;80&lt;/RecNum&gt;&lt;DisplayText&gt;(44)&lt;/DisplayText&gt;&lt;record&gt;&lt;rec-number&gt;80&lt;/rec-number&gt;&lt;foreign-keys&gt;&lt;key app="EN" db-id="a2vz2dfp8xrad6exes75zwpiw5rxwa0vwapv" timestamp="0"&gt;80&lt;/key&gt;&lt;/foreign-keys&gt;&lt;ref-type name="Journal Article"&gt;17&lt;/ref-type&gt;&lt;contributors&gt;&lt;authors&gt;&lt;author&gt;Hersey, J. C.&lt;/author&gt;&lt;author&gt;Ng, S. W.&lt;/author&gt;&lt;author&gt;Nonnemaker, J. M.&lt;/author&gt;&lt;author&gt;Mowery, P.&lt;/author&gt;&lt;author&gt;Thomas, K. Y.&lt;/author&gt;&lt;author&gt;Vilsaint, M. C.&lt;/author&gt;&lt;author&gt;Allen, J. A.&lt;/author&gt;&lt;author&gt;Haviland, M. L.&lt;/author&gt;&lt;/authors&gt;&lt;/contributors&gt;&lt;auth-address&gt;RTI International, Washington, DC 20036, USA. hersey@rti.org&lt;/auth-address&gt;&lt;titles&gt;&lt;title&gt;Are menthol cigarettes a starter product for youth?&lt;/title&gt;&lt;secondary-title&gt;Nicotine Tob Res&lt;/secondary-title&gt;&lt;/titles&gt;&lt;periodical&gt;&lt;full-title&gt;Nicotine Tob Res&lt;/full-title&gt;&lt;/periodical&gt;&lt;pages&gt;403-13&lt;/pages&gt;&lt;volume&gt;8&lt;/volume&gt;&lt;number&gt;3&lt;/number&gt;&lt;keywords&gt;&lt;keyword&gt;Adolescent&lt;/keyword&gt;&lt;keyword&gt;Adolescent Behavior&lt;/keyword&gt;&lt;keyword&gt;Behavior, Addictive/*epidemiology&lt;/keyword&gt;&lt;keyword&gt;Causality&lt;/keyword&gt;&lt;keyword&gt;Comorbidity&lt;/keyword&gt;&lt;keyword&gt;Female&lt;/keyword&gt;&lt;keyword&gt;Flavoring Agents/administration &amp;amp; dosage&lt;/keyword&gt;&lt;keyword&gt;Humans&lt;/keyword&gt;&lt;keyword&gt;Male&lt;/keyword&gt;&lt;keyword&gt;Menthol/*administration &amp;amp; dosage&lt;/keyword&gt;&lt;keyword&gt;Population Surveillance&lt;/keyword&gt;&lt;keyword&gt;Smoking/*epidemiology/psychology&lt;/keyword&gt;&lt;keyword&gt;*Tobacco Industry&lt;/keyword&gt;&lt;keyword&gt;Tobacco Use Disorder/*epidemiology&lt;/keyword&gt;&lt;keyword&gt;United States/epidemiology&lt;/keyword&gt;&lt;/keywords&gt;&lt;dates&gt;&lt;year&gt;2006&lt;/year&gt;&lt;pub-dates&gt;&lt;date&gt;Jun&lt;/date&gt;&lt;/pub-dates&gt;&lt;/dates&gt;&lt;isbn&gt;1462-2203 (Print)&amp;#xD;1462-2203 (Linking)&lt;/isbn&gt;&lt;accession-num&gt;16801298&lt;/accession-num&gt;&lt;urls&gt;&lt;related-urls&gt;&lt;url&gt;http://www.ncbi.nlm.nih.gov/pubmed/16801298&lt;/url&gt;&lt;/related-urls&gt;&lt;/urls&gt;&lt;electronic-resource-num&gt;10.1080/14622200600670389&lt;/electronic-resource-num&gt;&lt;research-notes&gt;#389&lt;/research-notes&gt;&lt;/record&gt;&lt;/Cite&gt;&lt;/EndNote&gt;</w:instrText>
      </w:r>
      <w:r w:rsidRPr="00DE2832">
        <w:rPr>
          <w:rFonts w:eastAsia="Calibri" w:cstheme="minorHAnsi"/>
        </w:rPr>
        <w:fldChar w:fldCharType="separate"/>
      </w:r>
      <w:r>
        <w:rPr>
          <w:rFonts w:eastAsia="Calibri" w:cstheme="minorHAnsi"/>
          <w:noProof/>
        </w:rPr>
        <w:t>(</w:t>
      </w:r>
      <w:hyperlink w:anchor="_ENREF_44" w:tooltip="Hersey, 2006 #80" w:history="1">
        <w:r>
          <w:rPr>
            <w:rFonts w:eastAsia="Calibri" w:cstheme="minorHAnsi"/>
            <w:noProof/>
          </w:rPr>
          <w:t>44</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analyzed data on use of tobacco cessation aids from over 3,000 middle and high school smokers collected during the 2000 and 2002 National Youth Tobacco Survey. They found that menthol was positively and </w:t>
      </w:r>
      <w:r>
        <w:rPr>
          <w:rFonts w:eastAsia="Calibri" w:cstheme="minorHAnsi"/>
        </w:rPr>
        <w:t>statistically significantly</w:t>
      </w:r>
      <w:r w:rsidRPr="00DE2832">
        <w:rPr>
          <w:rFonts w:eastAsia="Calibri" w:cstheme="minorHAnsi"/>
        </w:rPr>
        <w:t xml:space="preserve"> associated</w:t>
      </w:r>
      <w:r>
        <w:rPr>
          <w:rFonts w:eastAsia="Calibri" w:cstheme="minorHAnsi"/>
        </w:rPr>
        <w:t xml:space="preserve"> (p&lt;0.05)</w:t>
      </w:r>
      <w:r w:rsidRPr="00DE2832">
        <w:rPr>
          <w:rFonts w:eastAsia="Calibri" w:cstheme="minorHAnsi"/>
        </w:rPr>
        <w:t xml:space="preserve"> with seeking help with quitting via school programs (menthol 7.8% vs. non-menthol 5.1%), community programs (3.9% vs. 1.4%), a telephone helpline (2.7% to 1.4%), nicotine gum (9.7% vs. 7.0%), or an internet quit site (4.9% to 3.2%). Use of a nicotine patch was similar between young menthol and non-menthol smokers (5.7% vs. 5.2%).</w:t>
      </w:r>
    </w:p>
    <w:p w14:paraId="547A4299"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Young Adults</w:t>
      </w:r>
    </w:p>
    <w:p w14:paraId="7159C2FE" w14:textId="77777777" w:rsidR="007F0AE0" w:rsidRPr="00DE2832" w:rsidRDefault="007F0AE0" w:rsidP="007F0AE0">
      <w:pPr>
        <w:spacing w:after="120" w:line="240" w:lineRule="auto"/>
        <w:jc w:val="both"/>
        <w:rPr>
          <w:rFonts w:eastAsia="Calibri" w:cstheme="minorHAnsi"/>
          <w:i/>
        </w:rPr>
      </w:pPr>
      <w:r w:rsidRPr="00DE2832">
        <w:rPr>
          <w:rFonts w:eastAsia="Calibri" w:cstheme="minorHAnsi"/>
          <w:i/>
        </w:rPr>
        <w:t>Two studies assessed cessation outcomes in young adults</w:t>
      </w:r>
      <w:r>
        <w:rPr>
          <w:rFonts w:eastAsia="Calibri" w:cstheme="minorHAnsi"/>
          <w:i/>
        </w:rPr>
        <w:t xml:space="preserve"> </w:t>
      </w:r>
      <w:r>
        <w:rPr>
          <w:rFonts w:eastAsia="Calibri" w:cstheme="minorHAnsi"/>
          <w:i/>
        </w:rPr>
        <w:fldChar w:fldCharType="begin">
          <w:fldData xml:space="preserve">PEVuZE5vdGU+PENpdGU+PEF1dGhvcj5EZWxuZXZvPC9BdXRob3I+PFllYXI+MjAxNTwvWWVhcj48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=
</w:fldData>
        </w:fldChar>
      </w:r>
      <w:r>
        <w:rPr>
          <w:rFonts w:eastAsia="Calibri" w:cstheme="minorHAnsi"/>
          <w:i/>
        </w:rPr>
        <w:instrText xml:space="preserve"> ADDIN EN.CITE </w:instrText>
      </w:r>
      <w:r>
        <w:rPr>
          <w:rFonts w:eastAsia="Calibri" w:cstheme="minorHAnsi"/>
          <w:i/>
        </w:rPr>
        <w:fldChar w:fldCharType="begin">
          <w:fldData xml:space="preserve">PEVuZE5vdGU+PENpdGU+PEF1dGhvcj5EZWxuZXZvPC9BdXRob3I+PFllYXI+MjAxNTwvWWVhcj48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=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8" w:tooltip="Delnevo, 2015 #1" w:history="1">
        <w:r>
          <w:rPr>
            <w:rFonts w:eastAsia="Calibri" w:cstheme="minorHAnsi"/>
            <w:i/>
            <w:noProof/>
          </w:rPr>
          <w:t>18</w:t>
        </w:r>
      </w:hyperlink>
      <w:r>
        <w:rPr>
          <w:rFonts w:eastAsia="Calibri" w:cstheme="minorHAnsi"/>
          <w:i/>
          <w:noProof/>
        </w:rPr>
        <w:t xml:space="preserve">, </w:t>
      </w:r>
      <w:hyperlink w:anchor="_ENREF_25" w:tooltip="Fagan, 2015 #5" w:history="1">
        <w:r>
          <w:rPr>
            <w:rFonts w:eastAsia="Calibri" w:cstheme="minorHAnsi"/>
            <w:i/>
            <w:noProof/>
          </w:rPr>
          <w:t>25</w:t>
        </w:r>
      </w:hyperlink>
      <w:r>
        <w:rPr>
          <w:rFonts w:eastAsia="Calibri" w:cstheme="minorHAnsi"/>
          <w:i/>
          <w:noProof/>
        </w:rPr>
        <w:t>)</w:t>
      </w:r>
      <w:r>
        <w:rPr>
          <w:rFonts w:eastAsia="Calibri" w:cstheme="minorHAnsi"/>
          <w:i/>
        </w:rPr>
        <w:fldChar w:fldCharType="end"/>
      </w:r>
      <w:r w:rsidRPr="00DE2832">
        <w:rPr>
          <w:rFonts w:eastAsia="Calibri" w:cstheme="minorHAnsi"/>
          <w:i/>
          <w:noProof/>
        </w:rPr>
        <w:t>.</w:t>
      </w:r>
      <w:r w:rsidRPr="00DE2832">
        <w:rPr>
          <w:rFonts w:eastAsia="Calibri" w:cstheme="minorHAnsi"/>
          <w:i/>
        </w:rPr>
        <w:t xml:space="preserve"> In the study that assessed cessation rates, results were inconclusive</w:t>
      </w:r>
      <w:r>
        <w:rPr>
          <w:rFonts w:eastAsia="Calibri" w:cstheme="minorHAnsi"/>
          <w:i/>
        </w:rPr>
        <w:t xml:space="preserve"> (and significant testing not reported)</w:t>
      </w:r>
      <w:r w:rsidRPr="00DE2832">
        <w:rPr>
          <w:rFonts w:eastAsia="Calibri" w:cstheme="minorHAnsi"/>
          <w:i/>
        </w:rPr>
        <w:t xml:space="preserve">: the rate of former smokers who quit during the year prior to the survey was higher for former menthol smokers than non-menthol smokers, but the rate of smokers who quit more than a year prior to the survey was higher among former non-menthol smokers. This study reported that </w:t>
      </w:r>
      <w:r>
        <w:rPr>
          <w:rFonts w:eastAsia="Calibri" w:cstheme="minorHAnsi"/>
          <w:i/>
        </w:rPr>
        <w:t xml:space="preserve">both a </w:t>
      </w:r>
      <w:r w:rsidRPr="00DE2832">
        <w:rPr>
          <w:rFonts w:eastAsia="Calibri" w:cstheme="minorHAnsi"/>
          <w:i/>
        </w:rPr>
        <w:t>decrease</w:t>
      </w:r>
      <w:r>
        <w:rPr>
          <w:rFonts w:eastAsia="Calibri" w:cstheme="minorHAnsi"/>
          <w:i/>
        </w:rPr>
        <w:t xml:space="preserve"> and an increase</w:t>
      </w:r>
      <w:r w:rsidRPr="00DE2832">
        <w:rPr>
          <w:rFonts w:eastAsia="Calibri" w:cstheme="minorHAnsi"/>
          <w:i/>
        </w:rPr>
        <w:t xml:space="preserve"> in smoking frequency was more often reported by menthol smokers than non-menthol smokers.</w:t>
      </w:r>
      <w:r>
        <w:rPr>
          <w:rFonts w:eastAsia="Calibri" w:cstheme="minorHAnsi"/>
        </w:rPr>
        <w:t xml:space="preserve"> </w:t>
      </w:r>
      <w:r w:rsidRPr="00B032A7">
        <w:rPr>
          <w:rFonts w:eastAsia="Calibri" w:cstheme="minorHAnsi"/>
          <w:i/>
        </w:rPr>
        <w:t xml:space="preserve">A second study found that rate of any past-year quit attempts was not </w:t>
      </w:r>
      <w:r>
        <w:rPr>
          <w:rFonts w:eastAsia="Calibri" w:cstheme="minorHAnsi"/>
          <w:i/>
        </w:rPr>
        <w:t>statistically significantly</w:t>
      </w:r>
      <w:r w:rsidRPr="00B032A7">
        <w:rPr>
          <w:rFonts w:eastAsia="Calibri" w:cstheme="minorHAnsi"/>
          <w:i/>
        </w:rPr>
        <w:t xml:space="preserve"> different between menthol and non-menthol smokers. The study also reported that a significant difference in the number of past-year quit attempts made between menthol and non-menthol smokers, although the direction of significance </w:t>
      </w:r>
      <w:r>
        <w:rPr>
          <w:rFonts w:eastAsia="Calibri" w:cstheme="minorHAnsi"/>
          <w:i/>
        </w:rPr>
        <w:t>could not be determined</w:t>
      </w:r>
      <w:r w:rsidRPr="00B032A7">
        <w:rPr>
          <w:rFonts w:eastAsia="Calibri" w:cstheme="minorHAnsi"/>
          <w:i/>
        </w:rPr>
        <w:t>.</w:t>
      </w:r>
    </w:p>
    <w:p w14:paraId="1B9A7B31" w14:textId="77777777" w:rsidR="007F0AE0" w:rsidRPr="00DE2832" w:rsidRDefault="007F0AE0" w:rsidP="007F0AE0">
      <w:pPr>
        <w:spacing w:after="120" w:line="240" w:lineRule="auto"/>
        <w:jc w:val="both"/>
        <w:rPr>
          <w:rFonts w:eastAsia="Calibri" w:cstheme="minorHAnsi"/>
        </w:rPr>
      </w:pPr>
      <w:r w:rsidRPr="000664C1">
        <w:rPr>
          <w:rFonts w:eastAsia="Calibri" w:cstheme="minorHAnsi"/>
        </w:rPr>
        <w:lastRenderedPageBreak/>
        <w:t xml:space="preserve">In an analysis of data from more than 900 young adults 18 to 34 years old collected during the 2011 National Young Adult Health Survey, Delnevo et al. </w:t>
      </w:r>
      <w:r w:rsidRPr="000664C1">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 </w:instrText>
      </w:r>
      <w:r>
        <w:rPr>
          <w:rFonts w:eastAsia="Calibri" w:cstheme="minorHAnsi"/>
        </w:rPr>
        <w:fldChar w:fldCharType="begin">
          <w:fldData xml:space="preserve">PEVuZE5vdGU+PENpdGU+PFJlY051bT4xPC9SZWNOdW0+PERpc3BsYXlUZXh0PigxOCk8L0Rpc3Bs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0664C1">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sidRPr="000664C1">
        <w:rPr>
          <w:rFonts w:eastAsia="Calibri" w:cstheme="minorHAnsi"/>
        </w:rPr>
        <w:fldChar w:fldCharType="end"/>
      </w:r>
      <w:r w:rsidRPr="000664C1">
        <w:rPr>
          <w:rFonts w:eastAsia="Calibri" w:cstheme="minorHAnsi"/>
        </w:rPr>
        <w:t xml:space="preserve"> </w:t>
      </w:r>
      <w:r>
        <w:rPr>
          <w:rFonts w:eastAsia="Calibri" w:cstheme="minorHAnsi"/>
        </w:rPr>
        <w:t>observed</w:t>
      </w:r>
      <w:r w:rsidRPr="000664C1">
        <w:rPr>
          <w:rFonts w:eastAsia="Calibri" w:cstheme="minorHAnsi"/>
        </w:rPr>
        <w:t xml:space="preserve"> that the prevalence of former smokers who quit during the year prior to the survey was higher for former menthol smokers (9.8%, 95% CI: 5.6, 16.5) than non-menthol smokers (7.2%, 95% CI: 4.7, 10.8). However, the prevalence of former smokers who quit more than 1 year prior to the survey (and remained abstinent) was higher among former non-menthol smokers (25.5%, 95% CI: 20.7, 31.0) than former menthol smokers (19.0%, 95% CI: 13.9, 25.6). The authors also </w:t>
      </w:r>
      <w:r>
        <w:rPr>
          <w:rFonts w:eastAsia="Calibri" w:cstheme="minorHAnsi"/>
        </w:rPr>
        <w:t>observed</w:t>
      </w:r>
      <w:r w:rsidRPr="000664C1">
        <w:rPr>
          <w:rFonts w:eastAsia="Calibri" w:cstheme="minorHAnsi"/>
        </w:rPr>
        <w:t xml:space="preserve"> that 28.8% of enrollees who smoked menthols “quit or remained quit,” compared with 32.7 percent of non-menthol smokers. In an analysis of “relapse or initiation,” they reported that the rate of increase “via relapse or initiation” from one year to the time of interview was greater in menthol smokers (11.4%) than non-menthol smokers (5.7%). However, those data were not reported in a way that makes presentation of relapse rates alone possible; results cannot be generalized to reflect relapse alone. Delnevo et al.</w:t>
      </w:r>
      <w:r>
        <w:rPr>
          <w:rFonts w:eastAsia="Calibri" w:cstheme="minorHAnsi"/>
        </w:rPr>
        <w:t xml:space="preserve"> </w:t>
      </w:r>
      <w:r>
        <w:rPr>
          <w:rFonts w:eastAsia="Calibri" w:cstheme="minorHAnsi"/>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eastAsia="Calibri" w:cstheme="minorHAnsi"/>
        </w:rPr>
        <w:instrText xml:space="preserve"> ADDIN EN.CITE </w:instrText>
      </w:r>
      <w:r>
        <w:rPr>
          <w:rFonts w:eastAsia="Calibri" w:cstheme="minorHAnsi"/>
        </w:rPr>
        <w:fldChar w:fldCharType="begin">
          <w:fldData xml:space="preserve">PEVuZE5vdGU+PENpdGU+PEF1dGhvcj5EZWxuZXZvPC9BdXRob3I+PFllYXI+MjAxNTwvWWVhcj48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Pr>
          <w:rFonts w:eastAsia="Calibri" w:cstheme="minorHAnsi"/>
        </w:rPr>
        <w:fldChar w:fldCharType="separate"/>
      </w:r>
      <w:r>
        <w:rPr>
          <w:rFonts w:eastAsia="Calibri" w:cstheme="minorHAnsi"/>
          <w:noProof/>
        </w:rPr>
        <w:t>(</w:t>
      </w:r>
      <w:hyperlink w:anchor="_ENREF_18" w:tooltip="Delnevo, 2015 #1" w:history="1">
        <w:r>
          <w:rPr>
            <w:rFonts w:eastAsia="Calibri" w:cstheme="minorHAnsi"/>
            <w:noProof/>
          </w:rPr>
          <w:t>18</w:t>
        </w:r>
      </w:hyperlink>
      <w:r>
        <w:rPr>
          <w:rFonts w:eastAsia="Calibri" w:cstheme="minorHAnsi"/>
          <w:noProof/>
        </w:rPr>
        <w:t>)</w:t>
      </w:r>
      <w:r>
        <w:rPr>
          <w:rFonts w:eastAsia="Calibri" w:cstheme="minorHAnsi"/>
        </w:rPr>
        <w:fldChar w:fldCharType="end"/>
      </w:r>
      <w:r>
        <w:rPr>
          <w:rFonts w:eastAsia="Calibri" w:cstheme="minorHAnsi"/>
        </w:rPr>
        <w:t xml:space="preserve"> </w:t>
      </w:r>
      <w:r w:rsidRPr="000664C1">
        <w:rPr>
          <w:rFonts w:eastAsia="Calibri" w:cstheme="minorHAnsi"/>
        </w:rPr>
        <w:t>also found that a decrease in smoking frequency (from smoking “every day” to smoking “some days”) over the past 12 months was more prevalent in menthol smokers (5.8%, 95% CI: 2.4, 13.5) than non-menthol smokers (4.2%, 95% CI: 2.6, 7.7). None of the differences were significant; however, the authors also found that an increase in smoking frequency (from “some days” to “every day” was also more prevalent in menthol smokers (8.3%, 95% CI: 5.2, 13.1) than non-menthol smokers (4.2%, 95% CI: 2.7, 16.5).</w:t>
      </w:r>
    </w:p>
    <w:p w14:paraId="1074D674"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a cross-sectional study of young adults age 18-35 in Hawaii, Fagan et al. </w:t>
      </w:r>
      <w:r w:rsidRPr="00DE2832">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 </w:instrText>
      </w:r>
      <w:r>
        <w:rPr>
          <w:rFonts w:eastAsia="Calibri" w:cstheme="minorHAnsi"/>
        </w:rPr>
        <w:fldChar w:fldCharType="begin">
          <w:fldData xml:space="preserve">PEVuZE5vdGU+PENpdGU+PFJlY051bT41PC9SZWNOdW0+PERpc3BsYXlUZXh0PigyNSk8L0Rpc3Bs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</w:fldData>
        </w:fldChar>
      </w:r>
      <w:r>
        <w:rPr>
          <w:rFonts w:eastAsia="Calibri" w:cstheme="minorHAnsi"/>
        </w:rPr>
        <w:instrText xml:space="preserve"> ADDIN EN.CITE.DATA </w:instrText>
      </w:r>
      <w:r>
        <w:rPr>
          <w:rFonts w:eastAsia="Calibri" w:cstheme="minorHAnsi"/>
        </w:rPr>
      </w:r>
      <w:r>
        <w:rPr>
          <w:rFonts w:eastAsia="Calibri" w:cstheme="minorHAnsi"/>
        </w:rPr>
        <w:fldChar w:fldCharType="end"/>
      </w:r>
      <w:r w:rsidRPr="00DE2832">
        <w:rPr>
          <w:rFonts w:eastAsia="Calibri" w:cstheme="minorHAnsi"/>
        </w:rPr>
        <w:fldChar w:fldCharType="separate"/>
      </w:r>
      <w:r>
        <w:rPr>
          <w:rFonts w:eastAsia="Calibri" w:cstheme="minorHAnsi"/>
          <w:noProof/>
        </w:rPr>
        <w:t>(</w:t>
      </w:r>
      <w:hyperlink w:anchor="_ENREF_25" w:tooltip="Fagan, 2015 #5" w:history="1">
        <w:r>
          <w:rPr>
            <w:rFonts w:eastAsia="Calibri" w:cstheme="minorHAnsi"/>
            <w:noProof/>
          </w:rPr>
          <w:t>25</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found that the prevalence of menthol smokers who “</w:t>
      </w:r>
      <w:r w:rsidRPr="00DE2832">
        <w:rPr>
          <w:rFonts w:eastAsia="Calibri" w:cstheme="minorHAnsi"/>
          <w:i/>
        </w:rPr>
        <w:t>tried to quit smoking completely in the past 12 months</w:t>
      </w:r>
      <w:r w:rsidRPr="00DE2832">
        <w:rPr>
          <w:rFonts w:eastAsia="Calibri" w:cstheme="minorHAnsi"/>
        </w:rPr>
        <w:t xml:space="preserve">” </w:t>
      </w:r>
      <w:r w:rsidRPr="00766E75">
        <w:rPr>
          <w:rFonts w:eastAsia="Calibri" w:cstheme="minorHAnsi"/>
        </w:rPr>
        <w:t xml:space="preserve">was not </w:t>
      </w:r>
      <w:r>
        <w:rPr>
          <w:rFonts w:eastAsia="Calibri" w:cstheme="minorHAnsi"/>
        </w:rPr>
        <w:t>statistically significantly</w:t>
      </w:r>
      <w:r w:rsidRPr="00766E75">
        <w:rPr>
          <w:rFonts w:eastAsia="Calibri" w:cstheme="minorHAnsi"/>
        </w:rPr>
        <w:t xml:space="preserve"> higher than that of non-menthol smokers (43.3% and 40.7%, respectively; p=0.74</w:t>
      </w:r>
      <w:r>
        <w:rPr>
          <w:rFonts w:eastAsia="Calibri" w:cstheme="minorHAnsi"/>
        </w:rPr>
        <w:t>)</w:t>
      </w:r>
      <w:r w:rsidRPr="00DE2832">
        <w:rPr>
          <w:rFonts w:eastAsia="Calibri" w:cstheme="minorHAnsi"/>
        </w:rPr>
        <w:t>. The</w:t>
      </w:r>
      <w:r>
        <w:rPr>
          <w:rFonts w:eastAsia="Calibri" w:cstheme="minorHAnsi"/>
        </w:rPr>
        <w:t xml:space="preserve"> authors</w:t>
      </w:r>
      <w:r w:rsidRPr="00DE2832">
        <w:rPr>
          <w:rFonts w:eastAsia="Calibri" w:cstheme="minorHAnsi"/>
        </w:rPr>
        <w:t xml:space="preserve"> also </w:t>
      </w:r>
      <w:r>
        <w:rPr>
          <w:rFonts w:eastAsia="Calibri" w:cstheme="minorHAnsi"/>
        </w:rPr>
        <w:t xml:space="preserve">reported that, in the past year: </w:t>
      </w:r>
      <w:r w:rsidRPr="00DE2832">
        <w:rPr>
          <w:rFonts w:eastAsia="Calibri" w:cstheme="minorHAnsi"/>
        </w:rPr>
        <w:t xml:space="preserve">fewer menthol smokers (7.1%) made a single quit attempt, compared with non-menthol smokers (18.6%); more menthol smokers (25.2%) made 2-3 quit attempts compared with non-menthol smokers (16.9%); </w:t>
      </w:r>
      <w:r w:rsidRPr="000E6F62">
        <w:rPr>
          <w:rFonts w:eastAsia="Calibri" w:cstheme="minorHAnsi"/>
        </w:rPr>
        <w:t xml:space="preserve">and more menthol smokers (11.0%) than non-menthol smokers (5.1%) reported more than three attempts in the past year. The overall number of quit attempts between menthol and non-menthol smokers was found to be </w:t>
      </w:r>
      <w:r>
        <w:rPr>
          <w:rFonts w:eastAsia="Calibri" w:cstheme="minorHAnsi"/>
        </w:rPr>
        <w:t>statistically significantly</w:t>
      </w:r>
      <w:r w:rsidRPr="000E6F62">
        <w:rPr>
          <w:rFonts w:eastAsia="Calibri" w:cstheme="minorHAnsi"/>
        </w:rPr>
        <w:t xml:space="preserve"> different (p&lt;0.05); however, the direction of this result was not reported.</w:t>
      </w:r>
    </w:p>
    <w:p w14:paraId="6D53D6D6" w14:textId="77777777" w:rsidR="007F0AE0" w:rsidRPr="00DE2832" w:rsidRDefault="007F0AE0" w:rsidP="007F0AE0">
      <w:pPr>
        <w:spacing w:after="120" w:line="240" w:lineRule="auto"/>
        <w:jc w:val="both"/>
        <w:outlineLvl w:val="2"/>
        <w:rPr>
          <w:rFonts w:eastAsia="Calibri" w:cstheme="minorHAnsi"/>
          <w:i/>
          <w:u w:val="single"/>
        </w:rPr>
      </w:pPr>
      <w:r w:rsidRPr="00DE2832">
        <w:rPr>
          <w:rFonts w:eastAsia="Calibri" w:cstheme="minorHAnsi"/>
          <w:i/>
          <w:u w:val="single"/>
        </w:rPr>
        <w:t>Unadjusted Results: Cessation Measures by Gender</w:t>
      </w:r>
    </w:p>
    <w:p w14:paraId="4465C082"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Women</w:t>
      </w:r>
    </w:p>
    <w:p w14:paraId="0E97234E" w14:textId="77777777" w:rsidR="007F0AE0" w:rsidRPr="00DE2832" w:rsidRDefault="007F0AE0" w:rsidP="007F0AE0">
      <w:pPr>
        <w:spacing w:after="120" w:line="240" w:lineRule="auto"/>
        <w:jc w:val="both"/>
        <w:rPr>
          <w:rFonts w:eastAsia="Calibri" w:cstheme="minorHAnsi"/>
          <w:i/>
        </w:rPr>
      </w:pPr>
      <w:r w:rsidRPr="00217359">
        <w:rPr>
          <w:rFonts w:eastAsia="Calibri" w:cstheme="minorHAnsi"/>
          <w:i/>
        </w:rPr>
        <w:t>Two studies reported unadjusted cessation outcomes specifically amongst women</w:t>
      </w:r>
      <w:r>
        <w:rPr>
          <w:rFonts w:eastAsia="Calibri" w:cstheme="minorHAnsi"/>
          <w:i/>
        </w:rPr>
        <w:t xml:space="preserve"> </w:t>
      </w:r>
      <w:r>
        <w:rPr>
          <w:rFonts w:eastAsia="Calibri" w:cstheme="minorHAnsi"/>
          <w:i/>
        </w:rPr>
        <w:fldChar w:fldCharType="begin">
          <w:fldData xml:space="preserve">PEVuZE5vdGU+PENpdGU+PEF1dGhvcj5NdXJyYXk8L0F1dGhvcj48WWVhcj4yMDA3PC9ZZWFyPjxS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==
</w:fldData>
        </w:fldChar>
      </w:r>
      <w:r>
        <w:rPr>
          <w:rFonts w:eastAsia="Calibri" w:cstheme="minorHAnsi"/>
          <w:i/>
        </w:rPr>
        <w:instrText xml:space="preserve"> ADDIN EN.CITE </w:instrText>
      </w:r>
      <w:r>
        <w:rPr>
          <w:rFonts w:eastAsia="Calibri" w:cstheme="minorHAnsi"/>
          <w:i/>
        </w:rPr>
        <w:fldChar w:fldCharType="begin">
          <w:fldData xml:space="preserve">PEVuZE5vdGU+PENpdGU+PEF1dGhvcj5NdXJyYXk8L0F1dGhvcj48WWVhcj4yMDA3PC9ZZWFyPjxS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==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7" w:tooltip="Rosenbloom, 2012 #32" w:history="1">
        <w:r>
          <w:rPr>
            <w:rFonts w:eastAsia="Calibri" w:cstheme="minorHAnsi"/>
            <w:i/>
            <w:noProof/>
          </w:rPr>
          <w:t>17</w:t>
        </w:r>
      </w:hyperlink>
      <w:r>
        <w:rPr>
          <w:rFonts w:eastAsia="Calibri" w:cstheme="minorHAnsi"/>
          <w:i/>
          <w:noProof/>
        </w:rPr>
        <w:t xml:space="preserve">, </w:t>
      </w:r>
      <w:hyperlink w:anchor="_ENREF_60" w:tooltip="Murray, 2007 #77" w:history="1">
        <w:r>
          <w:rPr>
            <w:rFonts w:eastAsia="Calibri" w:cstheme="minorHAnsi"/>
            <w:i/>
            <w:noProof/>
          </w:rPr>
          <w:t>60</w:t>
        </w:r>
      </w:hyperlink>
      <w:r>
        <w:rPr>
          <w:rFonts w:eastAsia="Calibri" w:cstheme="minorHAnsi"/>
          <w:i/>
          <w:noProof/>
        </w:rPr>
        <w:t>)</w:t>
      </w:r>
      <w:r>
        <w:rPr>
          <w:rFonts w:eastAsia="Calibri" w:cstheme="minorHAnsi"/>
          <w:i/>
        </w:rPr>
        <w:fldChar w:fldCharType="end"/>
      </w:r>
      <w:r w:rsidRPr="00217359">
        <w:rPr>
          <w:rFonts w:eastAsia="Calibri" w:cstheme="minorHAnsi"/>
          <w:i/>
        </w:rPr>
        <w:t xml:space="preserve">. </w:t>
      </w:r>
      <w:r>
        <w:rPr>
          <w:rFonts w:eastAsia="Calibri" w:cstheme="minorHAnsi"/>
          <w:i/>
        </w:rPr>
        <w:t>One study reported a</w:t>
      </w:r>
      <w:r w:rsidRPr="00DE2832">
        <w:rPr>
          <w:rFonts w:eastAsia="Calibri" w:cstheme="minorHAnsi"/>
          <w:i/>
        </w:rPr>
        <w:t xml:space="preserve"> significant difference in duration of abstinence</w:t>
      </w:r>
      <w:r>
        <w:rPr>
          <w:rFonts w:eastAsia="Calibri" w:cstheme="minorHAnsi"/>
          <w:i/>
        </w:rPr>
        <w:t xml:space="preserve"> was reported in their overall sample</w:t>
      </w:r>
      <w:r w:rsidRPr="00DE2832">
        <w:rPr>
          <w:rFonts w:eastAsia="Calibri" w:cstheme="minorHAnsi"/>
          <w:i/>
        </w:rPr>
        <w:t>, but a potential reporting error was suspected; this study also found that female menthol and non-menthol smokers reported a nearly identical number of quit attempts. Another study observed no difference between former menthol smokers who were sustained quitters, compared with former female non-menthol smokers; similarly, this study also found no difference in the percent of female intermittent quitters between menthol and non-menthol smokers.</w:t>
      </w:r>
    </w:p>
    <w:p w14:paraId="57322646" w14:textId="77777777" w:rsidR="007F0AE0" w:rsidRDefault="007F0AE0" w:rsidP="007F0AE0">
      <w:pPr>
        <w:spacing w:after="120" w:line="240" w:lineRule="auto"/>
        <w:jc w:val="both"/>
        <w:rPr>
          <w:rFonts w:eastAsia="Calibri" w:cstheme="minorHAnsi"/>
        </w:rPr>
      </w:pPr>
      <w:r w:rsidRPr="00DE2832">
        <w:rPr>
          <w:rFonts w:eastAsia="Calibri" w:cstheme="minorHAnsi"/>
        </w:rPr>
        <w:t xml:space="preserve">In data from a cross-sectional study of 928 female smokers, Rosenbloom et al. </w:t>
      </w:r>
      <w:r w:rsidRPr="00DE2832">
        <w:rPr>
          <w:rFonts w:eastAsia="Calibri" w:cstheme="minorHAnsi"/>
        </w:rPr>
        <w:fldChar w:fldCharType="begin"/>
      </w:r>
      <w:r>
        <w:rPr>
          <w:rFonts w:eastAsia="Calibri" w:cstheme="minorHAnsi"/>
        </w:rPr>
        <w:instrText xml:space="preserve"> ADDIN EN.CITE &lt;EndNote&gt;&lt;Cite&gt;&lt;RecNum&gt;32&lt;/RecNum&gt;&lt;DisplayText&gt;(17)&lt;/DisplayText&gt;&lt;record&gt;&lt;rec-number&gt;32&lt;/rec-number&gt;&lt;foreign-keys&gt;&lt;key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sidRPr="00DE2832">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reported the percentages of women who reported being unable to have quit for at least 90 days. From the overall sample, 56.0 percent of menthol smokers’ longest quit times were less than 90 days and that 44.0 percent were greater than 90 days. For non-menthol smokers, the authors report that 46.5 percent quit for less than 90 days and 68.3 percent quit for longer. </w:t>
      </w:r>
      <w:r w:rsidRPr="0071742A">
        <w:rPr>
          <w:rFonts w:eastAsia="Calibri" w:cstheme="minorHAnsi"/>
        </w:rPr>
        <w:t>This Review’s authors noted that the sum of the percentages for non-menthol smokers does not equal 100 and suspect a reporting error in the paper. As a result, the reported significant difference between menthol and non-menthol (p=0.01) must be interpreted with caution</w:t>
      </w:r>
      <w:r w:rsidRPr="00DE2832">
        <w:rPr>
          <w:rFonts w:eastAsia="Calibri" w:cstheme="minorHAnsi"/>
        </w:rPr>
        <w:t>.</w:t>
      </w:r>
      <w:r>
        <w:rPr>
          <w:rFonts w:eastAsia="Calibri" w:cstheme="minorHAnsi"/>
          <w:i/>
        </w:rPr>
        <w:t xml:space="preserve"> </w:t>
      </w:r>
      <w:r w:rsidRPr="0071742A">
        <w:rPr>
          <w:rFonts w:eastAsia="Calibri" w:cstheme="minorHAnsi"/>
        </w:rPr>
        <w:t>When stratified by race, there were no significant differences</w:t>
      </w:r>
      <w:r>
        <w:rPr>
          <w:rFonts w:eastAsia="Calibri" w:cstheme="minorHAnsi"/>
        </w:rPr>
        <w:t xml:space="preserve"> reported</w:t>
      </w:r>
      <w:r w:rsidRPr="0071742A">
        <w:rPr>
          <w:rFonts w:eastAsia="Calibri" w:cstheme="minorHAnsi"/>
        </w:rPr>
        <w:t>, but fewer White menthol smokers reported a longest quit time less than 90 days, compared with White non-menthol smokers (46.6% vs. 53.7%, respectively; p=0.11). Conversely, more Black menthol smokers reported a shorter duration of longest quit than Black non-menthol smokers (58.2% vs. 42.8%, respectively; p=0.13).</w:t>
      </w:r>
    </w:p>
    <w:p w14:paraId="39F33B73" w14:textId="77777777" w:rsidR="007F0AE0" w:rsidRDefault="007F0AE0" w:rsidP="007F0AE0">
      <w:pPr>
        <w:spacing w:after="120" w:line="240" w:lineRule="auto"/>
        <w:jc w:val="both"/>
        <w:rPr>
          <w:rFonts w:eastAsia="Calibri" w:cstheme="minorHAnsi"/>
        </w:rPr>
      </w:pPr>
      <w:r>
        <w:rPr>
          <w:rFonts w:eastAsia="Calibri" w:cstheme="minorHAnsi"/>
        </w:rPr>
        <w:lastRenderedPageBreak/>
        <w:t xml:space="preserve">Rosenbloom et al. </w:t>
      </w:r>
      <w:r>
        <w:rPr>
          <w:rFonts w:eastAsia="Calibri" w:cstheme="minorHAnsi"/>
        </w:rPr>
        <w:fldChar w:fldCharType="begin"/>
      </w:r>
      <w:r>
        <w:rPr>
          <w:rFonts w:eastAsia="Calibri" w:cstheme="minorHAnsi"/>
        </w:rPr>
        <w:instrText xml:space="preserve"> ADDIN EN.CITE &lt;EndNote&gt;&lt;Cite&gt;&lt;Author&gt;Rosenbloom&lt;/Author&gt;&lt;Year&gt;2012&lt;/Year&gt;&lt;RecNum&gt;32&lt;/RecNum&gt;&lt;DisplayText&gt;(17)&lt;/DisplayText&gt;&lt;record&gt;&lt;rec-number&gt;32&lt;/rec-number&gt;&lt;foreign-keys&gt;&lt;key app="EN" db-id="a2vz2dfp8xrad6exes75zwpiw5rxwa0vwapv" timestamp="0"&gt;32&lt;/key&gt;&lt;/foreign-keys&gt;&lt;ref-type name="Journal Article"&gt;17&lt;/ref-type&gt;&lt;contributors&gt;&lt;authors&gt;&lt;author&gt;Rosenbloom, J.&lt;/author&gt;&lt;author&gt; Rees, V. W.&lt;/author&gt;&lt;author&gt;Reid, K.&lt;/author&gt;&lt;author&gt;Wong, J.&lt;/author&gt;&lt;author&gt;Kinnunen, T.&lt;/author&gt;&lt;/authors&gt;&lt;/contributors&gt;&lt;titles&gt;&lt;title&gt;A cross-sectional study on tobacco use and dependence among women: Does menthol matter?&lt;/title&gt;&lt;secondary-title&gt;Tob Induc Dis&lt;/secondary-title&gt;&lt;/titles&gt;&lt;periodical&gt;&lt;full-title&gt;Tob Induc Dis&lt;/full-title&gt;&lt;/periodical&gt;&lt;pages&gt;1-6&lt;/pages&gt;&lt;volume&gt;10&lt;/volume&gt;&lt;number&gt;19&lt;/number&gt;&lt;section&gt;1&lt;/section&gt;&lt;keywords&gt;&lt;keyword&gt;Cigarette smoking, Menthol cigarettes, Tobacco use, Tobacco dependence, Race/Ethnicity, Female Sex/&lt;/keyword&gt;&lt;keyword&gt;Gender&lt;/keyword&gt;&lt;/keywords&gt;&lt;dates&gt;&lt;year&gt;2012&lt;/year&gt;&lt;/dates&gt;&lt;urls&gt;&lt;/urls&gt;&lt;electronic-resource-num&gt;10.1186/1617-9625-10-19&lt;/electronic-resource-num&gt;&lt;research-notes&gt;#173&lt;/research-notes&gt;&lt;/record&gt;&lt;/Cite&gt;&lt;/EndNote&gt;</w:instrText>
      </w:r>
      <w:r>
        <w:rPr>
          <w:rFonts w:eastAsia="Calibri" w:cstheme="minorHAnsi"/>
        </w:rPr>
        <w:fldChar w:fldCharType="separate"/>
      </w:r>
      <w:r>
        <w:rPr>
          <w:rFonts w:eastAsia="Calibri" w:cstheme="minorHAnsi"/>
          <w:noProof/>
        </w:rPr>
        <w:t>(</w:t>
      </w:r>
      <w:hyperlink w:anchor="_ENREF_17" w:tooltip="Rosenbloom, 2012 #32" w:history="1">
        <w:r>
          <w:rPr>
            <w:rFonts w:eastAsia="Calibri" w:cstheme="minorHAnsi"/>
            <w:noProof/>
          </w:rPr>
          <w:t>17</w:t>
        </w:r>
      </w:hyperlink>
      <w:r>
        <w:rPr>
          <w:rFonts w:eastAsia="Calibri" w:cstheme="minorHAnsi"/>
          <w:noProof/>
        </w:rPr>
        <w:t>)</w:t>
      </w:r>
      <w:r>
        <w:rPr>
          <w:rFonts w:eastAsia="Calibri" w:cstheme="minorHAnsi"/>
        </w:rPr>
        <w:fldChar w:fldCharType="end"/>
      </w:r>
      <w:r>
        <w:rPr>
          <w:rFonts w:eastAsia="Calibri" w:cstheme="minorHAnsi"/>
        </w:rPr>
        <w:t xml:space="preserve"> </w:t>
      </w:r>
      <w:r>
        <w:rPr>
          <w:rFonts w:eastAsia="Calibri" w:cstheme="minorHAnsi"/>
          <w:noProof/>
        </w:rPr>
        <w:t xml:space="preserve">also </w:t>
      </w:r>
      <w:r w:rsidRPr="00DE2832">
        <w:rPr>
          <w:rFonts w:eastAsia="Calibri" w:cstheme="minorHAnsi"/>
        </w:rPr>
        <w:t>found that menthol smokers reported a nearly identical number of quit attempts than non-menthol smokers (3.1 vs. 3.3; p=0.81).</w:t>
      </w:r>
      <w:r>
        <w:rPr>
          <w:rFonts w:eastAsia="Calibri" w:cstheme="minorHAnsi"/>
        </w:rPr>
        <w:t xml:space="preserve"> </w:t>
      </w:r>
      <w:r w:rsidRPr="001C32D8">
        <w:rPr>
          <w:rFonts w:eastAsia="Calibri" w:cstheme="minorHAnsi"/>
        </w:rPr>
        <w:t>Similarly, number of quit attempts among a subsample of White smokers was essentially the same between menthol and non-menthol smokers (3.2 vs. 3.3; p=0.98), as was a subsample of Black smokers (3.0 vs. 3.0; p=0.98).</w:t>
      </w:r>
    </w:p>
    <w:p w14:paraId="433C7375" w14:textId="77777777" w:rsidR="007F0AE0" w:rsidRPr="004D7427" w:rsidRDefault="007F0AE0" w:rsidP="007F0AE0">
      <w:pPr>
        <w:spacing w:after="120" w:line="240" w:lineRule="auto"/>
        <w:jc w:val="both"/>
        <w:rPr>
          <w:rFonts w:eastAsia="Calibri" w:cstheme="minorHAnsi"/>
        </w:rPr>
      </w:pPr>
      <w:r w:rsidRPr="00DE2832">
        <w:rPr>
          <w:rFonts w:eastAsia="Calibri" w:cstheme="minorHAnsi"/>
        </w:rPr>
        <w:t xml:space="preserve">In the Lung Health Study, a trial of over 5,900 smokers age 35 to 60 years with obstructive lung impairment, Murray et al. </w:t>
      </w:r>
      <w:r w:rsidRPr="00DE2832">
        <w:rPr>
          <w:rFonts w:eastAsia="Calibri" w:cstheme="minorHAnsi"/>
        </w:rPr>
        <w:fldChar w:fldCharType="begin"/>
      </w:r>
      <w:r>
        <w:rPr>
          <w:rFonts w:eastAsia="Calibri" w:cstheme="minorHAnsi"/>
        </w:rPr>
        <w:instrText xml:space="preserve"> ADDIN EN.CITE &lt;EndNote&gt;&lt;Cite&gt;&lt;RecNum&gt;77&lt;/RecNum&gt;&lt;DisplayText&gt;(60)&lt;/DisplayText&gt;&lt;record&gt;&lt;rec-number&gt;77&lt;/rec-number&gt;&lt;foreign-keys&gt;&lt;key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DE2832">
        <w:rPr>
          <w:rFonts w:eastAsia="Calibri" w:cstheme="minorHAnsi"/>
        </w:rPr>
        <w:fldChar w:fldCharType="separate"/>
      </w:r>
      <w:r>
        <w:rPr>
          <w:rFonts w:eastAsia="Calibri" w:cstheme="minorHAnsi"/>
          <w:noProof/>
        </w:rPr>
        <w:t>(</w:t>
      </w:r>
      <w:hyperlink w:anchor="_ENREF_60" w:tooltip="Murray, 2007 #77" w:history="1">
        <w:r>
          <w:rPr>
            <w:rFonts w:eastAsia="Calibri" w:cstheme="minorHAnsi"/>
            <w:noProof/>
          </w:rPr>
          <w:t>60</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defined sustained quitters as biochemically confirmed abstainers at the five annual visits who could recall no month with mean smoking greater than one CPD at any annual visit. Intermittent smokers were those who were biochemically confirmed quitters at some annual visits and smokers at others. Among women, 13.8 percent of menthol and 15.4 percent of non-menthol smokers were sustained quitters, and 30.4 percent and 28.7 percent, respectively, were intermittent quitters</w:t>
      </w:r>
      <w:r w:rsidRPr="00830244">
        <w:rPr>
          <w:rFonts w:eastAsia="Calibri" w:cstheme="minorHAnsi"/>
        </w:rPr>
        <w:t xml:space="preserve"> (p=0.57;</w:t>
      </w:r>
      <w:r w:rsidRPr="00830244">
        <w:rPr>
          <w:rFonts w:cstheme="minorHAnsi"/>
        </w:rPr>
        <w:t xml:space="preserve"> </w:t>
      </w:r>
      <w:r w:rsidRPr="00830244">
        <w:rPr>
          <w:rFonts w:eastAsia="Calibri" w:cstheme="minorHAnsi"/>
        </w:rPr>
        <w:t>3-group comparison, current smokers vs. sustained quitters vs. intermittent quitters)</w:t>
      </w:r>
      <w:r>
        <w:rPr>
          <w:rFonts w:eastAsia="Calibri" w:cstheme="minorHAnsi"/>
        </w:rPr>
        <w:t>.</w:t>
      </w:r>
    </w:p>
    <w:p w14:paraId="012630B1" w14:textId="77777777" w:rsidR="007F0AE0" w:rsidRPr="00DE2832" w:rsidRDefault="007F0AE0" w:rsidP="007F0AE0">
      <w:pPr>
        <w:spacing w:after="120" w:line="240" w:lineRule="auto"/>
        <w:jc w:val="both"/>
        <w:outlineLvl w:val="3"/>
        <w:rPr>
          <w:rFonts w:eastAsia="Calibri" w:cstheme="minorHAnsi"/>
          <w:b/>
          <w:i/>
        </w:rPr>
      </w:pPr>
      <w:r w:rsidRPr="00DE2832">
        <w:rPr>
          <w:rFonts w:eastAsia="Calibri" w:cstheme="minorHAnsi"/>
          <w:b/>
          <w:i/>
        </w:rPr>
        <w:t>Men</w:t>
      </w:r>
    </w:p>
    <w:p w14:paraId="312699F8" w14:textId="77777777" w:rsidR="007F0AE0" w:rsidRPr="00DE2832" w:rsidRDefault="007F0AE0" w:rsidP="007F0AE0">
      <w:pPr>
        <w:spacing w:after="120" w:line="240" w:lineRule="auto"/>
        <w:jc w:val="both"/>
        <w:rPr>
          <w:rFonts w:eastAsia="Calibri" w:cstheme="minorHAnsi"/>
        </w:rPr>
      </w:pPr>
      <w:r w:rsidRPr="00DE2832">
        <w:rPr>
          <w:rFonts w:eastAsia="Calibri" w:cstheme="minorHAnsi"/>
          <w:i/>
        </w:rPr>
        <w:t xml:space="preserve">Three studies reported cessation </w:t>
      </w:r>
      <w:r w:rsidRPr="00F550C2">
        <w:rPr>
          <w:rFonts w:eastAsia="Calibri" w:cstheme="minorHAnsi"/>
          <w:i/>
        </w:rPr>
        <w:t>outcomes in men</w:t>
      </w:r>
      <w:r>
        <w:rPr>
          <w:rFonts w:eastAsia="Calibri" w:cstheme="minorHAnsi"/>
          <w:i/>
        </w:rPr>
        <w:t xml:space="preserve"> </w:t>
      </w:r>
      <w:r>
        <w:rPr>
          <w:rFonts w:eastAsia="Calibri" w:cstheme="minorHAnsi"/>
          <w:i/>
        </w:rPr>
        <w:fldChar w:fldCharType="begin">
          <w:fldData xml:space="preserve">PEVuZE5vdGU+PENpdGU+PEF1dGhvcj5KYXJ2aWs8L0F1dGhvcj48WWVhcj4xOTk0PC9ZZWFyPjxS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</w:fldData>
        </w:fldChar>
      </w:r>
      <w:r>
        <w:rPr>
          <w:rFonts w:eastAsia="Calibri" w:cstheme="minorHAnsi"/>
          <w:i/>
        </w:rPr>
        <w:instrText xml:space="preserve"> ADDIN EN.CITE </w:instrText>
      </w:r>
      <w:r>
        <w:rPr>
          <w:rFonts w:eastAsia="Calibri" w:cstheme="minorHAnsi"/>
          <w:i/>
        </w:rPr>
        <w:fldChar w:fldCharType="begin">
          <w:fldData xml:space="preserve">PEVuZE5vdGU+PENpdGU+PEF1dGhvcj5KYXJ2aWs8L0F1dGhvcj48WWVhcj4xOTk0PC9ZZWFyPjxS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</w:fldData>
        </w:fldChar>
      </w:r>
      <w:r>
        <w:rPr>
          <w:rFonts w:eastAsia="Calibri" w:cstheme="minorHAnsi"/>
          <w:i/>
        </w:rPr>
        <w:instrText xml:space="preserve"> ADDIN EN.CITE.DATA </w:instrText>
      </w:r>
      <w:r>
        <w:rPr>
          <w:rFonts w:eastAsia="Calibri" w:cstheme="minorHAnsi"/>
          <w:i/>
        </w:rPr>
      </w:r>
      <w:r>
        <w:rPr>
          <w:rFonts w:eastAsia="Calibri" w:cstheme="minorHAnsi"/>
          <w:i/>
        </w:rPr>
        <w:fldChar w:fldCharType="end"/>
      </w:r>
      <w:r>
        <w:rPr>
          <w:rFonts w:eastAsia="Calibri" w:cstheme="minorHAnsi"/>
          <w:i/>
        </w:rPr>
        <w:fldChar w:fldCharType="separate"/>
      </w:r>
      <w:r>
        <w:rPr>
          <w:rFonts w:eastAsia="Calibri" w:cstheme="minorHAnsi"/>
          <w:i/>
          <w:noProof/>
        </w:rPr>
        <w:t>(</w:t>
      </w:r>
      <w:hyperlink w:anchor="_ENREF_16" w:tooltip="Miller, 1994 #91" w:history="1">
        <w:r>
          <w:rPr>
            <w:rFonts w:eastAsia="Calibri" w:cstheme="minorHAnsi"/>
            <w:i/>
            <w:noProof/>
          </w:rPr>
          <w:t>16</w:t>
        </w:r>
      </w:hyperlink>
      <w:r>
        <w:rPr>
          <w:rFonts w:eastAsia="Calibri" w:cstheme="minorHAnsi"/>
          <w:i/>
          <w:noProof/>
        </w:rPr>
        <w:t xml:space="preserve">, </w:t>
      </w:r>
      <w:hyperlink w:anchor="_ENREF_51" w:tooltip="Jarvik, 1994 #90" w:history="1">
        <w:r>
          <w:rPr>
            <w:rFonts w:eastAsia="Calibri" w:cstheme="minorHAnsi"/>
            <w:i/>
            <w:noProof/>
          </w:rPr>
          <w:t>51</w:t>
        </w:r>
      </w:hyperlink>
      <w:r>
        <w:rPr>
          <w:rFonts w:eastAsia="Calibri" w:cstheme="minorHAnsi"/>
          <w:i/>
          <w:noProof/>
        </w:rPr>
        <w:t xml:space="preserve">, </w:t>
      </w:r>
      <w:hyperlink w:anchor="_ENREF_60" w:tooltip="Murray, 2007 #77" w:history="1">
        <w:r>
          <w:rPr>
            <w:rFonts w:eastAsia="Calibri" w:cstheme="minorHAnsi"/>
            <w:i/>
            <w:noProof/>
          </w:rPr>
          <w:t>60</w:t>
        </w:r>
      </w:hyperlink>
      <w:r>
        <w:rPr>
          <w:rFonts w:eastAsia="Calibri" w:cstheme="minorHAnsi"/>
          <w:i/>
          <w:noProof/>
        </w:rPr>
        <w:t>)</w:t>
      </w:r>
      <w:r>
        <w:rPr>
          <w:rFonts w:eastAsia="Calibri" w:cstheme="minorHAnsi"/>
          <w:i/>
        </w:rPr>
        <w:fldChar w:fldCharType="end"/>
      </w:r>
      <w:r w:rsidRPr="00F550C2">
        <w:rPr>
          <w:rFonts w:eastAsia="Calibri" w:cstheme="minorHAnsi"/>
          <w:i/>
        </w:rPr>
        <w:t>.</w:t>
      </w:r>
      <w:r>
        <w:rPr>
          <w:rFonts w:eastAsia="Calibri" w:cstheme="minorHAnsi"/>
          <w:i/>
          <w:noProof/>
        </w:rPr>
        <w:t xml:space="preserve"> </w:t>
      </w:r>
      <w:r w:rsidRPr="00E11DE2">
        <w:rPr>
          <w:rFonts w:eastAsia="Calibri" w:cstheme="minorHAnsi"/>
          <w:i/>
        </w:rPr>
        <w:t>In one study, no significant difference between menthol and non-menthol smokers were reported among either sustained or intermittent quitters. In a very small study, the longest duration of abstinence was observed to be shorter for menthol smokers than non-menthol smokers, and fewer quit attempted were reported by menthol versus non-menthol smokers (although no significance testing was reported). Another small study reported higher rates of quit attempts in white male menthol smokers compared to non-menthol smokers, and lower rates among Black menthol smokers compared to non-menthol smokers; again, no significance testing was reported.</w:t>
      </w:r>
    </w:p>
    <w:p w14:paraId="30ED8441"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the Lung Health Study, a trial of over 5,900 smokers age 35 to 60 years with obstructive lung impairment, Murray et al. </w:t>
      </w:r>
      <w:r w:rsidRPr="00DE2832">
        <w:rPr>
          <w:rFonts w:eastAsia="Calibri" w:cstheme="minorHAnsi"/>
        </w:rPr>
        <w:fldChar w:fldCharType="begin"/>
      </w:r>
      <w:r>
        <w:rPr>
          <w:rFonts w:eastAsia="Calibri" w:cstheme="minorHAnsi"/>
        </w:rPr>
        <w:instrText xml:space="preserve"> ADDIN EN.CITE &lt;EndNote&gt;&lt;Cite&gt;&lt;RecNum&gt;77&lt;/RecNum&gt;&lt;DisplayText&gt;(60)&lt;/DisplayText&gt;&lt;record&gt;&lt;rec-number&gt;77&lt;/rec-number&gt;&lt;foreign-keys&gt;&lt;key app="EN" db-id="a2vz2dfp8xrad6exes75zwpiw5rxwa0vwapv" timestamp="0"&gt;77&lt;/key&gt;&lt;/foreign-keys&gt;&lt;ref-type name="Journal Article"&gt;17&lt;/ref-type&gt;&lt;contributors&gt;&lt;authors&gt;&lt;author&gt;Murray, R. P.&lt;/author&gt;&lt;author&gt;Connett, J. E.&lt;/author&gt;&lt;author&gt;Skeans, M. A.&lt;/author&gt;&lt;author&gt;Tashkin, D. P.&lt;/author&gt;&lt;/authors&gt;&lt;/contributors&gt;&lt;auth-address&gt;Department of Community Health Sciences, University of Manitoba. Winnipeg, MB, Canada. rmurray@hsc.mb.ca&lt;/auth-address&gt;&lt;titles&gt;&lt;title&gt;Menthol cigarettes and health risks in Lung Health Study data&lt;/title&gt;&lt;secondary-title&gt;Nicotine Tob Res&lt;/secondary-title&gt;&lt;/titles&gt;&lt;periodical&gt;&lt;full-title&gt;Nicotine Tob Res&lt;/full-title&gt;&lt;/periodical&gt;&lt;pages&gt;101-7&lt;/pages&gt;&lt;volume&gt;9&lt;/volume&gt;&lt;number&gt;1&lt;/number&gt;&lt;keywords&gt;&lt;keyword&gt;Adult&lt;/keyword&gt;&lt;keyword&gt;African Americans/statistics &amp;amp; numerical data&lt;/keyword&gt;&lt;keyword&gt;Bronchodilator Agents/therapeutic use&lt;/keyword&gt;&lt;keyword&gt;Female&lt;/keyword&gt;&lt;keyword&gt;*Health Behavior&lt;/keyword&gt;&lt;keyword&gt;Humans&lt;/keyword&gt;&lt;keyword&gt;Ipratropium/therapeutic use&lt;/keyword&gt;&lt;keyword&gt;Lung Diseases/*chemically induced/epidemiology&lt;/keyword&gt;&lt;keyword&gt;Male&lt;/keyword&gt;&lt;keyword&gt;Menthol/*adverse effects&lt;/keyword&gt;&lt;keyword&gt;Middle Aged&lt;/keyword&gt;&lt;keyword&gt;Risk Factors&lt;/keyword&gt;&lt;keyword&gt;Smoking/*epidemiology/*prevention &amp;amp; control&lt;/keyword&gt;&lt;keyword&gt;Smoking Cessation/statistics &amp;amp; numerical data&lt;/keyword&gt;&lt;keyword&gt;*Tobacco&lt;/keyword&gt;&lt;/keywords&gt;&lt;dates&gt;&lt;year&gt;2007&lt;/year&gt;&lt;pub-dates&gt;&lt;date&gt;Jan&lt;/date&gt;&lt;/pub-dates&gt;&lt;/dates&gt;&lt;isbn&gt;1462-2203 (Print)&amp;#xD;1462-2203 (Linking)&lt;/isbn&gt;&lt;accession-num&gt;17365741&lt;/accession-num&gt;&lt;urls&gt;&lt;related-urls&gt;&lt;url&gt;http://www.ncbi.nlm.nih.gov/pubmed/17365741&lt;/url&gt;&lt;/related-urls&gt;&lt;/urls&gt;&lt;electronic-resource-num&gt;10.1080/14622200601078418&lt;/electronic-resource-num&gt;&lt;research-notes&gt;#383&lt;/research-notes&gt;&lt;/record&gt;&lt;/Cite&gt;&lt;/EndNote&gt;</w:instrText>
      </w:r>
      <w:r w:rsidRPr="00DE2832">
        <w:rPr>
          <w:rFonts w:eastAsia="Calibri" w:cstheme="minorHAnsi"/>
        </w:rPr>
        <w:fldChar w:fldCharType="separate"/>
      </w:r>
      <w:r>
        <w:rPr>
          <w:rFonts w:eastAsia="Calibri" w:cstheme="minorHAnsi"/>
          <w:noProof/>
        </w:rPr>
        <w:t>(</w:t>
      </w:r>
      <w:hyperlink w:anchor="_ENREF_60" w:tooltip="Murray, 2007 #77" w:history="1">
        <w:r>
          <w:rPr>
            <w:rFonts w:eastAsia="Calibri" w:cstheme="minorHAnsi"/>
            <w:noProof/>
          </w:rPr>
          <w:t>60</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defined sustained quitters as biochemically confirmed abstainers at the five annual visits who could recall no month with mean smoking greater than one CPD at any annual visit. Intermittent smokers were those who were biochemically confirmed quitters at some annual visits and smokers at others. Among men, 16.6 percent of menthol and 17.2 percent of non-menthol smokers were sustained quitters, and 26.0 percent and 26.9 percent, respectively, were intermittent quitters (p=0.80</w:t>
      </w:r>
      <w:r w:rsidRPr="00830244">
        <w:rPr>
          <w:rFonts w:eastAsia="Calibri" w:cstheme="minorHAnsi"/>
        </w:rPr>
        <w:t>;</w:t>
      </w:r>
      <w:r w:rsidRPr="00830244">
        <w:rPr>
          <w:rFonts w:cstheme="minorHAnsi"/>
        </w:rPr>
        <w:t xml:space="preserve"> </w:t>
      </w:r>
      <w:r w:rsidRPr="00830244">
        <w:rPr>
          <w:rFonts w:eastAsia="Calibri" w:cstheme="minorHAnsi"/>
        </w:rPr>
        <w:t>3-group comparison, current smokers vs. sustained quitters vs. intermittent quitters</w:t>
      </w:r>
      <w:r w:rsidRPr="00DE2832">
        <w:rPr>
          <w:rFonts w:eastAsia="Calibri" w:cstheme="minorHAnsi"/>
        </w:rPr>
        <w:t xml:space="preserve">). </w:t>
      </w:r>
    </w:p>
    <w:p w14:paraId="22F789B2" w14:textId="77777777" w:rsidR="007F0AE0" w:rsidRPr="00DE2832" w:rsidRDefault="007F0AE0" w:rsidP="007F0AE0">
      <w:pPr>
        <w:spacing w:after="120" w:line="240" w:lineRule="auto"/>
        <w:jc w:val="both"/>
        <w:rPr>
          <w:rFonts w:eastAsia="Calibri" w:cstheme="minorHAnsi"/>
        </w:rPr>
      </w:pPr>
      <w:r w:rsidRPr="00DE2832">
        <w:rPr>
          <w:rFonts w:eastAsia="Calibri" w:cstheme="minorHAnsi"/>
        </w:rPr>
        <w:t xml:space="preserve">In a very small study (N=12), Miller et al. </w:t>
      </w:r>
      <w:r w:rsidRPr="00DE2832">
        <w:rPr>
          <w:rFonts w:eastAsia="Calibri" w:cstheme="minorHAnsi"/>
        </w:rPr>
        <w:fldChar w:fldCharType="begin"/>
      </w:r>
      <w:r>
        <w:rPr>
          <w:rFonts w:eastAsia="Calibri" w:cstheme="minorHAnsi"/>
        </w:rPr>
        <w:instrText xml:space="preserve"> ADDIN EN.CITE &lt;EndNote&gt;&lt;Cite&gt;&lt;RecNum&gt;91&lt;/RecNum&gt;&lt;DisplayText&gt;(16)&lt;/DisplayText&gt;&lt;record&gt;&lt;rec-number&gt;91&lt;/rec-number&gt;&lt;foreign-keys&gt;&lt;key app="EN" db-id="a2vz2dfp8xrad6exes75zwpiw5rxwa0vwapv" timestamp="0"&gt;91&lt;/key&gt;&lt;/foreign-keys&gt;&lt;ref-type name="Journal Article"&gt;17&lt;/ref-type&gt;&lt;contributors&gt;&lt;authors&gt;&lt;author&gt;Miller, G. E.&lt;/author&gt;&lt;author&gt;Jarvik, M. E.&lt;/author&gt;&lt;author&gt;Caskey, N. H.&lt;/author&gt;&lt;author&gt;Segerstrom, S. C.&lt;/author&gt;&lt;author&gt;Rosenblatt, M. R.&lt;/author&gt;&lt;author&gt;McCarthy, W. J.&lt;/author&gt;&lt;/authors&gt;&lt;/contributors&gt;&lt;titles&gt;&lt;title&gt;Cigarette mentholation increases smokers&amp;apos; exhaled carbon monoxide levels&lt;/title&gt;&lt;secondary-title&gt;Exp Clin Psychopharm&lt;/secondary-title&gt;&lt;/titles&gt;&lt;pages&gt;154-160&lt;/pages&gt;&lt;volume&gt;2&lt;/volume&gt;&lt;number&gt;2&lt;/number&gt;&lt;section&gt;154&lt;/section&gt;&lt;dates&gt;&lt;year&gt;1994&lt;/year&gt;&lt;/dates&gt;&lt;urls&gt;&lt;/urls&gt;&lt;research-notes&gt;#486&lt;/research-notes&gt;&lt;/record&gt;&lt;/Cite&gt;&lt;/EndNote&gt;</w:instrText>
      </w:r>
      <w:r w:rsidRPr="00DE2832">
        <w:rPr>
          <w:rFonts w:eastAsia="Calibri" w:cstheme="minorHAnsi"/>
        </w:rPr>
        <w:fldChar w:fldCharType="separate"/>
      </w:r>
      <w:r>
        <w:rPr>
          <w:rFonts w:eastAsia="Calibri" w:cstheme="minorHAnsi"/>
          <w:noProof/>
        </w:rPr>
        <w:t>(</w:t>
      </w:r>
      <w:hyperlink w:anchor="_ENREF_16" w:tooltip="Miller, 1994 #91" w:history="1">
        <w:r>
          <w:rPr>
            <w:rFonts w:eastAsia="Calibri" w:cstheme="minorHAnsi"/>
            <w:noProof/>
          </w:rPr>
          <w:t>16</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recruited Black male smokers from an inpatient substance abuse ward at a Veterans Administration Medical Center. Participants were enrolled in a 21-day drug treatment program and were required to smoke at least 15 CPD and be free of psychotropic medication. They </w:t>
      </w:r>
      <w:r>
        <w:rPr>
          <w:rFonts w:eastAsia="Calibri" w:cstheme="minorHAnsi"/>
        </w:rPr>
        <w:t>observed</w:t>
      </w:r>
      <w:r w:rsidRPr="00DE2832">
        <w:rPr>
          <w:rFonts w:eastAsia="Calibri" w:cstheme="minorHAnsi"/>
        </w:rPr>
        <w:t xml:space="preserve"> that the longest duration of abstinence (“days </w:t>
      </w:r>
      <w:r w:rsidRPr="00E11DE2">
        <w:rPr>
          <w:rFonts w:eastAsia="Calibri" w:cstheme="minorHAnsi"/>
        </w:rPr>
        <w:t>without smoking”) for menthol smokers was shorter (60.3±94.1 days) than non-menthol smokers (98.0± 177.8 days). The authors also found that menthol was associated with fewer quit attempts (definition not reported) per person. Specifically, menthol smokers reported 1.50±2.07 quit attempts and non-menthol smokers reported 4.16±4.57.</w:t>
      </w:r>
    </w:p>
    <w:p w14:paraId="0D6A25DB" w14:textId="77777777" w:rsidR="007F0AE0" w:rsidRDefault="007F0AE0" w:rsidP="007F0AE0">
      <w:pPr>
        <w:spacing w:after="120" w:line="240" w:lineRule="auto"/>
        <w:jc w:val="both"/>
        <w:rPr>
          <w:rFonts w:eastAsia="Calibri" w:cstheme="minorHAnsi"/>
        </w:rPr>
      </w:pPr>
      <w:r w:rsidRPr="00DE2832">
        <w:rPr>
          <w:rFonts w:eastAsia="Calibri" w:cstheme="minorHAnsi"/>
        </w:rPr>
        <w:t xml:space="preserve">In another older and very small cross-sectional study (N=18) designed to compare puff volume and carbon monoxide absorption in men who smoke at least 15 CPD, Jarvik et al. </w:t>
      </w:r>
      <w:r w:rsidRPr="00DE2832">
        <w:rPr>
          <w:rFonts w:eastAsia="Calibri" w:cstheme="minorHAnsi"/>
        </w:rPr>
        <w:fldChar w:fldCharType="begin"/>
      </w:r>
      <w:r>
        <w:rPr>
          <w:rFonts w:eastAsia="Calibri" w:cstheme="minorHAnsi"/>
        </w:rPr>
        <w:instrText xml:space="preserve"> ADDIN EN.CITE &lt;EndNote&gt;&lt;Cite&gt;&lt;RecNum&gt;90&lt;/RecNum&gt;&lt;DisplayText&gt;(51)&lt;/DisplayText&gt;&lt;record&gt;&lt;rec-number&gt;90&lt;/rec-number&gt;&lt;foreign-keys&gt;&lt;key app="EN" db-id="a2vz2dfp8xrad6exes75zwpiw5rxwa0vwapv" timestamp="0"&gt;90&lt;/key&gt;&lt;/foreign-keys&gt;&lt;ref-type name="Journal Article"&gt;17&lt;/ref-type&gt;&lt;contributors&gt;&lt;authors&gt;&lt;author&gt;Jarvik, M. E.&lt;/author&gt;&lt;author&gt;Tashkin, D. P.&lt;/author&gt;&lt;author&gt;Caskey, N. H.&lt;/author&gt;&lt;author&gt;McCarthy, W. J.&lt;/author&gt;&lt;author&gt;Rosenblatt, M. R.&lt;/author&gt;&lt;/authors&gt;&lt;/contributors&gt;&lt;titles&gt;&lt;title&gt;Mentholated cigarettes decrease puff volume of smoke and increase carbon monoxide absorption&lt;/title&gt;&lt;secondary-title&gt;Physiol Behav&lt;/secondary-title&gt;&lt;/titles&gt;&lt;pages&gt;563-570&lt;/pages&gt;&lt;volume&gt;56&lt;/volume&gt;&lt;number&gt;3&lt;/number&gt;&lt;section&gt;563&lt;/section&gt;&lt;dates&gt;&lt;year&gt;1994&lt;/year&gt;&lt;/dates&gt;&lt;urls&gt;&lt;/urls&gt;&lt;research-notes&gt;#484&lt;/research-notes&gt;&lt;/record&gt;&lt;/Cite&gt;&lt;/EndNote&gt;</w:instrText>
      </w:r>
      <w:r w:rsidRPr="00DE2832">
        <w:rPr>
          <w:rFonts w:eastAsia="Calibri" w:cstheme="minorHAnsi"/>
        </w:rPr>
        <w:fldChar w:fldCharType="separate"/>
      </w:r>
      <w:r>
        <w:rPr>
          <w:rFonts w:eastAsia="Calibri" w:cstheme="minorHAnsi"/>
          <w:noProof/>
        </w:rPr>
        <w:t>(</w:t>
      </w:r>
      <w:hyperlink w:anchor="_ENREF_51" w:tooltip="Jarvik, 1994 #90" w:history="1">
        <w:r>
          <w:rPr>
            <w:rFonts w:eastAsia="Calibri" w:cstheme="minorHAnsi"/>
            <w:noProof/>
          </w:rPr>
          <w:t>51</w:t>
        </w:r>
      </w:hyperlink>
      <w:r>
        <w:rPr>
          <w:rFonts w:eastAsia="Calibri" w:cstheme="minorHAnsi"/>
          <w:noProof/>
        </w:rPr>
        <w:t>)</w:t>
      </w:r>
      <w:r w:rsidRPr="00DE2832">
        <w:rPr>
          <w:rFonts w:eastAsia="Calibri" w:cstheme="minorHAnsi"/>
        </w:rPr>
        <w:fldChar w:fldCharType="end"/>
      </w:r>
      <w:r w:rsidRPr="00DE2832">
        <w:rPr>
          <w:rFonts w:eastAsia="Calibri" w:cstheme="minorHAnsi"/>
        </w:rPr>
        <w:t xml:space="preserve"> found differences in the number of quit attempts. White male menthol smokers reported having made nearly six times as many quit attempts than White non-menthol smokers (3.25 vs. 0.50). The opposite was found among Black men: Black menthol smokers reported six times fewer quit attempts than Black non-menthol smokers (0.40 vs. 3.40). </w:t>
      </w:r>
    </w:p>
    <w:p w14:paraId="3C3AF686" w14:textId="77777777" w:rsidR="007F0AE0" w:rsidRDefault="007F0AE0" w:rsidP="007F0AE0">
      <w:pPr>
        <w:rPr>
          <w:rFonts w:eastAsia="Calibri" w:cstheme="minorHAnsi"/>
        </w:rPr>
      </w:pPr>
      <w:r>
        <w:rPr>
          <w:rFonts w:eastAsia="Calibri" w:cstheme="minorHAnsi"/>
        </w:rPr>
        <w:br w:type="page"/>
      </w:r>
    </w:p>
    <w:p w14:paraId="3D10381A" w14:textId="77777777" w:rsidR="007F0AE0" w:rsidRPr="00810006" w:rsidRDefault="007F0AE0" w:rsidP="007F0AE0">
      <w:pPr>
        <w:spacing w:after="240" w:line="240" w:lineRule="auto"/>
        <w:jc w:val="center"/>
      </w:pPr>
      <w:r>
        <w:rPr>
          <w:rFonts w:eastAsia="Calibri" w:cstheme="minorHAnsi"/>
          <w:b/>
        </w:rPr>
        <w:lastRenderedPageBreak/>
        <w:t>REFERENCES</w:t>
      </w:r>
    </w:p>
    <w:p w14:paraId="32450F4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fldChar w:fldCharType="begin"/>
      </w:r>
      <w:r w:rsidRPr="00810006">
        <w:rPr>
          <w:rFonts w:ascii="Calibri" w:hAnsi="Calibri" w:cs="Calibri"/>
          <w:noProof/>
        </w:rPr>
        <w:instrText xml:space="preserve"> ADDIN EN.REFLIST </w:instrText>
      </w:r>
      <w:r w:rsidRPr="00810006">
        <w:rPr>
          <w:rFonts w:ascii="Calibri" w:hAnsi="Calibri" w:cs="Calibri"/>
          <w:noProof/>
        </w:rPr>
        <w:fldChar w:fldCharType="separate"/>
      </w:r>
      <w:r w:rsidRPr="00810006">
        <w:rPr>
          <w:rFonts w:ascii="Calibri" w:hAnsi="Calibri" w:cs="Calibri"/>
          <w:noProof/>
        </w:rPr>
        <w:t>Alexander, L.A., Crawford, T., Mendiondo, M.S., 2010. Occupational status, work-site cessation programs and policies and menthol smoking on quitting behaviors of US smokers. Addiction 105 Suppl 1, 95-104.</w:t>
      </w:r>
    </w:p>
    <w:p w14:paraId="1E678B08"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Berg, C.J., Thomas, J.L., Guo, H., An, L.C., Okuyemi, K.S., Collins, T.C., Ahluwalia, J.S., 2010. Predictors of smoking reduction among Blacks. Nicotine Tob Res 12(4), 423-431.</w:t>
      </w:r>
    </w:p>
    <w:p w14:paraId="054D77E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Blot, W.J., Cohen, S.S., Aldrich, M., McLaughlin, J.K., Hargreaves, M.K., Signorello, L.B., 2011. Lung cancer risk among smokers of menthol cigarettes. J Natl Cancer Inst 103(10), 810-816.</w:t>
      </w:r>
    </w:p>
    <w:p w14:paraId="07FD325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Brooks, D.R., Palmer, J.R., Strom, B.L., Rosenberg, L., 2003. Menthol cigarettes and risk of lung cancer. Am J Epidemiol 158(7), 609-616; discussion 617-620.</w:t>
      </w:r>
    </w:p>
    <w:p w14:paraId="1780ABD1"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D'Silva, J., Boyle, R.G., Lien, R., Rode, P., Okuyemi, K.S., 2012. Cessation outcomes among treatment-seeking menthol and nonmenthol smokers. Am J Prev Med 43(5 Suppl 3), S242-248.</w:t>
      </w:r>
    </w:p>
    <w:p w14:paraId="3E4C289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Delnevo, C.D., Villanti, A.C., Wackowski, O.A., Gundersen, D.A., Giovenco, D.P., 2015. The influence of menthol, e-cigarettes and other tobacco products on young adults' self-reported changes in past year smoking. Tob Control.</w:t>
      </w:r>
    </w:p>
    <w:p w14:paraId="0ABE4DD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Fagan, P., Moolchan, E.T., Hart, A., Jr., Rose, A., Lawrence, D., Shavers, V.L., Gibson, J.T., 2010. Nicotine dependence and quitting behaviors among menthol and non-menthol smokers with similar consumptive patterns. Addiction 105 Suppl 1, 55-74.</w:t>
      </w:r>
    </w:p>
    <w:p w14:paraId="41BD569F"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Fagan, P., Pohkrel, P., Herzog, T., Pagano, I., Vallone, D., Trinidad, D.R., Sakuma, K.L., Sterling, K., Fryer, C.S., Moolchan, E., 2015. Comparisons of three nicotine dependence scales in a multiethnic sample of young adult menthol and non-menthol smokers. Drug Alcohol Depend 149, 203-211.</w:t>
      </w:r>
    </w:p>
    <w:p w14:paraId="17B0F4F8"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Faseru, B., Choi, W.S., Krebill, R., Mayo, M.S., Nollen, N.L., Okuyemi, K.S., Ahluwalia, J.S., Cox, L.S., 2011. Factors associated with smoking menthol cigarettes among treatment-seeking African American light smokers. Addict Behav 36(12), 1321-1324.</w:t>
      </w:r>
    </w:p>
    <w:p w14:paraId="7AB29473"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Faseru, B., Nollen, N.L., Mayo, M.S., Krebill, R., Choi, W.S., Benowitz, N.L., Tyndale, R.F., Okuyemi, K.S., Ahluwalia, J.S., Sanderson Cox, L., 2013. Predictors of cessation in African American light smokers enrolled in a bupropion clinical trial. Addict Behav 38(3), 1796-1803.</w:t>
      </w:r>
    </w:p>
    <w:p w14:paraId="2FF5EF1F"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Foulds, J., Gandhi, K.K., Steinberg, M.B., Richardson, D.L., Williams, J.M., Burke, M.V., Rhoads, G.G., 2006. Factors associated with quitting smoking at a tobacco dependence treatment clinic. Am J Health Behav 30(4), 400-412.</w:t>
      </w:r>
    </w:p>
    <w:p w14:paraId="08E34F1B"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Fu, S.S., Okuyemi, K.S., Partin, M.R., Ahluwalia, J.S., Nelson, D.B., Clothier, B.A., Joseph, A.M., 2008. Menthol cigarettes and smoking cessation during an aided quit attempt. Nicotine Tob Res 10(3), 457-462.</w:t>
      </w:r>
    </w:p>
    <w:p w14:paraId="135E864B"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Gandhi, K.K., Foulds, J., Steinberg, M.B., Lu, S.E., Williams, J.M., 2009. Lower quit rates among African American and Latino menthol cigarette smokers at a tobacco treatment clinic. Int J Clin Pract 63(3), 360-367.</w:t>
      </w:r>
    </w:p>
    <w:p w14:paraId="2C52A9A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Gubner, N.R., Williams, D.D., Pagano, A., Campbell, B.K., Guydish, J., 2018. Menthol cigarette smoking among individuals in treatment for substance use disorders. Addictive behaviors 80, 135-141.</w:t>
      </w:r>
    </w:p>
    <w:p w14:paraId="7A439DFE"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lastRenderedPageBreak/>
        <w:t>Harris, K.J., Okuyemi, K.S., Catley, D., Mayo, M.S., Ge, B., Ahluwalia, J.S., 2004. Predictors of smoking cessation among African-Americans enrolled in a randomized controlled trial of bupropion. Prev Med 38(4), 498-502.</w:t>
      </w:r>
    </w:p>
    <w:p w14:paraId="0F11252B"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Hersey, J.C., Ng, S.W., Nonnemaker, J.M., Mowery, P., Thomas, K.Y., Vilsaint, M.C., Allen, J.A., Haviland, M.L., 2006. Are menthol cigarettes a starter product for youth? Nicotine Tob Res 8(3), 403-413.</w:t>
      </w:r>
    </w:p>
    <w:p w14:paraId="1FCB9AE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Hyland, A., Garten, S., Giovino, G.A., Cummings, K.M., 2002. Mentholated cigarettes and smoking cessation: Findings from COMMIT. Tob Control 11, 135-139.</w:t>
      </w:r>
    </w:p>
    <w:p w14:paraId="6102067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Hyland, A., Rivard, C., 2010. Analysis of mentholated cigarettes using the COMMIT data -- summary. Department of Health Behavior, Roswell Park Cancer Institute.</w:t>
      </w:r>
    </w:p>
    <w:p w14:paraId="25BF5482"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Jarvik, M.E., Tashkin, D.P., Caskey, N.H., McCarthy, W.J., Rosenblatt, M.R., 1994. Mentholated cigarettes decrease puff volume of smoke and increase carbon monoxide absorption. Physiol Behav 56(3), 563-570.</w:t>
      </w:r>
    </w:p>
    <w:p w14:paraId="3819BF11"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Kahende, J.W., Malarcher, A.M., Teplinskaya, A., Asman, K.J., 2011. Quit attempt correlates among smokers by race/ethnicity. International journal of environmental research and public health 8(10), 3871-3888.</w:t>
      </w:r>
    </w:p>
    <w:p w14:paraId="4EC3BFB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Kanyuch, J.A., Bercz, P.A., Chang, J., Martinez, F.J., Criner, G.J., Lawrence, M.J., Tomko, P.A., Foreman, M.G., Silverman, E., Crapo, J.D., Sciurba, F.C., Investigators, C., 2011. Menthol cigarette use among African Americans associated with persistent tobacco use. Am J Respir Crit Care Med, p. A4568.</w:t>
      </w:r>
    </w:p>
    <w:p w14:paraId="469F002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Keeler, C., Max, W., Yerger, V., Yao, T., Ong, M.K., Sung, H.-Y., 2017. The Association of Menthol Cigarette Use With Quit Attempts, Successful Cessation, and Intention to Quit Across Racial/Ethnic Groups in the United States. Nicotine &amp; tobacco research : official journal of the Society for Research on Nicotine and Tobacco 19(12), 1450-1464.</w:t>
      </w:r>
    </w:p>
    <w:p w14:paraId="5CD60A92"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King, A., Cao, D., Matthews, A., 2011. Influence of menthol use on smoking cessation outcomes in a smoking cessation treatment program.</w:t>
      </w:r>
    </w:p>
    <w:p w14:paraId="1A606F8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00A3B53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Mendiondo, M.S., Alexander, L.A., Crawford, T., 2010. Health profile differences for menthol and non-menthol smokers: findings from the National Health Interview Survey. Addiction 105 Suppl 1, 124-140.</w:t>
      </w:r>
    </w:p>
    <w:p w14:paraId="236B9550"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Miller, G.E., Jarvik, M.E., Caskey, N.H., Segerstrom, S.C., Rosenblatt, M.R., McCarthy, W.J., 1994. Cigarette mentholation increases smokers' exhaled carbon monoxide levels. Exp Clin Psychopharm 2(2), 154-160.</w:t>
      </w:r>
    </w:p>
    <w:p w14:paraId="714BD67B"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Murray, R.P., Connett, J.E., Skeans, M.A., Tashkin, D.P., 2007. Menthol cigarettes and health risks in Lung Health Study data. Nicotine Tob Res 9(1), 101-107.</w:t>
      </w:r>
    </w:p>
    <w:p w14:paraId="05702FC6"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O'Connor, R.J., Bansal-Travers, M., Carter, L.P., Cummings, K.M., 2012. What would menthol smokers do if menthol in cigarettes were banned? Behavioral intentions and simulated demand. Addiction 107(7), 1330-1338.</w:t>
      </w:r>
    </w:p>
    <w:p w14:paraId="3BE57D32"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Okuyemi, K.S., Ahluwalia, J.S., Ebersole-Robinson, M., Catley, D., Mayo, M.S., Resnicow, K., 2003. Does menthol attenuate the effect of bupropion among African American smokers? Addiction 98, 1387-1393.</w:t>
      </w:r>
    </w:p>
    <w:p w14:paraId="6E00BED4"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lastRenderedPageBreak/>
        <w:t>Okuyemi, K.S., Ebersole-Robinson, M., Nazir, N., Ahluwalia, J.S., 2004. African-American menthol and nonmenthol smokers: Differences in smoking and cessation experiences. J Natl Med Assoc 96(9), 1208-1211.</w:t>
      </w:r>
    </w:p>
    <w:p w14:paraId="2DA5B8C9"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Okuyemi, K.S., Faseru, B., Sanderson Cox, L., Bronars, C.A., Ahluwalia, J.S., 2007. Relationship between menthol cigarettes and smoking cessation among African American light smokers. Addiction 102(12), 1979-1986.</w:t>
      </w:r>
    </w:p>
    <w:p w14:paraId="49AED4E8"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Pearson, J.L., 2011. Public reaction to potential food and drug administration actions under the family smoking prevention and tobacco control act: Regulating e-cigarettes, banning menthol, and reducing cigarette nicotine content. Johns Hopkins University, p. 142.</w:t>
      </w:r>
    </w:p>
    <w:p w14:paraId="532A929C"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Pearson, J.L., Abrams, D.B., Niaura, R.S., Richardson, A., Vallone, D., 2012. A ban on menthol cigarettes: Impact on public opinion and smokers' intention to quit. Am J Public Health 102(11), e107-e114.</w:t>
      </w:r>
    </w:p>
    <w:p w14:paraId="23474BB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Rosenbloom, J., Rees, V.W., Reid, K., Wong, J., Kinnunen, T., 2012. A cross-sectional study on tobacco use and dependence among women: Does menthol matter? Tob Induc Dis 10(19), 1-6.</w:t>
      </w:r>
    </w:p>
    <w:p w14:paraId="01301ADA"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Sidney, S., Tekawa, I.S., Friedman, G.D., 1989. Mentholated cigarette use among multiphasic examinees, 1979-86. Am J Public Health 79, 1415-1416.</w:t>
      </w:r>
    </w:p>
    <w:p w14:paraId="2D82C43C"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Smith, S.S., Fiore, M.C., Baker, T.B., 2014. Smoking cessation in smokers who smoke menthol and non-menthol cigarettes. Addiction 109(12), 2107-2117.</w:t>
      </w:r>
    </w:p>
    <w:p w14:paraId="0CAEFDA1"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Stahre, M., Okuyemi, K.S., Joseph, A.M., Fu, S.S., 2010. Racial/ethnic differences in menthol cigarette smoking, population quit ratios and utilization of evidence-based tobacco cessation treatments. Addiction 105 Suppl 1, 75-83.</w:t>
      </w:r>
    </w:p>
    <w:p w14:paraId="3044C193"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Sulsky, S.I., Fuller, W.G., Van Landingham, C., Ogden, M.W., Swauger, J.E., Curtin, G.M., 2014. Evaluating the association between menthol cigarette use and the likelihood of being a former versus current smoker. Regul Toxicol Pharmacol 70(1), 231-241.</w:t>
      </w:r>
    </w:p>
    <w:p w14:paraId="58C2E973"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Thihalolipavan, S., Jung, M., Jasek, J., Chamany, S., 2014. Menthol smokers in large-scale nicotine replacement therapy program. Am J Public Health 104(11), e3-4.</w:t>
      </w:r>
    </w:p>
    <w:p w14:paraId="4882B615" w14:textId="77777777" w:rsidR="007F0AE0" w:rsidRPr="00810006" w:rsidRDefault="007F0AE0" w:rsidP="007F0AE0">
      <w:pPr>
        <w:spacing w:after="240" w:line="240" w:lineRule="auto"/>
        <w:rPr>
          <w:rFonts w:ascii="Calibri" w:hAnsi="Calibri" w:cs="Calibri"/>
          <w:noProof/>
        </w:rPr>
      </w:pPr>
      <w:r w:rsidRPr="00810006">
        <w:rPr>
          <w:rFonts w:ascii="Calibri" w:hAnsi="Calibri" w:cs="Calibri"/>
          <w:noProof/>
        </w:rPr>
        <w:t>Trinidad, D.R., Perez-Stable, E.J., Messer, K., White, M.M., Pierce, J.P., 2010. Menthol cigarettes and smoking cessation among racial/ethnic groups in the United States. Addiction 105 Suppl 1, 84-94.</w:t>
      </w:r>
    </w:p>
    <w:p w14:paraId="599028EE" w14:textId="77777777" w:rsidR="007F0AE0" w:rsidRPr="00810006" w:rsidRDefault="007F0AE0" w:rsidP="007F0AE0">
      <w:pPr>
        <w:spacing w:after="240" w:line="240" w:lineRule="auto"/>
      </w:pPr>
      <w:r w:rsidRPr="00810006">
        <w:fldChar w:fldCharType="end"/>
      </w:r>
      <w:r w:rsidRPr="00DE2832">
        <w:rPr>
          <w:rFonts w:eastAsia="Calibri" w:cstheme="minorHAnsi"/>
          <w:color w:val="000000"/>
        </w:rPr>
        <w:br w:type="page"/>
      </w:r>
    </w:p>
    <w:p w14:paraId="0A7F227B" w14:textId="77777777" w:rsidR="007F0AE0" w:rsidRPr="00DE2832" w:rsidRDefault="007F0AE0" w:rsidP="007F0AE0">
      <w:pPr>
        <w:spacing w:after="120" w:line="240" w:lineRule="auto"/>
        <w:outlineLvl w:val="0"/>
        <w:rPr>
          <w:rFonts w:eastAsia="Calibri" w:cstheme="minorHAnsi"/>
          <w:b/>
          <w:color w:val="000000"/>
        </w:rPr>
      </w:pPr>
      <w:bookmarkStart w:id="34" w:name="Supp13"/>
      <w:r w:rsidRPr="00DE2832">
        <w:rPr>
          <w:rFonts w:cstheme="minorHAnsi"/>
          <w:b/>
        </w:rPr>
        <w:lastRenderedPageBreak/>
        <w:t>SUPPLEMENTAL</w:t>
      </w:r>
      <w:r w:rsidRPr="00DE2832">
        <w:rPr>
          <w:rFonts w:eastAsia="Calibri" w:cstheme="minorHAnsi"/>
          <w:b/>
          <w:color w:val="000000"/>
        </w:rPr>
        <w:t xml:space="preserve"> SECTION 1</w:t>
      </w:r>
      <w:r>
        <w:rPr>
          <w:rFonts w:eastAsia="Calibri" w:cstheme="minorHAnsi"/>
          <w:b/>
          <w:color w:val="000000"/>
        </w:rPr>
        <w:t>6</w:t>
      </w:r>
      <w:r w:rsidRPr="00DE2832">
        <w:rPr>
          <w:rFonts w:eastAsia="Calibri" w:cstheme="minorHAnsi"/>
          <w:b/>
          <w:color w:val="000000"/>
        </w:rPr>
        <w:t>: Sensitivity Analyses (Adjusted Results)</w:t>
      </w:r>
    </w:p>
    <w:bookmarkEnd w:id="34"/>
    <w:p w14:paraId="4A5A915D"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Sensitivity analyses ensure that initial conclusions were not unduly influenced by data that may not have met certain standards or thresholds. In this review, three sensitivity analyses were </w:t>
      </w:r>
      <w:r>
        <w:rPr>
          <w:rFonts w:cstheme="minorHAnsi"/>
          <w:color w:val="000000" w:themeColor="text1"/>
        </w:rPr>
        <w:t>conducted</w:t>
      </w:r>
      <w:r w:rsidRPr="00DE2832">
        <w:rPr>
          <w:rFonts w:cstheme="minorHAnsi"/>
          <w:color w:val="000000" w:themeColor="text1"/>
        </w:rPr>
        <w:t xml:space="preserve"> in order to test whether the results differed after more stringent inclusion and exclusion criteria were applied. The criteria for these analyses are detailed below: </w:t>
      </w:r>
    </w:p>
    <w:p w14:paraId="0F877DF8" w14:textId="77777777" w:rsidR="007F0AE0" w:rsidRPr="00DE2832" w:rsidRDefault="007F0AE0" w:rsidP="007F0AE0">
      <w:pPr>
        <w:pStyle w:val="ListParagraph"/>
        <w:numPr>
          <w:ilvl w:val="0"/>
          <w:numId w:val="6"/>
        </w:numPr>
        <w:spacing w:after="120" w:line="240" w:lineRule="auto"/>
        <w:ind w:left="360"/>
        <w:contextualSpacing w:val="0"/>
        <w:jc w:val="both"/>
        <w:rPr>
          <w:rFonts w:cstheme="minorHAnsi"/>
          <w:b/>
          <w:i/>
          <w:color w:val="000000" w:themeColor="text1"/>
        </w:rPr>
      </w:pPr>
      <w:r>
        <w:rPr>
          <w:rFonts w:cstheme="minorHAnsi"/>
          <w:b/>
          <w:i/>
          <w:color w:val="000000" w:themeColor="text1"/>
        </w:rPr>
        <w:t>Limiting studies to those</w:t>
      </w:r>
      <w:r w:rsidRPr="00DE2832">
        <w:rPr>
          <w:rFonts w:cstheme="minorHAnsi"/>
          <w:b/>
          <w:i/>
          <w:color w:val="000000" w:themeColor="text1"/>
        </w:rPr>
        <w:t xml:space="preserve"> that also (i.e., in addition to adjusting for </w:t>
      </w:r>
      <w:r>
        <w:rPr>
          <w:rFonts w:cstheme="minorHAnsi"/>
          <w:b/>
          <w:i/>
          <w:color w:val="000000" w:themeColor="text1"/>
        </w:rPr>
        <w:t>age, gender, and race/ethnicity</w:t>
      </w:r>
      <w:r w:rsidRPr="00DE2832">
        <w:rPr>
          <w:rFonts w:cstheme="minorHAnsi"/>
          <w:b/>
          <w:i/>
          <w:color w:val="000000" w:themeColor="text1"/>
        </w:rPr>
        <w:t>) adjusted for meso- or macro-level variables.</w:t>
      </w:r>
    </w:p>
    <w:p w14:paraId="5BF85D1F"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Epidemiological studies that adjusted for these additional factors have the potential ability to more rigorously isolate the independent effect of menthol on </w:t>
      </w:r>
      <w:r>
        <w:rPr>
          <w:rFonts w:cstheme="minorHAnsi"/>
          <w:color w:val="000000" w:themeColor="text1"/>
        </w:rPr>
        <w:t>cessation</w:t>
      </w:r>
      <w:r w:rsidRPr="00DE2832">
        <w:rPr>
          <w:rFonts w:cstheme="minorHAnsi"/>
          <w:color w:val="000000" w:themeColor="text1"/>
        </w:rPr>
        <w:t xml:space="preserve">. </w:t>
      </w:r>
    </w:p>
    <w:p w14:paraId="621959C8" w14:textId="77777777" w:rsidR="007F0AE0" w:rsidRPr="00DE2832" w:rsidRDefault="007F0AE0" w:rsidP="007F0AE0">
      <w:pPr>
        <w:pStyle w:val="ListParagraph"/>
        <w:numPr>
          <w:ilvl w:val="0"/>
          <w:numId w:val="6"/>
        </w:numPr>
        <w:spacing w:after="120" w:line="240" w:lineRule="auto"/>
        <w:ind w:left="360"/>
        <w:contextualSpacing w:val="0"/>
        <w:jc w:val="both"/>
        <w:rPr>
          <w:rFonts w:cstheme="minorHAnsi"/>
          <w:b/>
          <w:i/>
          <w:color w:val="000000" w:themeColor="text1"/>
        </w:rPr>
      </w:pPr>
      <w:r w:rsidRPr="00DE2832">
        <w:rPr>
          <w:rFonts w:cstheme="minorHAnsi"/>
          <w:b/>
          <w:i/>
          <w:color w:val="000000" w:themeColor="text1"/>
        </w:rPr>
        <w:t>Exclusion of studies rated “poor” according to the Downs and Black checklist.</w:t>
      </w:r>
    </w:p>
    <w:p w14:paraId="0196409A"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Studies rated “poor” quality generally suffered from low external and/or external validity. Exclusion of such studies from the adjusted analyses provides more accurate results.</w:t>
      </w:r>
    </w:p>
    <w:p w14:paraId="7C38F97B" w14:textId="77777777" w:rsidR="007F0AE0" w:rsidRPr="00DE2832" w:rsidRDefault="007F0AE0" w:rsidP="007F0AE0">
      <w:pPr>
        <w:pStyle w:val="ListParagraph"/>
        <w:numPr>
          <w:ilvl w:val="0"/>
          <w:numId w:val="6"/>
        </w:numPr>
        <w:spacing w:after="120" w:line="240" w:lineRule="auto"/>
        <w:ind w:left="360"/>
        <w:contextualSpacing w:val="0"/>
        <w:jc w:val="both"/>
        <w:rPr>
          <w:rFonts w:cstheme="minorHAnsi"/>
          <w:b/>
          <w:i/>
          <w:color w:val="000000" w:themeColor="text1"/>
        </w:rPr>
      </w:pPr>
      <w:r w:rsidRPr="00DE2832">
        <w:rPr>
          <w:rFonts w:cstheme="minorHAnsi"/>
          <w:b/>
          <w:i/>
          <w:color w:val="000000" w:themeColor="text1"/>
        </w:rPr>
        <w:t>Exclusion of studies with potential overadjustment and/or inappropriate adjustment.</w:t>
      </w:r>
    </w:p>
    <w:p w14:paraId="30C7E3F7"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Overadjustment occurs when a statistical model includes a covariate that either increases bias or decreases precision without affecting bias </w:t>
      </w:r>
      <w:r w:rsidRPr="00DE2832">
        <w:rPr>
          <w:rFonts w:cstheme="minorHAnsi"/>
          <w:color w:val="000000" w:themeColor="text1"/>
        </w:rPr>
        <w:fldChar w:fldCharType="begin"/>
      </w:r>
      <w:r>
        <w:rPr>
          <w:rFonts w:cstheme="minorHAnsi"/>
          <w:color w:val="000000" w:themeColor="text1"/>
        </w:rPr>
        <w:instrText xml:space="preserve"> ADDIN EN.CITE &lt;EndNote&gt;&lt;Cite&gt;&lt;Author&gt;Schisterman&lt;/Author&gt;&lt;Year&gt;2009&lt;/Year&gt;&lt;RecNum&gt;295&lt;/RecNum&gt;&lt;DisplayText&gt;(128)&lt;/DisplayText&gt;&lt;record&gt;&lt;rec-number&gt;295&lt;/rec-number&gt;&lt;foreign-keys&gt;&lt;key app="EN" db-id="a2vz2dfp8xrad6exes75zwpiw5rxwa0vwapv" timestamp="1484773416"&gt;295&lt;/key&gt;&lt;/foreign-keys&gt;&lt;ref-type name="Journal Article"&gt;17&lt;/ref-type&gt;&lt;contributors&gt;&lt;authors&gt;&lt;author&gt;Schisterman, E. F.&lt;/author&gt;&lt;author&gt;Cole, S. R.&lt;/author&gt;&lt;author&gt;Platt, R. W.&lt;/author&gt;&lt;/authors&gt;&lt;/contributors&gt;&lt;auth-address&gt;Eunice Kennedy Shriver National Institute of Child Health and Human Development, National Institutes of Health, Rockville, MD 20852, USA. schistee@mail.nih.gov&lt;/auth-address&gt;&lt;titles&gt;&lt;title&gt;Overadjustment bias and unnecessary adjustment in epidemiologic studies&lt;/title&gt;&lt;secondary-title&gt;Epidemiology&lt;/secondary-title&gt;&lt;/titles&gt;&lt;periodical&gt;&lt;full-title&gt;Epidemiology&lt;/full-title&gt;&lt;/periodical&gt;&lt;pages&gt;488-95&lt;/pages&gt;&lt;volume&gt;20&lt;/volume&gt;&lt;number&gt;4&lt;/number&gt;&lt;keywords&gt;&lt;keyword&gt;*Bias (Epidemiology)&lt;/keyword&gt;&lt;keyword&gt;Causality&lt;/keyword&gt;&lt;keyword&gt;*Epidemiologic Research Design&lt;/keyword&gt;&lt;keyword&gt;Female&lt;/keyword&gt;&lt;keyword&gt;Humans&lt;/keyword&gt;&lt;keyword&gt;Infant Mortality/trends&lt;/keyword&gt;&lt;keyword&gt;Infant, Newborn&lt;/keyword&gt;&lt;keyword&gt;Models, Statistical&lt;/keyword&gt;&lt;keyword&gt;Population Dynamics&lt;/keyword&gt;&lt;keyword&gt;Smoking/adverse effects&lt;/keyword&gt;&lt;/keywords&gt;&lt;dates&gt;&lt;year&gt;2009&lt;/year&gt;&lt;pub-dates&gt;&lt;date&gt;Jul&lt;/date&gt;&lt;/pub-dates&gt;&lt;/dates&gt;&lt;isbn&gt;1531-5487 (Electronic)&amp;#xD;1044-3983 (Linking)&lt;/isbn&gt;&lt;accession-num&gt;19525685&lt;/accession-num&gt;&lt;urls&gt;&lt;related-urls&gt;&lt;url&gt;https://www.ncbi.nlm.nih.gov/pubmed/19525685&lt;/url&gt;&lt;/related-urls&gt;&lt;/urls&gt;&lt;custom2&gt;PMC2744485&lt;/custom2&gt;&lt;electronic-resource-num&gt;10.1097/EDE.0b013e3181a819a1&lt;/electronic-resource-num&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128" w:tooltip="Schisterman, 2009 #295" w:history="1">
        <w:r>
          <w:rPr>
            <w:rFonts w:cstheme="minorHAnsi"/>
            <w:noProof/>
            <w:color w:val="000000" w:themeColor="text1"/>
          </w:rPr>
          <w:t>128</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Therefore, studies with overadjustment or inappropriate adjustment may impact the SOE ratings of consistency and precision directly. Therefore, exclusion of such studies can alter the overall SOE results. </w:t>
      </w:r>
    </w:p>
    <w:p w14:paraId="7F81388B" w14:textId="77777777" w:rsidR="007F0AE0" w:rsidRDefault="007F0AE0" w:rsidP="007F0AE0">
      <w:pPr>
        <w:spacing w:after="120" w:line="240" w:lineRule="auto"/>
        <w:jc w:val="both"/>
        <w:rPr>
          <w:rFonts w:cstheme="minorHAnsi"/>
          <w:b/>
          <w:i/>
          <w:color w:val="000000" w:themeColor="text1"/>
          <w:u w:val="single"/>
        </w:rPr>
      </w:pPr>
      <w:r w:rsidRPr="007C36A8">
        <w:rPr>
          <w:rFonts w:cstheme="minorHAnsi"/>
          <w:b/>
          <w:i/>
          <w:color w:val="000000" w:themeColor="text1"/>
          <w:u w:val="single"/>
        </w:rPr>
        <w:t>Sensitivity Analysis 1. Limiting studies to those that also (i.e., in addition to adjusting for the age, gender, and race/ethnicity) adjusted for meso- or macro-level variables.</w:t>
      </w:r>
    </w:p>
    <w:p w14:paraId="1B632715" w14:textId="77777777" w:rsidR="007F0AE0" w:rsidRPr="00DE2832" w:rsidRDefault="007F0AE0" w:rsidP="007F0AE0">
      <w:pPr>
        <w:spacing w:after="120" w:line="240" w:lineRule="auto"/>
        <w:jc w:val="both"/>
        <w:rPr>
          <w:rFonts w:cstheme="minorHAnsi"/>
          <w:bCs/>
          <w:i/>
          <w:color w:val="000000" w:themeColor="text1"/>
        </w:rPr>
      </w:pPr>
      <w:r w:rsidRPr="00DE2832">
        <w:rPr>
          <w:rFonts w:cstheme="minorHAnsi"/>
          <w:bCs/>
          <w:i/>
          <w:color w:val="000000" w:themeColor="text1"/>
        </w:rPr>
        <w:t>Eight included studies</w:t>
      </w:r>
      <w:r>
        <w:rPr>
          <w:rFonts w:cstheme="minorHAnsi"/>
          <w:bCs/>
          <w:i/>
          <w:color w:val="000000" w:themeColor="text1"/>
        </w:rPr>
        <w:t xml:space="preserve"> (from nine references)</w:t>
      </w:r>
      <w:r w:rsidRPr="00DE2832">
        <w:rPr>
          <w:rFonts w:cstheme="minorHAnsi"/>
          <w:bCs/>
          <w:i/>
          <w:color w:val="000000" w:themeColor="text1"/>
        </w:rPr>
        <w:t xml:space="preserve"> presented adjusted results </w:t>
      </w:r>
      <w:r>
        <w:rPr>
          <w:rFonts w:cstheme="minorHAnsi"/>
          <w:bCs/>
          <w:i/>
          <w:color w:val="000000" w:themeColor="text1"/>
        </w:rPr>
        <w:t xml:space="preserve">that </w:t>
      </w:r>
      <w:r w:rsidRPr="00DE2832">
        <w:rPr>
          <w:rFonts w:cstheme="minorHAnsi"/>
          <w:bCs/>
          <w:i/>
          <w:color w:val="000000" w:themeColor="text1"/>
        </w:rPr>
        <w:t>included meso- and/or macro-level variables in their models. Findings for all outcomes are either insufficient to suggest an additional effect on the association between menthol and the outcome, or they indicate that such factors do not affect such an association.</w:t>
      </w:r>
    </w:p>
    <w:p w14:paraId="45DF0A66" w14:textId="77777777" w:rsidR="007F0AE0" w:rsidRPr="00DE2832" w:rsidRDefault="007F0AE0" w:rsidP="007F0AE0">
      <w:pPr>
        <w:spacing w:after="120" w:line="240" w:lineRule="auto"/>
        <w:jc w:val="both"/>
        <w:outlineLvl w:val="1"/>
        <w:rPr>
          <w:rFonts w:cstheme="minorHAnsi"/>
          <w:bCs/>
          <w:i/>
          <w:color w:val="000000" w:themeColor="text1"/>
          <w:u w:val="single"/>
        </w:rPr>
      </w:pPr>
      <w:r w:rsidRPr="00DE2832">
        <w:rPr>
          <w:rFonts w:cstheme="minorHAnsi"/>
          <w:bCs/>
          <w:i/>
          <w:color w:val="000000" w:themeColor="text1"/>
          <w:u w:val="single"/>
        </w:rPr>
        <w:t>Sensitivity Analysis 1: Duration of Abstinence</w:t>
      </w:r>
    </w:p>
    <w:p w14:paraId="189EC69F" w14:textId="77777777" w:rsidR="007F0AE0" w:rsidRPr="00DE2832" w:rsidRDefault="007F0AE0" w:rsidP="007F0AE0">
      <w:pPr>
        <w:spacing w:after="120" w:line="240" w:lineRule="auto"/>
        <w:jc w:val="both"/>
        <w:rPr>
          <w:rFonts w:cstheme="minorHAnsi"/>
          <w:color w:val="000000" w:themeColor="text1"/>
        </w:rPr>
      </w:pPr>
      <w:r w:rsidRPr="00DE2832">
        <w:rPr>
          <w:rFonts w:cstheme="minorHAnsi"/>
          <w:bCs/>
          <w:color w:val="000000" w:themeColor="text1"/>
        </w:rPr>
        <w:t xml:space="preserve">One study that reported duration of abstinence included meso- and macro-level variables in its adjusted analyses. </w:t>
      </w:r>
      <w:r w:rsidRPr="00DE2832">
        <w:rPr>
          <w:rFonts w:cstheme="minorHAnsi"/>
          <w:color w:val="000000" w:themeColor="text1"/>
        </w:rPr>
        <w:t xml:space="preserve">Levy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19" w:tooltip="Levy, 2011 #45" w:history="1">
        <w:r>
          <w:rPr>
            <w:rFonts w:cstheme="minorHAnsi"/>
            <w:noProof/>
            <w:color w:val="000000" w:themeColor="text1"/>
          </w:rPr>
          <w:t>19</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controlled for state smoke-free policies and found that menthol was associated with slightly but </w:t>
      </w:r>
      <w:r>
        <w:rPr>
          <w:rFonts w:cstheme="minorHAnsi"/>
          <w:color w:val="000000" w:themeColor="text1"/>
        </w:rPr>
        <w:t>statistically significant</w:t>
      </w:r>
      <w:r w:rsidRPr="00DE2832">
        <w:rPr>
          <w:rFonts w:cstheme="minorHAnsi"/>
          <w:color w:val="000000" w:themeColor="text1"/>
        </w:rPr>
        <w:t xml:space="preserve"> lower odds of being a recent or long-term quitter. Specifically, the odds of being a “recent quitter” were three percent lower for menthol smokers than non-menthol smokers (OR=0.97, 95% CI: 0.96</w:t>
      </w:r>
      <w:r>
        <w:rPr>
          <w:rFonts w:cstheme="minorHAnsi"/>
          <w:color w:val="000000" w:themeColor="text1"/>
        </w:rPr>
        <w:t xml:space="preserve">, </w:t>
      </w:r>
      <w:r w:rsidRPr="00DE2832">
        <w:rPr>
          <w:rFonts w:cstheme="minorHAnsi"/>
          <w:color w:val="000000" w:themeColor="text1"/>
        </w:rPr>
        <w:t>0.97). Similarly, the odds of being a “longer-term quitter” were six percent lower for menthol smokers (OR=0.94, 95% CI: 0.94</w:t>
      </w:r>
      <w:r>
        <w:rPr>
          <w:rFonts w:cstheme="minorHAnsi"/>
          <w:color w:val="000000" w:themeColor="text1"/>
        </w:rPr>
        <w:t xml:space="preserve">, </w:t>
      </w:r>
      <w:r w:rsidRPr="00DE2832">
        <w:rPr>
          <w:rFonts w:cstheme="minorHAnsi"/>
          <w:color w:val="000000" w:themeColor="text1"/>
        </w:rPr>
        <w:t>0.94).</w:t>
      </w:r>
    </w:p>
    <w:p w14:paraId="1E3673E4" w14:textId="77777777" w:rsidR="007F0AE0" w:rsidRPr="00DE2832" w:rsidRDefault="007F0AE0" w:rsidP="007F0AE0">
      <w:pPr>
        <w:spacing w:after="120" w:line="240" w:lineRule="auto"/>
        <w:jc w:val="both"/>
        <w:outlineLvl w:val="1"/>
        <w:rPr>
          <w:rFonts w:cstheme="minorHAnsi"/>
          <w:bCs/>
          <w:i/>
          <w:color w:val="000000" w:themeColor="text1"/>
          <w:u w:val="single"/>
        </w:rPr>
      </w:pPr>
      <w:r w:rsidRPr="00DE2832">
        <w:rPr>
          <w:rFonts w:cstheme="minorHAnsi"/>
          <w:bCs/>
          <w:i/>
          <w:color w:val="000000" w:themeColor="text1"/>
          <w:u w:val="single"/>
        </w:rPr>
        <w:t>Sensitivity Analysis 1: Rate of Abstinence/Quitting</w:t>
      </w:r>
    </w:p>
    <w:p w14:paraId="2A08B929" w14:textId="77777777" w:rsidR="007F0AE0" w:rsidRPr="00DE2832" w:rsidRDefault="007F0AE0" w:rsidP="007F0AE0">
      <w:pPr>
        <w:spacing w:after="120" w:line="240" w:lineRule="auto"/>
        <w:jc w:val="both"/>
        <w:rPr>
          <w:rFonts w:cstheme="minorHAnsi"/>
          <w:bCs/>
          <w:i/>
          <w:color w:val="000000" w:themeColor="text1"/>
        </w:rPr>
      </w:pPr>
      <w:r w:rsidRPr="00DE2832">
        <w:rPr>
          <w:rFonts w:cstheme="minorHAnsi"/>
          <w:bCs/>
          <w:i/>
          <w:color w:val="000000" w:themeColor="text1"/>
        </w:rPr>
        <w:t>Five studies</w:t>
      </w:r>
      <w:r>
        <w:rPr>
          <w:rFonts w:cstheme="minorHAnsi"/>
          <w:bCs/>
          <w:i/>
          <w:color w:val="000000" w:themeColor="text1"/>
        </w:rPr>
        <w:t xml:space="preserve"> (from six references)</w:t>
      </w:r>
      <w:r w:rsidRPr="00DE2832">
        <w:rPr>
          <w:rFonts w:cstheme="minorHAnsi"/>
          <w:bCs/>
          <w:i/>
          <w:color w:val="000000" w:themeColor="text1"/>
        </w:rPr>
        <w:t xml:space="preserve"> that reported rate of abstinence/quitting included meso- and/or macro-level variables. One found that menthol was associated with </w:t>
      </w:r>
      <w:r>
        <w:rPr>
          <w:rFonts w:cstheme="minorHAnsi"/>
          <w:bCs/>
          <w:i/>
          <w:color w:val="000000" w:themeColor="text1"/>
        </w:rPr>
        <w:t>statistically significant</w:t>
      </w:r>
      <w:r w:rsidRPr="00DE2832">
        <w:rPr>
          <w:rFonts w:cstheme="minorHAnsi"/>
          <w:bCs/>
          <w:i/>
          <w:color w:val="000000" w:themeColor="text1"/>
        </w:rPr>
        <w:t xml:space="preserve"> lower rates of cessation, while the other four studies found no difference in rates of cessation between menthol and non-menthol smokers. These findings were consistent with the inconsistency found in the overall results.</w:t>
      </w:r>
    </w:p>
    <w:p w14:paraId="2BB430BD"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Delnevo et al. analyzed data from the 2003 and 2006-2007 TUS-CPS </w:t>
      </w:r>
      <w:r w:rsidRPr="00DE2832">
        <w:rPr>
          <w:rFonts w:cstheme="minorHAnsi"/>
          <w:color w:val="000000" w:themeColor="text1"/>
        </w:rPr>
        <w:fldChar w:fldCharType="begin">
          <w:fldData xml:space="preserve">PEVuZE5vdGU+PENpdGU+PFJlY051bT40MjwvUmVjTnVtPjxEaXNwbGF5VGV4dD4oNTcsIDU4LCB1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PEVuZE5vdGU+PENpdGU+PFJlY051bT40MjwvUmVjTnVtPjxEaXNwbGF5VGV4dD4oNTcsIDU4LCB1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Pr>
          <w:rFonts w:cstheme="minorHAnsi"/>
          <w:noProof/>
          <w:color w:val="000000" w:themeColor="text1"/>
        </w:rPr>
        <w:t>(</w:t>
      </w:r>
      <w:hyperlink w:anchor="_ENREF_57" w:tooltip="Delnevo, 2011 #42" w:history="1">
        <w:r>
          <w:rPr>
            <w:rFonts w:cstheme="minorHAnsi"/>
            <w:noProof/>
            <w:color w:val="000000" w:themeColor="text1"/>
          </w:rPr>
          <w:t>57</w:t>
        </w:r>
      </w:hyperlink>
      <w:r>
        <w:rPr>
          <w:rFonts w:cstheme="minorHAnsi"/>
          <w:noProof/>
          <w:color w:val="000000" w:themeColor="text1"/>
        </w:rPr>
        <w:t xml:space="preserve">, </w:t>
      </w:r>
      <w:hyperlink w:anchor="_ENREF_58" w:tooltip="Delnevo, 2010 #99" w:history="1">
        <w:r>
          <w:rPr>
            <w:rFonts w:cstheme="minorHAnsi"/>
            <w:noProof/>
            <w:color w:val="000000" w:themeColor="text1"/>
          </w:rPr>
          <w:t>58, unpublished</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Authors adjusted for living in a state that implemented a cigarette excise tax increase sometime during the previous year in only the </w:t>
      </w:r>
      <w:r>
        <w:rPr>
          <w:rFonts w:cstheme="minorHAnsi"/>
          <w:color w:val="000000" w:themeColor="text1"/>
        </w:rPr>
        <w:t>narrowest</w:t>
      </w:r>
      <w:r w:rsidRPr="00DE2832">
        <w:rPr>
          <w:rFonts w:cstheme="minorHAnsi"/>
          <w:color w:val="000000" w:themeColor="text1"/>
        </w:rPr>
        <w:t xml:space="preserve"> of their “sample restrictions” (past-year cigarette smokers who made a quit attempt or quit; N=24,465). That analysis was the only one of their five to find that the difference between menthol and non-menthol smokers, in the overall sample, in the odds of being a former smoker was not significant (OR=0.92, 95% CI: 0.85</w:t>
      </w:r>
      <w:r>
        <w:rPr>
          <w:rFonts w:cstheme="minorHAnsi"/>
          <w:color w:val="000000" w:themeColor="text1"/>
        </w:rPr>
        <w:t xml:space="preserve">, </w:t>
      </w:r>
      <w:r w:rsidRPr="00DE2832">
        <w:rPr>
          <w:rFonts w:cstheme="minorHAnsi"/>
          <w:color w:val="000000" w:themeColor="text1"/>
        </w:rPr>
        <w:t xml:space="preserve">1.00). Across the racial/ethnic subgroups analyzed, the effect of the narrowest sample restriction was inconsistent: among White smokers, </w:t>
      </w:r>
      <w:r>
        <w:rPr>
          <w:rFonts w:cstheme="minorHAnsi"/>
          <w:color w:val="000000" w:themeColor="text1"/>
        </w:rPr>
        <w:t>statistically significantly</w:t>
      </w:r>
      <w:r w:rsidRPr="00DE2832">
        <w:rPr>
          <w:rFonts w:cstheme="minorHAnsi"/>
          <w:color w:val="000000" w:themeColor="text1"/>
        </w:rPr>
        <w:t xml:space="preserve"> lower odds of being a </w:t>
      </w:r>
      <w:r w:rsidRPr="00DE2832">
        <w:rPr>
          <w:rFonts w:cstheme="minorHAnsi"/>
          <w:color w:val="000000" w:themeColor="text1"/>
        </w:rPr>
        <w:lastRenderedPageBreak/>
        <w:t xml:space="preserve">former smoker were reported among menthol smokers, a result consistent with only one of four other sample restrictions; Hispanic menthol smokers were </w:t>
      </w:r>
      <w:r>
        <w:rPr>
          <w:rFonts w:cstheme="minorHAnsi"/>
          <w:color w:val="000000" w:themeColor="text1"/>
        </w:rPr>
        <w:t>statistically significantly</w:t>
      </w:r>
      <w:r w:rsidRPr="00DE2832">
        <w:rPr>
          <w:rFonts w:cstheme="minorHAnsi"/>
          <w:color w:val="000000" w:themeColor="text1"/>
        </w:rPr>
        <w:t xml:space="preserve"> less likely to be former smokers, contrasting with the other four sample restrictions, which yielded non-significant results; among Mexican smokers, the odds of being a former smoker increased with menthol cigarette use, although the results from the other sample restrictions were inconsistent; Black menthol smokers and Puerto Rican menthol smokers consistently remained </w:t>
      </w:r>
      <w:r>
        <w:rPr>
          <w:rFonts w:cstheme="minorHAnsi"/>
          <w:color w:val="000000" w:themeColor="text1"/>
        </w:rPr>
        <w:t>statistically significantly</w:t>
      </w:r>
      <w:r w:rsidRPr="00DE2832">
        <w:rPr>
          <w:rFonts w:cstheme="minorHAnsi"/>
          <w:color w:val="000000" w:themeColor="text1"/>
        </w:rPr>
        <w:t xml:space="preserve"> less likely to be former smokers across all five sample restrictions.</w:t>
      </w:r>
    </w:p>
    <w:p w14:paraId="3ABE8A24"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Hyland et al. </w:t>
      </w:r>
      <w:r w:rsidRPr="00DE2832">
        <w:rPr>
          <w:rFonts w:cstheme="minorHAnsi"/>
          <w:color w:val="000000" w:themeColor="text1"/>
        </w:rPr>
        <w:fldChar w:fldCharType="begin"/>
      </w:r>
      <w:r>
        <w:rPr>
          <w:rFonts w:cstheme="minorHAnsi"/>
          <w:color w:val="000000" w:themeColor="text1"/>
        </w:rPr>
        <w:instrText xml:space="preserve"> ADDIN EN.CITE &lt;EndNote&gt;&lt;Cite&gt;&lt;RecNum&gt;87&lt;/RecNum&gt;&lt;DisplayText&gt;(50)&lt;/DisplayText&gt;&lt;record&gt;&lt;rec-number&gt;87&lt;/rec-number&gt;&lt;foreign-keys&gt;&lt;key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50" w:tooltip="Hyland, 2002 #87" w:history="1">
        <w:r>
          <w:rPr>
            <w:rFonts w:cstheme="minorHAnsi"/>
            <w:noProof/>
            <w:color w:val="000000" w:themeColor="text1"/>
          </w:rPr>
          <w:t>50</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adjusted for pricing tier of cigarette smoked (premium, discount, generic) and the presence of another smoker in the household in their analysis of interim data from COMMIT. Menthol was not associated with having been abstinent for the past 6 months (</w:t>
      </w:r>
      <w:r>
        <w:rPr>
          <w:rFonts w:cstheme="minorHAnsi"/>
          <w:color w:val="000000" w:themeColor="text1"/>
        </w:rPr>
        <w:t>RR</w:t>
      </w:r>
      <w:r w:rsidRPr="00DE2832">
        <w:rPr>
          <w:rFonts w:cstheme="minorHAnsi"/>
          <w:color w:val="000000" w:themeColor="text1"/>
        </w:rPr>
        <w:t>=1.00, 95% CI: 0.90</w:t>
      </w:r>
      <w:r>
        <w:rPr>
          <w:rFonts w:cstheme="minorHAnsi"/>
          <w:color w:val="000000" w:themeColor="text1"/>
        </w:rPr>
        <w:t xml:space="preserve">, </w:t>
      </w:r>
      <w:r w:rsidRPr="00DE2832">
        <w:rPr>
          <w:rFonts w:cstheme="minorHAnsi"/>
          <w:color w:val="000000" w:themeColor="text1"/>
        </w:rPr>
        <w:t xml:space="preserve">1.11). </w:t>
      </w:r>
    </w:p>
    <w:p w14:paraId="3AC66BDB"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Lewis et al. </w:t>
      </w:r>
      <w:r w:rsidRPr="00DE2832">
        <w:rPr>
          <w:rFonts w:cstheme="minorHAnsi"/>
          <w:color w:val="000000" w:themeColor="text1"/>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PEVuZE5vdGU+PENpdGU+PEF1dGhvcj5MZXdpczwvQXV0aG9yPjxZZWFyPjIwMTQ8L1llYXI+PFJl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Pr>
          <w:rFonts w:cstheme="minorHAnsi"/>
          <w:noProof/>
          <w:color w:val="000000" w:themeColor="text1"/>
        </w:rPr>
        <w:t>(</w:t>
      </w:r>
      <w:hyperlink w:anchor="_ENREF_53" w:tooltip="Lewis, 2014 #17" w:history="1">
        <w:r>
          <w:rPr>
            <w:rFonts w:cstheme="minorHAnsi"/>
            <w:noProof/>
            <w:color w:val="000000" w:themeColor="text1"/>
          </w:rPr>
          <w:t>53</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adjusted for quality preferences (average price per pack), purchase recency (time since last purchase), nicotine levels of cigarettes purchased, and tobacco control metrics (taxation, anti-tobacco advertising, smoke-free policies). Menthol smoking was </w:t>
      </w:r>
      <w:r>
        <w:rPr>
          <w:rFonts w:cstheme="minorHAnsi"/>
          <w:color w:val="000000" w:themeColor="text1"/>
        </w:rPr>
        <w:t>statistically significantly</w:t>
      </w:r>
      <w:r w:rsidRPr="00DE2832">
        <w:rPr>
          <w:rFonts w:cstheme="minorHAnsi"/>
          <w:color w:val="000000" w:themeColor="text1"/>
        </w:rPr>
        <w:t xml:space="preserve"> associated with a decrease in the chance of quitting; specifically, the chance of quitting was 21 percent lower for menthol smokers than non-menthol smokers (</w:t>
      </w:r>
      <w:r>
        <w:rPr>
          <w:rFonts w:cstheme="minorHAnsi"/>
          <w:color w:val="000000" w:themeColor="text1"/>
        </w:rPr>
        <w:t>HR</w:t>
      </w:r>
      <w:r w:rsidRPr="00DE2832">
        <w:rPr>
          <w:rFonts w:cstheme="minorHAnsi"/>
          <w:color w:val="000000" w:themeColor="text1"/>
        </w:rPr>
        <w:t>=0.79, 95% CI: 0.64</w:t>
      </w:r>
      <w:r>
        <w:rPr>
          <w:rFonts w:cstheme="minorHAnsi"/>
          <w:color w:val="000000" w:themeColor="text1"/>
        </w:rPr>
        <w:t xml:space="preserve">, </w:t>
      </w:r>
      <w:r w:rsidRPr="00DE2832">
        <w:rPr>
          <w:rFonts w:cstheme="minorHAnsi"/>
          <w:color w:val="000000" w:themeColor="text1"/>
        </w:rPr>
        <w:t xml:space="preserve">0.99). </w:t>
      </w:r>
    </w:p>
    <w:p w14:paraId="69249629"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Gundersen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59" w:tooltip="Gundersen, 2009 #65" w:history="1">
        <w:r>
          <w:rPr>
            <w:rFonts w:cstheme="minorHAnsi"/>
            <w:noProof/>
            <w:color w:val="000000" w:themeColor="text1"/>
          </w:rPr>
          <w:t>59</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adjusted for region; they found that menthol was associated with greater odds of being a former (rather than current) smoker; </w:t>
      </w:r>
      <w:r>
        <w:rPr>
          <w:rFonts w:cstheme="minorHAnsi"/>
          <w:color w:val="000000" w:themeColor="text1"/>
        </w:rPr>
        <w:t>odds of quitting was not associated with menthol cigarette use compared to non-menthol use</w:t>
      </w:r>
      <w:r w:rsidRPr="00DE2832">
        <w:rPr>
          <w:rFonts w:cstheme="minorHAnsi"/>
          <w:color w:val="000000" w:themeColor="text1"/>
        </w:rPr>
        <w:t xml:space="preserve"> (</w:t>
      </w:r>
      <w:r>
        <w:rPr>
          <w:rFonts w:cstheme="minorHAnsi"/>
          <w:color w:val="000000" w:themeColor="text1"/>
        </w:rPr>
        <w:t>A</w:t>
      </w:r>
      <w:r w:rsidRPr="00DE2832">
        <w:rPr>
          <w:rFonts w:cstheme="minorHAnsi"/>
          <w:color w:val="000000" w:themeColor="text1"/>
        </w:rPr>
        <w:t>OR=1.05, 95% CI: 0.92</w:t>
      </w:r>
      <w:r>
        <w:rPr>
          <w:rFonts w:cstheme="minorHAnsi"/>
          <w:color w:val="000000" w:themeColor="text1"/>
        </w:rPr>
        <w:t xml:space="preserve">, </w:t>
      </w:r>
      <w:r w:rsidRPr="00DE2832">
        <w:rPr>
          <w:rFonts w:cstheme="minorHAnsi"/>
          <w:color w:val="000000" w:themeColor="text1"/>
        </w:rPr>
        <w:t xml:space="preserve">1.21). </w:t>
      </w:r>
    </w:p>
    <w:p w14:paraId="3BA1886C"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Keeler et al.</w:t>
      </w:r>
      <w:r>
        <w:rPr>
          <w:rFonts w:cstheme="minorHAnsi"/>
          <w:color w:val="000000" w:themeColor="text1"/>
        </w:rPr>
        <w:t xml:space="preserve"> </w: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Pr>
          <w:rFonts w:cstheme="minorHAnsi"/>
          <w:color w:val="000000" w:themeColor="text1"/>
        </w:rPr>
        <w:fldChar w:fldCharType="separate"/>
      </w:r>
      <w:r>
        <w:rPr>
          <w:rFonts w:cstheme="minorHAnsi"/>
          <w:noProof/>
          <w:color w:val="000000" w:themeColor="text1"/>
        </w:rPr>
        <w:t>(</w:t>
      </w:r>
      <w:hyperlink w:anchor="_ENREF_29" w:tooltip="Keeler, 2017 #660" w:history="1">
        <w:r>
          <w:rPr>
            <w:rFonts w:cstheme="minorHAnsi"/>
            <w:noProof/>
            <w:color w:val="000000" w:themeColor="text1"/>
          </w:rPr>
          <w:t>29</w:t>
        </w:r>
      </w:hyperlink>
      <w:r>
        <w:rPr>
          <w:rFonts w:cstheme="minorHAnsi"/>
          <w:noProof/>
          <w:color w:val="000000" w:themeColor="text1"/>
        </w:rPr>
        <w:t>)</w:t>
      </w:r>
      <w:r>
        <w:rPr>
          <w:rFonts w:cstheme="minorHAnsi"/>
          <w:color w:val="000000" w:themeColor="text1"/>
        </w:rPr>
        <w:fldChar w:fldCharType="end"/>
      </w:r>
      <w:r w:rsidRPr="00DE2832">
        <w:rPr>
          <w:rFonts w:cstheme="minorHAnsi"/>
          <w:color w:val="000000" w:themeColor="text1"/>
        </w:rPr>
        <w:t xml:space="preserve"> adjusted for census region of residence and found no difference in the odds of successful cessation (i.e. ≥3 months) between menthol and non-menthol smokers (</w:t>
      </w:r>
      <w:r>
        <w:rPr>
          <w:rFonts w:cstheme="minorHAnsi"/>
          <w:color w:val="000000" w:themeColor="text1"/>
        </w:rPr>
        <w:t>A</w:t>
      </w:r>
      <w:r w:rsidRPr="00DE2832">
        <w:rPr>
          <w:rFonts w:cstheme="minorHAnsi"/>
          <w:color w:val="000000" w:themeColor="text1"/>
        </w:rPr>
        <w:t>OR=0.92 95% CI: 0.83–1.03; p=0.1470); subsample analyses reported similar, non-significant results amongst African-Americans (</w:t>
      </w:r>
      <w:r>
        <w:rPr>
          <w:rFonts w:cstheme="minorHAnsi"/>
          <w:color w:val="000000" w:themeColor="text1"/>
        </w:rPr>
        <w:t>A</w:t>
      </w:r>
      <w:r w:rsidRPr="00DE2832">
        <w:rPr>
          <w:rFonts w:cstheme="minorHAnsi"/>
          <w:color w:val="000000" w:themeColor="text1"/>
        </w:rPr>
        <w:t>OR=1.03, 95% CI: 0.73–1.44; p=0.8630), Whites (</w:t>
      </w:r>
      <w:r>
        <w:rPr>
          <w:rFonts w:cstheme="minorHAnsi"/>
          <w:color w:val="000000" w:themeColor="text1"/>
        </w:rPr>
        <w:t>A</w:t>
      </w:r>
      <w:r w:rsidRPr="00DE2832">
        <w:rPr>
          <w:rFonts w:cstheme="minorHAnsi"/>
          <w:color w:val="000000" w:themeColor="text1"/>
        </w:rPr>
        <w:t>OR=0.94, 95% CI: 0.84–1.06; p=0.3190), Asians (</w:t>
      </w:r>
      <w:r>
        <w:rPr>
          <w:rFonts w:cstheme="minorHAnsi"/>
          <w:color w:val="000000" w:themeColor="text1"/>
        </w:rPr>
        <w:t>A</w:t>
      </w:r>
      <w:r w:rsidRPr="00DE2832">
        <w:rPr>
          <w:rFonts w:cstheme="minorHAnsi"/>
          <w:color w:val="000000" w:themeColor="text1"/>
        </w:rPr>
        <w:t>OR=0.98, 95% CI: 0.44–2.19; p=0.9540), or Hispanics (</w:t>
      </w:r>
      <w:r>
        <w:rPr>
          <w:rFonts w:cstheme="minorHAnsi"/>
          <w:color w:val="000000" w:themeColor="text1"/>
        </w:rPr>
        <w:t>A</w:t>
      </w:r>
      <w:r w:rsidRPr="00DE2832">
        <w:rPr>
          <w:rFonts w:cstheme="minorHAnsi"/>
          <w:color w:val="000000" w:themeColor="text1"/>
        </w:rPr>
        <w:t>OR=0.88, 95% CI: 0.60–1.28; p=0.4980).</w:t>
      </w:r>
    </w:p>
    <w:p w14:paraId="3EFB75CB" w14:textId="77777777" w:rsidR="007F0AE0" w:rsidRPr="00DE2832" w:rsidRDefault="007F0AE0" w:rsidP="007F0AE0">
      <w:pPr>
        <w:spacing w:after="120" w:line="240" w:lineRule="auto"/>
        <w:jc w:val="both"/>
        <w:outlineLvl w:val="1"/>
        <w:rPr>
          <w:rFonts w:cstheme="minorHAnsi"/>
          <w:bCs/>
          <w:i/>
          <w:color w:val="000000" w:themeColor="text1"/>
          <w:u w:val="single"/>
        </w:rPr>
      </w:pPr>
      <w:r w:rsidRPr="00DE2832">
        <w:rPr>
          <w:rFonts w:cstheme="minorHAnsi"/>
          <w:bCs/>
          <w:i/>
          <w:color w:val="000000" w:themeColor="text1"/>
          <w:u w:val="single"/>
        </w:rPr>
        <w:t>Sensitivity Analysis 1: Quit Attempt</w:t>
      </w:r>
      <w:r>
        <w:rPr>
          <w:rFonts w:cstheme="minorHAnsi"/>
          <w:bCs/>
          <w:i/>
          <w:color w:val="000000" w:themeColor="text1"/>
          <w:u w:val="single"/>
        </w:rPr>
        <w:t>s</w:t>
      </w:r>
    </w:p>
    <w:p w14:paraId="4FE2CF6D" w14:textId="77777777" w:rsidR="007F0AE0" w:rsidRPr="00DE2832" w:rsidRDefault="007F0AE0" w:rsidP="007F0AE0">
      <w:pPr>
        <w:spacing w:after="120" w:line="240" w:lineRule="auto"/>
        <w:jc w:val="both"/>
        <w:rPr>
          <w:rFonts w:cstheme="minorHAnsi"/>
          <w:bCs/>
          <w:i/>
          <w:color w:val="000000" w:themeColor="text1"/>
        </w:rPr>
      </w:pPr>
      <w:r w:rsidRPr="00DE2832">
        <w:rPr>
          <w:rFonts w:cstheme="minorHAnsi"/>
          <w:bCs/>
          <w:i/>
          <w:color w:val="000000" w:themeColor="text1"/>
        </w:rPr>
        <w:t xml:space="preserve">Five studies that reported quit attempts included meso- and/or macro-level variables. Two of the five studies found that menthol smokers were less likely than non-menthol smokers to have made a quit attempt; one found that menthol users were </w:t>
      </w:r>
      <w:r>
        <w:rPr>
          <w:rFonts w:cstheme="minorHAnsi"/>
          <w:bCs/>
          <w:i/>
          <w:color w:val="000000" w:themeColor="text1"/>
        </w:rPr>
        <w:t>statistically significantly</w:t>
      </w:r>
      <w:r w:rsidRPr="00DE2832">
        <w:rPr>
          <w:rFonts w:cstheme="minorHAnsi"/>
          <w:bCs/>
          <w:i/>
          <w:color w:val="000000" w:themeColor="text1"/>
        </w:rPr>
        <w:t xml:space="preserve"> more likely to have made a past-year attempt; and two reported mixed results based on racial stratifications. These findings were consistent with the inconsistency found in the overall results. </w:t>
      </w:r>
    </w:p>
    <w:p w14:paraId="4B3C6AE7" w14:textId="77777777" w:rsidR="007F0AE0" w:rsidRPr="00DE2832" w:rsidRDefault="007F0AE0" w:rsidP="007F0AE0">
      <w:pPr>
        <w:spacing w:after="120" w:line="240" w:lineRule="auto"/>
        <w:jc w:val="both"/>
        <w:rPr>
          <w:rFonts w:cstheme="minorHAnsi"/>
          <w:bCs/>
          <w:color w:val="000000" w:themeColor="text1"/>
        </w:rPr>
      </w:pPr>
      <w:r w:rsidRPr="00DE2832">
        <w:rPr>
          <w:rFonts w:cstheme="minorHAnsi"/>
          <w:bCs/>
          <w:color w:val="000000" w:themeColor="text1"/>
        </w:rPr>
        <w:t xml:space="preserve">Alexander et al. </w:t>
      </w:r>
      <w:r w:rsidRPr="00DE2832">
        <w:rPr>
          <w:rFonts w:cstheme="minorHAnsi"/>
          <w:bCs/>
          <w:color w:val="000000" w:themeColor="text1"/>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bCs/>
          <w:color w:val="000000" w:themeColor="text1"/>
        </w:rPr>
        <w:instrText xml:space="preserve"> ADDIN EN.CITE </w:instrText>
      </w:r>
      <w:r>
        <w:rPr>
          <w:rFonts w:cstheme="minorHAnsi"/>
          <w:bCs/>
          <w:color w:val="000000" w:themeColor="text1"/>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bCs/>
          <w:color w:val="000000" w:themeColor="text1"/>
        </w:rPr>
        <w:instrText xml:space="preserve"> ADDIN EN.CITE.DATA </w:instrText>
      </w:r>
      <w:r>
        <w:rPr>
          <w:rFonts w:cstheme="minorHAnsi"/>
          <w:bCs/>
          <w:color w:val="000000" w:themeColor="text1"/>
        </w:rPr>
      </w:r>
      <w:r>
        <w:rPr>
          <w:rFonts w:cstheme="minorHAnsi"/>
          <w:bCs/>
          <w:color w:val="000000" w:themeColor="text1"/>
        </w:rPr>
        <w:fldChar w:fldCharType="end"/>
      </w:r>
      <w:r w:rsidRPr="00DE2832">
        <w:rPr>
          <w:rFonts w:cstheme="minorHAnsi"/>
          <w:bCs/>
          <w:color w:val="000000" w:themeColor="text1"/>
        </w:rPr>
        <w:fldChar w:fldCharType="separate"/>
      </w:r>
      <w:r>
        <w:rPr>
          <w:rFonts w:cstheme="minorHAnsi"/>
          <w:bCs/>
          <w:noProof/>
          <w:color w:val="000000" w:themeColor="text1"/>
        </w:rPr>
        <w:t>(</w:t>
      </w:r>
      <w:hyperlink w:anchor="_ENREF_14" w:tooltip="Alexander, 2010 #59" w:history="1">
        <w:r>
          <w:rPr>
            <w:rFonts w:cstheme="minorHAnsi"/>
            <w:bCs/>
            <w:noProof/>
            <w:color w:val="000000" w:themeColor="text1"/>
          </w:rPr>
          <w:t>14</w:t>
        </w:r>
      </w:hyperlink>
      <w:r>
        <w:rPr>
          <w:rFonts w:cstheme="minorHAnsi"/>
          <w:bCs/>
          <w:noProof/>
          <w:color w:val="000000" w:themeColor="text1"/>
        </w:rPr>
        <w:t>)</w:t>
      </w:r>
      <w:r w:rsidRPr="00DE2832">
        <w:rPr>
          <w:rFonts w:cstheme="minorHAnsi"/>
          <w:bCs/>
          <w:color w:val="000000" w:themeColor="text1"/>
        </w:rPr>
        <w:fldChar w:fldCharType="end"/>
      </w:r>
      <w:r w:rsidRPr="00DE2832">
        <w:rPr>
          <w:rFonts w:cstheme="minorHAnsi"/>
          <w:bCs/>
          <w:color w:val="000000" w:themeColor="text1"/>
        </w:rPr>
        <w:t xml:space="preserve"> adjusted for the presence of smokers in the work space and for workplace smoking policies and restrictions and found that menthol smokers had 2 percent lower odds of stopping smoking for one day or more.</w:t>
      </w:r>
      <w:r>
        <w:rPr>
          <w:rFonts w:cstheme="minorHAnsi"/>
          <w:bCs/>
          <w:color w:val="000000" w:themeColor="text1"/>
        </w:rPr>
        <w:t xml:space="preserve"> </w:t>
      </w:r>
    </w:p>
    <w:p w14:paraId="67DE05BE"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Hyland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&lt;EndNote&gt;&lt;Cite&gt;&lt;Author&gt;Hyland&lt;/Author&gt;&lt;Year&gt;2002&lt;/Year&gt;&lt;RecNum&gt;87&lt;/RecNum&gt;&lt;DisplayText&gt;(50)&lt;/DisplayText&gt;&lt;record&gt;&lt;rec-number&gt;87&lt;/rec-number&gt;&lt;foreign-keys&gt;&lt;key app="EN" db-id="a2vz2dfp8xrad6exes75zwpiw5rxwa0vwapv" timestamp="0"&gt;87&lt;/key&gt;&lt;/foreign-keys&gt;&lt;ref-type name="Journal Article"&gt;17&lt;/ref-type&gt;&lt;contributors&gt;&lt;authors&gt;&lt;author&gt;Hyland, A. &lt;/author&gt;&lt;author&gt;Garten, S. &lt;/author&gt;&lt;author&gt;Giovino, G. A.&lt;/author&gt;&lt;author&gt;Cummings, K. M.&lt;/author&gt;&lt;/authors&gt;&lt;/contributors&gt;&lt;titles&gt;&lt;title&gt;Mentholated cigarettes and smoking cessation: Findings from COMMIT&lt;/title&gt;&lt;secondary-title&gt;Tob Control&lt;/secondary-title&gt;&lt;/titles&gt;&lt;periodical&gt;&lt;full-title&gt;Tob Control&lt;/full-title&gt;&lt;/periodical&gt;&lt;pages&gt;135-139&lt;/pages&gt;&lt;volume&gt;11&lt;/volume&gt;&lt;section&gt;135&lt;/section&gt;&lt;dates&gt;&lt;year&gt;2002&lt;/year&gt;&lt;/dates&gt;&lt;urls&gt;&lt;/urls&gt;&lt;research-notes&gt;#442&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50" w:tooltip="Hyland, 2002 #87" w:history="1">
        <w:r>
          <w:rPr>
            <w:rFonts w:cstheme="minorHAnsi"/>
            <w:noProof/>
            <w:color w:val="000000" w:themeColor="text1"/>
          </w:rPr>
          <w:t>50</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adjusted for pricing tier of cigarette smoked (premium, discount, generic) and the presence of another smoker in the household in their analysis of interim data from COMMIT. Exclusively menthol smokers were no different from non-menthol smokers in the odds of having made a quit attempt (</w:t>
      </w:r>
      <w:r>
        <w:rPr>
          <w:rFonts w:cstheme="minorHAnsi"/>
          <w:color w:val="000000" w:themeColor="text1"/>
        </w:rPr>
        <w:t>A</w:t>
      </w:r>
      <w:r w:rsidRPr="00DE2832">
        <w:rPr>
          <w:rFonts w:cstheme="minorHAnsi"/>
          <w:color w:val="000000" w:themeColor="text1"/>
        </w:rPr>
        <w:t>OR=0.91, 95% CI: 0.72</w:t>
      </w:r>
      <w:r>
        <w:rPr>
          <w:rFonts w:cstheme="minorHAnsi"/>
          <w:color w:val="000000" w:themeColor="text1"/>
        </w:rPr>
        <w:t xml:space="preserve">, </w:t>
      </w:r>
      <w:r w:rsidRPr="00DE2832">
        <w:rPr>
          <w:rFonts w:cstheme="minorHAnsi"/>
          <w:color w:val="000000" w:themeColor="text1"/>
        </w:rPr>
        <w:t>1.15).</w:t>
      </w:r>
    </w:p>
    <w:p w14:paraId="4B8F4475"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Kahende et al. </w:t>
      </w:r>
      <w:r w:rsidRPr="00DE2832">
        <w:rPr>
          <w:rFonts w:cstheme="minorHAnsi"/>
          <w:color w:val="000000" w:themeColor="text1"/>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Pr>
          <w:rFonts w:cstheme="minorHAnsi"/>
          <w:noProof/>
          <w:color w:val="000000" w:themeColor="text1"/>
        </w:rPr>
        <w:t>(</w:t>
      </w:r>
      <w:hyperlink w:anchor="_ENREF_34" w:tooltip="Kahende, 2011 #43" w:history="1">
        <w:r>
          <w:rPr>
            <w:rFonts w:cstheme="minorHAnsi"/>
            <w:noProof/>
            <w:color w:val="000000" w:themeColor="text1"/>
          </w:rPr>
          <w:t>34</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adjusted for region, smoking policy at work, and home smoking rules, and their analyses were stratified by race, with White non-menthol smokers always the reference group. Among White smokers, menthol smokers had </w:t>
      </w:r>
      <w:r>
        <w:rPr>
          <w:rFonts w:cstheme="minorHAnsi"/>
          <w:color w:val="000000" w:themeColor="text1"/>
        </w:rPr>
        <w:t>statistically significant</w:t>
      </w:r>
      <w:r w:rsidRPr="00DE2832">
        <w:rPr>
          <w:rFonts w:cstheme="minorHAnsi"/>
          <w:color w:val="000000" w:themeColor="text1"/>
        </w:rPr>
        <w:t xml:space="preserve"> lower odds than White non-menthol smokers of having made a quit attempt in the past year (</w:t>
      </w:r>
      <w:r>
        <w:rPr>
          <w:rFonts w:cstheme="minorHAnsi"/>
          <w:color w:val="000000" w:themeColor="text1"/>
        </w:rPr>
        <w:t>A</w:t>
      </w:r>
      <w:r w:rsidRPr="00DE2832">
        <w:rPr>
          <w:rFonts w:cstheme="minorHAnsi"/>
          <w:color w:val="000000" w:themeColor="text1"/>
        </w:rPr>
        <w:t>OR=0.91, 95% CI: 0.84</w:t>
      </w:r>
      <w:r>
        <w:rPr>
          <w:rFonts w:cstheme="minorHAnsi"/>
          <w:color w:val="000000" w:themeColor="text1"/>
        </w:rPr>
        <w:t xml:space="preserve">, </w:t>
      </w:r>
      <w:r w:rsidRPr="00DE2832">
        <w:rPr>
          <w:rFonts w:cstheme="minorHAnsi"/>
          <w:color w:val="000000" w:themeColor="text1"/>
        </w:rPr>
        <w:t xml:space="preserve">0.99). </w:t>
      </w:r>
    </w:p>
    <w:p w14:paraId="52420EB3"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Levy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19" w:tooltip="Levy, 2011 #45" w:history="1">
        <w:r>
          <w:rPr>
            <w:rFonts w:cstheme="minorHAnsi"/>
            <w:noProof/>
            <w:color w:val="000000" w:themeColor="text1"/>
          </w:rPr>
          <w:t>19</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controlled for state smoke-free policies and found that—among participants who were smoking one year prior to the interview—menthol users’ odds of having made a quit attempt in the past year were slightly but </w:t>
      </w:r>
      <w:r>
        <w:rPr>
          <w:rFonts w:cstheme="minorHAnsi"/>
          <w:color w:val="000000" w:themeColor="text1"/>
        </w:rPr>
        <w:t>statistically significantly</w:t>
      </w:r>
      <w:r w:rsidRPr="00DE2832">
        <w:rPr>
          <w:rFonts w:cstheme="minorHAnsi"/>
          <w:color w:val="000000" w:themeColor="text1"/>
        </w:rPr>
        <w:t xml:space="preserve"> higher than non-menthol users’ odds (</w:t>
      </w:r>
      <w:r>
        <w:rPr>
          <w:rFonts w:cstheme="minorHAnsi"/>
          <w:color w:val="000000" w:themeColor="text1"/>
        </w:rPr>
        <w:t>A</w:t>
      </w:r>
      <w:r w:rsidRPr="00DE2832">
        <w:rPr>
          <w:rFonts w:cstheme="minorHAnsi"/>
          <w:color w:val="000000" w:themeColor="text1"/>
        </w:rPr>
        <w:t>OR=1.03, 95% CI: 1.02</w:t>
      </w:r>
      <w:r>
        <w:rPr>
          <w:rFonts w:cstheme="minorHAnsi"/>
          <w:color w:val="000000" w:themeColor="text1"/>
        </w:rPr>
        <w:t xml:space="preserve">, </w:t>
      </w:r>
      <w:r w:rsidRPr="00DE2832">
        <w:rPr>
          <w:rFonts w:cstheme="minorHAnsi"/>
          <w:color w:val="000000" w:themeColor="text1"/>
        </w:rPr>
        <w:t>1.03).</w:t>
      </w:r>
    </w:p>
    <w:p w14:paraId="4B3ACCD5"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lastRenderedPageBreak/>
        <w:t>Keeler et al.</w:t>
      </w:r>
      <w:r>
        <w:rPr>
          <w:rFonts w:cstheme="minorHAnsi"/>
          <w:color w:val="000000" w:themeColor="text1"/>
        </w:rPr>
        <w:t xml:space="preserve"> </w: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Pr>
          <w:rFonts w:cstheme="minorHAnsi"/>
          <w:color w:val="000000" w:themeColor="text1"/>
        </w:rPr>
        <w:fldChar w:fldCharType="separate"/>
      </w:r>
      <w:r>
        <w:rPr>
          <w:rFonts w:cstheme="minorHAnsi"/>
          <w:noProof/>
          <w:color w:val="000000" w:themeColor="text1"/>
        </w:rPr>
        <w:t>(</w:t>
      </w:r>
      <w:hyperlink w:anchor="_ENREF_29" w:tooltip="Keeler, 2017 #660" w:history="1">
        <w:r>
          <w:rPr>
            <w:rFonts w:cstheme="minorHAnsi"/>
            <w:noProof/>
            <w:color w:val="000000" w:themeColor="text1"/>
          </w:rPr>
          <w:t>29</w:t>
        </w:r>
      </w:hyperlink>
      <w:r>
        <w:rPr>
          <w:rFonts w:cstheme="minorHAnsi"/>
          <w:noProof/>
          <w:color w:val="000000" w:themeColor="text1"/>
        </w:rPr>
        <w:t>)</w:t>
      </w:r>
      <w:r>
        <w:rPr>
          <w:rFonts w:cstheme="minorHAnsi"/>
          <w:color w:val="000000" w:themeColor="text1"/>
        </w:rPr>
        <w:fldChar w:fldCharType="end"/>
      </w:r>
      <w:r w:rsidRPr="00DE2832">
        <w:rPr>
          <w:rFonts w:cstheme="minorHAnsi"/>
          <w:color w:val="000000" w:themeColor="text1"/>
        </w:rPr>
        <w:t xml:space="preserve"> adjusted for census region of residence and found no difference in the odds of having made a past-year quit attempt between menthol and non-menthol smokers (</w:t>
      </w:r>
      <w:r>
        <w:rPr>
          <w:rFonts w:cstheme="minorHAnsi"/>
          <w:color w:val="000000" w:themeColor="text1"/>
        </w:rPr>
        <w:t>A</w:t>
      </w:r>
      <w:r w:rsidRPr="00DE2832">
        <w:rPr>
          <w:rFonts w:cstheme="minorHAnsi"/>
          <w:color w:val="000000" w:themeColor="text1"/>
        </w:rPr>
        <w:t>OR=0.99 (0.94-1.04); p=0.6690).</w:t>
      </w:r>
    </w:p>
    <w:p w14:paraId="29D0DF1F" w14:textId="77777777" w:rsidR="007F0AE0" w:rsidRPr="00DE2832" w:rsidRDefault="007F0AE0" w:rsidP="007F0AE0">
      <w:pPr>
        <w:spacing w:after="120" w:line="240" w:lineRule="auto"/>
        <w:jc w:val="both"/>
        <w:outlineLvl w:val="1"/>
        <w:rPr>
          <w:rFonts w:eastAsia="Calibri" w:cstheme="minorHAnsi"/>
          <w:b/>
          <w:i/>
          <w:u w:val="single"/>
        </w:rPr>
      </w:pPr>
      <w:r w:rsidRPr="00DE2832">
        <w:rPr>
          <w:rFonts w:eastAsia="Calibri" w:cstheme="minorHAnsi"/>
          <w:b/>
          <w:i/>
          <w:u w:val="single"/>
        </w:rPr>
        <w:t>Sensitivity Analysis 2: Exclusion of studies rated as having “poor” quality according to the Downs and Black checklist</w:t>
      </w:r>
    </w:p>
    <w:p w14:paraId="4D0C76A3" w14:textId="77777777" w:rsidR="007F0AE0" w:rsidRPr="00DE2832" w:rsidRDefault="007F0AE0" w:rsidP="007F0AE0">
      <w:pPr>
        <w:spacing w:after="120" w:line="240" w:lineRule="auto"/>
        <w:jc w:val="both"/>
        <w:rPr>
          <w:rFonts w:cstheme="minorHAnsi"/>
          <w:bCs/>
          <w:color w:val="000000" w:themeColor="text1"/>
        </w:rPr>
      </w:pPr>
      <w:r w:rsidRPr="00DE2832">
        <w:rPr>
          <w:rFonts w:cstheme="minorHAnsi"/>
          <w:bCs/>
          <w:i/>
          <w:color w:val="000000" w:themeColor="text1"/>
        </w:rPr>
        <w:t xml:space="preserve">Only one of the included studies presented adjusted results were rated </w:t>
      </w:r>
      <w:r>
        <w:rPr>
          <w:rFonts w:cstheme="minorHAnsi"/>
          <w:bCs/>
          <w:i/>
          <w:color w:val="000000" w:themeColor="text1"/>
        </w:rPr>
        <w:t>“</w:t>
      </w:r>
      <w:r w:rsidRPr="00DE2832">
        <w:rPr>
          <w:rFonts w:cstheme="minorHAnsi"/>
          <w:bCs/>
          <w:i/>
          <w:color w:val="000000" w:themeColor="text1"/>
        </w:rPr>
        <w:t>poor</w:t>
      </w:r>
      <w:r>
        <w:rPr>
          <w:rFonts w:cstheme="minorHAnsi"/>
          <w:bCs/>
          <w:i/>
          <w:color w:val="000000" w:themeColor="text1"/>
        </w:rPr>
        <w:t>”</w:t>
      </w:r>
      <w:r w:rsidRPr="00DE2832">
        <w:rPr>
          <w:rFonts w:cstheme="minorHAnsi"/>
          <w:bCs/>
          <w:i/>
          <w:color w:val="000000" w:themeColor="text1"/>
        </w:rPr>
        <w:t xml:space="preserve"> quality and found that </w:t>
      </w:r>
      <w:r w:rsidRPr="00DE2832">
        <w:rPr>
          <w:rFonts w:cstheme="minorHAnsi"/>
          <w:i/>
          <w:color w:val="000000" w:themeColor="text1"/>
        </w:rPr>
        <w:t xml:space="preserve">menthol was associated with a </w:t>
      </w:r>
      <w:r>
        <w:rPr>
          <w:rFonts w:cstheme="minorHAnsi"/>
          <w:i/>
          <w:color w:val="000000" w:themeColor="text1"/>
        </w:rPr>
        <w:t>statistically significant</w:t>
      </w:r>
      <w:r w:rsidRPr="00DE2832">
        <w:rPr>
          <w:rFonts w:cstheme="minorHAnsi"/>
          <w:i/>
          <w:color w:val="000000" w:themeColor="text1"/>
        </w:rPr>
        <w:t xml:space="preserve"> lower rate of cessation. Removing this study from the overall analysis data did not change the overall findings.</w:t>
      </w:r>
    </w:p>
    <w:p w14:paraId="723024E7" w14:textId="77777777" w:rsidR="007F0AE0" w:rsidRPr="00DE2832"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Thihalolipavan et al. </w:t>
      </w:r>
      <w:r w:rsidRPr="00DE2832">
        <w:rPr>
          <w:rFonts w:cstheme="minorHAnsi"/>
          <w:color w:val="000000" w:themeColor="text1"/>
        </w:rPr>
        <w:fldChar w:fldCharType="begin"/>
      </w:r>
      <w:r>
        <w:rPr>
          <w:rFonts w:cstheme="minorHAnsi"/>
          <w:color w:val="000000" w:themeColor="text1"/>
        </w:rPr>
        <w:instrText xml:space="preserve"> ADDIN EN.CITE &lt;EndNote&gt;&lt;Cite&gt;&lt;Author&gt;Thihalolipavan&lt;/Author&gt;&lt;Year&gt;2014&lt;/Year&gt;&lt;RecNum&gt;12&lt;/RecNum&gt;&lt;DisplayText&gt;(43)&lt;/DisplayText&gt;&lt;record&gt;&lt;rec-number&gt;12&lt;/rec-number&gt;&lt;foreign-keys&gt;&lt;key app="EN" db-id="a2vz2dfp8xrad6exes75zwpiw5rxwa0vwapv" timestamp="0"&gt;12&lt;/key&gt;&lt;/foreign-keys&gt;&lt;ref-type name="Journal Article"&gt;17&lt;/ref-type&gt;&lt;contributors&gt;&lt;authors&gt;&lt;author&gt;Thihalolipavan, S.&lt;/author&gt;&lt;author&gt;Jung, M.&lt;/author&gt;&lt;author&gt;Jasek, J.&lt;/author&gt;&lt;author&gt;Chamany, S.&lt;/author&gt;&lt;/authors&gt;&lt;/contributors&gt;&lt;auth-address&gt;Sayone Thihalolipavan, John Jasek and Shadi Chamany are with the New York City Department of Health and Mental Hygiene, New York, NY. Molly Jung is with Albert Einstein College of Medicine, Bronx, NY.&lt;/auth-address&gt;&lt;titles&gt;&lt;title&gt;Menthol smokers in large-scale nicotine replacement therapy program&lt;/title&gt;&lt;secondary-title&gt;Am J Public Health&lt;/secondary-title&gt;&lt;/titles&gt;&lt;periodical&gt;&lt;full-title&gt;Am J Public Health&lt;/full-title&gt;&lt;/periodical&gt;&lt;pages&gt;e3-4&lt;/pages&gt;&lt;volume&gt;104&lt;/volume&gt;&lt;number&gt;11&lt;/number&gt;&lt;keywords&gt;&lt;keyword&gt;*African Americans&lt;/keyword&gt;&lt;keyword&gt;*Choice Behavior&lt;/keyword&gt;&lt;keyword&gt;Humans&lt;/keyword&gt;&lt;keyword&gt;*Menthol&lt;/keyword&gt;&lt;keyword&gt;Smoking/*ethnology&lt;/keyword&gt;&lt;keyword&gt;Tobacco Industry/*legislation &amp;amp; jurisprudence&lt;/keyword&gt;&lt;/keywords&gt;&lt;dates&gt;&lt;year&gt;2014&lt;/year&gt;&lt;pub-dates&gt;&lt;date&gt;Nov&lt;/date&gt;&lt;/pub-dates&gt;&lt;/dates&gt;&lt;isbn&gt;1541-0048 (Electronic)&amp;#xD;0090-0036 (Linking)&lt;/isbn&gt;&lt;accession-num&gt;25211736&lt;/accession-num&gt;&lt;urls&gt;&lt;related-urls&gt;&lt;url&gt;http://www.ncbi.nlm.nih.gov/pubmed/25211736&lt;/url&gt;&lt;/related-urls&gt;&lt;/urls&gt;&lt;electronic-resource-num&gt;10.2105/AJPH.2014.302168&lt;/electronic-resource-num&gt;&lt;research-notes&gt;#069&lt;/research-notes&gt;&lt;/record&gt;&lt;/Cite&gt;&lt;/EndNote&gt;</w:instrText>
      </w:r>
      <w:r w:rsidRPr="00DE2832">
        <w:rPr>
          <w:rFonts w:cstheme="minorHAnsi"/>
          <w:color w:val="000000" w:themeColor="text1"/>
        </w:rPr>
        <w:fldChar w:fldCharType="separate"/>
      </w:r>
      <w:r>
        <w:rPr>
          <w:rFonts w:cstheme="minorHAnsi"/>
          <w:noProof/>
          <w:color w:val="000000" w:themeColor="text1"/>
        </w:rPr>
        <w:t>(</w:t>
      </w:r>
      <w:hyperlink w:anchor="_ENREF_43" w:tooltip="Thihalolipavan, 2014 #12" w:history="1">
        <w:r>
          <w:rPr>
            <w:rFonts w:cstheme="minorHAnsi"/>
            <w:noProof/>
            <w:color w:val="000000" w:themeColor="text1"/>
          </w:rPr>
          <w:t>43</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presented a small amount of original data from 13,901 participants in the New York City Nicotine Patch and Gum Program in a letter to the Editor of the </w:t>
      </w:r>
      <w:r w:rsidRPr="00DE2832">
        <w:rPr>
          <w:rFonts w:cstheme="minorHAnsi"/>
          <w:i/>
          <w:color w:val="000000" w:themeColor="text1"/>
        </w:rPr>
        <w:t>American Journal of Public Health</w:t>
      </w:r>
      <w:r w:rsidRPr="00DE2832">
        <w:rPr>
          <w:rFonts w:cstheme="minorHAnsi"/>
          <w:color w:val="000000" w:themeColor="text1"/>
        </w:rPr>
        <w:t xml:space="preserve">. The study was rated </w:t>
      </w:r>
      <w:r>
        <w:rPr>
          <w:rFonts w:cstheme="minorHAnsi"/>
          <w:color w:val="000000" w:themeColor="text1"/>
        </w:rPr>
        <w:t>“</w:t>
      </w:r>
      <w:r w:rsidRPr="00DE2832">
        <w:rPr>
          <w:rFonts w:cstheme="minorHAnsi"/>
          <w:color w:val="000000" w:themeColor="text1"/>
        </w:rPr>
        <w:t>poor</w:t>
      </w:r>
      <w:r>
        <w:rPr>
          <w:rFonts w:cstheme="minorHAnsi"/>
          <w:color w:val="000000" w:themeColor="text1"/>
        </w:rPr>
        <w:t>”</w:t>
      </w:r>
      <w:r w:rsidRPr="00DE2832">
        <w:rPr>
          <w:rFonts w:cstheme="minorHAnsi"/>
          <w:color w:val="000000" w:themeColor="text1"/>
        </w:rPr>
        <w:t xml:space="preserve"> quality largely due to lack of information about methodology. This was more a reporting issue than a study quality issue, but given the lack of data, assessment of the latter is impossible. Menthol was associated with a </w:t>
      </w:r>
      <w:r>
        <w:rPr>
          <w:rFonts w:cstheme="minorHAnsi"/>
          <w:color w:val="000000" w:themeColor="text1"/>
        </w:rPr>
        <w:t>statistically significant</w:t>
      </w:r>
      <w:r w:rsidRPr="00DE2832">
        <w:rPr>
          <w:rFonts w:cstheme="minorHAnsi"/>
          <w:color w:val="000000" w:themeColor="text1"/>
        </w:rPr>
        <w:t xml:space="preserve"> lower rate of cessation, measured between three and six weeks after enrollment, compared with non-menthol (</w:t>
      </w:r>
      <w:r>
        <w:rPr>
          <w:rFonts w:cstheme="minorHAnsi"/>
          <w:color w:val="000000" w:themeColor="text1"/>
        </w:rPr>
        <w:t>PR</w:t>
      </w:r>
      <w:r w:rsidRPr="00DE2832">
        <w:rPr>
          <w:rFonts w:cstheme="minorHAnsi"/>
          <w:color w:val="000000" w:themeColor="text1"/>
        </w:rPr>
        <w:t>=0.90, 95% CI: 0.83</w:t>
      </w:r>
      <w:r>
        <w:rPr>
          <w:rFonts w:cstheme="minorHAnsi"/>
          <w:color w:val="000000" w:themeColor="text1"/>
        </w:rPr>
        <w:t xml:space="preserve">, </w:t>
      </w:r>
      <w:r w:rsidRPr="00DE2832">
        <w:rPr>
          <w:rFonts w:cstheme="minorHAnsi"/>
          <w:color w:val="000000" w:themeColor="text1"/>
        </w:rPr>
        <w:t>0.97). Removing this study from the overall analysis data did not substantially alter the proportions of studies reporting greater or lower odds of quitting among menthol smokers.</w:t>
      </w:r>
    </w:p>
    <w:p w14:paraId="3C049C04" w14:textId="77777777" w:rsidR="007F0AE0" w:rsidRPr="00DE2832" w:rsidRDefault="007F0AE0" w:rsidP="007F0AE0">
      <w:pPr>
        <w:spacing w:after="120" w:line="240" w:lineRule="auto"/>
        <w:jc w:val="both"/>
        <w:outlineLvl w:val="1"/>
        <w:rPr>
          <w:rFonts w:cstheme="minorHAnsi"/>
          <w:b/>
          <w:color w:val="000000" w:themeColor="text1"/>
          <w:u w:val="single"/>
        </w:rPr>
      </w:pPr>
      <w:r w:rsidRPr="00DE2832">
        <w:rPr>
          <w:rFonts w:cstheme="minorHAnsi"/>
          <w:b/>
          <w:i/>
          <w:color w:val="000000" w:themeColor="text1"/>
          <w:u w:val="single"/>
        </w:rPr>
        <w:t>Sensitivity Analysis 3. Exclusion of studies with potential overadjustment and/or inappropriate adjustment</w:t>
      </w:r>
    </w:p>
    <w:p w14:paraId="17E22716" w14:textId="77777777" w:rsidR="007F0AE0" w:rsidRPr="00DE2832" w:rsidRDefault="007F0AE0" w:rsidP="007F0AE0">
      <w:pPr>
        <w:spacing w:after="120" w:line="240" w:lineRule="auto"/>
        <w:jc w:val="both"/>
        <w:rPr>
          <w:rFonts w:cstheme="minorHAnsi"/>
          <w:color w:val="000000" w:themeColor="text1"/>
        </w:rPr>
      </w:pPr>
      <w:r w:rsidRPr="00DE2832">
        <w:rPr>
          <w:rFonts w:cstheme="minorHAnsi"/>
          <w:i/>
          <w:color w:val="000000" w:themeColor="text1"/>
        </w:rPr>
        <w:t>One study contained a variable that indicated past quit attempts in the authors’ model of cessation. Excluding that study from the overall analysis of cessation did not change the original findings.</w:t>
      </w:r>
    </w:p>
    <w:p w14:paraId="5A024477" w14:textId="77777777" w:rsidR="007F0AE0" w:rsidRDefault="007F0AE0" w:rsidP="007F0AE0">
      <w:pPr>
        <w:spacing w:after="120" w:line="240" w:lineRule="auto"/>
        <w:jc w:val="both"/>
        <w:rPr>
          <w:rFonts w:cstheme="minorHAnsi"/>
          <w:color w:val="000000" w:themeColor="text1"/>
        </w:rPr>
      </w:pPr>
      <w:r w:rsidRPr="00DE2832">
        <w:rPr>
          <w:rFonts w:cstheme="minorHAnsi"/>
          <w:color w:val="000000" w:themeColor="text1"/>
        </w:rPr>
        <w:t xml:space="preserve">Fu et al. </w:t>
      </w:r>
      <w:r w:rsidRPr="00DE2832">
        <w:rPr>
          <w:rFonts w:cstheme="minorHAnsi"/>
          <w:color w:val="000000" w:themeColor="text1"/>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themeColor="text1"/>
        </w:rPr>
        <w:instrText xml:space="preserve"> ADDIN EN.CITE </w:instrText>
      </w:r>
      <w:r>
        <w:rPr>
          <w:rFonts w:cstheme="minorHAnsi"/>
          <w:color w:val="000000" w:themeColor="text1"/>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color w:val="000000" w:themeColor="text1"/>
        </w:rPr>
        <w:instrText xml:space="preserve"> ADDIN EN.CITE.DATA </w:instrText>
      </w:r>
      <w:r>
        <w:rPr>
          <w:rFonts w:cstheme="minorHAnsi"/>
          <w:color w:val="000000" w:themeColor="text1"/>
        </w:rPr>
      </w:r>
      <w:r>
        <w:rPr>
          <w:rFonts w:cstheme="minorHAnsi"/>
          <w:color w:val="000000" w:themeColor="text1"/>
        </w:rPr>
        <w:fldChar w:fldCharType="end"/>
      </w:r>
      <w:r w:rsidRPr="00DE2832">
        <w:rPr>
          <w:rFonts w:cstheme="minorHAnsi"/>
          <w:color w:val="000000" w:themeColor="text1"/>
        </w:rPr>
        <w:fldChar w:fldCharType="separate"/>
      </w:r>
      <w:r>
        <w:rPr>
          <w:rFonts w:cstheme="minorHAnsi"/>
          <w:noProof/>
          <w:color w:val="000000" w:themeColor="text1"/>
        </w:rPr>
        <w:t>(</w:t>
      </w:r>
      <w:hyperlink w:anchor="_ENREF_23" w:tooltip="Fu, 2008 #72" w:history="1">
        <w:r>
          <w:rPr>
            <w:rFonts w:cstheme="minorHAnsi"/>
            <w:noProof/>
            <w:color w:val="000000" w:themeColor="text1"/>
          </w:rPr>
          <w:t>23</w:t>
        </w:r>
      </w:hyperlink>
      <w:r>
        <w:rPr>
          <w:rFonts w:cstheme="minorHAnsi"/>
          <w:noProof/>
          <w:color w:val="000000" w:themeColor="text1"/>
        </w:rPr>
        <w:t>)</w:t>
      </w:r>
      <w:r w:rsidRPr="00DE2832">
        <w:rPr>
          <w:rFonts w:cstheme="minorHAnsi"/>
          <w:color w:val="000000" w:themeColor="text1"/>
        </w:rPr>
        <w:fldChar w:fldCharType="end"/>
      </w:r>
      <w:r w:rsidRPr="00DE2832">
        <w:rPr>
          <w:rFonts w:cstheme="minorHAnsi"/>
          <w:color w:val="000000" w:themeColor="text1"/>
        </w:rPr>
        <w:t xml:space="preserve"> analyzed data from a cohort that recruited from five Veterans Administration Medical Centers, all of whom had a recent quit attempt per a pharmacy database, and potentially overadjusted for the cessation measure of quit attempts in past months. They found that—among smokers receiving a quit aid—menthol smokers’ odds of 7-day PPA (self-reported only) at 6-month follow up were no different than non-menthol smokers’ odds (</w:t>
      </w:r>
      <w:r>
        <w:rPr>
          <w:rFonts w:cstheme="minorHAnsi"/>
          <w:color w:val="000000" w:themeColor="text1"/>
        </w:rPr>
        <w:t>A</w:t>
      </w:r>
      <w:r w:rsidRPr="00DE2832">
        <w:rPr>
          <w:rFonts w:cstheme="minorHAnsi"/>
          <w:color w:val="000000" w:themeColor="text1"/>
        </w:rPr>
        <w:t>OR=1.31, 95% CI: 0.95</w:t>
      </w:r>
      <w:r>
        <w:rPr>
          <w:rFonts w:cstheme="minorHAnsi"/>
          <w:color w:val="000000" w:themeColor="text1"/>
        </w:rPr>
        <w:t xml:space="preserve">, </w:t>
      </w:r>
      <w:r w:rsidRPr="00DE2832">
        <w:rPr>
          <w:rFonts w:cstheme="minorHAnsi"/>
          <w:color w:val="000000" w:themeColor="text1"/>
        </w:rPr>
        <w:t>1.82).</w:t>
      </w:r>
    </w:p>
    <w:p w14:paraId="24098264" w14:textId="77777777" w:rsidR="007F0AE0" w:rsidRDefault="007F0AE0" w:rsidP="007F0AE0">
      <w:pPr>
        <w:rPr>
          <w:rFonts w:cstheme="minorHAnsi"/>
          <w:color w:val="000000" w:themeColor="text1"/>
        </w:rPr>
      </w:pPr>
      <w:r>
        <w:rPr>
          <w:rFonts w:cstheme="minorHAnsi"/>
          <w:color w:val="000000" w:themeColor="text1"/>
        </w:rPr>
        <w:br w:type="page"/>
      </w:r>
    </w:p>
    <w:p w14:paraId="1BDC0528" w14:textId="77777777" w:rsidR="007F0AE0" w:rsidRPr="008425E9" w:rsidRDefault="007F0AE0" w:rsidP="007F0AE0">
      <w:pPr>
        <w:spacing w:after="240" w:line="240" w:lineRule="auto"/>
        <w:jc w:val="center"/>
      </w:pPr>
      <w:r>
        <w:rPr>
          <w:rFonts w:cstheme="minorHAnsi"/>
          <w:b/>
          <w:color w:val="000000" w:themeColor="text1"/>
        </w:rPr>
        <w:lastRenderedPageBreak/>
        <w:t>REFERENCES</w:t>
      </w:r>
    </w:p>
    <w:p w14:paraId="62BE864D"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fldChar w:fldCharType="begin"/>
      </w:r>
      <w:r w:rsidRPr="008425E9">
        <w:rPr>
          <w:rFonts w:ascii="Calibri" w:hAnsi="Calibri" w:cs="Calibri"/>
          <w:noProof/>
        </w:rPr>
        <w:instrText xml:space="preserve"> ADDIN EN.REFLIST </w:instrText>
      </w:r>
      <w:r w:rsidRPr="008425E9">
        <w:rPr>
          <w:rFonts w:ascii="Calibri" w:hAnsi="Calibri" w:cs="Calibri"/>
          <w:noProof/>
        </w:rPr>
        <w:fldChar w:fldCharType="separate"/>
      </w:r>
      <w:r w:rsidRPr="008425E9">
        <w:rPr>
          <w:rFonts w:ascii="Calibri" w:hAnsi="Calibri" w:cs="Calibri"/>
          <w:noProof/>
        </w:rPr>
        <w:t>Alexander, L.A., Crawford, T., Mendiondo, M.S., 2010. Occupational status, work-site cessation programs and policies and menthol smoking on quitting behaviors of US smokers. Addiction 105 Suppl 1, 95-104.</w:t>
      </w:r>
    </w:p>
    <w:p w14:paraId="42332FB5"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Delnevo, C.D., Gundersen, D.A., Hrywna, M., 2010. Examining the relationship between menthol smoking and cessation using data from the 2003 and 2006/7 Tobacco Use Supplement. University of Medicine &amp; Dentistry of New Jersey - School of Public Health, Center for Tobacco Surveillance and Evaluation Research, p. 61.</w:t>
      </w:r>
    </w:p>
    <w:p w14:paraId="40BA16A2"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Delnevo, C.D., Gundersen, D.A., Hrywna, M., Echeverria, S.E., Steinberg, M.B., 2011. Smoking-cessation prevalence among U.S. smokers of menthol versus non-menthol cigarettes. Am J Prev Med 41(4), 357-365.</w:t>
      </w:r>
    </w:p>
    <w:p w14:paraId="3E032390"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Fu, S.S., Okuyemi, K.S., Partin, M.R., Ahluwalia, J.S., Nelson, D.B., Clothier, B.A., Joseph, A.M., 2008. Menthol cigarettes and smoking cessation during an aided quit attempt. Nicotine Tob Res 10(3), 457-462.</w:t>
      </w:r>
    </w:p>
    <w:p w14:paraId="19781592"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Gundersen, D.A., Delnevo, C.D., Wackowski, O., 2009. Exploring the relationship between race/ethnicity, menthol smoking, and cessation, in a nationally representative sample of adults. Prev Med 49(6), 553-557.</w:t>
      </w:r>
    </w:p>
    <w:p w14:paraId="2EE035BE"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Hyland, A., Garten, S., Giovino, G.A., Cummings, K.M., 2002. Mentholated cigarettes and smoking cessation: Findings from COMMIT. Tob Control 11, 135-139.</w:t>
      </w:r>
    </w:p>
    <w:p w14:paraId="6A7A7A3C"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Kahende, J.W., Malarcher, A.M., Teplinskaya, A., Asman, K.J., 2011. Quit attempt correlates among smokers by race/ethnicity. International journal of environmental research and public health 8(10), 3871-3888.</w:t>
      </w:r>
    </w:p>
    <w:p w14:paraId="77B0432F"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Keeler, C., Max, W., Yerger, V., Yao, T., Ong, M.K., Sung, H.-Y., 2017. The Association of Menthol Cigarette Use With Quit Attempts, Successful Cessation, and Intention to Quit Across Racial/Ethnic Groups in the United States. Nicotine &amp; tobacco research : official journal of the Society for Research on Nicotine and Tobacco 19(12), 1450-1464.</w:t>
      </w:r>
    </w:p>
    <w:p w14:paraId="400E57C9"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Levy, D.T., Blackman, K., Tauras, J., Chaloupka, F.J., Villanti, A.C., Niaura, R.S., Vallone, D.M., Abrams, D.B., 2011. Quit attempts and quit rates among menthol and nonmenthol smokers in the United States. Am J Public Health 101(7), 1241-1247.</w:t>
      </w:r>
    </w:p>
    <w:p w14:paraId="014AA1A6"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Lewis, M., Wang, Y., Berg, C.J., 2014. Tobacco control environment in the United States and individual consumer characteristics in relation to continued smoking: differential responses among menthol smokers? Prev Med 65, 47-51.</w:t>
      </w:r>
    </w:p>
    <w:p w14:paraId="272818CD"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Schisterman, E.F., Cole, S.R., Platt, R.W., 2009. Overadjustment bias and unnecessary adjustment in epidemiologic studies. Epidemiology 20(4), 488-495.</w:t>
      </w:r>
    </w:p>
    <w:p w14:paraId="484C2C7E" w14:textId="77777777" w:rsidR="007F0AE0" w:rsidRPr="008425E9" w:rsidRDefault="007F0AE0" w:rsidP="007F0AE0">
      <w:pPr>
        <w:spacing w:after="240" w:line="240" w:lineRule="auto"/>
        <w:rPr>
          <w:rFonts w:ascii="Calibri" w:hAnsi="Calibri" w:cs="Calibri"/>
          <w:noProof/>
        </w:rPr>
      </w:pPr>
      <w:r w:rsidRPr="008425E9">
        <w:rPr>
          <w:rFonts w:ascii="Calibri" w:hAnsi="Calibri" w:cs="Calibri"/>
          <w:noProof/>
        </w:rPr>
        <w:t>Thihalolipavan, S., Jung, M., Jasek, J., Chamany, S., 2014. Menthol smokers in large-scale nicotine replacement therapy program. Am J Public Health 104(11), e3-4.</w:t>
      </w:r>
    </w:p>
    <w:p w14:paraId="2D53AFB6" w14:textId="77777777" w:rsidR="007F0AE0" w:rsidRPr="008425E9" w:rsidRDefault="007F0AE0" w:rsidP="007F0AE0">
      <w:pPr>
        <w:spacing w:after="240" w:line="240" w:lineRule="auto"/>
        <w:sectPr w:rsidR="007F0AE0" w:rsidRPr="008425E9" w:rsidSect="00C64BA1">
          <w:pgSz w:w="12240" w:h="15840"/>
          <w:pgMar w:top="1152" w:right="1296" w:bottom="1152" w:left="1296" w:header="720" w:footer="720" w:gutter="0"/>
          <w:cols w:space="720"/>
          <w:docGrid w:linePitch="360"/>
        </w:sectPr>
      </w:pPr>
      <w:r w:rsidRPr="008425E9">
        <w:fldChar w:fldCharType="end"/>
      </w:r>
    </w:p>
    <w:p w14:paraId="7E88914F" w14:textId="77777777" w:rsidR="007F0AE0" w:rsidRPr="00130E10" w:rsidRDefault="007F0AE0" w:rsidP="007F0AE0">
      <w:pPr>
        <w:spacing w:after="240" w:line="300" w:lineRule="auto"/>
        <w:outlineLvl w:val="0"/>
        <w:rPr>
          <w:rFonts w:ascii="Calibri" w:hAnsi="Calibri" w:cs="Calibri"/>
          <w:b/>
        </w:rPr>
      </w:pPr>
      <w:bookmarkStart w:id="35" w:name="Supp14"/>
      <w:bookmarkStart w:id="36" w:name="_Ref1049203"/>
      <w:bookmarkStart w:id="37" w:name="_Toc1048637"/>
      <w:bookmarkStart w:id="38" w:name="_Toc4401203"/>
      <w:r>
        <w:rPr>
          <w:rFonts w:ascii="Calibri" w:hAnsi="Calibri" w:cs="Calibri"/>
          <w:b/>
        </w:rPr>
        <w:lastRenderedPageBreak/>
        <w:t>SUPPLEMENTAL SECTION 17: Characteristics, Definitions, and Covariates of Studies Included in the Meta-Analysis</w:t>
      </w:r>
    </w:p>
    <w:bookmarkEnd w:id="35"/>
    <w:p w14:paraId="583B8CBE" w14:textId="77777777" w:rsidR="007F0AE0" w:rsidRPr="00616345" w:rsidRDefault="007F0AE0" w:rsidP="007F0AE0">
      <w:pPr>
        <w:spacing w:after="120" w:line="240" w:lineRule="auto"/>
        <w:jc w:val="both"/>
        <w:rPr>
          <w:rFonts w:cs="Calibri"/>
          <w:b/>
        </w:rPr>
      </w:pPr>
      <w:r w:rsidRPr="00D203D4">
        <w:rPr>
          <w:rFonts w:eastAsia="Calibri" w:cstheme="minorHAnsi"/>
          <w:color w:val="000000"/>
        </w:rPr>
        <w:t>Pooled</w:t>
      </w:r>
      <w:r w:rsidRPr="008A07A9">
        <w:rPr>
          <w:rFonts w:cs="Calibri"/>
        </w:rPr>
        <w:t xml:space="preserve"> data for the meta-analyses were extracted for two outcome measures</w:t>
      </w:r>
      <w:r>
        <w:rPr>
          <w:rFonts w:cs="Calibri"/>
        </w:rPr>
        <w:t>:</w:t>
      </w:r>
      <w:r w:rsidRPr="008A07A9">
        <w:rPr>
          <w:rFonts w:cs="Calibri"/>
        </w:rPr>
        <w:t xml:space="preserve"> quit attempts and abstinence. After screening of all included adjusted studies, nine studies</w:t>
      </w:r>
      <w:r>
        <w:rPr>
          <w:rFonts w:cs="Calibri"/>
        </w:rPr>
        <w:t xml:space="preserve"> </w:t>
      </w:r>
      <w:r>
        <w:rPr>
          <w:rFonts w:cs="Calibri"/>
        </w:rPr>
        <w:fldChar w:fldCharType="begin">
          <w:fldData xml:space="preserve">PEVuZE5vdGU+PENpdGU+PEF1dGhvcj5BbGV4YW5kZXI8L0F1dGhvcj48WWVhcj4yMDEwPC9ZZWFy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cmF0ZWd5OjwvY3VzdG9tMT48L3JlY29yZD48L0NpdGU+PENpdGU+PEF1dGhvcj5QbGV0Y2hlcjwv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=
</w:fldData>
        </w:fldChar>
      </w:r>
      <w:r>
        <w:rPr>
          <w:rFonts w:cs="Calibri"/>
        </w:rPr>
        <w:instrText xml:space="preserve"> ADDIN EN.CITE </w:instrText>
      </w:r>
      <w:r>
        <w:rPr>
          <w:rFonts w:cs="Calibri"/>
        </w:rPr>
        <w:fldChar w:fldCharType="begin">
          <w:fldData xml:space="preserve">PEVuZE5vdGU+PENpdGU+PEF1dGhvcj5BbGV4YW5kZXI8L0F1dGhvcj48WWVhcj4yMDEwPC9ZZWFy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cmF0ZWd5OjwvY3VzdG9tMT48L3JlY29yZD48L0NpdGU+PENpdGU+PEF1dGhvcj5QbGV0Y2hlcjwv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=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4" w:tooltip="Alexander, 2010 #59" w:history="1">
        <w:r>
          <w:rPr>
            <w:rFonts w:cs="Calibri"/>
            <w:noProof/>
          </w:rPr>
          <w:t>14</w:t>
        </w:r>
      </w:hyperlink>
      <w:r>
        <w:rPr>
          <w:rFonts w:cs="Calibri"/>
          <w:noProof/>
        </w:rPr>
        <w:t xml:space="preserve">, </w:t>
      </w:r>
      <w:hyperlink w:anchor="_ENREF_19" w:tooltip="Levy, 2011 #45" w:history="1">
        <w:r>
          <w:rPr>
            <w:rFonts w:cs="Calibri"/>
            <w:noProof/>
          </w:rPr>
          <w:t>19</w:t>
        </w:r>
      </w:hyperlink>
      <w:r>
        <w:rPr>
          <w:rFonts w:cs="Calibri"/>
          <w:noProof/>
        </w:rPr>
        <w:t xml:space="preserve">, </w:t>
      </w:r>
      <w:hyperlink w:anchor="_ENREF_29" w:tooltip="Keeler, 2017 #660" w:history="1">
        <w:r>
          <w:rPr>
            <w:rFonts w:cs="Calibri"/>
            <w:noProof/>
          </w:rPr>
          <w:t>29</w:t>
        </w:r>
      </w:hyperlink>
      <w:r>
        <w:rPr>
          <w:rFonts w:cs="Calibri"/>
          <w:noProof/>
        </w:rPr>
        <w:t xml:space="preserve">, </w:t>
      </w:r>
      <w:hyperlink w:anchor="_ENREF_31" w:tooltip="Park, 2017 #1103" w:history="1">
        <w:r>
          <w:rPr>
            <w:rFonts w:cs="Calibri"/>
            <w:noProof/>
          </w:rPr>
          <w:t>31</w:t>
        </w:r>
      </w:hyperlink>
      <w:r>
        <w:rPr>
          <w:rFonts w:cs="Calibri"/>
          <w:noProof/>
        </w:rPr>
        <w:t xml:space="preserve">, </w:t>
      </w:r>
      <w:hyperlink w:anchor="_ENREF_34" w:tooltip="Kahende, 2011 #43" w:history="1">
        <w:r>
          <w:rPr>
            <w:rFonts w:cs="Calibri"/>
            <w:noProof/>
          </w:rPr>
          <w:t>34-36</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Pr>
          <w:rFonts w:cs="Calibri"/>
        </w:rPr>
        <w:t xml:space="preserve"> </w:t>
      </w:r>
      <w:r w:rsidRPr="008A07A9">
        <w:rPr>
          <w:rFonts w:cs="Calibri"/>
        </w:rPr>
        <w:t xml:space="preserve">were included in the </w:t>
      </w:r>
      <w:r>
        <w:rPr>
          <w:rFonts w:cs="Calibri"/>
        </w:rPr>
        <w:t>meta-analyses</w:t>
      </w:r>
      <w:r w:rsidRPr="008A07A9">
        <w:rPr>
          <w:rFonts w:cs="Calibri"/>
        </w:rPr>
        <w:t xml:space="preserve"> for quit attempts, while 12 studies were included for abstinence</w:t>
      </w:r>
      <w:r>
        <w:rPr>
          <w:rFonts w:cs="Calibri"/>
        </w:rPr>
        <w:t xml:space="preserve"> </w:t>
      </w:r>
      <w:r w:rsidRPr="001773FB">
        <w:rPr>
          <w:rFonts w:cs="Calibri"/>
        </w:rPr>
        <w:fldChar w:fldCharType="begin">
          <w:fldData xml:space="preserve">PEVuZE5vdGU+PENpdGU+PEF1dGhvcj5CbG90PC9BdXRob3I+PFllYXI+MjAxMTwvWWVhcj48UmVj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</w:fldData>
        </w:fldChar>
      </w:r>
      <w:r>
        <w:rPr>
          <w:rFonts w:cs="Calibri"/>
        </w:rPr>
        <w:instrText xml:space="preserve"> ADDIN EN.CITE </w:instrText>
      </w:r>
      <w:r>
        <w:rPr>
          <w:rFonts w:cs="Calibri"/>
        </w:rPr>
        <w:fldChar w:fldCharType="begin">
          <w:fldData xml:space="preserve">PEVuZE5vdGU+PENpdGU+PEF1dGhvcj5CbG90PC9BdXRob3I+PFllYXI+MjAxMTwvWWVhcj48UmVj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</w:fldData>
        </w:fldChar>
      </w:r>
      <w:r>
        <w:rPr>
          <w:rFonts w:cs="Calibri"/>
        </w:rPr>
        <w:instrText xml:space="preserve"> ADDIN EN.CITE.DATA </w:instrText>
      </w:r>
      <w:r>
        <w:rPr>
          <w:rFonts w:cs="Calibri"/>
        </w:rPr>
      </w:r>
      <w:r>
        <w:rPr>
          <w:rFonts w:cs="Calibri"/>
        </w:rPr>
        <w:fldChar w:fldCharType="end"/>
      </w:r>
      <w:r w:rsidRPr="001773FB">
        <w:rPr>
          <w:rFonts w:cs="Calibri"/>
        </w:rPr>
        <w:fldChar w:fldCharType="separate"/>
      </w:r>
      <w:r>
        <w:rPr>
          <w:rFonts w:cs="Calibri"/>
          <w:noProof/>
        </w:rPr>
        <w:t>(</w:t>
      </w:r>
      <w:hyperlink w:anchor="_ENREF_23" w:tooltip="Fu, 2008 #72" w:history="1">
        <w:r>
          <w:rPr>
            <w:rFonts w:cs="Calibri"/>
            <w:noProof/>
          </w:rPr>
          <w:t>23</w:t>
        </w:r>
      </w:hyperlink>
      <w:r>
        <w:rPr>
          <w:rFonts w:cs="Calibri"/>
          <w:noProof/>
        </w:rPr>
        <w:t xml:space="preserve">, </w:t>
      </w:r>
      <w:hyperlink w:anchor="_ENREF_24" w:tooltip="Okuyemi, 2007 #74" w:history="1">
        <w:r>
          <w:rPr>
            <w:rFonts w:cs="Calibri"/>
            <w:noProof/>
          </w:rPr>
          <w:t>24</w:t>
        </w:r>
      </w:hyperlink>
      <w:r>
        <w:rPr>
          <w:rFonts w:cs="Calibri"/>
          <w:noProof/>
        </w:rPr>
        <w:t xml:space="preserve">, </w:t>
      </w:r>
      <w:hyperlink w:anchor="_ENREF_27" w:tooltip="Faseru, 2013 #29" w:history="1">
        <w:r>
          <w:rPr>
            <w:rFonts w:cs="Calibri"/>
            <w:noProof/>
          </w:rPr>
          <w:t>27</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7" w:tooltip="Gandhi, 2009 #67" w:history="1">
        <w:r>
          <w:rPr>
            <w:rFonts w:cs="Calibri"/>
            <w:noProof/>
          </w:rPr>
          <w:t>47</w:t>
        </w:r>
      </w:hyperlink>
      <w:r>
        <w:rPr>
          <w:rFonts w:cs="Calibri"/>
          <w:noProof/>
        </w:rPr>
        <w:t xml:space="preserve">, </w:t>
      </w:r>
      <w:hyperlink w:anchor="_ENREF_49" w:tooltip="Okuyemi, 2003 #85" w:history="1">
        <w:r>
          <w:rPr>
            <w:rFonts w:cs="Calibri"/>
            <w:noProof/>
          </w:rPr>
          <w:t>49</w:t>
        </w:r>
      </w:hyperlink>
      <w:r>
        <w:rPr>
          <w:rFonts w:cs="Calibri"/>
          <w:noProof/>
        </w:rPr>
        <w:t xml:space="preserve">, </w:t>
      </w:r>
      <w:hyperlink w:anchor="_ENREF_56" w:tooltip="Blot, 2011 #48" w:history="1">
        <w:r>
          <w:rPr>
            <w:rFonts w:cs="Calibri"/>
            <w:noProof/>
          </w:rPr>
          <w:t>56</w:t>
        </w:r>
      </w:hyperlink>
      <w:r>
        <w:rPr>
          <w:rFonts w:cs="Calibri"/>
          <w:noProof/>
        </w:rPr>
        <w:t xml:space="preserve">, </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 xml:space="preserve">, </w:t>
      </w:r>
      <w:hyperlink w:anchor="_ENREF_62" w:tooltip="Rojewski, 2014 #22" w:history="1">
        <w:r>
          <w:rPr>
            <w:rFonts w:cs="Calibri"/>
            <w:noProof/>
          </w:rPr>
          <w:t>62</w:t>
        </w:r>
      </w:hyperlink>
      <w:r>
        <w:rPr>
          <w:rFonts w:cs="Calibri"/>
          <w:noProof/>
        </w:rPr>
        <w:t xml:space="preserve">, </w:t>
      </w:r>
      <w:hyperlink w:anchor="_ENREF_64" w:tooltip="Steinberg, 2011 #50" w:history="1">
        <w:r>
          <w:rPr>
            <w:rFonts w:cs="Calibri"/>
            <w:noProof/>
          </w:rPr>
          <w:t>64</w:t>
        </w:r>
      </w:hyperlink>
      <w:r>
        <w:rPr>
          <w:rFonts w:cs="Calibri"/>
          <w:noProof/>
        </w:rPr>
        <w:t xml:space="preserve">, </w:t>
      </w:r>
      <w:hyperlink w:anchor="_ENREF_66" w:tooltip="Foulds, 2006 #95" w:history="1">
        <w:r>
          <w:rPr>
            <w:rFonts w:cs="Calibri"/>
            <w:noProof/>
          </w:rPr>
          <w:t>66</w:t>
        </w:r>
      </w:hyperlink>
      <w:r>
        <w:rPr>
          <w:rFonts w:cs="Calibri"/>
          <w:noProof/>
        </w:rPr>
        <w:t>)</w:t>
      </w:r>
      <w:r w:rsidRPr="001773FB">
        <w:rPr>
          <w:rFonts w:cs="Calibri"/>
        </w:rPr>
        <w:fldChar w:fldCharType="end"/>
      </w:r>
      <w:r w:rsidRPr="001773FB">
        <w:rPr>
          <w:rFonts w:cs="Calibri"/>
        </w:rPr>
        <w:t>. All studies were controlled, at minimum, for age, gender, race/ethnicity. Menthol cigarette use was defined as either self-reported menthol use, current use, usual cigarette/brand used, or remaining with menthol cigarettes through the length of the study. Subgroup analysis was conducted to compare differences between study designs (prospective cohort and cross-sectional designs in abstinence [no duration]) and differences in measures</w:t>
      </w:r>
      <w:r w:rsidRPr="008A07A9">
        <w:rPr>
          <w:rFonts w:cs="Calibri"/>
        </w:rPr>
        <w:t xml:space="preserve"> (past year and ever quit attempt</w:t>
      </w:r>
      <w:r>
        <w:rPr>
          <w:rFonts w:cs="Calibri"/>
        </w:rPr>
        <w:t xml:space="preserve"> [</w:t>
      </w:r>
      <w:r w:rsidRPr="003A38C4">
        <w:rPr>
          <w:rFonts w:cs="Calibri"/>
        </w:rPr>
        <w:t>ever quit attempts, any quit attempts between 2001 and 2005, and any quit attempts in the past 2, 3, or 5 years</w:t>
      </w:r>
      <w:r>
        <w:rPr>
          <w:rFonts w:cs="Calibri"/>
        </w:rPr>
        <w:t>]</w:t>
      </w:r>
      <w:r w:rsidRPr="008A07A9">
        <w:rPr>
          <w:rFonts w:cs="Calibri"/>
        </w:rPr>
        <w:t>). Further, sensitivity analyses were also completed according to race/ethnicity and abstinence verification</w:t>
      </w:r>
      <w:r>
        <w:rPr>
          <w:rFonts w:cs="Calibri"/>
        </w:rPr>
        <w:t xml:space="preserve"> (eCO verified)</w:t>
      </w:r>
      <w:r w:rsidRPr="008A07A9">
        <w:rPr>
          <w:rFonts w:cs="Calibri"/>
        </w:rPr>
        <w:t>, when possible. Pooled adjusted odds ratios (AORs) and 95% confidence intervals (CIs) with two-sided P values are reported from random-effects models utilizing the DerSimonian and Laird method</w:t>
      </w:r>
      <w:r>
        <w:rPr>
          <w:rFonts w:cs="Calibri"/>
        </w:rPr>
        <w:t xml:space="preserve"> </w:t>
      </w:r>
      <w:r>
        <w:rPr>
          <w:rFonts w:cs="Calibri"/>
        </w:rPr>
        <w:fldChar w:fldCharType="begin"/>
      </w:r>
      <w:r>
        <w:rPr>
          <w:rFonts w:cs="Calibri"/>
        </w:rPr>
        <w:instrText xml:space="preserve"> ADDIN EN.CITE &lt;EndNote&gt;&lt;Cite&gt;&lt;Author&gt;DerSimonian&lt;/Author&gt;&lt;Year&gt;1986&lt;/Year&gt;&lt;RecNum&gt;2840&lt;/RecNum&gt;&lt;DisplayText&gt;(76)&lt;/DisplayText&gt;&lt;record&gt;&lt;rec-number&gt;2840&lt;/rec-number&gt;&lt;foreign-keys&gt;&lt;key app="EN" db-id="a2vz2dfp8xrad6exes75zwpiw5rxwa0vwapv" timestamp="1554747811"&gt;2840&lt;/key&gt;&lt;/foreign-keys&gt;&lt;ref-type name="Journal Article"&gt;17&lt;/ref-type&gt;&lt;contributors&gt;&lt;authors&gt;&lt;author&gt;DerSimonian, R.&lt;/author&gt;&lt;author&gt;Laird, N.&lt;/author&gt;&lt;/authors&gt;&lt;/contributors&gt;&lt;titles&gt;&lt;title&gt;Meta-analysis in clinical trials&lt;/title&gt;&lt;secondary-title&gt;Control Clin Trials &lt;/secondary-title&gt;&lt;/titles&gt;&lt;periodical&gt;&lt;full-title&gt;Control Clin Trials&lt;/full-title&gt;&lt;/periodical&gt;&lt;pages&gt;177-188&lt;/pages&gt;&lt;volume&gt;7&lt;/volume&gt;&lt;number&gt;3&lt;/number&gt;&lt;dates&gt;&lt;year&gt;1986&lt;/year&gt;&lt;/dates&gt;&lt;urls&gt;&lt;/urls&gt;&lt;/record&gt;&lt;/Cite&gt;&lt;/EndNote&gt;</w:instrText>
      </w:r>
      <w:r>
        <w:rPr>
          <w:rFonts w:cs="Calibri"/>
        </w:rPr>
        <w:fldChar w:fldCharType="separate"/>
      </w:r>
      <w:r>
        <w:rPr>
          <w:rFonts w:cs="Calibri"/>
          <w:noProof/>
        </w:rPr>
        <w:t>(</w:t>
      </w:r>
      <w:hyperlink w:anchor="_ENREF_76" w:tooltip="DerSimonian, 1986 #2840" w:history="1">
        <w:r>
          <w:rPr>
            <w:rFonts w:cs="Calibri"/>
            <w:noProof/>
          </w:rPr>
          <w:t>76</w:t>
        </w:r>
      </w:hyperlink>
      <w:r>
        <w:rPr>
          <w:rFonts w:cs="Calibri"/>
          <w:noProof/>
        </w:rPr>
        <w:t>)</w:t>
      </w:r>
      <w:r>
        <w:rPr>
          <w:rFonts w:cs="Calibri"/>
        </w:rPr>
        <w:fldChar w:fldCharType="end"/>
      </w:r>
      <w:r>
        <w:rPr>
          <w:rFonts w:cs="Calibri"/>
        </w:rPr>
        <w:t xml:space="preserve"> </w:t>
      </w:r>
      <w:r w:rsidRPr="008A07A9">
        <w:rPr>
          <w:rFonts w:cs="Calibri"/>
        </w:rPr>
        <w:t>to measure the likelihood of reporting having made a quit attempt and abstaining among menthol compared to non-menthol smokers. Variations among pooled studies were assessed using Cochran’s Q statistic and heterogeneity was quantified using the inconsistency index (I</w:t>
      </w:r>
      <w:r w:rsidRPr="00F52E88">
        <w:rPr>
          <w:rFonts w:cs="Calibri"/>
          <w:vertAlign w:val="superscript"/>
        </w:rPr>
        <w:t>2</w:t>
      </w:r>
      <w:r w:rsidRPr="008A07A9">
        <w:rPr>
          <w:rFonts w:cs="Calibri"/>
        </w:rPr>
        <w:t>). A p value less than 0.10 was considered statistically significant. I</w:t>
      </w:r>
      <w:r w:rsidRPr="00EB6324">
        <w:rPr>
          <w:rFonts w:cs="Calibri"/>
          <w:vertAlign w:val="superscript"/>
        </w:rPr>
        <w:t>2</w:t>
      </w:r>
      <w:r w:rsidRPr="008A07A9">
        <w:rPr>
          <w:rFonts w:cs="Calibri"/>
        </w:rPr>
        <w:t xml:space="preserve"> expresses the percent of variability in point estimates due to heterogeneity and results here follow the categories of low (I</w:t>
      </w:r>
      <w:r w:rsidRPr="00EB6324">
        <w:rPr>
          <w:rFonts w:cs="Calibri"/>
          <w:vertAlign w:val="superscript"/>
        </w:rPr>
        <w:t>2</w:t>
      </w:r>
      <w:r w:rsidRPr="008A07A9">
        <w:rPr>
          <w:rFonts w:cs="Calibri"/>
        </w:rPr>
        <w:t>=25%), moderate (I</w:t>
      </w:r>
      <w:r w:rsidRPr="00EB6324">
        <w:rPr>
          <w:rFonts w:cs="Calibri"/>
          <w:vertAlign w:val="superscript"/>
        </w:rPr>
        <w:t>2</w:t>
      </w:r>
      <w:r w:rsidRPr="008A07A9">
        <w:rPr>
          <w:rFonts w:cs="Calibri"/>
        </w:rPr>
        <w:t>=50%), and high (I</w:t>
      </w:r>
      <w:r w:rsidRPr="00EB6324">
        <w:rPr>
          <w:rFonts w:cs="Calibri"/>
          <w:vertAlign w:val="superscript"/>
        </w:rPr>
        <w:t>2</w:t>
      </w:r>
      <w:r w:rsidRPr="008A07A9">
        <w:rPr>
          <w:rFonts w:cs="Calibri"/>
        </w:rPr>
        <w:t>=75%)</w:t>
      </w:r>
      <w:r>
        <w:rPr>
          <w:rFonts w:cs="Calibri"/>
        </w:rPr>
        <w:t xml:space="preserve"> </w:t>
      </w:r>
      <w:r>
        <w:rPr>
          <w:rFonts w:cs="Calibri"/>
        </w:rPr>
        <w:fldChar w:fldCharType="begin"/>
      </w:r>
      <w:r>
        <w:rPr>
          <w:rFonts w:cs="Calibri"/>
        </w:rPr>
        <w:instrText xml:space="preserve"> ADDIN EN.CITE &lt;EndNote&gt;&lt;Cite&gt;&lt;Author&gt;Higgins&lt;/Author&gt;&lt;Year&gt;2002&lt;/Year&gt;&lt;RecNum&gt;2841&lt;/RecNum&gt;&lt;DisplayText&gt;(129)&lt;/DisplayText&gt;&lt;record&gt;&lt;rec-number&gt;2841&lt;/rec-number&gt;&lt;foreign-keys&gt;&lt;key app="EN" db-id="a2vz2dfp8xrad6exes75zwpiw5rxwa0vwapv" timestamp="1554748906"&gt;2841&lt;/key&gt;&lt;/foreign-keys&gt;&lt;ref-type name="Journal Article"&gt;17&lt;/ref-type&gt;&lt;contributors&gt;&lt;authors&gt;&lt;author&gt;Higgins, J.P.&lt;/author&gt;&lt;author&gt;Thompson, S.G.&lt;/author&gt;&lt;/authors&gt;&lt;/contributors&gt;&lt;titles&gt;&lt;title&gt;Quantifying heterogeneity in a meta-analysis&lt;/title&gt;&lt;secondary-title&gt;Stat Med &lt;/secondary-title&gt;&lt;/titles&gt;&lt;periodical&gt;&lt;full-title&gt;Stat Med&lt;/full-title&gt;&lt;/periodical&gt;&lt;pages&gt;1539-1558&lt;/pages&gt;&lt;volume&gt;21&lt;/volume&gt;&lt;number&gt;11&lt;/number&gt;&lt;dates&gt;&lt;year&gt;2002&lt;/year&gt;&lt;/dates&gt;&lt;urls&gt;&lt;/urls&gt;&lt;/record&gt;&lt;/Cite&gt;&lt;/EndNote&gt;</w:instrText>
      </w:r>
      <w:r>
        <w:rPr>
          <w:rFonts w:cs="Calibri"/>
        </w:rPr>
        <w:fldChar w:fldCharType="separate"/>
      </w:r>
      <w:r>
        <w:rPr>
          <w:rFonts w:cs="Calibri"/>
          <w:noProof/>
        </w:rPr>
        <w:t>(</w:t>
      </w:r>
      <w:hyperlink w:anchor="_ENREF_129" w:tooltip="Higgins, 2002 #2841" w:history="1">
        <w:r>
          <w:rPr>
            <w:rFonts w:cs="Calibri"/>
            <w:noProof/>
          </w:rPr>
          <w:t>129</w:t>
        </w:r>
      </w:hyperlink>
      <w:r>
        <w:rPr>
          <w:rFonts w:cs="Calibri"/>
          <w:noProof/>
        </w:rPr>
        <w:t>)</w:t>
      </w:r>
      <w:r>
        <w:rPr>
          <w:rFonts w:cs="Calibri"/>
        </w:rPr>
        <w:fldChar w:fldCharType="end"/>
      </w:r>
      <w:r w:rsidRPr="008A07A9">
        <w:rPr>
          <w:rFonts w:cs="Calibri"/>
        </w:rPr>
        <w:t>. All data were analyzed through Review Manager version 5.3</w:t>
      </w:r>
      <w:r>
        <w:rPr>
          <w:rFonts w:cs="Calibri"/>
        </w:rPr>
        <w:t xml:space="preserve"> </w:t>
      </w:r>
      <w:r>
        <w:rPr>
          <w:rFonts w:cs="Calibri"/>
        </w:rPr>
        <w:fldChar w:fldCharType="begin"/>
      </w:r>
      <w:r>
        <w:rPr>
          <w:rFonts w:cs="Calibri"/>
        </w:rPr>
        <w:instrText xml:space="preserve"> ADDIN EN.CITE &lt;EndNote&gt;&lt;Cite&gt;&lt;Author&gt;The Nordic Cochrane Centre&lt;/Author&gt;&lt;Year&gt;2014&lt;/Year&gt;&lt;RecNum&gt;2854&lt;/RecNum&gt;&lt;DisplayText&gt;(130)&lt;/DisplayText&gt;&lt;record&gt;&lt;rec-number&gt;2854&lt;/rec-number&gt;&lt;foreign-keys&gt;&lt;key app="EN" db-id="a2vz2dfp8xrad6exes75zwpiw5rxwa0vwapv" timestamp="1556201833"&gt;2854&lt;/key&gt;&lt;/foreign-keys&gt;&lt;ref-type name="Computer Program"&gt;9&lt;/ref-type&gt;&lt;contributors&gt;&lt;authors&gt;&lt;author&gt;The Nordic Cochrane Centre,&lt;/author&gt;&lt;/authors&gt;&lt;/contributors&gt;&lt;titles&gt;&lt;title&gt;Review Manager (RevMan)&lt;/title&gt;&lt;secondary-title&gt;The Cochrane Collaboration&lt;/secondary-title&gt;&lt;/titles&gt;&lt;edition&gt;5.3&lt;/edition&gt;&lt;dates&gt;&lt;year&gt;2014&lt;/year&gt;&lt;/dates&gt;&lt;pub-location&gt;Copenhagen&lt;/pub-location&gt;&lt;publisher&gt;The Cochrane Collaboration&lt;/publisher&gt;&lt;urls&gt;&lt;/urls&gt;&lt;/record&gt;&lt;/Cite&gt;&lt;/EndNote&gt;</w:instrText>
      </w:r>
      <w:r>
        <w:rPr>
          <w:rFonts w:cs="Calibri"/>
        </w:rPr>
        <w:fldChar w:fldCharType="separate"/>
      </w:r>
      <w:r>
        <w:rPr>
          <w:rFonts w:cs="Calibri"/>
          <w:noProof/>
        </w:rPr>
        <w:t>(</w:t>
      </w:r>
      <w:hyperlink w:anchor="_ENREF_130" w:tooltip="The Nordic Cochrane Centre, 2014 #2854" w:history="1">
        <w:r>
          <w:rPr>
            <w:rFonts w:cs="Calibri"/>
            <w:noProof/>
          </w:rPr>
          <w:t>130</w:t>
        </w:r>
      </w:hyperlink>
      <w:r>
        <w:rPr>
          <w:rFonts w:cs="Calibri"/>
          <w:noProof/>
        </w:rPr>
        <w:t>)</w:t>
      </w:r>
      <w:r>
        <w:rPr>
          <w:rFonts w:cs="Calibri"/>
        </w:rPr>
        <w:fldChar w:fldCharType="end"/>
      </w:r>
      <w:r w:rsidRPr="008A07A9">
        <w:rPr>
          <w:rFonts w:cs="Calibri"/>
        </w:rPr>
        <w:t xml:space="preserve">. Forrest plots are presented in </w:t>
      </w:r>
      <w:hyperlink w:anchor="Supp15" w:history="1">
        <w:r w:rsidRPr="00616345">
          <w:rPr>
            <w:rStyle w:val="Hyperlink"/>
            <w:rFonts w:cs="Calibri"/>
            <w:b/>
          </w:rPr>
          <w:t>SUPPLEMENTAL SECTION 1</w:t>
        </w:r>
        <w:r>
          <w:rPr>
            <w:rStyle w:val="Hyperlink"/>
            <w:rFonts w:cs="Calibri"/>
            <w:b/>
          </w:rPr>
          <w:t>8</w:t>
        </w:r>
        <w:r w:rsidRPr="00616345">
          <w:rPr>
            <w:rStyle w:val="Hyperlink"/>
            <w:rFonts w:cs="Calibri"/>
            <w:b/>
          </w:rPr>
          <w:t xml:space="preserve">: </w:t>
        </w:r>
        <w:r w:rsidRPr="00F52E88">
          <w:rPr>
            <w:rStyle w:val="Hyperlink"/>
            <w:b/>
          </w:rPr>
          <w:t>Forest Plots of Meta-Analyses</w:t>
        </w:r>
      </w:hyperlink>
      <w:r w:rsidRPr="00616345">
        <w:rPr>
          <w:rFonts w:cs="Calibri"/>
          <w:b/>
        </w:rPr>
        <w:t>.</w:t>
      </w:r>
    </w:p>
    <w:p w14:paraId="7F933767" w14:textId="77777777" w:rsidR="007F0AE0" w:rsidRPr="00D203D4" w:rsidRDefault="007F0AE0" w:rsidP="007F0AE0">
      <w:pPr>
        <w:spacing w:after="120" w:line="240" w:lineRule="auto"/>
        <w:jc w:val="both"/>
        <w:outlineLvl w:val="1"/>
        <w:rPr>
          <w:rFonts w:cs="Calibri"/>
          <w:i/>
          <w:u w:val="single"/>
        </w:rPr>
      </w:pPr>
      <w:r w:rsidRPr="00D203D4">
        <w:rPr>
          <w:rFonts w:cs="Calibri"/>
          <w:i/>
          <w:u w:val="single"/>
        </w:rPr>
        <w:t>Adjusted Odds of Reporting a Quit Attempt (Past Year or Ever)</w:t>
      </w:r>
    </w:p>
    <w:p w14:paraId="4DC15737" w14:textId="77777777" w:rsidR="007F0AE0" w:rsidRPr="008A07A9" w:rsidRDefault="007F0AE0" w:rsidP="007F0AE0">
      <w:pPr>
        <w:spacing w:after="120" w:line="240" w:lineRule="auto"/>
        <w:jc w:val="both"/>
        <w:rPr>
          <w:rFonts w:cs="Calibri"/>
        </w:rPr>
      </w:pPr>
      <w:r w:rsidRPr="008A07A9">
        <w:rPr>
          <w:rFonts w:cs="Calibri"/>
        </w:rPr>
        <w:t>Five studies presented results for the association of menthol use and past year quit attempts. Among menthol smokers compared to non-menthol smokers, the AORs for past year quit attempts were 1.00 (95% CI: 0.89</w:t>
      </w:r>
      <w:r>
        <w:rPr>
          <w:rFonts w:cs="Calibri"/>
        </w:rPr>
        <w:t xml:space="preserve"> to</w:t>
      </w:r>
      <w:r w:rsidRPr="008A07A9">
        <w:rPr>
          <w:rFonts w:cs="Calibri"/>
        </w:rPr>
        <w:t xml:space="preserve"> 1.16) for Fagan et al. (2007), 0.99 (95% CI: 0.94</w:t>
      </w:r>
      <w:r>
        <w:rPr>
          <w:rFonts w:cs="Calibri"/>
        </w:rPr>
        <w:t xml:space="preserve"> to </w:t>
      </w:r>
      <w:r w:rsidRPr="008A07A9">
        <w:rPr>
          <w:rFonts w:cs="Calibri"/>
        </w:rPr>
        <w:t>1.04) for Keeler et al. (2017), 1.0</w:t>
      </w:r>
      <w:r>
        <w:rPr>
          <w:rFonts w:cs="Calibri"/>
        </w:rPr>
        <w:t>2</w:t>
      </w:r>
      <w:r w:rsidRPr="008A07A9">
        <w:rPr>
          <w:rFonts w:cs="Calibri"/>
        </w:rPr>
        <w:t xml:space="preserve"> (95% CI: 1.0</w:t>
      </w:r>
      <w:r>
        <w:rPr>
          <w:rFonts w:cs="Calibri"/>
        </w:rPr>
        <w:t>2 to</w:t>
      </w:r>
      <w:r w:rsidRPr="008A07A9">
        <w:rPr>
          <w:rFonts w:cs="Calibri"/>
        </w:rPr>
        <w:t xml:space="preserve"> 1.03) for Levy et al. (2011), 1.19 (95% CI: 0.97</w:t>
      </w:r>
      <w:r>
        <w:rPr>
          <w:rFonts w:cs="Calibri"/>
        </w:rPr>
        <w:t xml:space="preserve"> to</w:t>
      </w:r>
      <w:r w:rsidRPr="008A07A9">
        <w:rPr>
          <w:rFonts w:cs="Calibri"/>
        </w:rPr>
        <w:t xml:space="preserve"> 1.46) for Park et al. (2016), and 0.96 (95% CI: 0.81</w:t>
      </w:r>
      <w:r>
        <w:rPr>
          <w:rFonts w:cs="Calibri"/>
        </w:rPr>
        <w:t xml:space="preserve"> to</w:t>
      </w:r>
      <w:r w:rsidRPr="008A07A9">
        <w:rPr>
          <w:rFonts w:cs="Calibri"/>
        </w:rPr>
        <w:t xml:space="preserve"> 1.15) for Webb Hooper et al. (2011)</w:t>
      </w:r>
      <w:r>
        <w:rPr>
          <w:rFonts w:cs="Calibri"/>
        </w:rPr>
        <w:t xml:space="preserve"> </w:t>
      </w:r>
      <w:r>
        <w:rPr>
          <w:rFonts w:cs="Calibri"/>
        </w:rPr>
        <w:fldChar w:fldCharType="begin">
          <w:fldData xml:space="preserve">PEVuZE5vdGU+PENpdGU+PEF1dGhvcj5GYWdhbjwvQXV0aG9yPjxZZWFyPjIwMDc8L1llYXI+PFJl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</w:fldData>
        </w:fldChar>
      </w:r>
      <w:r>
        <w:rPr>
          <w:rFonts w:cs="Calibri"/>
        </w:rPr>
        <w:instrText xml:space="preserve"> ADDIN EN.CITE </w:instrText>
      </w:r>
      <w:r>
        <w:rPr>
          <w:rFonts w:cs="Calibri"/>
        </w:rPr>
        <w:fldChar w:fldCharType="begin">
          <w:fldData xml:space="preserve">PEVuZE5vdGU+PENpdGU+PEF1dGhvcj5GYWdhbjwvQXV0aG9yPjxZZWFyPjIwMDc8L1llYXI+PFJl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9" w:tooltip="Levy, 2011 #45" w:history="1">
        <w:r>
          <w:rPr>
            <w:rFonts w:cs="Calibri"/>
            <w:noProof/>
          </w:rPr>
          <w:t>19</w:t>
        </w:r>
      </w:hyperlink>
      <w:r>
        <w:rPr>
          <w:rFonts w:cs="Calibri"/>
          <w:noProof/>
        </w:rPr>
        <w:t xml:space="preserve">, </w:t>
      </w:r>
      <w:hyperlink w:anchor="_ENREF_29" w:tooltip="Keeler, 2017 #660" w:history="1">
        <w:r>
          <w:rPr>
            <w:rFonts w:cs="Calibri"/>
            <w:noProof/>
          </w:rPr>
          <w:t>29</w:t>
        </w:r>
      </w:hyperlink>
      <w:r>
        <w:rPr>
          <w:rFonts w:cs="Calibri"/>
          <w:noProof/>
        </w:rPr>
        <w:t xml:space="preserve">, </w:t>
      </w:r>
      <w:hyperlink w:anchor="_ENREF_31" w:tooltip="Park, 2017 #1103" w:history="1">
        <w:r>
          <w:rPr>
            <w:rFonts w:cs="Calibri"/>
            <w:noProof/>
          </w:rPr>
          <w:t>31</w:t>
        </w:r>
      </w:hyperlink>
      <w:r>
        <w:rPr>
          <w:rFonts w:cs="Calibri"/>
          <w:noProof/>
        </w:rPr>
        <w:t xml:space="preserve">, </w:t>
      </w:r>
      <w:hyperlink w:anchor="_ENREF_35" w:tooltip="Webb Hooper, 2011 #51" w:history="1">
        <w:r>
          <w:rPr>
            <w:rFonts w:cs="Calibri"/>
            <w:noProof/>
          </w:rPr>
          <w:t>35</w:t>
        </w:r>
      </w:hyperlink>
      <w:r>
        <w:rPr>
          <w:rFonts w:cs="Calibri"/>
          <w:noProof/>
        </w:rPr>
        <w:t xml:space="preserve">, </w:t>
      </w:r>
      <w:hyperlink w:anchor="_ENREF_36" w:tooltip="Fagan, 2007 #94" w:history="1">
        <w:r>
          <w:rPr>
            <w:rFonts w:cs="Calibri"/>
            <w:noProof/>
          </w:rPr>
          <w:t>36</w:t>
        </w:r>
      </w:hyperlink>
      <w:r>
        <w:rPr>
          <w:rFonts w:cs="Calibri"/>
          <w:noProof/>
        </w:rPr>
        <w:t>)</w:t>
      </w:r>
      <w:r>
        <w:rPr>
          <w:rFonts w:cs="Calibri"/>
        </w:rPr>
        <w:fldChar w:fldCharType="end"/>
      </w:r>
      <w:r w:rsidRPr="008A07A9">
        <w:rPr>
          <w:rFonts w:cs="Calibri"/>
        </w:rPr>
        <w:t>. Pooled results showed a significant association between menthol use and the odds for past year quit attempts when compared to non-menthol smokers (</w:t>
      </w:r>
      <w:r>
        <w:rPr>
          <w:rFonts w:cs="Calibri"/>
        </w:rPr>
        <w:t>OR</w:t>
      </w:r>
      <w:r w:rsidRPr="008A07A9">
        <w:rPr>
          <w:rFonts w:cs="Calibri"/>
        </w:rPr>
        <w:t>=1.02, 95% CI: 1.01</w:t>
      </w:r>
      <w:r>
        <w:rPr>
          <w:rFonts w:cs="Calibri"/>
        </w:rPr>
        <w:t xml:space="preserve"> to</w:t>
      </w:r>
      <w:r w:rsidRPr="008A07A9">
        <w:rPr>
          <w:rFonts w:cs="Calibri"/>
        </w:rPr>
        <w:t xml:space="preserve"> 1.03, p-value=0.003, I</w:t>
      </w:r>
      <w:r w:rsidRPr="008A07A9">
        <w:rPr>
          <w:rFonts w:cs="Calibri"/>
          <w:vertAlign w:val="superscript"/>
        </w:rPr>
        <w:t>2</w:t>
      </w:r>
      <w:r w:rsidRPr="008A07A9">
        <w:rPr>
          <w:rFonts w:cs="Calibri"/>
        </w:rPr>
        <w:t>=1%). Pooled result was different for a group of studies measuring ever quit attempts (Alexander et al. [2010]: AOR=0.98, 95% CI: 0.83</w:t>
      </w:r>
      <w:r>
        <w:rPr>
          <w:rFonts w:cs="Calibri"/>
        </w:rPr>
        <w:t xml:space="preserve"> to</w:t>
      </w:r>
      <w:r w:rsidRPr="008A07A9">
        <w:rPr>
          <w:rFonts w:cs="Calibri"/>
        </w:rPr>
        <w:t xml:space="preserve"> 1.15), any quit attempts between 2001 to 2005 (Hyland and Rivard, [2010]: AOR=0.91, 95% CI: 0.72</w:t>
      </w:r>
      <w:r>
        <w:rPr>
          <w:rFonts w:cs="Calibri"/>
        </w:rPr>
        <w:t xml:space="preserve"> to</w:t>
      </w:r>
      <w:r w:rsidRPr="008A07A9">
        <w:rPr>
          <w:rFonts w:cs="Calibri"/>
        </w:rPr>
        <w:t xml:space="preserve"> 1.15), and any quit attempt in the past 2, 3, or 5 years (Pletcher et al. [2006]: 0.77, 95% CI: 0.57</w:t>
      </w:r>
      <w:r>
        <w:rPr>
          <w:rFonts w:cs="Calibri"/>
        </w:rPr>
        <w:t xml:space="preserve"> to</w:t>
      </w:r>
      <w:r w:rsidRPr="008A07A9">
        <w:rPr>
          <w:rFonts w:cs="Calibri"/>
        </w:rPr>
        <w:t xml:space="preserve"> 1.06), finding no significant difference in the odds of making a quit attempt among menthol users compared to non-menthol cigarette smokers (</w:t>
      </w:r>
      <w:r>
        <w:rPr>
          <w:rFonts w:cs="Calibri"/>
        </w:rPr>
        <w:t>OR</w:t>
      </w:r>
      <w:r w:rsidRPr="008A07A9">
        <w:rPr>
          <w:rFonts w:cs="Calibri"/>
        </w:rPr>
        <w:t>=0.93, 95% CI, 0.82</w:t>
      </w:r>
      <w:r>
        <w:rPr>
          <w:rFonts w:cs="Calibri"/>
        </w:rPr>
        <w:t xml:space="preserve"> to</w:t>
      </w:r>
      <w:r w:rsidRPr="008A07A9">
        <w:rPr>
          <w:rFonts w:cs="Calibri"/>
        </w:rPr>
        <w:t xml:space="preserve"> 1.05, p=0.23, I</w:t>
      </w:r>
      <w:r w:rsidRPr="008A07A9">
        <w:rPr>
          <w:rFonts w:cs="Calibri"/>
          <w:vertAlign w:val="superscript"/>
        </w:rPr>
        <w:t>2</w:t>
      </w:r>
      <w:r w:rsidRPr="008A07A9">
        <w:rPr>
          <w:rFonts w:cs="Calibri"/>
        </w:rPr>
        <w:t>=0%)</w:t>
      </w:r>
      <w:r>
        <w:rPr>
          <w:rFonts w:cs="Calibri"/>
        </w:rPr>
        <w:t xml:space="preserve"> </w:t>
      </w:r>
      <w:r>
        <w:rPr>
          <w:rFonts w:cs="Calibri"/>
        </w:rPr>
        <w:fldChar w:fldCharType="begin">
          <w:fldData xml:space="preserve">PEVuZE5vdGU+PENpdGU+PEF1dGhvcj5BbGV4YW5kZXI8L0F1dGhvcj48WWVhcj4yMDEwPC9ZZWFy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</w:fldData>
        </w:fldChar>
      </w:r>
      <w:r>
        <w:rPr>
          <w:rFonts w:cs="Calibri"/>
        </w:rPr>
        <w:instrText xml:space="preserve"> ADDIN EN.CITE </w:instrText>
      </w:r>
      <w:r>
        <w:rPr>
          <w:rFonts w:cs="Calibri"/>
        </w:rPr>
        <w:fldChar w:fldCharType="begin">
          <w:fldData xml:space="preserve">PEVuZE5vdGU+PENpdGU+PEF1dGhvcj5BbGV4YW5kZXI8L0F1dGhvcj48WWVhcj4yMDEwPC9ZZWFy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4" w:tooltip="Alexander, 2010 #59" w:history="1">
        <w:r>
          <w:rPr>
            <w:rFonts w:cs="Calibri"/>
            <w:noProof/>
          </w:rPr>
          <w:t>14</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sidRPr="008A07A9">
        <w:rPr>
          <w:rFonts w:cs="Calibri"/>
        </w:rPr>
        <w:t>. In a subgroup analysis of the five studies with past year quit attempts as one group, and the group of three studies measuring ever quit attempts, any quit attempts between 2001 to 2005, and any quit attempt in the past 2, 3, or 5 years, results remained non-significant (</w:t>
      </w:r>
      <w:r>
        <w:rPr>
          <w:rFonts w:cs="Calibri"/>
        </w:rPr>
        <w:t>OR</w:t>
      </w:r>
      <w:r w:rsidRPr="008A07A9">
        <w:rPr>
          <w:rFonts w:cs="Calibri"/>
        </w:rPr>
        <w:t>=1.01, 95% CI: 0.98</w:t>
      </w:r>
      <w:r>
        <w:rPr>
          <w:rFonts w:cs="Calibri"/>
        </w:rPr>
        <w:t xml:space="preserve"> to</w:t>
      </w:r>
      <w:r w:rsidRPr="008A07A9">
        <w:rPr>
          <w:rFonts w:cs="Calibri"/>
        </w:rPr>
        <w:t xml:space="preserve"> 1.04, p=0.49, I</w:t>
      </w:r>
      <w:r w:rsidRPr="008A07A9">
        <w:rPr>
          <w:rFonts w:cs="Calibri"/>
          <w:vertAlign w:val="superscript"/>
        </w:rPr>
        <w:t>2</w:t>
      </w:r>
      <w:r w:rsidRPr="008A07A9">
        <w:rPr>
          <w:rFonts w:cs="Calibri"/>
        </w:rPr>
        <w:t>=14%). Test for subgroup difference showed moderate heterogeneity (I</w:t>
      </w:r>
      <w:r w:rsidRPr="008A07A9">
        <w:rPr>
          <w:rFonts w:cs="Calibri"/>
          <w:vertAlign w:val="superscript"/>
        </w:rPr>
        <w:t>2</w:t>
      </w:r>
      <w:r>
        <w:rPr>
          <w:rFonts w:cs="Calibri"/>
        </w:rPr>
        <w:t xml:space="preserve">=55.4%). </w:t>
      </w:r>
    </w:p>
    <w:p w14:paraId="0D3BA8EF" w14:textId="77777777" w:rsidR="007F0AE0" w:rsidRPr="00D203D4" w:rsidRDefault="007F0AE0" w:rsidP="007F0AE0">
      <w:pPr>
        <w:spacing w:after="120" w:line="240" w:lineRule="auto"/>
        <w:jc w:val="both"/>
        <w:rPr>
          <w:rFonts w:eastAsia="Calibri" w:cstheme="minorHAnsi"/>
          <w:color w:val="000000"/>
        </w:rPr>
      </w:pPr>
      <w:r w:rsidRPr="008A07A9">
        <w:rPr>
          <w:rFonts w:cs="Calibri"/>
        </w:rPr>
        <w:t xml:space="preserve">Two studies presented results for the association of menthol use and quit attempts (past year and quit attempt between 2001 </w:t>
      </w:r>
      <w:r>
        <w:rPr>
          <w:rFonts w:cs="Calibri"/>
        </w:rPr>
        <w:t>and</w:t>
      </w:r>
      <w:r w:rsidRPr="008A07A9">
        <w:rPr>
          <w:rFonts w:cs="Calibri"/>
        </w:rPr>
        <w:t xml:space="preserve"> 2005) among Black participants</w:t>
      </w:r>
      <w:r>
        <w:rPr>
          <w:rFonts w:cs="Calibri"/>
        </w:rPr>
        <w:t xml:space="preserve"> </w:t>
      </w:r>
      <w:r>
        <w:rPr>
          <w:rFonts w:cs="Calibri"/>
        </w:rPr>
        <w:fldChar w:fldCharType="begin">
          <w:fldData xml:space="preserve">PEVuZE5vdGU+PENpdGU+PEF1dGhvcj5IeWxhbmQ8L0F1dGhvcj48WWVhcj4yMDEwPC9ZZWFyPjxS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Pmh0dHBzOi8vZHguZG9pLm9yZy8xMC4xMDkzL250ci9udHcyMTU8L2VsZWN0cm9uaWMtcmVzb3Vy
Y2UtbnVtPjwvcmVjb3JkPjwvQ2l0ZT48L0VuZE5vdGU+AG==
</w:fldData>
        </w:fldChar>
      </w:r>
      <w:r>
        <w:rPr>
          <w:rFonts w:cs="Calibri"/>
        </w:rPr>
        <w:instrText xml:space="preserve"> ADDIN EN.CITE </w:instrText>
      </w:r>
      <w:r>
        <w:rPr>
          <w:rFonts w:cs="Calibri"/>
        </w:rPr>
        <w:fldChar w:fldCharType="begin">
          <w:fldData xml:space="preserve">PEVuZE5vdGU+PENpdGU+PEF1dGhvcj5IeWxhbmQ8L0F1dGhvcj48WWVhcj4yMDEwPC9ZZWFyPjxS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Pmh0dHBzOi8vZHguZG9pLm9yZy8xMC4xMDkzL250ci9udHcyMTU8L2VsZWN0cm9uaWMtcmVzb3Vy
Y2UtbnVtPjwvcmVjb3JkPjwvQ2l0ZT48L0VuZE5vdGU+AG==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29" w:tooltip="Keeler, 2017 #660" w:history="1">
        <w:r>
          <w:rPr>
            <w:rFonts w:cs="Calibri"/>
            <w:noProof/>
          </w:rPr>
          <w:t>29</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sidRPr="008A07A9">
        <w:rPr>
          <w:rFonts w:cs="Calibri"/>
        </w:rPr>
        <w:t xml:space="preserve">. Pooled results showed significant </w:t>
      </w:r>
      <w:r>
        <w:rPr>
          <w:rFonts w:cs="Calibri"/>
        </w:rPr>
        <w:t xml:space="preserve">increase in the odds of </w:t>
      </w:r>
      <w:r w:rsidRPr="008A07A9">
        <w:rPr>
          <w:rFonts w:cs="Calibri"/>
        </w:rPr>
        <w:t xml:space="preserve">Black menthol smokers </w:t>
      </w:r>
      <w:r>
        <w:rPr>
          <w:rFonts w:cs="Calibri"/>
        </w:rPr>
        <w:t>exhibiting</w:t>
      </w:r>
      <w:r w:rsidRPr="008A07A9">
        <w:rPr>
          <w:rFonts w:cs="Calibri"/>
        </w:rPr>
        <w:t xml:space="preserve"> quit attempts compared to </w:t>
      </w:r>
      <w:r w:rsidRPr="00D203D4">
        <w:rPr>
          <w:rFonts w:eastAsia="Calibri" w:cstheme="minorHAnsi"/>
          <w:color w:val="000000"/>
        </w:rPr>
        <w:t>Black non-menthol smokers (</w:t>
      </w:r>
      <w:r>
        <w:rPr>
          <w:rFonts w:eastAsia="Calibri" w:cstheme="minorHAnsi"/>
          <w:color w:val="000000"/>
        </w:rPr>
        <w:t>OR</w:t>
      </w:r>
      <w:r w:rsidRPr="00D203D4">
        <w:rPr>
          <w:rFonts w:eastAsia="Calibri" w:cstheme="minorHAnsi"/>
          <w:color w:val="000000"/>
        </w:rPr>
        <w:t>=1.37, 95% CI: 1.17</w:t>
      </w:r>
      <w:r>
        <w:rPr>
          <w:rFonts w:eastAsia="Calibri" w:cstheme="minorHAnsi"/>
          <w:color w:val="000000"/>
        </w:rPr>
        <w:t xml:space="preserve"> to </w:t>
      </w:r>
      <w:r w:rsidRPr="00D203D4">
        <w:rPr>
          <w:rFonts w:eastAsia="Calibri" w:cstheme="minorHAnsi"/>
          <w:color w:val="000000"/>
        </w:rPr>
        <w:t xml:space="preserve">1.61, p=0.00001, </w:t>
      </w:r>
      <w:r w:rsidRPr="008A07A9">
        <w:rPr>
          <w:rFonts w:cs="Calibri"/>
        </w:rPr>
        <w:t>I</w:t>
      </w:r>
      <w:r w:rsidRPr="00EB6324">
        <w:rPr>
          <w:rFonts w:cs="Calibri"/>
          <w:vertAlign w:val="superscript"/>
        </w:rPr>
        <w:t>2</w:t>
      </w:r>
      <w:r w:rsidRPr="00D203D4">
        <w:rPr>
          <w:rFonts w:eastAsia="Calibri" w:cstheme="minorHAnsi"/>
          <w:color w:val="000000"/>
        </w:rPr>
        <w:t>=14%). In contrast, among White respondents in three studies,</w:t>
      </w:r>
      <w:r>
        <w:rPr>
          <w:rFonts w:eastAsia="Calibri" w:cstheme="minorHAnsi"/>
          <w:color w:val="000000"/>
        </w:rPr>
        <w:t xml:space="preserve"> the odds of </w:t>
      </w:r>
      <w:r w:rsidRPr="00D203D4">
        <w:rPr>
          <w:rFonts w:eastAsia="Calibri" w:cstheme="minorHAnsi"/>
          <w:color w:val="000000"/>
        </w:rPr>
        <w:t>making</w:t>
      </w:r>
      <w:r>
        <w:rPr>
          <w:rFonts w:eastAsia="Calibri" w:cstheme="minorHAnsi"/>
          <w:color w:val="000000"/>
        </w:rPr>
        <w:t xml:space="preserve"> a</w:t>
      </w:r>
      <w:r w:rsidRPr="00D203D4">
        <w:rPr>
          <w:rFonts w:eastAsia="Calibri" w:cstheme="minorHAnsi"/>
          <w:color w:val="000000"/>
        </w:rPr>
        <w:t xml:space="preserve"> quit attempt</w:t>
      </w:r>
      <w:r>
        <w:rPr>
          <w:rFonts w:eastAsia="Calibri" w:cstheme="minorHAnsi"/>
          <w:color w:val="000000"/>
        </w:rPr>
        <w:t xml:space="preserve"> was statistically significantly lower for menthol smokers compared to non-menthol smokers</w:t>
      </w:r>
      <w:r w:rsidRPr="00D203D4">
        <w:rPr>
          <w:rFonts w:eastAsia="Calibri" w:cstheme="minorHAnsi"/>
          <w:color w:val="000000"/>
        </w:rPr>
        <w:t xml:space="preserve"> (</w:t>
      </w:r>
      <w:r>
        <w:rPr>
          <w:rFonts w:eastAsia="Calibri" w:cstheme="minorHAnsi"/>
          <w:color w:val="000000"/>
        </w:rPr>
        <w:t>OR</w:t>
      </w:r>
      <w:r w:rsidRPr="00D203D4">
        <w:rPr>
          <w:rFonts w:eastAsia="Calibri" w:cstheme="minorHAnsi"/>
          <w:color w:val="000000"/>
        </w:rPr>
        <w:t>=0.95, 95% CI: 0.91</w:t>
      </w:r>
      <w:r>
        <w:rPr>
          <w:rFonts w:eastAsia="Calibri" w:cstheme="minorHAnsi"/>
          <w:color w:val="000000"/>
        </w:rPr>
        <w:t xml:space="preserve"> to</w:t>
      </w:r>
      <w:r w:rsidRPr="00D203D4">
        <w:rPr>
          <w:rFonts w:eastAsia="Calibri" w:cstheme="minorHAnsi"/>
          <w:color w:val="000000"/>
        </w:rPr>
        <w:t xml:space="preserve"> 0.99) </w:t>
      </w:r>
      <w:r w:rsidRPr="00D203D4">
        <w:rPr>
          <w:rFonts w:eastAsia="Calibri" w:cstheme="minorHAnsi"/>
          <w:color w:val="000000"/>
        </w:rPr>
        <w:fldChar w:fldCharType="begin">
          <w:fldData xml:space="preserve">PEVuZE5vdGU+PENpdGU+PEF1dGhvcj5IeWxhbmQ8L0F1dGhvcj48WWVhcj4yMDEwPC9ZZWFyPjxS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=
</w:fldData>
        </w:fldChar>
      </w:r>
      <w:r>
        <w:rPr>
          <w:rFonts w:eastAsia="Calibri" w:cstheme="minorHAnsi"/>
          <w:color w:val="000000"/>
        </w:rPr>
        <w:instrText xml:space="preserve"> ADDIN EN.CITE </w:instrText>
      </w:r>
      <w:r>
        <w:rPr>
          <w:rFonts w:eastAsia="Calibri" w:cstheme="minorHAnsi"/>
          <w:color w:val="000000"/>
        </w:rPr>
        <w:fldChar w:fldCharType="begin">
          <w:fldData xml:space="preserve">PEVuZE5vdGU+PENpdGU+PEF1dGhvcj5IeWxhbmQ8L0F1dGhvcj48WWVhcj4yMDEwPC9ZZWFyPjxS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=
</w:fldData>
        </w:fldChar>
      </w:r>
      <w:r>
        <w:rPr>
          <w:rFonts w:eastAsia="Calibri" w:cstheme="minorHAnsi"/>
          <w:color w:val="000000"/>
        </w:rPr>
        <w:instrText xml:space="preserve"> ADDIN EN.CITE.DATA </w:instrText>
      </w:r>
      <w:r>
        <w:rPr>
          <w:rFonts w:eastAsia="Calibri" w:cstheme="minorHAnsi"/>
          <w:color w:val="000000"/>
        </w:rPr>
      </w:r>
      <w:r>
        <w:rPr>
          <w:rFonts w:eastAsia="Calibri" w:cstheme="minorHAnsi"/>
          <w:color w:val="000000"/>
        </w:rPr>
        <w:fldChar w:fldCharType="end"/>
      </w:r>
      <w:r w:rsidRPr="00D203D4">
        <w:rPr>
          <w:rFonts w:eastAsia="Calibri" w:cstheme="minorHAnsi"/>
          <w:color w:val="000000"/>
        </w:rPr>
        <w:fldChar w:fldCharType="separate"/>
      </w:r>
      <w:r>
        <w:rPr>
          <w:rFonts w:eastAsia="Calibri" w:cstheme="minorHAnsi"/>
          <w:noProof/>
          <w:color w:val="000000"/>
        </w:rPr>
        <w:t>(</w:t>
      </w:r>
      <w:hyperlink w:anchor="_ENREF_29" w:tooltip="Keeler, 2017 #660" w:history="1">
        <w:r>
          <w:rPr>
            <w:rFonts w:eastAsia="Calibri" w:cstheme="minorHAnsi"/>
            <w:noProof/>
            <w:color w:val="000000"/>
          </w:rPr>
          <w:t>29</w:t>
        </w:r>
      </w:hyperlink>
      <w:r>
        <w:rPr>
          <w:rFonts w:eastAsia="Calibri" w:cstheme="minorHAnsi"/>
          <w:noProof/>
          <w:color w:val="000000"/>
        </w:rPr>
        <w:t xml:space="preserve">, </w:t>
      </w:r>
      <w:hyperlink w:anchor="_ENREF_34" w:tooltip="Kahende, 2011 #43" w:history="1">
        <w:r>
          <w:rPr>
            <w:rFonts w:eastAsia="Calibri" w:cstheme="minorHAnsi"/>
            <w:noProof/>
            <w:color w:val="000000"/>
          </w:rPr>
          <w:t>34</w:t>
        </w:r>
      </w:hyperlink>
      <w:r>
        <w:rPr>
          <w:rFonts w:eastAsia="Calibri" w:cstheme="minorHAnsi"/>
          <w:noProof/>
          <w:color w:val="000000"/>
        </w:rPr>
        <w:t xml:space="preserve">, </w:t>
      </w:r>
      <w:hyperlink w:anchor="_ENREF_46" w:tooltip="Hyland, 2010 #100" w:history="1">
        <w:r>
          <w:rPr>
            <w:rFonts w:eastAsia="Calibri" w:cstheme="minorHAnsi"/>
            <w:noProof/>
            <w:color w:val="000000"/>
          </w:rPr>
          <w:t>46</w:t>
        </w:r>
      </w:hyperlink>
      <w:r>
        <w:rPr>
          <w:rFonts w:eastAsia="Calibri" w:cstheme="minorHAnsi"/>
          <w:noProof/>
          <w:color w:val="000000"/>
        </w:rPr>
        <w:t>)</w:t>
      </w:r>
      <w:r w:rsidRPr="00D203D4">
        <w:rPr>
          <w:rFonts w:eastAsia="Calibri" w:cstheme="minorHAnsi"/>
          <w:color w:val="000000"/>
        </w:rPr>
        <w:fldChar w:fldCharType="end"/>
      </w:r>
      <w:r w:rsidRPr="00D203D4">
        <w:rPr>
          <w:rFonts w:eastAsia="Calibri" w:cstheme="minorHAnsi"/>
          <w:color w:val="000000"/>
        </w:rPr>
        <w:t>.</w:t>
      </w:r>
    </w:p>
    <w:p w14:paraId="44CC8508" w14:textId="77777777" w:rsidR="007F0AE0" w:rsidRPr="00D203D4" w:rsidRDefault="007F0AE0" w:rsidP="007F0AE0">
      <w:pPr>
        <w:spacing w:after="120" w:line="240" w:lineRule="auto"/>
        <w:jc w:val="both"/>
        <w:outlineLvl w:val="1"/>
        <w:rPr>
          <w:rFonts w:cs="Calibri"/>
          <w:i/>
          <w:u w:val="single"/>
        </w:rPr>
      </w:pPr>
      <w:r w:rsidRPr="00D203D4">
        <w:rPr>
          <w:rFonts w:cs="Calibri"/>
          <w:i/>
          <w:u w:val="single"/>
        </w:rPr>
        <w:lastRenderedPageBreak/>
        <w:t>Adjusted Odds of Abstinence (No definition and 7-day PPA)</w:t>
      </w:r>
    </w:p>
    <w:p w14:paraId="75186430" w14:textId="77777777" w:rsidR="007F0AE0" w:rsidRDefault="007F0AE0" w:rsidP="007F0AE0">
      <w:pPr>
        <w:spacing w:after="120" w:line="240" w:lineRule="auto"/>
        <w:jc w:val="both"/>
        <w:rPr>
          <w:rFonts w:cs="Calibri"/>
        </w:rPr>
      </w:pPr>
      <w:r w:rsidRPr="008A07A9">
        <w:rPr>
          <w:rFonts w:cs="Calibri"/>
        </w:rPr>
        <w:t>Four studies presented results for the association of menthol use and abstinence</w:t>
      </w:r>
      <w:r>
        <w:rPr>
          <w:rFonts w:cs="Calibri"/>
        </w:rPr>
        <w:t xml:space="preserve"> (self-reported)</w:t>
      </w:r>
      <w:r w:rsidRPr="008A07A9">
        <w:rPr>
          <w:rFonts w:cs="Calibri"/>
        </w:rPr>
        <w:t xml:space="preserve"> with no specified duration of abstinence. Two of the studies were cross-sectional in design</w:t>
      </w:r>
      <w:r>
        <w:rPr>
          <w:rFonts w:cs="Calibri"/>
        </w:rPr>
        <w:t xml:space="preserve"> </w:t>
      </w:r>
      <w:r>
        <w:rPr>
          <w:rFonts w:cs="Calibri"/>
        </w:rPr>
        <w:fldChar w:fldCharType="begin">
          <w:fldData xml:space="preserve">PEVuZE5vdGU+PENpdGU+PEF1dGhvcj5EZWxuZXZvPC9BdXRob3I+PFllYXI+MjAxMTwvWWVhcj48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</w:fldData>
        </w:fldChar>
      </w:r>
      <w:r>
        <w:rPr>
          <w:rFonts w:cs="Calibri"/>
        </w:rPr>
        <w:instrText xml:space="preserve"> ADDIN EN.CITE </w:instrText>
      </w:r>
      <w:r>
        <w:rPr>
          <w:rFonts w:cs="Calibri"/>
        </w:rPr>
        <w:fldChar w:fldCharType="begin">
          <w:fldData xml:space="preserve">PEVuZE5vdGU+PENpdGU+PEF1dGhvcj5EZWxuZXZvPC9BdXRob3I+PFllYXI+MjAxMTwvWWVhcj48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w:t>
      </w:r>
      <w:r>
        <w:rPr>
          <w:rFonts w:cs="Calibri"/>
        </w:rPr>
        <w:fldChar w:fldCharType="end"/>
      </w:r>
      <w:r w:rsidRPr="008A07A9">
        <w:rPr>
          <w:rFonts w:cs="Calibri"/>
        </w:rPr>
        <w:t xml:space="preserve">, and two were </w:t>
      </w:r>
      <w:r>
        <w:rPr>
          <w:rFonts w:cs="Calibri"/>
        </w:rPr>
        <w:t xml:space="preserve">prospective cohort </w:t>
      </w:r>
      <w:r>
        <w:rPr>
          <w:rFonts w:cs="Calibri"/>
        </w:rPr>
        <w:fldChar w:fldCharType="begin">
          <w:fldData xml:space="preserve">PEVuZE5vdGU+PENpdGU+PEF1dGhvcj5CbG90PC9BdXRob3I+PFllYXI+MjAxMTwvWWVhcj48UmVj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</w:fldData>
        </w:fldChar>
      </w:r>
      <w:r>
        <w:rPr>
          <w:rFonts w:cs="Calibri"/>
        </w:rPr>
        <w:instrText xml:space="preserve"> ADDIN EN.CITE </w:instrText>
      </w:r>
      <w:r>
        <w:rPr>
          <w:rFonts w:cs="Calibri"/>
        </w:rPr>
        <w:fldChar w:fldCharType="begin">
          <w:fldData xml:space="preserve">PEVuZE5vdGU+PENpdGU+PEF1dGhvcj5CbG90PC9BdXRob3I+PFllYXI+MjAxMTwvWWVhcj48UmVj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41" w:tooltip="Pletcher, 2006 #78" w:history="1">
        <w:r>
          <w:rPr>
            <w:rFonts w:cs="Calibri"/>
            <w:noProof/>
          </w:rPr>
          <w:t>41</w:t>
        </w:r>
      </w:hyperlink>
      <w:r>
        <w:rPr>
          <w:rFonts w:cs="Calibri"/>
          <w:noProof/>
        </w:rPr>
        <w:t xml:space="preserve">, </w:t>
      </w:r>
      <w:hyperlink w:anchor="_ENREF_56" w:tooltip="Blot, 2011 #48" w:history="1">
        <w:r>
          <w:rPr>
            <w:rFonts w:cs="Calibri"/>
            <w:noProof/>
          </w:rPr>
          <w:t>56</w:t>
        </w:r>
      </w:hyperlink>
      <w:r>
        <w:rPr>
          <w:rFonts w:cs="Calibri"/>
          <w:noProof/>
        </w:rPr>
        <w:t>)</w:t>
      </w:r>
      <w:r>
        <w:rPr>
          <w:rFonts w:cs="Calibri"/>
        </w:rPr>
        <w:fldChar w:fldCharType="end"/>
      </w:r>
      <w:r w:rsidRPr="008A07A9">
        <w:rPr>
          <w:rFonts w:cs="Calibri"/>
        </w:rPr>
        <w:t>. Among the cross-sectional studies, the AORs for abstinence with no defined duration for menthol smokers compared to non-menthol smokers were 0.91 (95% CI: 0.87</w:t>
      </w:r>
      <w:r>
        <w:rPr>
          <w:rFonts w:cs="Calibri"/>
        </w:rPr>
        <w:t xml:space="preserve"> to</w:t>
      </w:r>
      <w:r w:rsidRPr="008A07A9">
        <w:rPr>
          <w:rFonts w:cs="Calibri"/>
        </w:rPr>
        <w:t xml:space="preserve"> 0.96) for Delnevo et al. (2011) and 1.05 (95% CI: 0.92</w:t>
      </w:r>
      <w:r>
        <w:rPr>
          <w:rFonts w:cs="Calibri"/>
        </w:rPr>
        <w:t xml:space="preserve"> to</w:t>
      </w:r>
      <w:r w:rsidRPr="008A07A9">
        <w:rPr>
          <w:rFonts w:cs="Calibri"/>
        </w:rPr>
        <w:t xml:space="preserve"> 1.21) for Gundersen et al. (2009). Among the </w:t>
      </w:r>
      <w:r>
        <w:rPr>
          <w:rFonts w:cs="Calibri"/>
        </w:rPr>
        <w:t>prospective cohorts</w:t>
      </w:r>
      <w:r w:rsidRPr="008A07A9">
        <w:rPr>
          <w:rFonts w:cs="Calibri"/>
        </w:rPr>
        <w:t>, the AORs for abstinence with no defined duration for menthol smokers compared to non-menthol smokers were 1.02 (95% CI: 0.89</w:t>
      </w:r>
      <w:r>
        <w:rPr>
          <w:rFonts w:cs="Calibri"/>
        </w:rPr>
        <w:t xml:space="preserve"> to</w:t>
      </w:r>
      <w:r w:rsidRPr="008A07A9">
        <w:rPr>
          <w:rFonts w:cs="Calibri"/>
        </w:rPr>
        <w:t xml:space="preserve"> 1.16) for Blot et al. (2011) and 0.70 (95% CI: 0.48</w:t>
      </w:r>
      <w:r>
        <w:rPr>
          <w:rFonts w:cs="Calibri"/>
        </w:rPr>
        <w:t xml:space="preserve"> to</w:t>
      </w:r>
      <w:r w:rsidRPr="008A07A9">
        <w:rPr>
          <w:rFonts w:cs="Calibri"/>
        </w:rPr>
        <w:t xml:space="preserve"> 1.03) for Pletcher et al. (2006). Pooled results of cross-sectional studies showed that odds of abstinence with no defined duration among menthol smokers compared to non-menthol smokers was not significant (</w:t>
      </w:r>
      <w:r>
        <w:rPr>
          <w:rFonts w:cs="Calibri"/>
        </w:rPr>
        <w:t>OR</w:t>
      </w:r>
      <w:r w:rsidRPr="008A07A9">
        <w:rPr>
          <w:rFonts w:cs="Calibri"/>
        </w:rPr>
        <w:t>=0.96, 95% CI: 0.84</w:t>
      </w:r>
      <w:r>
        <w:rPr>
          <w:rFonts w:cs="Calibri"/>
        </w:rPr>
        <w:t xml:space="preserve"> to</w:t>
      </w:r>
      <w:r w:rsidRPr="008A07A9">
        <w:rPr>
          <w:rFonts w:cs="Calibri"/>
        </w:rPr>
        <w:t xml:space="preserve"> 1.10, p=0.58, I</w:t>
      </w:r>
      <w:r w:rsidRPr="008A07A9">
        <w:rPr>
          <w:rFonts w:cs="Calibri"/>
          <w:vertAlign w:val="superscript"/>
        </w:rPr>
        <w:t>2</w:t>
      </w:r>
      <w:r w:rsidRPr="008A07A9">
        <w:rPr>
          <w:rFonts w:cs="Calibri"/>
        </w:rPr>
        <w:t xml:space="preserve">=71%). Non-significant result was likewise found in synthesis of </w:t>
      </w:r>
      <w:r>
        <w:rPr>
          <w:rFonts w:cs="Calibri"/>
        </w:rPr>
        <w:t xml:space="preserve">prospective cohorts </w:t>
      </w:r>
      <w:r w:rsidRPr="008A07A9">
        <w:rPr>
          <w:rFonts w:cs="Calibri"/>
        </w:rPr>
        <w:t>(</w:t>
      </w:r>
      <w:r>
        <w:rPr>
          <w:rFonts w:cs="Calibri"/>
        </w:rPr>
        <w:t>OR</w:t>
      </w:r>
      <w:r w:rsidRPr="008A07A9">
        <w:rPr>
          <w:rFonts w:cs="Calibri"/>
        </w:rPr>
        <w:t>=0.88, 95% CI: 0.62</w:t>
      </w:r>
      <w:r>
        <w:rPr>
          <w:rFonts w:cs="Calibri"/>
        </w:rPr>
        <w:t xml:space="preserve"> to</w:t>
      </w:r>
      <w:r w:rsidRPr="008A07A9">
        <w:rPr>
          <w:rFonts w:cs="Calibri"/>
        </w:rPr>
        <w:t xml:space="preserve"> 1.27, p=0.50, I</w:t>
      </w:r>
      <w:r w:rsidRPr="008A07A9">
        <w:rPr>
          <w:rFonts w:cs="Calibri"/>
          <w:vertAlign w:val="superscript"/>
        </w:rPr>
        <w:t>2</w:t>
      </w:r>
      <w:r w:rsidRPr="008A07A9">
        <w:rPr>
          <w:rFonts w:cs="Calibri"/>
        </w:rPr>
        <w:t xml:space="preserve">=70%). </w:t>
      </w:r>
      <w:r>
        <w:rPr>
          <w:rFonts w:cs="Calibri"/>
        </w:rPr>
        <w:t>Synthesizing the results of the four studies</w:t>
      </w:r>
      <w:r w:rsidRPr="008A07A9">
        <w:rPr>
          <w:rFonts w:cs="Calibri"/>
        </w:rPr>
        <w:t xml:space="preserve"> showed that association of abstinence with no defined duration among menthol smokers compared to non-menthol smokers was not significant (</w:t>
      </w:r>
      <w:r>
        <w:rPr>
          <w:rFonts w:cs="Calibri"/>
        </w:rPr>
        <w:t>OR</w:t>
      </w:r>
      <w:r w:rsidRPr="008A07A9">
        <w:rPr>
          <w:rFonts w:cs="Calibri"/>
        </w:rPr>
        <w:t>=0.96, 95% CI: 0.86</w:t>
      </w:r>
      <w:r>
        <w:rPr>
          <w:rFonts w:cs="Calibri"/>
        </w:rPr>
        <w:t xml:space="preserve"> to</w:t>
      </w:r>
      <w:r w:rsidRPr="008A07A9">
        <w:rPr>
          <w:rFonts w:cs="Calibri"/>
        </w:rPr>
        <w:t xml:space="preserve"> 1.06, p=0.41, I</w:t>
      </w:r>
      <w:r w:rsidRPr="008A07A9">
        <w:rPr>
          <w:rFonts w:cs="Calibri"/>
          <w:vertAlign w:val="superscript"/>
        </w:rPr>
        <w:t>2</w:t>
      </w:r>
      <w:r w:rsidRPr="008A07A9">
        <w:rPr>
          <w:rFonts w:cs="Calibri"/>
        </w:rPr>
        <w:t>=60%). Test of subgroup differences between both groups (cross-sectional and longitudinal) manifested low heterogeneity (I</w:t>
      </w:r>
      <w:r w:rsidRPr="008A07A9">
        <w:rPr>
          <w:rFonts w:cs="Calibri"/>
          <w:vertAlign w:val="superscript"/>
        </w:rPr>
        <w:t>2</w:t>
      </w:r>
      <w:r>
        <w:rPr>
          <w:rFonts w:cs="Calibri"/>
        </w:rPr>
        <w:t>=0%).</w:t>
      </w:r>
    </w:p>
    <w:p w14:paraId="43C86EF0" w14:textId="77777777" w:rsidR="007F0AE0" w:rsidRDefault="007F0AE0" w:rsidP="007F0AE0">
      <w:pPr>
        <w:spacing w:after="120" w:line="240" w:lineRule="auto"/>
        <w:jc w:val="both"/>
        <w:rPr>
          <w:rFonts w:cs="Calibri"/>
        </w:rPr>
      </w:pPr>
      <w:r w:rsidRPr="008A07A9">
        <w:rPr>
          <w:rFonts w:ascii="Calibri" w:hAnsi="Calibri" w:cs="Calibri"/>
        </w:rPr>
        <w:t>Three studies presented results for the association of menthol use and abstinence with no specified duration of abstinence for Black participants</w:t>
      </w:r>
      <w:r>
        <w:rPr>
          <w:rFonts w:ascii="Calibri" w:hAnsi="Calibri" w:cs="Calibri"/>
        </w:rPr>
        <w:t xml:space="preserve"> </w: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56" w:tooltip="Blot, 2011 #48" w:history="1">
        <w:r>
          <w:rPr>
            <w:rFonts w:ascii="Calibri" w:hAnsi="Calibri" w:cs="Calibri"/>
            <w:noProof/>
          </w:rPr>
          <w:t>56</w:t>
        </w:r>
      </w:hyperlink>
      <w:r>
        <w:rPr>
          <w:rFonts w:ascii="Calibri" w:hAnsi="Calibri" w:cs="Calibri"/>
          <w:noProof/>
        </w:rPr>
        <w:t xml:space="preserve">, </w:t>
      </w:r>
      <w:hyperlink w:anchor="_ENREF_57" w:tooltip="Delnevo, 2011 #42" w:history="1">
        <w:r>
          <w:rPr>
            <w:rFonts w:ascii="Calibri" w:hAnsi="Calibri" w:cs="Calibri"/>
            <w:noProof/>
          </w:rPr>
          <w:t>57</w:t>
        </w:r>
      </w:hyperlink>
      <w:r>
        <w:rPr>
          <w:rFonts w:ascii="Calibri" w:hAnsi="Calibri" w:cs="Calibri"/>
          <w:noProof/>
        </w:rPr>
        <w:t xml:space="preserve">, </w:t>
      </w:r>
      <w:hyperlink w:anchor="_ENREF_59" w:tooltip="Gundersen, 2009 #65" w:history="1">
        <w:r>
          <w:rPr>
            <w:rFonts w:ascii="Calibri" w:hAnsi="Calibri" w:cs="Calibri"/>
            <w:noProof/>
          </w:rPr>
          <w:t>59</w:t>
        </w:r>
      </w:hyperlink>
      <w:r>
        <w:rPr>
          <w:rFonts w:ascii="Calibri" w:hAnsi="Calibri" w:cs="Calibri"/>
          <w:noProof/>
        </w:rPr>
        <w:t>)</w:t>
      </w:r>
      <w:r>
        <w:rPr>
          <w:rFonts w:ascii="Calibri" w:hAnsi="Calibri" w:cs="Calibri"/>
        </w:rPr>
        <w:fldChar w:fldCharType="end"/>
      </w:r>
      <w:r w:rsidRPr="008A07A9">
        <w:rPr>
          <w:rFonts w:ascii="Calibri" w:hAnsi="Calibri" w:cs="Calibri"/>
        </w:rPr>
        <w:t>. Pooled results showed that the association between abstinence with no defined duration among menthol smokers compared to non-menthol smokers was not significant (</w:t>
      </w:r>
      <w:r>
        <w:rPr>
          <w:rFonts w:ascii="Calibri" w:hAnsi="Calibri" w:cs="Calibri"/>
        </w:rPr>
        <w:t>OR</w:t>
      </w:r>
      <w:r w:rsidRPr="008A07A9">
        <w:rPr>
          <w:rFonts w:ascii="Calibri" w:hAnsi="Calibri" w:cs="Calibri"/>
        </w:rPr>
        <w:t>=0.90, 95% CI: 0.73</w:t>
      </w:r>
      <w:r>
        <w:rPr>
          <w:rFonts w:ascii="Calibri" w:hAnsi="Calibri" w:cs="Calibri"/>
        </w:rPr>
        <w:t xml:space="preserve"> to</w:t>
      </w:r>
      <w:r w:rsidRPr="008A07A9">
        <w:rPr>
          <w:rFonts w:ascii="Calibri" w:hAnsi="Calibri" w:cs="Calibri"/>
        </w:rPr>
        <w:t xml:space="preserve"> 1.10, p=0.29, I</w:t>
      </w:r>
      <w:r w:rsidRPr="008A07A9">
        <w:rPr>
          <w:rFonts w:ascii="Calibri" w:hAnsi="Calibri" w:cs="Calibri"/>
          <w:vertAlign w:val="superscript"/>
        </w:rPr>
        <w:t>2</w:t>
      </w:r>
      <w:r w:rsidRPr="008A07A9">
        <w:rPr>
          <w:rFonts w:ascii="Calibri" w:hAnsi="Calibri" w:cs="Calibri"/>
        </w:rPr>
        <w:t>=7</w:t>
      </w:r>
      <w:r>
        <w:rPr>
          <w:rFonts w:ascii="Calibri" w:hAnsi="Calibri" w:cs="Calibri"/>
        </w:rPr>
        <w:t>3</w:t>
      </w:r>
      <w:r w:rsidRPr="008A07A9">
        <w:rPr>
          <w:rFonts w:ascii="Calibri" w:hAnsi="Calibri" w:cs="Calibri"/>
        </w:rPr>
        <w:t>%). Studies likewise allowed for analysis of association of menthol use and abstinence from smoking with no specified duration of abstinence for White participants</w:t>
      </w:r>
      <w:r>
        <w:rPr>
          <w:rFonts w:ascii="Calibri" w:hAnsi="Calibri" w:cs="Calibri"/>
        </w:rPr>
        <w:t xml:space="preserve"> </w: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56" w:tooltip="Blot, 2011 #48" w:history="1">
        <w:r>
          <w:rPr>
            <w:rFonts w:ascii="Calibri" w:hAnsi="Calibri" w:cs="Calibri"/>
            <w:noProof/>
          </w:rPr>
          <w:t>56</w:t>
        </w:r>
      </w:hyperlink>
      <w:r>
        <w:rPr>
          <w:rFonts w:ascii="Calibri" w:hAnsi="Calibri" w:cs="Calibri"/>
          <w:noProof/>
        </w:rPr>
        <w:t xml:space="preserve">, </w:t>
      </w:r>
      <w:hyperlink w:anchor="_ENREF_57" w:tooltip="Delnevo, 2011 #42" w:history="1">
        <w:r>
          <w:rPr>
            <w:rFonts w:ascii="Calibri" w:hAnsi="Calibri" w:cs="Calibri"/>
            <w:noProof/>
          </w:rPr>
          <w:t>57</w:t>
        </w:r>
      </w:hyperlink>
      <w:r>
        <w:rPr>
          <w:rFonts w:ascii="Calibri" w:hAnsi="Calibri" w:cs="Calibri"/>
          <w:noProof/>
        </w:rPr>
        <w:t xml:space="preserve">, </w:t>
      </w:r>
      <w:hyperlink w:anchor="_ENREF_59" w:tooltip="Gundersen, 2009 #65" w:history="1">
        <w:r>
          <w:rPr>
            <w:rFonts w:ascii="Calibri" w:hAnsi="Calibri" w:cs="Calibri"/>
            <w:noProof/>
          </w:rPr>
          <w:t>59</w:t>
        </w:r>
      </w:hyperlink>
      <w:r>
        <w:rPr>
          <w:rFonts w:ascii="Calibri" w:hAnsi="Calibri" w:cs="Calibri"/>
          <w:noProof/>
        </w:rPr>
        <w:t>)</w:t>
      </w:r>
      <w:r>
        <w:rPr>
          <w:rFonts w:ascii="Calibri" w:hAnsi="Calibri" w:cs="Calibri"/>
        </w:rPr>
        <w:fldChar w:fldCharType="end"/>
      </w:r>
      <w:r w:rsidRPr="008A07A9">
        <w:rPr>
          <w:rFonts w:ascii="Calibri" w:hAnsi="Calibri" w:cs="Calibri"/>
        </w:rPr>
        <w:t>. Similar to Black participants,</w:t>
      </w:r>
      <w:r>
        <w:rPr>
          <w:rFonts w:ascii="Calibri" w:hAnsi="Calibri" w:cs="Calibri"/>
        </w:rPr>
        <w:t xml:space="preserve"> among White participants,</w:t>
      </w:r>
      <w:r w:rsidRPr="008A07A9">
        <w:rPr>
          <w:rFonts w:ascii="Calibri" w:hAnsi="Calibri" w:cs="Calibri"/>
        </w:rPr>
        <w:t xml:space="preserve"> results showed that the association of abstinence with no defined duration among menthol smokers compared to non-menthol smokers was not significant (</w:t>
      </w:r>
      <w:r>
        <w:rPr>
          <w:rFonts w:ascii="Calibri" w:hAnsi="Calibri" w:cs="Calibri"/>
        </w:rPr>
        <w:t>OR</w:t>
      </w:r>
      <w:r w:rsidRPr="008A07A9">
        <w:rPr>
          <w:rFonts w:ascii="Calibri" w:hAnsi="Calibri" w:cs="Calibri"/>
        </w:rPr>
        <w:t>=1.19, 95% CI: 0.83</w:t>
      </w:r>
      <w:r>
        <w:rPr>
          <w:rFonts w:ascii="Calibri" w:hAnsi="Calibri" w:cs="Calibri"/>
        </w:rPr>
        <w:t xml:space="preserve"> to</w:t>
      </w:r>
      <w:r w:rsidRPr="008A07A9">
        <w:rPr>
          <w:rFonts w:ascii="Calibri" w:hAnsi="Calibri" w:cs="Calibri"/>
        </w:rPr>
        <w:t xml:space="preserve"> 1.69, p=0.34, I</w:t>
      </w:r>
      <w:r w:rsidRPr="008A07A9">
        <w:rPr>
          <w:rFonts w:ascii="Calibri" w:hAnsi="Calibri" w:cs="Calibri"/>
          <w:vertAlign w:val="superscript"/>
        </w:rPr>
        <w:t>2</w:t>
      </w:r>
      <w:r w:rsidRPr="008A07A9">
        <w:rPr>
          <w:rFonts w:ascii="Calibri" w:hAnsi="Calibri" w:cs="Calibri"/>
        </w:rPr>
        <w:t>=98%).</w:t>
      </w:r>
      <w:r>
        <w:rPr>
          <w:rFonts w:ascii="Calibri" w:hAnsi="Calibri" w:cs="Calibri"/>
        </w:rPr>
        <w:t xml:space="preserve"> The heterogeneity was noted to be high for this analysis.</w:t>
      </w:r>
    </w:p>
    <w:p w14:paraId="7B54BD6F" w14:textId="77777777" w:rsidR="007F0AE0" w:rsidRDefault="007F0AE0" w:rsidP="007F0AE0">
      <w:pPr>
        <w:spacing w:after="120" w:line="240" w:lineRule="auto"/>
        <w:jc w:val="both"/>
        <w:rPr>
          <w:rFonts w:cs="Calibri"/>
        </w:rPr>
      </w:pPr>
      <w:r w:rsidRPr="008A07A9">
        <w:rPr>
          <w:rFonts w:ascii="Calibri" w:hAnsi="Calibri" w:cs="Calibri"/>
        </w:rPr>
        <w:t>Four</w:t>
      </w:r>
      <w:r>
        <w:rPr>
          <w:rFonts w:ascii="Calibri" w:hAnsi="Calibri" w:cs="Calibri"/>
        </w:rPr>
        <w:t xml:space="preserve"> cohort</w:t>
      </w:r>
      <w:r w:rsidRPr="008A07A9">
        <w:rPr>
          <w:rFonts w:ascii="Calibri" w:hAnsi="Calibri" w:cs="Calibri"/>
        </w:rPr>
        <w:t xml:space="preserve"> studies presented results for the association of menthol use and abstinence from smoking measured by 7-day PPA.</w:t>
      </w:r>
      <w:r>
        <w:rPr>
          <w:rFonts w:ascii="Calibri" w:hAnsi="Calibri" w:cs="Calibri"/>
        </w:rPr>
        <w:t xml:space="preserve"> For purposes of the following analysis, the studies were grouped by their specific research design.</w:t>
      </w:r>
      <w:r w:rsidRPr="008A07A9">
        <w:rPr>
          <w:rFonts w:ascii="Calibri" w:hAnsi="Calibri" w:cs="Calibri"/>
        </w:rPr>
        <w:t xml:space="preserve"> Two of the studies were analyses of RCT by design</w:t>
      </w:r>
      <w:r>
        <w:rPr>
          <w:rFonts w:ascii="Calibri" w:hAnsi="Calibri" w:cs="Calibri"/>
        </w:rPr>
        <w:t xml:space="preserve"> </w:t>
      </w:r>
      <w:r>
        <w:rPr>
          <w:rFonts w:ascii="Calibri" w:hAnsi="Calibri" w:cs="Calibri"/>
        </w:rPr>
        <w:fldChar w:fldCharType="begin">
          <w:fldData xml:space="preserve">PEVuZE5vdGU+PENpdGU+PEF1dGhvcj5GdTwvQXV0aG9yPjxZZWFyPjIwMDg8L1llYXI+PFJlY051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</w:fldData>
        </w:fldChar>
      </w:r>
      <w:r>
        <w:rPr>
          <w:rFonts w:ascii="Calibri" w:hAnsi="Calibri" w:cs="Calibri"/>
        </w:rPr>
        <w:instrText xml:space="preserve"> ADDIN EN.CITE </w:instrText>
      </w:r>
      <w:r>
        <w:rPr>
          <w:rFonts w:ascii="Calibri" w:hAnsi="Calibri" w:cs="Calibri"/>
        </w:rPr>
        <w:fldChar w:fldCharType="begin">
          <w:fldData xml:space="preserve">PEVuZE5vdGU+PENpdGU+PEF1dGhvcj5GdTwvQXV0aG9yPjxZZWFyPjIwMDg8L1llYXI+PFJlY051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3" w:tooltip="Fu, 2008 #72" w:history="1">
        <w:r>
          <w:rPr>
            <w:rFonts w:ascii="Calibri" w:hAnsi="Calibri" w:cs="Calibri"/>
            <w:noProof/>
          </w:rPr>
          <w:t>23</w:t>
        </w:r>
      </w:hyperlink>
      <w:r>
        <w:rPr>
          <w:rFonts w:ascii="Calibri" w:hAnsi="Calibri" w:cs="Calibri"/>
          <w:noProof/>
        </w:rPr>
        <w:t xml:space="preserve">, </w:t>
      </w:r>
      <w:hyperlink w:anchor="_ENREF_62" w:tooltip="Rojewski, 2014 #22" w:history="1">
        <w:r>
          <w:rPr>
            <w:rFonts w:ascii="Calibri" w:hAnsi="Calibri" w:cs="Calibri"/>
            <w:noProof/>
          </w:rPr>
          <w:t>62</w:t>
        </w:r>
      </w:hyperlink>
      <w:r>
        <w:rPr>
          <w:rFonts w:ascii="Calibri" w:hAnsi="Calibri" w:cs="Calibri"/>
          <w:noProof/>
        </w:rPr>
        <w:t>)</w:t>
      </w:r>
      <w:r>
        <w:rPr>
          <w:rFonts w:ascii="Calibri" w:hAnsi="Calibri" w:cs="Calibri"/>
        </w:rPr>
        <w:fldChar w:fldCharType="end"/>
      </w:r>
      <w:r w:rsidRPr="008A07A9">
        <w:rPr>
          <w:rFonts w:ascii="Calibri" w:hAnsi="Calibri" w:cs="Calibri"/>
        </w:rPr>
        <w:t>, and two were cohort</w:t>
      </w:r>
      <w:r>
        <w:rPr>
          <w:rFonts w:ascii="Calibri" w:hAnsi="Calibri" w:cs="Calibri"/>
        </w:rPr>
        <w:t xml:space="preserve"> in nature </w:t>
      </w:r>
      <w:r>
        <w:rPr>
          <w:rFonts w:ascii="Calibri" w:hAnsi="Calibri" w:cs="Calibri"/>
        </w:rPr>
        <w:fldChar w:fldCharType="begin">
          <w:fldData xml:space="preserve">PEVuZE5vdGU+PENpdGU+PEF1dGhvcj5Gb3VsZHM8L0F1dGhvcj48WWVhcj4yMDA2PC9ZZWFyPjxS
ZWNOdW0+OTU8L1JlY051bT48RGlzcGxheVRleHQ+KDY0LCA2Nik8L0Rpc3BsYXlUZXh0PjxyZWNv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PjxBdXRob3I+U3RlaW5iZXJnPC9BdXRob3I+PFllYXI+MjAxMTwvWWVhcj48UmVjTnVtPjUwPC9S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</w:fldData>
        </w:fldChar>
      </w:r>
      <w:r>
        <w:rPr>
          <w:rFonts w:ascii="Calibri" w:hAnsi="Calibri" w:cs="Calibri"/>
        </w:rPr>
        <w:instrText xml:space="preserve"> ADDIN EN.CITE </w:instrText>
      </w:r>
      <w:r>
        <w:rPr>
          <w:rFonts w:ascii="Calibri" w:hAnsi="Calibri" w:cs="Calibri"/>
        </w:rPr>
        <w:fldChar w:fldCharType="begin">
          <w:fldData xml:space="preserve">PEVuZE5vdGU+PENpdGU+PEF1dGhvcj5Gb3VsZHM8L0F1dGhvcj48WWVhcj4yMDA2PC9ZZWFyPjxS
ZWNOdW0+OTU8L1JlY051bT48RGlzcGxheVRleHQ+KDY0LCA2Nik8L0Rpc3BsYXlUZXh0PjxyZWNv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PjxBdXRob3I+U3RlaW5iZXJnPC9BdXRob3I+PFllYXI+MjAxMTwvWWVhcj48UmVjTnVtPjUwPC9S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64" w:tooltip="Steinberg, 2011 #50" w:history="1">
        <w:r>
          <w:rPr>
            <w:rFonts w:ascii="Calibri" w:hAnsi="Calibri" w:cs="Calibri"/>
            <w:noProof/>
          </w:rPr>
          <w:t>64</w:t>
        </w:r>
      </w:hyperlink>
      <w:r>
        <w:rPr>
          <w:rFonts w:ascii="Calibri" w:hAnsi="Calibri" w:cs="Calibri"/>
          <w:noProof/>
        </w:rPr>
        <w:t xml:space="preserve">, </w:t>
      </w:r>
      <w:hyperlink w:anchor="_ENREF_66" w:tooltip="Foulds, 2006 #95" w:history="1">
        <w:r>
          <w:rPr>
            <w:rFonts w:ascii="Calibri" w:hAnsi="Calibri" w:cs="Calibri"/>
            <w:noProof/>
          </w:rPr>
          <w:t>66</w:t>
        </w:r>
      </w:hyperlink>
      <w:r>
        <w:rPr>
          <w:rFonts w:ascii="Calibri" w:hAnsi="Calibri" w:cs="Calibri"/>
          <w:noProof/>
        </w:rPr>
        <w:t>)</w:t>
      </w:r>
      <w:r>
        <w:rPr>
          <w:rFonts w:ascii="Calibri" w:hAnsi="Calibri" w:cs="Calibri"/>
        </w:rPr>
        <w:fldChar w:fldCharType="end"/>
      </w:r>
      <w:r w:rsidRPr="008A07A9">
        <w:rPr>
          <w:rFonts w:ascii="Calibri" w:hAnsi="Calibri" w:cs="Calibri"/>
        </w:rPr>
        <w:t xml:space="preserve">. </w:t>
      </w:r>
      <w:r>
        <w:rPr>
          <w:rFonts w:ascii="Calibri" w:hAnsi="Calibri" w:cs="Calibri"/>
        </w:rPr>
        <w:t xml:space="preserve">Seven-day PPA was self-reported at 4 weeks follow-up for Foulds et al. (2006), self-reported at 2 years for Fu et al. (2008), and self-reported and eCO verified for Steinberg et al. (2011) and Rojewski et al. (2014) at 26 weeks follow-up. </w:t>
      </w:r>
      <w:r w:rsidRPr="008A07A9">
        <w:rPr>
          <w:rFonts w:ascii="Calibri" w:hAnsi="Calibri" w:cs="Calibri"/>
        </w:rPr>
        <w:t>Among the analyses of RCT studies, the AOR for 7-day PPA for menthol smokers compared to non-menthol smokers was 1.31 (95% CI: 0.95</w:t>
      </w:r>
      <w:r>
        <w:rPr>
          <w:rFonts w:ascii="Calibri" w:hAnsi="Calibri" w:cs="Calibri"/>
        </w:rPr>
        <w:t xml:space="preserve"> to</w:t>
      </w:r>
      <w:r w:rsidRPr="008A07A9">
        <w:rPr>
          <w:rFonts w:ascii="Calibri" w:hAnsi="Calibri" w:cs="Calibri"/>
        </w:rPr>
        <w:t xml:space="preserve"> 1.82) for Fu et al. (2008) and the AOR for 7-day PPA for non-menthol smokers compared to menthol smokers was 2.47 (95% CI: 1.04</w:t>
      </w:r>
      <w:r>
        <w:rPr>
          <w:rFonts w:ascii="Calibri" w:hAnsi="Calibri" w:cs="Calibri"/>
        </w:rPr>
        <w:t xml:space="preserve"> to</w:t>
      </w:r>
      <w:r w:rsidRPr="008A07A9">
        <w:rPr>
          <w:rFonts w:ascii="Calibri" w:hAnsi="Calibri" w:cs="Calibri"/>
        </w:rPr>
        <w:t xml:space="preserve"> 5.90) for Rojewski et al. (2014). Among the cohort studies, the AOR for 7-day PPA for non-menthol smokers compared to menthol smokers was 1.36 (95% CI: 1.00</w:t>
      </w:r>
      <w:r>
        <w:rPr>
          <w:rFonts w:ascii="Calibri" w:hAnsi="Calibri" w:cs="Calibri"/>
        </w:rPr>
        <w:t xml:space="preserve"> to</w:t>
      </w:r>
      <w:r w:rsidRPr="008A07A9">
        <w:rPr>
          <w:rFonts w:ascii="Calibri" w:hAnsi="Calibri" w:cs="Calibri"/>
        </w:rPr>
        <w:t xml:space="preserve"> 1.86) for Foulds et al. (2006) and the AOR for 7-day PPA for menthol smokers compared to non-menthol smokers was 1.02 (95% CI: 0.66</w:t>
      </w:r>
      <w:r>
        <w:rPr>
          <w:rFonts w:ascii="Calibri" w:hAnsi="Calibri" w:cs="Calibri"/>
        </w:rPr>
        <w:t xml:space="preserve"> to</w:t>
      </w:r>
      <w:r w:rsidRPr="008A07A9">
        <w:rPr>
          <w:rFonts w:ascii="Calibri" w:hAnsi="Calibri" w:cs="Calibri"/>
        </w:rPr>
        <w:t xml:space="preserve"> 1.58) for Steinberg et al. (2011). All published AORs in the study, used in the meta-analysis was standardized to have non-menthol use as the refe</w:t>
      </w:r>
      <w:r>
        <w:rPr>
          <w:rFonts w:ascii="Calibri" w:hAnsi="Calibri" w:cs="Calibri"/>
        </w:rPr>
        <w:t>re</w:t>
      </w:r>
      <w:r w:rsidRPr="008A07A9">
        <w:rPr>
          <w:rFonts w:ascii="Calibri" w:hAnsi="Calibri" w:cs="Calibri"/>
        </w:rPr>
        <w:t>nce group</w:t>
      </w:r>
      <w:r>
        <w:rPr>
          <w:rFonts w:ascii="Calibri" w:hAnsi="Calibri" w:cs="Calibri"/>
        </w:rPr>
        <w:t xml:space="preserve"> </w:t>
      </w:r>
      <w:r>
        <w:rPr>
          <w:rFonts w:ascii="Calibri" w:hAnsi="Calibri" w:cs="Calibri"/>
        </w:rPr>
        <w:fldChar w:fldCharType="begin">
          <w:fldData xml:space="preserve">PEVuZE5vdGU+PENpdGU+PEF1dGhvcj5Gb3VsZHM8L0F1dGhvcj48WWVhcj4yMDA2PC9ZZWFyPjxS
ZWNOdW0+OTU8L1JlY051bT48RGlzcGxheVRleHQ+KDYyLCA2Nik8L0Rpc3BsYXlUZXh0PjxyZWNv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PjxBdXRob3I+Um9qZXdza2k8L0F1dGhvcj48WWVhcj4yMDE0PC9ZZWFyPjxSZWNOdW0+MjI8L1Jl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</w:fldData>
        </w:fldChar>
      </w:r>
      <w:r>
        <w:rPr>
          <w:rFonts w:ascii="Calibri" w:hAnsi="Calibri" w:cs="Calibri"/>
        </w:rPr>
        <w:instrText xml:space="preserve"> ADDIN EN.CITE </w:instrText>
      </w:r>
      <w:r>
        <w:rPr>
          <w:rFonts w:ascii="Calibri" w:hAnsi="Calibri" w:cs="Calibri"/>
        </w:rPr>
        <w:fldChar w:fldCharType="begin">
          <w:fldData xml:space="preserve">PEVuZE5vdGU+PENpdGU+PEF1dGhvcj5Gb3VsZHM8L0F1dGhvcj48WWVhcj4yMDA2PC9ZZWFyPjxS
ZWNOdW0+OTU8L1JlY051bT48RGlzcGxheVRleHQ+KDYyLCA2Nik8L0Rpc3BsYXlUZXh0PjxyZWNv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PjxBdXRob3I+Um9qZXdza2k8L0F1dGhvcj48WWVhcj4yMDE0PC9ZZWFyPjxSZWNOdW0+MjI8L1Jl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62" w:tooltip="Rojewski, 2014 #22" w:history="1">
        <w:r>
          <w:rPr>
            <w:rFonts w:ascii="Calibri" w:hAnsi="Calibri" w:cs="Calibri"/>
            <w:noProof/>
          </w:rPr>
          <w:t>62</w:t>
        </w:r>
      </w:hyperlink>
      <w:r>
        <w:rPr>
          <w:rFonts w:ascii="Calibri" w:hAnsi="Calibri" w:cs="Calibri"/>
          <w:noProof/>
        </w:rPr>
        <w:t xml:space="preserve">, </w:t>
      </w:r>
      <w:hyperlink w:anchor="_ENREF_66" w:tooltip="Foulds, 2006 #95" w:history="1">
        <w:r>
          <w:rPr>
            <w:rFonts w:ascii="Calibri" w:hAnsi="Calibri" w:cs="Calibri"/>
            <w:noProof/>
          </w:rPr>
          <w:t>66</w:t>
        </w:r>
      </w:hyperlink>
      <w:r>
        <w:rPr>
          <w:rFonts w:ascii="Calibri" w:hAnsi="Calibri" w:cs="Calibri"/>
          <w:noProof/>
        </w:rPr>
        <w:t>)</w:t>
      </w:r>
      <w:r>
        <w:rPr>
          <w:rFonts w:ascii="Calibri" w:hAnsi="Calibri" w:cs="Calibri"/>
        </w:rPr>
        <w:fldChar w:fldCharType="end"/>
      </w:r>
      <w:r w:rsidRPr="008A07A9">
        <w:rPr>
          <w:rFonts w:ascii="Calibri" w:hAnsi="Calibri" w:cs="Calibri"/>
        </w:rPr>
        <w:t>. Pooled results of analyses all four studies showed that odds of 7-day PPA among menthol smokers compared to non-menthol smokers was not significant (</w:t>
      </w:r>
      <w:r>
        <w:rPr>
          <w:rFonts w:ascii="Calibri" w:hAnsi="Calibri" w:cs="Calibri"/>
        </w:rPr>
        <w:t>OR</w:t>
      </w:r>
      <w:r w:rsidRPr="008A07A9">
        <w:rPr>
          <w:rFonts w:ascii="Calibri" w:hAnsi="Calibri" w:cs="Calibri"/>
        </w:rPr>
        <w:t>=0.88, 95% CI: 0.59</w:t>
      </w:r>
      <w:r>
        <w:rPr>
          <w:rFonts w:ascii="Calibri" w:hAnsi="Calibri" w:cs="Calibri"/>
        </w:rPr>
        <w:t xml:space="preserve"> to</w:t>
      </w:r>
      <w:r w:rsidRPr="008A07A9">
        <w:rPr>
          <w:rFonts w:ascii="Calibri" w:hAnsi="Calibri" w:cs="Calibri"/>
        </w:rPr>
        <w:t xml:space="preserve"> 1.30, p=0.52, I</w:t>
      </w:r>
      <w:r w:rsidRPr="008A07A9">
        <w:rPr>
          <w:rFonts w:ascii="Calibri" w:hAnsi="Calibri" w:cs="Calibri"/>
          <w:vertAlign w:val="superscript"/>
        </w:rPr>
        <w:t>2</w:t>
      </w:r>
      <w:r w:rsidRPr="008A07A9">
        <w:rPr>
          <w:rFonts w:ascii="Calibri" w:hAnsi="Calibri" w:cs="Calibri"/>
        </w:rPr>
        <w:t xml:space="preserve">=70%). Similarly, results of longitudinal studies alone and RCT studies alone showed that odds of 7-day PPA among menthol smokers compared to non-menthol smokers was not significant (cohort: </w:t>
      </w:r>
      <w:r>
        <w:rPr>
          <w:rFonts w:ascii="Calibri" w:hAnsi="Calibri" w:cs="Calibri"/>
        </w:rPr>
        <w:t>OR</w:t>
      </w:r>
      <w:r w:rsidRPr="008A07A9">
        <w:rPr>
          <w:rFonts w:ascii="Calibri" w:hAnsi="Calibri" w:cs="Calibri"/>
        </w:rPr>
        <w:t>=0.83, 95% CI: 0.61</w:t>
      </w:r>
      <w:r>
        <w:rPr>
          <w:rFonts w:ascii="Calibri" w:hAnsi="Calibri" w:cs="Calibri"/>
        </w:rPr>
        <w:t xml:space="preserve"> to</w:t>
      </w:r>
      <w:r w:rsidRPr="008A07A9">
        <w:rPr>
          <w:rFonts w:ascii="Calibri" w:hAnsi="Calibri" w:cs="Calibri"/>
        </w:rPr>
        <w:t xml:space="preserve"> 1.14, p=0.25, I</w:t>
      </w:r>
      <w:r w:rsidRPr="008A07A9">
        <w:rPr>
          <w:rFonts w:ascii="Calibri" w:hAnsi="Calibri" w:cs="Calibri"/>
          <w:vertAlign w:val="superscript"/>
        </w:rPr>
        <w:t>2</w:t>
      </w:r>
      <w:r w:rsidRPr="008A07A9">
        <w:rPr>
          <w:rFonts w:ascii="Calibri" w:hAnsi="Calibri" w:cs="Calibri"/>
        </w:rPr>
        <w:t xml:space="preserve">=30%; RCT: </w:t>
      </w:r>
      <w:r>
        <w:rPr>
          <w:rFonts w:ascii="Calibri" w:hAnsi="Calibri" w:cs="Calibri"/>
        </w:rPr>
        <w:t>OR</w:t>
      </w:r>
      <w:r w:rsidRPr="008A07A9">
        <w:rPr>
          <w:rFonts w:ascii="Calibri" w:hAnsi="Calibri" w:cs="Calibri"/>
        </w:rPr>
        <w:t>=0.78, 95% CI: 0.25</w:t>
      </w:r>
      <w:r>
        <w:rPr>
          <w:rFonts w:ascii="Calibri" w:hAnsi="Calibri" w:cs="Calibri"/>
        </w:rPr>
        <w:t xml:space="preserve"> to</w:t>
      </w:r>
      <w:r w:rsidRPr="008A07A9">
        <w:rPr>
          <w:rFonts w:ascii="Calibri" w:hAnsi="Calibri" w:cs="Calibri"/>
        </w:rPr>
        <w:t xml:space="preserve"> 2.45, p=0.67, I</w:t>
      </w:r>
      <w:r w:rsidRPr="008A07A9">
        <w:rPr>
          <w:rFonts w:ascii="Calibri" w:hAnsi="Calibri" w:cs="Calibri"/>
          <w:vertAlign w:val="superscript"/>
        </w:rPr>
        <w:t>2</w:t>
      </w:r>
      <w:r w:rsidRPr="008A07A9">
        <w:rPr>
          <w:rFonts w:ascii="Calibri" w:hAnsi="Calibri" w:cs="Calibri"/>
        </w:rPr>
        <w:t>=84%). Test for subgroup difference showed low heterogeneity (I</w:t>
      </w:r>
      <w:r w:rsidRPr="008A07A9">
        <w:rPr>
          <w:rFonts w:ascii="Calibri" w:hAnsi="Calibri" w:cs="Calibri"/>
          <w:vertAlign w:val="superscript"/>
        </w:rPr>
        <w:t>2</w:t>
      </w:r>
      <w:r>
        <w:rPr>
          <w:rFonts w:ascii="Calibri" w:hAnsi="Calibri" w:cs="Calibri"/>
        </w:rPr>
        <w:t>=0%).</w:t>
      </w:r>
    </w:p>
    <w:p w14:paraId="7CF439C4" w14:textId="77777777" w:rsidR="007F0AE0" w:rsidRDefault="007F0AE0" w:rsidP="007F0AE0">
      <w:pPr>
        <w:spacing w:after="120" w:line="240" w:lineRule="auto"/>
        <w:jc w:val="both"/>
        <w:rPr>
          <w:rFonts w:cs="Calibri"/>
        </w:rPr>
      </w:pPr>
      <w:r w:rsidRPr="00D203D4">
        <w:rPr>
          <w:rFonts w:cs="Calibri"/>
        </w:rPr>
        <w:t>Four</w:t>
      </w:r>
      <w:r w:rsidRPr="008A07A9">
        <w:rPr>
          <w:rFonts w:ascii="Calibri" w:hAnsi="Calibri" w:cs="Calibri"/>
        </w:rPr>
        <w:t xml:space="preserve"> studies presented results for the association of menthol use and 7-day PPA among Black participants</w:t>
      </w:r>
      <w:r>
        <w:rPr>
          <w:rFonts w:ascii="Calibri" w:hAnsi="Calibri" w:cs="Calibri"/>
        </w:rPr>
        <w:t xml:space="preserve"> </w:t>
      </w:r>
      <w:r>
        <w:rPr>
          <w:rFonts w:ascii="Calibri" w:hAnsi="Calibri" w:cs="Calibri"/>
        </w:rPr>
        <w:fldChar w:fldCharType="begin">
          <w:fldData xml:space="preserve">PEVuZE5vdGU+PENpdGU+PEF1dGhvcj5GYXNlcnU8L0F1dGhvcj48WWVhcj4yMDEzPC9ZZWFyPjxS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PEVuZE5vdGU+PENpdGU+PEF1dGhvcj5GYXNlcnU8L0F1dGhvcj48WWVhcj4yMDEzPC9ZZWFyPjxS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4" w:tooltip="Okuyemi, 2007 #74" w:history="1">
        <w:r>
          <w:rPr>
            <w:rFonts w:ascii="Calibri" w:hAnsi="Calibri" w:cs="Calibri"/>
            <w:noProof/>
          </w:rPr>
          <w:t>24</w:t>
        </w:r>
      </w:hyperlink>
      <w:r>
        <w:rPr>
          <w:rFonts w:ascii="Calibri" w:hAnsi="Calibri" w:cs="Calibri"/>
          <w:noProof/>
        </w:rPr>
        <w:t xml:space="preserve">, </w:t>
      </w:r>
      <w:hyperlink w:anchor="_ENREF_27" w:tooltip="Faseru, 2013 #29" w:history="1">
        <w:r>
          <w:rPr>
            <w:rFonts w:ascii="Calibri" w:hAnsi="Calibri" w:cs="Calibri"/>
            <w:noProof/>
          </w:rPr>
          <w:t>27</w:t>
        </w:r>
      </w:hyperlink>
      <w:r>
        <w:rPr>
          <w:rFonts w:ascii="Calibri" w:hAnsi="Calibri" w:cs="Calibri"/>
          <w:noProof/>
        </w:rPr>
        <w:t xml:space="preserve">, </w:t>
      </w:r>
      <w:hyperlink w:anchor="_ENREF_47" w:tooltip="Gandhi, 2009 #67" w:history="1">
        <w:r>
          <w:rPr>
            <w:rFonts w:ascii="Calibri" w:hAnsi="Calibri" w:cs="Calibri"/>
            <w:noProof/>
          </w:rPr>
          <w:t>47</w:t>
        </w:r>
      </w:hyperlink>
      <w:r>
        <w:rPr>
          <w:rFonts w:ascii="Calibri" w:hAnsi="Calibri" w:cs="Calibri"/>
          <w:noProof/>
        </w:rPr>
        <w:t xml:space="preserve">, </w:t>
      </w:r>
      <w:hyperlink w:anchor="_ENREF_49" w:tooltip="Okuyemi, 2003 #85" w:history="1">
        <w:r>
          <w:rPr>
            <w:rFonts w:ascii="Calibri" w:hAnsi="Calibri" w:cs="Calibri"/>
            <w:noProof/>
          </w:rPr>
          <w:t>49</w:t>
        </w:r>
      </w:hyperlink>
      <w:r>
        <w:rPr>
          <w:rFonts w:ascii="Calibri" w:hAnsi="Calibri" w:cs="Calibri"/>
          <w:noProof/>
        </w:rPr>
        <w:t>)</w:t>
      </w:r>
      <w:r>
        <w:rPr>
          <w:rFonts w:ascii="Calibri" w:hAnsi="Calibri" w:cs="Calibri"/>
        </w:rPr>
        <w:fldChar w:fldCharType="end"/>
      </w:r>
      <w:r w:rsidRPr="008A07A9">
        <w:rPr>
          <w:rFonts w:ascii="Calibri" w:hAnsi="Calibri" w:cs="Calibri"/>
        </w:rPr>
        <w:t>.</w:t>
      </w:r>
      <w:r>
        <w:rPr>
          <w:rFonts w:ascii="Calibri" w:hAnsi="Calibri" w:cs="Calibri"/>
        </w:rPr>
        <w:t xml:space="preserve"> For the four studies, 7-day PPA was self-reported at 4 weeks follow-up for Gandhi et al. </w:t>
      </w:r>
      <w:r>
        <w:rPr>
          <w:rFonts w:ascii="Calibri" w:hAnsi="Calibri" w:cs="Calibri"/>
        </w:rPr>
        <w:lastRenderedPageBreak/>
        <w:t>(2009), self-reported at 6 weeks for Okuyemi et al. (2003), cotinine verified (cut-off</w:t>
      </w:r>
      <w:r w:rsidRPr="005C644E">
        <w:rPr>
          <w:rFonts w:ascii="Calibri" w:hAnsi="Calibri" w:cs="Calibri"/>
          <w:u w:val="single"/>
        </w:rPr>
        <w:t>&lt;</w:t>
      </w:r>
      <w:r w:rsidRPr="005C644E">
        <w:rPr>
          <w:rFonts w:ascii="Calibri" w:hAnsi="Calibri" w:cs="Calibri"/>
        </w:rPr>
        <w:t xml:space="preserve"> </w:t>
      </w:r>
      <w:r>
        <w:rPr>
          <w:rFonts w:ascii="Calibri" w:hAnsi="Calibri" w:cs="Calibri"/>
        </w:rPr>
        <w:t>15 ng/ml)</w:t>
      </w:r>
      <w:r w:rsidRPr="005C644E">
        <w:rPr>
          <w:rFonts w:ascii="Calibri" w:hAnsi="Calibri" w:cs="Calibri"/>
        </w:rPr>
        <w:t xml:space="preserve"> </w:t>
      </w:r>
      <w:r>
        <w:rPr>
          <w:rFonts w:ascii="Calibri" w:hAnsi="Calibri" w:cs="Calibri"/>
        </w:rPr>
        <w:t>for Faseru et al. (2013) at 7 weeks follow-up, and cotinine verified (cut-off</w:t>
      </w:r>
      <w:r w:rsidRPr="00EB6324">
        <w:rPr>
          <w:rFonts w:ascii="Calibri" w:hAnsi="Calibri" w:cs="Calibri"/>
          <w:u w:val="single"/>
        </w:rPr>
        <w:t>&lt;</w:t>
      </w:r>
      <w:r w:rsidRPr="00EB6324">
        <w:rPr>
          <w:rFonts w:ascii="Calibri" w:hAnsi="Calibri" w:cs="Calibri"/>
        </w:rPr>
        <w:t xml:space="preserve"> </w:t>
      </w:r>
      <w:r>
        <w:rPr>
          <w:rFonts w:ascii="Calibri" w:hAnsi="Calibri" w:cs="Calibri"/>
        </w:rPr>
        <w:t>20 ng/ml) and eCO verified (</w:t>
      </w:r>
      <w:r w:rsidRPr="005C644E">
        <w:rPr>
          <w:rFonts w:ascii="Calibri" w:hAnsi="Calibri" w:cs="Calibri"/>
          <w:u w:val="single"/>
        </w:rPr>
        <w:t>&lt;</w:t>
      </w:r>
      <w:r w:rsidRPr="005C644E">
        <w:rPr>
          <w:rFonts w:ascii="Calibri" w:hAnsi="Calibri" w:cs="Calibri"/>
        </w:rPr>
        <w:t xml:space="preserve"> </w:t>
      </w:r>
      <w:r>
        <w:rPr>
          <w:rFonts w:ascii="Calibri" w:hAnsi="Calibri" w:cs="Calibri"/>
        </w:rPr>
        <w:t>10 ppm)</w:t>
      </w:r>
      <w:r w:rsidRPr="00EB6324">
        <w:rPr>
          <w:rFonts w:ascii="Calibri" w:hAnsi="Calibri" w:cs="Calibri"/>
        </w:rPr>
        <w:t xml:space="preserve"> </w:t>
      </w:r>
      <w:r>
        <w:rPr>
          <w:rFonts w:ascii="Calibri" w:hAnsi="Calibri" w:cs="Calibri"/>
        </w:rPr>
        <w:t xml:space="preserve">for Okuyemi et al. (2007) at 26 weeks follow-up. </w:t>
      </w:r>
      <w:r w:rsidRPr="008A07A9">
        <w:rPr>
          <w:rFonts w:ascii="Calibri" w:hAnsi="Calibri" w:cs="Calibri"/>
        </w:rPr>
        <w:t>Among Black menthol smokers compared to non-menthol smokers, the AOR for 7-day PPA was 0.48 (95% CI: 0.25</w:t>
      </w:r>
      <w:r>
        <w:rPr>
          <w:rFonts w:ascii="Calibri" w:hAnsi="Calibri" w:cs="Calibri"/>
        </w:rPr>
        <w:t xml:space="preserve"> to</w:t>
      </w:r>
      <w:r w:rsidRPr="008A07A9">
        <w:rPr>
          <w:rFonts w:ascii="Calibri" w:hAnsi="Calibri" w:cs="Calibri"/>
        </w:rPr>
        <w:t xml:space="preserve"> 0.90) for Gandhi et al. (2009)</w:t>
      </w:r>
      <w:r>
        <w:rPr>
          <w:rFonts w:ascii="Calibri" w:hAnsi="Calibri" w:cs="Calibri"/>
        </w:rPr>
        <w:t xml:space="preserve"> </w:t>
      </w:r>
      <w:r>
        <w:rPr>
          <w:rFonts w:ascii="Calibri" w:hAnsi="Calibri" w:cs="Calibri"/>
        </w:rPr>
        <w:fldChar w:fldCharType="begin"/>
      </w:r>
      <w:r>
        <w:rPr>
          <w:rFonts w:ascii="Calibri" w:hAnsi="Calibri" w:cs="Calibri"/>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Pr>
          <w:rFonts w:ascii="Calibri" w:hAnsi="Calibri" w:cs="Calibri"/>
        </w:rPr>
        <w:fldChar w:fldCharType="separate"/>
      </w:r>
      <w:r>
        <w:rPr>
          <w:rFonts w:ascii="Calibri" w:hAnsi="Calibri" w:cs="Calibri"/>
          <w:noProof/>
        </w:rPr>
        <w:t>(</w:t>
      </w:r>
      <w:hyperlink w:anchor="_ENREF_47" w:tooltip="Gandhi, 2009 #67" w:history="1">
        <w:r>
          <w:rPr>
            <w:rFonts w:ascii="Calibri" w:hAnsi="Calibri" w:cs="Calibri"/>
            <w:noProof/>
          </w:rPr>
          <w:t>47</w:t>
        </w:r>
      </w:hyperlink>
      <w:r>
        <w:rPr>
          <w:rFonts w:ascii="Calibri" w:hAnsi="Calibri" w:cs="Calibri"/>
          <w:noProof/>
        </w:rPr>
        <w:t>)</w:t>
      </w:r>
      <w:r>
        <w:rPr>
          <w:rFonts w:ascii="Calibri" w:hAnsi="Calibri" w:cs="Calibri"/>
        </w:rPr>
        <w:fldChar w:fldCharType="end"/>
      </w:r>
      <w:r w:rsidRPr="008A07A9">
        <w:rPr>
          <w:rFonts w:ascii="Calibri" w:hAnsi="Calibri" w:cs="Calibri"/>
        </w:rPr>
        <w:t>. Among Black non-menthol smokers compared to menthol smokers, the AORs for 7-day PPA were 1.84 (95% CI: 1.01</w:t>
      </w:r>
      <w:r>
        <w:rPr>
          <w:rFonts w:ascii="Calibri" w:hAnsi="Calibri" w:cs="Calibri"/>
        </w:rPr>
        <w:t xml:space="preserve"> to</w:t>
      </w:r>
      <w:r w:rsidRPr="008A07A9">
        <w:rPr>
          <w:rFonts w:ascii="Calibri" w:hAnsi="Calibri" w:cs="Calibri"/>
        </w:rPr>
        <w:t xml:space="preserve"> 3.36), for Faseru et al. (2013), 2.02 (95% CI: 1.03</w:t>
      </w:r>
      <w:r>
        <w:rPr>
          <w:rFonts w:ascii="Calibri" w:hAnsi="Calibri" w:cs="Calibri"/>
        </w:rPr>
        <w:t xml:space="preserve"> to</w:t>
      </w:r>
      <w:r w:rsidRPr="008A07A9">
        <w:rPr>
          <w:rFonts w:ascii="Calibri" w:hAnsi="Calibri" w:cs="Calibri"/>
        </w:rPr>
        <w:t xml:space="preserve"> 3.95), for Okuyemi et al. (2003), 2.077 (95% CI: 0.944</w:t>
      </w:r>
      <w:r>
        <w:rPr>
          <w:rFonts w:ascii="Calibri" w:hAnsi="Calibri" w:cs="Calibri"/>
        </w:rPr>
        <w:t xml:space="preserve"> to</w:t>
      </w:r>
      <w:r w:rsidRPr="008A07A9">
        <w:rPr>
          <w:rFonts w:ascii="Calibri" w:hAnsi="Calibri" w:cs="Calibri"/>
        </w:rPr>
        <w:t xml:space="preserve"> 4.569) for participants younger than 50 years and 1.676 (95% CI: 0.760</w:t>
      </w:r>
      <w:r>
        <w:rPr>
          <w:rFonts w:ascii="Calibri" w:hAnsi="Calibri" w:cs="Calibri"/>
        </w:rPr>
        <w:t xml:space="preserve"> to</w:t>
      </w:r>
      <w:r w:rsidRPr="008A07A9">
        <w:rPr>
          <w:rFonts w:ascii="Calibri" w:hAnsi="Calibri" w:cs="Calibri"/>
        </w:rPr>
        <w:t xml:space="preserve"> 3.698) for participants of 50 years and older in Okuyemi et al. (2007)</w:t>
      </w:r>
      <w:r>
        <w:rPr>
          <w:rFonts w:ascii="Calibri" w:hAnsi="Calibri" w:cs="Calibri"/>
        </w:rPr>
        <w:t xml:space="preserve"> </w:t>
      </w:r>
      <w:r>
        <w:rPr>
          <w:rFonts w:ascii="Calibri" w:hAnsi="Calibri" w:cs="Calibri"/>
        </w:rPr>
        <w:fldChar w:fldCharType="begin">
          <w:fldData xml:space="preserve">PEVuZE5vdGU+PENpdGU+PEF1dGhvcj5GYXNlcnU8L0F1dGhvcj48WWVhcj4yMDEzPC9ZZWFyPjxS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==
</w:fldData>
        </w:fldChar>
      </w:r>
      <w:r>
        <w:rPr>
          <w:rFonts w:ascii="Calibri" w:hAnsi="Calibri" w:cs="Calibri"/>
        </w:rPr>
        <w:instrText xml:space="preserve"> ADDIN EN.CITE </w:instrText>
      </w:r>
      <w:r>
        <w:rPr>
          <w:rFonts w:ascii="Calibri" w:hAnsi="Calibri" w:cs="Calibri"/>
        </w:rPr>
        <w:fldChar w:fldCharType="begin">
          <w:fldData xml:space="preserve">PEVuZE5vdGU+PENpdGU+PEF1dGhvcj5GYXNlcnU8L0F1dGhvcj48WWVhcj4yMDEzPC9ZZWFyPjxS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==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4" w:tooltip="Okuyemi, 2007 #74" w:history="1">
        <w:r>
          <w:rPr>
            <w:rFonts w:ascii="Calibri" w:hAnsi="Calibri" w:cs="Calibri"/>
            <w:noProof/>
          </w:rPr>
          <w:t>24</w:t>
        </w:r>
      </w:hyperlink>
      <w:r>
        <w:rPr>
          <w:rFonts w:ascii="Calibri" w:hAnsi="Calibri" w:cs="Calibri"/>
          <w:noProof/>
        </w:rPr>
        <w:t xml:space="preserve">, </w:t>
      </w:r>
      <w:hyperlink w:anchor="_ENREF_27" w:tooltip="Faseru, 2013 #29" w:history="1">
        <w:r>
          <w:rPr>
            <w:rFonts w:ascii="Calibri" w:hAnsi="Calibri" w:cs="Calibri"/>
            <w:noProof/>
          </w:rPr>
          <w:t>27</w:t>
        </w:r>
      </w:hyperlink>
      <w:r>
        <w:rPr>
          <w:rFonts w:ascii="Calibri" w:hAnsi="Calibri" w:cs="Calibri"/>
          <w:noProof/>
        </w:rPr>
        <w:t xml:space="preserve">, </w:t>
      </w:r>
      <w:hyperlink w:anchor="_ENREF_49" w:tooltip="Okuyemi, 2003 #85" w:history="1">
        <w:r>
          <w:rPr>
            <w:rFonts w:ascii="Calibri" w:hAnsi="Calibri" w:cs="Calibri"/>
            <w:noProof/>
          </w:rPr>
          <w:t>49</w:t>
        </w:r>
      </w:hyperlink>
      <w:r>
        <w:rPr>
          <w:rFonts w:ascii="Calibri" w:hAnsi="Calibri" w:cs="Calibri"/>
          <w:noProof/>
        </w:rPr>
        <w:t>)</w:t>
      </w:r>
      <w:r>
        <w:rPr>
          <w:rFonts w:ascii="Calibri" w:hAnsi="Calibri" w:cs="Calibri"/>
        </w:rPr>
        <w:fldChar w:fldCharType="end"/>
      </w:r>
      <w:r w:rsidRPr="008A07A9">
        <w:rPr>
          <w:rFonts w:ascii="Calibri" w:hAnsi="Calibri" w:cs="Calibri"/>
        </w:rPr>
        <w:t>. All published AORs in the study, used in the meta-analysis was standardized to have non-menthol use as the refe</w:t>
      </w:r>
      <w:r>
        <w:rPr>
          <w:rFonts w:ascii="Calibri" w:hAnsi="Calibri" w:cs="Calibri"/>
        </w:rPr>
        <w:t>re</w:t>
      </w:r>
      <w:r w:rsidRPr="008A07A9">
        <w:rPr>
          <w:rFonts w:ascii="Calibri" w:hAnsi="Calibri" w:cs="Calibri"/>
        </w:rPr>
        <w:t>nce group</w:t>
      </w:r>
      <w:r>
        <w:rPr>
          <w:rFonts w:ascii="Calibri" w:hAnsi="Calibri" w:cs="Calibri"/>
        </w:rPr>
        <w:t xml:space="preserve"> </w:t>
      </w:r>
      <w:r>
        <w:rPr>
          <w:rFonts w:ascii="Calibri" w:hAnsi="Calibri" w:cs="Calibri"/>
        </w:rPr>
        <w:fldChar w:fldCharType="begin">
          <w:fldData xml:space="preserve">PEVuZE5vdGU+PENpdGU+PEF1dGhvcj5GYXNlcnU8L0F1dGhvcj48WWVhcj4yMDEzPC9ZZWFyPjxS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==
</w:fldData>
        </w:fldChar>
      </w:r>
      <w:r>
        <w:rPr>
          <w:rFonts w:ascii="Calibri" w:hAnsi="Calibri" w:cs="Calibri"/>
        </w:rPr>
        <w:instrText xml:space="preserve"> ADDIN EN.CITE </w:instrText>
      </w:r>
      <w:r>
        <w:rPr>
          <w:rFonts w:ascii="Calibri" w:hAnsi="Calibri" w:cs="Calibri"/>
        </w:rPr>
        <w:fldChar w:fldCharType="begin">
          <w:fldData xml:space="preserve">PEVuZE5vdGU+PENpdGU+PEF1dGhvcj5GYXNlcnU8L0F1dGhvcj48WWVhcj4yMDEzPC9ZZWFyPjxS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==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4" w:tooltip="Okuyemi, 2007 #74" w:history="1">
        <w:r>
          <w:rPr>
            <w:rFonts w:ascii="Calibri" w:hAnsi="Calibri" w:cs="Calibri"/>
            <w:noProof/>
          </w:rPr>
          <w:t>24</w:t>
        </w:r>
      </w:hyperlink>
      <w:r>
        <w:rPr>
          <w:rFonts w:ascii="Calibri" w:hAnsi="Calibri" w:cs="Calibri"/>
          <w:noProof/>
        </w:rPr>
        <w:t xml:space="preserve">, </w:t>
      </w:r>
      <w:hyperlink w:anchor="_ENREF_27" w:tooltip="Faseru, 2013 #29" w:history="1">
        <w:r>
          <w:rPr>
            <w:rFonts w:ascii="Calibri" w:hAnsi="Calibri" w:cs="Calibri"/>
            <w:noProof/>
          </w:rPr>
          <w:t>27</w:t>
        </w:r>
      </w:hyperlink>
      <w:r>
        <w:rPr>
          <w:rFonts w:ascii="Calibri" w:hAnsi="Calibri" w:cs="Calibri"/>
          <w:noProof/>
        </w:rPr>
        <w:t xml:space="preserve">, </w:t>
      </w:r>
      <w:hyperlink w:anchor="_ENREF_49" w:tooltip="Okuyemi, 2003 #85" w:history="1">
        <w:r>
          <w:rPr>
            <w:rFonts w:ascii="Calibri" w:hAnsi="Calibri" w:cs="Calibri"/>
            <w:noProof/>
          </w:rPr>
          <w:t>49</w:t>
        </w:r>
      </w:hyperlink>
      <w:r>
        <w:rPr>
          <w:rFonts w:ascii="Calibri" w:hAnsi="Calibri" w:cs="Calibri"/>
          <w:noProof/>
        </w:rPr>
        <w:t>)</w:t>
      </w:r>
      <w:r>
        <w:rPr>
          <w:rFonts w:ascii="Calibri" w:hAnsi="Calibri" w:cs="Calibri"/>
        </w:rPr>
        <w:fldChar w:fldCharType="end"/>
      </w:r>
      <w:r>
        <w:rPr>
          <w:rFonts w:ascii="Calibri" w:hAnsi="Calibri" w:cs="Calibri"/>
        </w:rPr>
        <w:t xml:space="preserve">. </w:t>
      </w:r>
      <w:r w:rsidRPr="008A07A9">
        <w:rPr>
          <w:rFonts w:ascii="Calibri" w:hAnsi="Calibri" w:cs="Calibri"/>
        </w:rPr>
        <w:t xml:space="preserve">Results showed that the odds for Black menthol smokers exhibit 7-day PPA were </w:t>
      </w:r>
      <w:r>
        <w:rPr>
          <w:rFonts w:ascii="Calibri" w:hAnsi="Calibri" w:cs="Calibri"/>
        </w:rPr>
        <w:t>statistically significantly</w:t>
      </w:r>
      <w:r w:rsidRPr="008A07A9">
        <w:rPr>
          <w:rFonts w:ascii="Calibri" w:hAnsi="Calibri" w:cs="Calibri"/>
        </w:rPr>
        <w:t xml:space="preserve"> lower when compared to Black non-menthol smokers (</w:t>
      </w:r>
      <w:r>
        <w:rPr>
          <w:rFonts w:ascii="Calibri" w:hAnsi="Calibri" w:cs="Calibri"/>
        </w:rPr>
        <w:t>OR</w:t>
      </w:r>
      <w:r w:rsidRPr="008A07A9">
        <w:rPr>
          <w:rFonts w:ascii="Calibri" w:hAnsi="Calibri" w:cs="Calibri"/>
        </w:rPr>
        <w:t>=0.52, 95% CI: 0.38</w:t>
      </w:r>
      <w:r>
        <w:rPr>
          <w:rFonts w:ascii="Calibri" w:hAnsi="Calibri" w:cs="Calibri"/>
        </w:rPr>
        <w:t xml:space="preserve"> to</w:t>
      </w:r>
      <w:r w:rsidRPr="008A07A9">
        <w:rPr>
          <w:rFonts w:ascii="Calibri" w:hAnsi="Calibri" w:cs="Calibri"/>
        </w:rPr>
        <w:t xml:space="preserve"> 0.70, p&lt;0.0001, I</w:t>
      </w:r>
      <w:r w:rsidRPr="008A07A9">
        <w:rPr>
          <w:rFonts w:ascii="Calibri" w:hAnsi="Calibri" w:cs="Calibri"/>
          <w:vertAlign w:val="superscript"/>
        </w:rPr>
        <w:t>2</w:t>
      </w:r>
      <w:r w:rsidRPr="008A07A9">
        <w:rPr>
          <w:rFonts w:ascii="Calibri" w:hAnsi="Calibri" w:cs="Calibri"/>
        </w:rPr>
        <w:t>=0).</w:t>
      </w:r>
    </w:p>
    <w:p w14:paraId="40590A84" w14:textId="77777777" w:rsidR="007F0AE0" w:rsidRPr="008A07A9" w:rsidRDefault="007F0AE0" w:rsidP="007F0AE0">
      <w:pPr>
        <w:spacing w:after="240" w:line="240" w:lineRule="auto"/>
        <w:jc w:val="both"/>
        <w:rPr>
          <w:rFonts w:ascii="Calibri" w:hAnsi="Calibri" w:cs="Calibri"/>
        </w:rPr>
      </w:pPr>
      <w:r w:rsidRPr="008A07A9">
        <w:rPr>
          <w:rFonts w:ascii="Calibri" w:hAnsi="Calibri" w:cs="Calibri"/>
        </w:rPr>
        <w:t>A sensitivity analysis was conducted for eCO verified 7-day PPA</w:t>
      </w:r>
      <w:r>
        <w:rPr>
          <w:rFonts w:ascii="Calibri" w:hAnsi="Calibri" w:cs="Calibri"/>
        </w:rPr>
        <w:t xml:space="preserve"> (≤10ppm)</w:t>
      </w:r>
      <w:r w:rsidRPr="008A07A9">
        <w:rPr>
          <w:rFonts w:ascii="Calibri" w:hAnsi="Calibri" w:cs="Calibri"/>
        </w:rPr>
        <w:t xml:space="preserve"> with two studies</w:t>
      </w:r>
      <w:r>
        <w:rPr>
          <w:rFonts w:ascii="Calibri" w:hAnsi="Calibri" w:cs="Calibri"/>
        </w:rPr>
        <w:t xml:space="preserve"> </w:t>
      </w:r>
      <w:r>
        <w:rPr>
          <w:rFonts w:ascii="Calibri" w:hAnsi="Calibri" w:cs="Calibri"/>
        </w:rPr>
        <w:fldChar w:fldCharType="begin">
          <w:fldData xml:space="preserve">PEVuZE5vdGU+PENpdGU+PEF1dGhvcj5Sb2pld3NraTwvQXV0aG9yPjxZZWFyPjIwMTQ8L1llYXI+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</w:fldData>
        </w:fldChar>
      </w:r>
      <w:r>
        <w:rPr>
          <w:rFonts w:ascii="Calibri" w:hAnsi="Calibri" w:cs="Calibri"/>
        </w:rPr>
        <w:instrText xml:space="preserve"> ADDIN EN.CITE </w:instrText>
      </w:r>
      <w:r>
        <w:rPr>
          <w:rFonts w:ascii="Calibri" w:hAnsi="Calibri" w:cs="Calibri"/>
        </w:rPr>
        <w:fldChar w:fldCharType="begin">
          <w:fldData xml:space="preserve">PEVuZE5vdGU+PENpdGU+PEF1dGhvcj5Sb2pld3NraTwvQXV0aG9yPjxZZWFyPjIwMTQ8L1llYXI+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62" w:tooltip="Rojewski, 2014 #22" w:history="1">
        <w:r>
          <w:rPr>
            <w:rFonts w:ascii="Calibri" w:hAnsi="Calibri" w:cs="Calibri"/>
            <w:noProof/>
          </w:rPr>
          <w:t>62</w:t>
        </w:r>
      </w:hyperlink>
      <w:r>
        <w:rPr>
          <w:rFonts w:ascii="Calibri" w:hAnsi="Calibri" w:cs="Calibri"/>
          <w:noProof/>
        </w:rPr>
        <w:t xml:space="preserve">, </w:t>
      </w:r>
      <w:hyperlink w:anchor="_ENREF_64" w:tooltip="Steinberg, 2011 #50" w:history="1">
        <w:r>
          <w:rPr>
            <w:rFonts w:ascii="Calibri" w:hAnsi="Calibri" w:cs="Calibri"/>
            <w:noProof/>
          </w:rPr>
          <w:t>64</w:t>
        </w:r>
      </w:hyperlink>
      <w:r>
        <w:rPr>
          <w:rFonts w:ascii="Calibri" w:hAnsi="Calibri" w:cs="Calibri"/>
          <w:noProof/>
        </w:rPr>
        <w:t>)</w:t>
      </w:r>
      <w:r>
        <w:rPr>
          <w:rFonts w:ascii="Calibri" w:hAnsi="Calibri" w:cs="Calibri"/>
        </w:rPr>
        <w:fldChar w:fldCharType="end"/>
      </w:r>
      <w:r w:rsidRPr="008A07A9">
        <w:rPr>
          <w:rFonts w:ascii="Calibri" w:hAnsi="Calibri" w:cs="Calibri"/>
        </w:rPr>
        <w:t>. Among menthol smoking participants compared to non-menthol smoking participants, the AOR for 7-Day PPA eCO verified, was 1.02 (95% CI: 0.66</w:t>
      </w:r>
      <w:r>
        <w:rPr>
          <w:rFonts w:ascii="Calibri" w:hAnsi="Calibri" w:cs="Calibri"/>
        </w:rPr>
        <w:t xml:space="preserve"> to</w:t>
      </w:r>
      <w:r w:rsidRPr="008A07A9">
        <w:rPr>
          <w:rFonts w:ascii="Calibri" w:hAnsi="Calibri" w:cs="Calibri"/>
        </w:rPr>
        <w:t xml:space="preserve"> 1.58) for Steinberg et al. (2011). Among non-menthol smoking participants compared to menthol smoking participants, the AOR for eCO verified 7-Day PPA was 2.47 (95% CI: 1.04</w:t>
      </w:r>
      <w:r>
        <w:rPr>
          <w:rFonts w:ascii="Calibri" w:hAnsi="Calibri" w:cs="Calibri"/>
        </w:rPr>
        <w:t xml:space="preserve"> to</w:t>
      </w:r>
      <w:r w:rsidRPr="008A07A9">
        <w:rPr>
          <w:rFonts w:ascii="Calibri" w:hAnsi="Calibri" w:cs="Calibri"/>
        </w:rPr>
        <w:t xml:space="preserve"> 5.90) for Rojewski et al. (2014). Rojewski et al. (2014) was standardized to have non-menthol use as the refe</w:t>
      </w:r>
      <w:r>
        <w:rPr>
          <w:rFonts w:ascii="Calibri" w:hAnsi="Calibri" w:cs="Calibri"/>
        </w:rPr>
        <w:t xml:space="preserve">rence group. </w:t>
      </w:r>
      <w:r w:rsidRPr="008A07A9">
        <w:rPr>
          <w:rFonts w:ascii="Calibri" w:hAnsi="Calibri" w:cs="Calibri"/>
        </w:rPr>
        <w:t>Meta-analysis result showed that the odds for eCO verified 7-Day PPA among menthol smokers compared to non-menthol smokers was not significant (</w:t>
      </w:r>
      <w:r>
        <w:rPr>
          <w:rFonts w:ascii="Calibri" w:hAnsi="Calibri" w:cs="Calibri"/>
        </w:rPr>
        <w:t>OR</w:t>
      </w:r>
      <w:r w:rsidRPr="008A07A9">
        <w:rPr>
          <w:rFonts w:ascii="Calibri" w:hAnsi="Calibri" w:cs="Calibri"/>
        </w:rPr>
        <w:t>=0.70, 95% CI: 0.28</w:t>
      </w:r>
      <w:r>
        <w:rPr>
          <w:rFonts w:ascii="Calibri" w:hAnsi="Calibri" w:cs="Calibri"/>
        </w:rPr>
        <w:t xml:space="preserve"> to</w:t>
      </w:r>
      <w:r w:rsidRPr="008A07A9">
        <w:rPr>
          <w:rFonts w:ascii="Calibri" w:hAnsi="Calibri" w:cs="Calibri"/>
        </w:rPr>
        <w:t xml:space="preserve"> 1.70, p=0.42, I</w:t>
      </w:r>
      <w:r w:rsidRPr="008A07A9">
        <w:rPr>
          <w:rFonts w:ascii="Calibri" w:hAnsi="Calibri" w:cs="Calibri"/>
          <w:vertAlign w:val="superscript"/>
        </w:rPr>
        <w:t>2</w:t>
      </w:r>
      <w:r w:rsidRPr="008A07A9">
        <w:rPr>
          <w:rFonts w:ascii="Calibri" w:hAnsi="Calibri" w:cs="Calibri"/>
        </w:rPr>
        <w:t>=71%</w:t>
      </w:r>
      <w:r>
        <w:rPr>
          <w:rFonts w:ascii="Calibri" w:hAnsi="Calibri" w:cs="Calibri"/>
        </w:rPr>
        <w:t>)</w:t>
      </w:r>
      <w:r w:rsidRPr="008A07A9">
        <w:rPr>
          <w:rFonts w:ascii="Calibri" w:hAnsi="Calibri" w:cs="Calibri"/>
        </w:rPr>
        <w:t>.</w:t>
      </w:r>
    </w:p>
    <w:p w14:paraId="32F53C9A" w14:textId="77777777" w:rsidR="007F0AE0" w:rsidRPr="00000632" w:rsidRDefault="007F0AE0" w:rsidP="007F0AE0">
      <w:pPr>
        <w:spacing w:after="120" w:line="240" w:lineRule="auto"/>
        <w:jc w:val="both"/>
        <w:rPr>
          <w:rFonts w:cstheme="minorHAnsi"/>
          <w:b/>
        </w:rPr>
      </w:pPr>
      <w:hyperlink w:anchor="Table14_1" w:history="1">
        <w:r w:rsidRPr="00000632">
          <w:rPr>
            <w:rStyle w:val="Hyperlink"/>
            <w:rFonts w:cstheme="minorHAnsi"/>
            <w:b/>
          </w:rPr>
          <w:t>Table 1</w:t>
        </w:r>
        <w:r>
          <w:rPr>
            <w:rStyle w:val="Hyperlink"/>
            <w:rFonts w:cstheme="minorHAnsi"/>
            <w:b/>
          </w:rPr>
          <w:t>7</w:t>
        </w:r>
        <w:r w:rsidRPr="00000632">
          <w:rPr>
            <w:rStyle w:val="Hyperlink"/>
            <w:rFonts w:cstheme="minorHAnsi"/>
            <w:b/>
          </w:rPr>
          <w:t>-1: Characteristics of Studies Included in the Meta-Analysis of Quit Attempt from Smoking</w:t>
        </w:r>
      </w:hyperlink>
    </w:p>
    <w:p w14:paraId="0522A0D6" w14:textId="77777777" w:rsidR="007F0AE0" w:rsidRPr="00000632" w:rsidRDefault="007F0AE0" w:rsidP="007F0AE0">
      <w:pPr>
        <w:spacing w:after="120" w:line="240" w:lineRule="auto"/>
        <w:jc w:val="both"/>
        <w:rPr>
          <w:rFonts w:cstheme="minorHAnsi"/>
          <w:b/>
        </w:rPr>
      </w:pPr>
      <w:hyperlink w:anchor="Table14_2" w:history="1">
        <w:r w:rsidRPr="00000632">
          <w:rPr>
            <w:rStyle w:val="Hyperlink"/>
            <w:rFonts w:cstheme="minorHAnsi"/>
            <w:b/>
          </w:rPr>
          <w:t>Table 1</w:t>
        </w:r>
        <w:r>
          <w:rPr>
            <w:rStyle w:val="Hyperlink"/>
            <w:rFonts w:cstheme="minorHAnsi"/>
            <w:b/>
          </w:rPr>
          <w:t>7</w:t>
        </w:r>
        <w:r w:rsidRPr="00000632">
          <w:rPr>
            <w:rStyle w:val="Hyperlink"/>
            <w:rFonts w:cstheme="minorHAnsi"/>
            <w:b/>
          </w:rPr>
          <w:t>-2: Definitions of Measures, Outcomes and Total Analytic Sample for Studies Included in the Meta-Analysis of Quit Attempt from Cigarette Smoking</w:t>
        </w:r>
      </w:hyperlink>
    </w:p>
    <w:p w14:paraId="1C80F0C2" w14:textId="77777777" w:rsidR="007F0AE0" w:rsidRPr="00000632" w:rsidRDefault="007F0AE0" w:rsidP="007F0AE0">
      <w:pPr>
        <w:spacing w:after="120" w:line="240" w:lineRule="auto"/>
        <w:jc w:val="both"/>
        <w:rPr>
          <w:rFonts w:cstheme="minorHAnsi"/>
          <w:b/>
        </w:rPr>
      </w:pPr>
      <w:hyperlink w:anchor="Table14_3" w:history="1">
        <w:r w:rsidRPr="00000632">
          <w:rPr>
            <w:rStyle w:val="Hyperlink"/>
            <w:rFonts w:cstheme="minorHAnsi"/>
            <w:b/>
          </w:rPr>
          <w:t>Table 1</w:t>
        </w:r>
        <w:r>
          <w:rPr>
            <w:rStyle w:val="Hyperlink"/>
            <w:rFonts w:cstheme="minorHAnsi"/>
            <w:b/>
          </w:rPr>
          <w:t>7</w:t>
        </w:r>
        <w:r w:rsidRPr="00000632">
          <w:rPr>
            <w:rStyle w:val="Hyperlink"/>
            <w:rFonts w:cstheme="minorHAnsi"/>
            <w:b/>
          </w:rPr>
          <w:t>-3: Covariates Controlled for Studies Included in the Meta-Analysis of Cigarette Smoking Quit Attempt</w:t>
        </w:r>
      </w:hyperlink>
    </w:p>
    <w:p w14:paraId="19A1131A" w14:textId="77777777" w:rsidR="007F0AE0" w:rsidRPr="00000632" w:rsidRDefault="007F0AE0" w:rsidP="007F0AE0">
      <w:pPr>
        <w:spacing w:after="120" w:line="240" w:lineRule="auto"/>
        <w:jc w:val="both"/>
        <w:rPr>
          <w:rFonts w:cstheme="minorHAnsi"/>
          <w:b/>
        </w:rPr>
      </w:pPr>
      <w:hyperlink w:anchor="Table14_4" w:history="1">
        <w:r w:rsidRPr="00000632">
          <w:rPr>
            <w:rStyle w:val="Hyperlink"/>
            <w:rFonts w:cstheme="minorHAnsi"/>
            <w:b/>
          </w:rPr>
          <w:t>Table 1</w:t>
        </w:r>
        <w:r>
          <w:rPr>
            <w:rStyle w:val="Hyperlink"/>
            <w:rFonts w:cstheme="minorHAnsi"/>
            <w:b/>
          </w:rPr>
          <w:t>7</w:t>
        </w:r>
        <w:r w:rsidRPr="00000632">
          <w:rPr>
            <w:rStyle w:val="Hyperlink"/>
            <w:rFonts w:cstheme="minorHAnsi"/>
            <w:b/>
          </w:rPr>
          <w:t>-4: Characteristics of Studies Included in the Meta-Analysis of Abstinence from Cigarette Smoking</w:t>
        </w:r>
      </w:hyperlink>
    </w:p>
    <w:p w14:paraId="53669101" w14:textId="77777777" w:rsidR="007F0AE0" w:rsidRPr="00000632" w:rsidRDefault="007F0AE0" w:rsidP="007F0AE0">
      <w:pPr>
        <w:spacing w:after="120" w:line="240" w:lineRule="auto"/>
        <w:jc w:val="both"/>
        <w:rPr>
          <w:rFonts w:cstheme="minorHAnsi"/>
          <w:b/>
        </w:rPr>
      </w:pPr>
      <w:hyperlink w:anchor="Table14_5" w:history="1">
        <w:r w:rsidRPr="00000632">
          <w:rPr>
            <w:rStyle w:val="Hyperlink"/>
            <w:rFonts w:cstheme="minorHAnsi"/>
            <w:b/>
          </w:rPr>
          <w:t>Table 1</w:t>
        </w:r>
        <w:r>
          <w:rPr>
            <w:rStyle w:val="Hyperlink"/>
            <w:rFonts w:cstheme="minorHAnsi"/>
            <w:b/>
          </w:rPr>
          <w:t>7</w:t>
        </w:r>
        <w:r w:rsidRPr="00000632">
          <w:rPr>
            <w:rStyle w:val="Hyperlink"/>
            <w:rFonts w:cstheme="minorHAnsi"/>
            <w:b/>
          </w:rPr>
          <w:t>-5: Definitions of Measures, Outcomes and Total Analytic Sample for Studies Included in the Meta-Analysis of Abstinence from Cigarette Smoking</w:t>
        </w:r>
      </w:hyperlink>
    </w:p>
    <w:p w14:paraId="20D5B4EC" w14:textId="77777777" w:rsidR="007F0AE0" w:rsidRPr="00000632" w:rsidRDefault="007F0AE0" w:rsidP="007F0AE0">
      <w:pPr>
        <w:spacing w:after="120" w:line="240" w:lineRule="auto"/>
        <w:jc w:val="both"/>
        <w:rPr>
          <w:rFonts w:cstheme="minorHAnsi"/>
          <w:b/>
        </w:rPr>
      </w:pPr>
      <w:hyperlink w:anchor="Table14_6" w:history="1">
        <w:r w:rsidRPr="00000632">
          <w:rPr>
            <w:rStyle w:val="Hyperlink"/>
            <w:rFonts w:cstheme="minorHAnsi"/>
            <w:b/>
          </w:rPr>
          <w:t>Table 1</w:t>
        </w:r>
        <w:r>
          <w:rPr>
            <w:rStyle w:val="Hyperlink"/>
            <w:rFonts w:cstheme="minorHAnsi"/>
            <w:b/>
          </w:rPr>
          <w:t>7</w:t>
        </w:r>
        <w:r w:rsidRPr="00000632">
          <w:rPr>
            <w:rStyle w:val="Hyperlink"/>
            <w:rFonts w:cstheme="minorHAnsi"/>
            <w:b/>
          </w:rPr>
          <w:t>-6: Covariates Controlled for Studies Included in the Meta-Analysis of Cigarette Smoking Abstinence</w:t>
        </w:r>
      </w:hyperlink>
      <w:r w:rsidRPr="00000632">
        <w:rPr>
          <w:rFonts w:cstheme="minorHAnsi"/>
          <w:b/>
        </w:rPr>
        <w:t xml:space="preserve"> </w:t>
      </w:r>
    </w:p>
    <w:p w14:paraId="418A883E" w14:textId="77777777" w:rsidR="007F0AE0" w:rsidRDefault="007F0AE0" w:rsidP="007F0AE0">
      <w:pPr>
        <w:pStyle w:val="ListParagraph"/>
        <w:spacing w:after="240" w:line="300" w:lineRule="auto"/>
        <w:rPr>
          <w:rFonts w:ascii="Calibri" w:hAnsi="Calibri" w:cs="Calibri"/>
        </w:rPr>
        <w:sectPr w:rsidR="007F0AE0" w:rsidSect="00CC1472">
          <w:pgSz w:w="12240" w:h="15840"/>
          <w:pgMar w:top="1440" w:right="1440" w:bottom="1440" w:left="1440" w:header="706" w:footer="706" w:gutter="0"/>
          <w:cols w:space="708"/>
          <w:docGrid w:linePitch="360"/>
        </w:sectPr>
      </w:pPr>
    </w:p>
    <w:p w14:paraId="7A998970" w14:textId="77777777" w:rsidR="007F0AE0" w:rsidRPr="00130E10" w:rsidRDefault="007F0AE0" w:rsidP="007F0AE0">
      <w:pPr>
        <w:spacing w:after="120" w:line="240" w:lineRule="auto"/>
        <w:outlineLvl w:val="2"/>
        <w:rPr>
          <w:rFonts w:ascii="Calibri" w:hAnsi="Calibri" w:cs="Calibri"/>
        </w:rPr>
      </w:pPr>
      <w:bookmarkStart w:id="39" w:name="Table14_1"/>
      <w:r w:rsidRPr="00570B68">
        <w:rPr>
          <w:rFonts w:eastAsia="Calibri" w:cstheme="minorHAnsi"/>
          <w:b/>
          <w:color w:val="000000"/>
        </w:rPr>
        <w:lastRenderedPageBreak/>
        <w:t>Table</w:t>
      </w:r>
      <w:bookmarkEnd w:id="36"/>
      <w:r w:rsidRPr="00570B68">
        <w:rPr>
          <w:rFonts w:eastAsia="Calibri" w:cstheme="minorHAnsi"/>
          <w:b/>
          <w:color w:val="000000"/>
        </w:rPr>
        <w:t xml:space="preserve"> </w:t>
      </w:r>
      <w:r>
        <w:rPr>
          <w:rFonts w:eastAsia="Calibri" w:cstheme="minorHAnsi"/>
          <w:b/>
          <w:color w:val="000000"/>
        </w:rPr>
        <w:t>17-</w:t>
      </w:r>
      <w:r w:rsidRPr="00570B68">
        <w:rPr>
          <w:rFonts w:eastAsia="Calibri" w:cstheme="minorHAnsi"/>
          <w:b/>
          <w:color w:val="000000"/>
        </w:rPr>
        <w:t xml:space="preserve">1: Characteristics of Studies Included in the Meta-Analysis of Quit Attempt from </w:t>
      </w:r>
      <w:bookmarkEnd w:id="37"/>
      <w:bookmarkEnd w:id="38"/>
      <w:r w:rsidRPr="00570B68">
        <w:rPr>
          <w:rFonts w:eastAsia="Calibri" w:cstheme="minorHAnsi"/>
          <w:b/>
          <w:color w:val="000000"/>
        </w:rPr>
        <w:t>Smoking</w:t>
      </w:r>
    </w:p>
    <w:tbl>
      <w:tblPr>
        <w:tblStyle w:val="PlainTable21"/>
        <w:tblW w:w="49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62" w:type="dxa"/>
          <w:bottom w:w="62" w:type="dxa"/>
          <w:right w:w="62" w:type="dxa"/>
        </w:tblCellMar>
        <w:tblLook w:val="04A0" w:firstRow="1" w:lastRow="0" w:firstColumn="1" w:lastColumn="0" w:noHBand="0" w:noVBand="1"/>
      </w:tblPr>
      <w:tblGrid>
        <w:gridCol w:w="1172"/>
        <w:gridCol w:w="2442"/>
        <w:gridCol w:w="1406"/>
        <w:gridCol w:w="1171"/>
        <w:gridCol w:w="2308"/>
        <w:gridCol w:w="1418"/>
        <w:gridCol w:w="2836"/>
      </w:tblGrid>
      <w:tr w:rsidR="007F0AE0" w:rsidRPr="00096053" w14:paraId="33B383DC"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9" w:type="pct"/>
            <w:shd w:val="clear" w:color="auto" w:fill="44546A" w:themeFill="text2"/>
            <w:vAlign w:val="bottom"/>
          </w:tcPr>
          <w:bookmarkEnd w:id="39"/>
          <w:p w14:paraId="6F3A8280" w14:textId="77777777" w:rsidR="007F0AE0" w:rsidRPr="00741564" w:rsidRDefault="007F0AE0" w:rsidP="00453DE3">
            <w:pPr>
              <w:spacing w:before="60" w:after="60"/>
              <w:rPr>
                <w:rFonts w:cstheme="minorHAnsi"/>
                <w:color w:val="FFFFFF" w:themeColor="background1"/>
                <w:sz w:val="18"/>
                <w:szCs w:val="18"/>
              </w:rPr>
            </w:pPr>
            <w:r w:rsidRPr="00741564">
              <w:rPr>
                <w:rFonts w:cstheme="minorHAnsi"/>
                <w:color w:val="FFFFFF" w:themeColor="background1"/>
                <w:sz w:val="18"/>
                <w:szCs w:val="18"/>
              </w:rPr>
              <w:t>Study</w:t>
            </w:r>
          </w:p>
        </w:tc>
        <w:tc>
          <w:tcPr>
            <w:tcW w:w="957" w:type="pct"/>
            <w:shd w:val="clear" w:color="auto" w:fill="44546A" w:themeFill="text2"/>
            <w:vAlign w:val="bottom"/>
          </w:tcPr>
          <w:p w14:paraId="32AD493C"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Study title</w:t>
            </w:r>
          </w:p>
        </w:tc>
        <w:tc>
          <w:tcPr>
            <w:tcW w:w="551" w:type="pct"/>
            <w:shd w:val="clear" w:color="auto" w:fill="44546A" w:themeFill="text2"/>
            <w:vAlign w:val="bottom"/>
          </w:tcPr>
          <w:p w14:paraId="3CDF4974"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Journal</w:t>
            </w:r>
          </w:p>
        </w:tc>
        <w:tc>
          <w:tcPr>
            <w:tcW w:w="459" w:type="pct"/>
            <w:shd w:val="clear" w:color="auto" w:fill="44546A" w:themeFill="text2"/>
            <w:vAlign w:val="bottom"/>
          </w:tcPr>
          <w:p w14:paraId="5D11CBFE"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Survey name</w:t>
            </w:r>
          </w:p>
        </w:tc>
        <w:tc>
          <w:tcPr>
            <w:tcW w:w="905" w:type="pct"/>
            <w:shd w:val="clear" w:color="auto" w:fill="44546A" w:themeFill="text2"/>
            <w:vAlign w:val="bottom"/>
          </w:tcPr>
          <w:p w14:paraId="0ECBBBD9"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Scope; Population</w:t>
            </w:r>
          </w:p>
        </w:tc>
        <w:tc>
          <w:tcPr>
            <w:tcW w:w="556" w:type="pct"/>
            <w:shd w:val="clear" w:color="auto" w:fill="44546A" w:themeFill="text2"/>
            <w:vAlign w:val="bottom"/>
          </w:tcPr>
          <w:p w14:paraId="38F22EE0"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Special population</w:t>
            </w:r>
          </w:p>
        </w:tc>
        <w:tc>
          <w:tcPr>
            <w:tcW w:w="1112" w:type="pct"/>
            <w:shd w:val="clear" w:color="auto" w:fill="44546A" w:themeFill="text2"/>
            <w:vAlign w:val="bottom"/>
          </w:tcPr>
          <w:p w14:paraId="3DFD264F" w14:textId="77777777" w:rsidR="007F0AE0" w:rsidRPr="00741564"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rPr>
            </w:pPr>
            <w:r w:rsidRPr="00741564">
              <w:rPr>
                <w:rFonts w:cstheme="minorHAnsi"/>
                <w:color w:val="FFFFFF" w:themeColor="background1"/>
                <w:sz w:val="18"/>
                <w:szCs w:val="18"/>
              </w:rPr>
              <w:t xml:space="preserve">Study design </w:t>
            </w:r>
          </w:p>
        </w:tc>
      </w:tr>
      <w:tr w:rsidR="007F0AE0" w:rsidRPr="00096053" w14:paraId="5A6F84D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 w:type="pct"/>
          </w:tcPr>
          <w:p w14:paraId="08D65CA0"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741564">
              <w:rPr>
                <w:rFonts w:cstheme="minorHAnsi"/>
                <w:sz w:val="18"/>
                <w:szCs w:val="18"/>
              </w:rPr>
              <w:fldChar w:fldCharType="separate"/>
            </w:r>
            <w:r>
              <w:rPr>
                <w:rFonts w:cstheme="minorHAnsi"/>
                <w:noProof/>
                <w:sz w:val="18"/>
                <w:szCs w:val="18"/>
              </w:rPr>
              <w:t>(</w:t>
            </w:r>
            <w:hyperlink w:anchor="_ENREF_14" w:tooltip="Alexander, 2010 #59" w:history="1">
              <w:r>
                <w:rPr>
                  <w:rFonts w:cstheme="minorHAnsi"/>
                  <w:noProof/>
                  <w:sz w:val="18"/>
                  <w:szCs w:val="18"/>
                </w:rPr>
                <w:t>14</w:t>
              </w:r>
            </w:hyperlink>
            <w:r>
              <w:rPr>
                <w:rFonts w:cstheme="minorHAnsi"/>
                <w:noProof/>
                <w:sz w:val="18"/>
                <w:szCs w:val="18"/>
              </w:rPr>
              <w:t>)</w:t>
            </w:r>
            <w:r w:rsidRPr="00741564">
              <w:rPr>
                <w:rFonts w:cstheme="minorHAnsi"/>
                <w:sz w:val="18"/>
                <w:szCs w:val="18"/>
              </w:rPr>
              <w:fldChar w:fldCharType="end"/>
            </w:r>
          </w:p>
        </w:tc>
        <w:tc>
          <w:tcPr>
            <w:tcW w:w="957" w:type="pct"/>
          </w:tcPr>
          <w:p w14:paraId="22AC2777"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Occupational status, work-site cessation programs and policies and menthol smoking on quitting behaviors of U.S. smokers</w:t>
            </w:r>
          </w:p>
        </w:tc>
        <w:tc>
          <w:tcPr>
            <w:tcW w:w="551" w:type="pct"/>
          </w:tcPr>
          <w:p w14:paraId="4172C2B1"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Addiction</w:t>
            </w:r>
          </w:p>
        </w:tc>
        <w:tc>
          <w:tcPr>
            <w:tcW w:w="459" w:type="pct"/>
          </w:tcPr>
          <w:p w14:paraId="6AA3DE8F"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TUS-CPS</w:t>
            </w:r>
          </w:p>
        </w:tc>
        <w:tc>
          <w:tcPr>
            <w:tcW w:w="905" w:type="pct"/>
          </w:tcPr>
          <w:p w14:paraId="2B9E011F"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National (U.S.); Smokers 18 years of age or older</w:t>
            </w:r>
          </w:p>
        </w:tc>
        <w:tc>
          <w:tcPr>
            <w:tcW w:w="556" w:type="pct"/>
          </w:tcPr>
          <w:p w14:paraId="679DCEB0"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2C0F1A45"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Cross-sectional</w:t>
            </w:r>
          </w:p>
        </w:tc>
      </w:tr>
      <w:tr w:rsidR="007F0AE0" w:rsidRPr="00096053" w14:paraId="03BA49B0" w14:textId="77777777" w:rsidTr="00453DE3">
        <w:tc>
          <w:tcPr>
            <w:cnfStyle w:val="001000000000" w:firstRow="0" w:lastRow="0" w:firstColumn="1" w:lastColumn="0" w:oddVBand="0" w:evenVBand="0" w:oddHBand="0" w:evenHBand="0" w:firstRowFirstColumn="0" w:firstRowLastColumn="0" w:lastRowFirstColumn="0" w:lastRowLastColumn="0"/>
            <w:tcW w:w="459" w:type="pct"/>
          </w:tcPr>
          <w:p w14:paraId="0348C3D1"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741564">
              <w:rPr>
                <w:rFonts w:cstheme="minorHAnsi"/>
                <w:sz w:val="18"/>
                <w:szCs w:val="18"/>
              </w:rPr>
              <w:fldChar w:fldCharType="separate"/>
            </w:r>
            <w:r>
              <w:rPr>
                <w:rFonts w:cstheme="minorHAnsi"/>
                <w:noProof/>
                <w:sz w:val="18"/>
                <w:szCs w:val="18"/>
              </w:rPr>
              <w:t>(</w:t>
            </w:r>
            <w:hyperlink w:anchor="_ENREF_36" w:tooltip="Fagan, 2007 #94" w:history="1">
              <w:r>
                <w:rPr>
                  <w:rFonts w:cstheme="minorHAnsi"/>
                  <w:noProof/>
                  <w:sz w:val="18"/>
                  <w:szCs w:val="18"/>
                </w:rPr>
                <w:t>36</w:t>
              </w:r>
            </w:hyperlink>
            <w:r>
              <w:rPr>
                <w:rFonts w:cstheme="minorHAnsi"/>
                <w:noProof/>
                <w:sz w:val="18"/>
                <w:szCs w:val="18"/>
              </w:rPr>
              <w:t>)</w:t>
            </w:r>
            <w:r w:rsidRPr="00741564">
              <w:rPr>
                <w:rFonts w:cstheme="minorHAnsi"/>
                <w:sz w:val="18"/>
                <w:szCs w:val="18"/>
              </w:rPr>
              <w:fldChar w:fldCharType="end"/>
            </w:r>
          </w:p>
        </w:tc>
        <w:tc>
          <w:tcPr>
            <w:tcW w:w="957" w:type="pct"/>
          </w:tcPr>
          <w:p w14:paraId="198CDEE0"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Quit attempts and intention to quit cigarette smoking among young adults in the united states</w:t>
            </w:r>
          </w:p>
        </w:tc>
        <w:tc>
          <w:tcPr>
            <w:tcW w:w="551" w:type="pct"/>
          </w:tcPr>
          <w:p w14:paraId="4C4F08D3"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American Journal of Public Health</w:t>
            </w:r>
          </w:p>
        </w:tc>
        <w:tc>
          <w:tcPr>
            <w:tcW w:w="459" w:type="pct"/>
          </w:tcPr>
          <w:p w14:paraId="0F126225"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TUSCS-CPS</w:t>
            </w:r>
          </w:p>
        </w:tc>
        <w:tc>
          <w:tcPr>
            <w:tcW w:w="905" w:type="pct"/>
          </w:tcPr>
          <w:p w14:paraId="4F4BD099"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National (U.S.); Young adult current smokers aged 18 to 30 years</w:t>
            </w:r>
          </w:p>
        </w:tc>
        <w:tc>
          <w:tcPr>
            <w:tcW w:w="556" w:type="pct"/>
          </w:tcPr>
          <w:p w14:paraId="2A8E6F66"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35547286"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4051">
              <w:rPr>
                <w:rFonts w:cstheme="minorHAnsi"/>
                <w:sz w:val="18"/>
                <w:szCs w:val="18"/>
              </w:rPr>
              <w:t>Cross-sectional</w:t>
            </w:r>
          </w:p>
        </w:tc>
      </w:tr>
      <w:tr w:rsidR="007F0AE0" w:rsidRPr="00096053" w14:paraId="0A4FEC1A"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 w:type="pct"/>
          </w:tcPr>
          <w:p w14:paraId="1CA99199"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r>
            <w:r>
              <w:rPr>
                <w:rFonts w:cstheme="minorHAnsi"/>
                <w:sz w:val="18"/>
                <w:szCs w:val="18"/>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741564">
              <w:rPr>
                <w:rFonts w:cstheme="minorHAnsi"/>
                <w:sz w:val="18"/>
                <w:szCs w:val="18"/>
              </w:rPr>
              <w:fldChar w:fldCharType="separate"/>
            </w:r>
            <w:r>
              <w:rPr>
                <w:rFonts w:cstheme="minorHAnsi"/>
                <w:noProof/>
                <w:sz w:val="18"/>
                <w:szCs w:val="18"/>
              </w:rPr>
              <w:t>(</w:t>
            </w:r>
            <w:hyperlink w:anchor="_ENREF_46" w:tooltip="Hyland, 2010 #100" w:history="1">
              <w:r>
                <w:rPr>
                  <w:rFonts w:cstheme="minorHAnsi"/>
                  <w:noProof/>
                  <w:sz w:val="18"/>
                  <w:szCs w:val="18"/>
                </w:rPr>
                <w:t>46</w:t>
              </w:r>
            </w:hyperlink>
            <w:r>
              <w:rPr>
                <w:rFonts w:cstheme="minorHAnsi"/>
                <w:noProof/>
                <w:sz w:val="18"/>
                <w:szCs w:val="18"/>
              </w:rPr>
              <w:t>)</w:t>
            </w:r>
            <w:r w:rsidRPr="00741564">
              <w:rPr>
                <w:rFonts w:cstheme="minorHAnsi"/>
                <w:sz w:val="18"/>
                <w:szCs w:val="18"/>
              </w:rPr>
              <w:fldChar w:fldCharType="end"/>
            </w:r>
          </w:p>
        </w:tc>
        <w:tc>
          <w:tcPr>
            <w:tcW w:w="957" w:type="pct"/>
          </w:tcPr>
          <w:p w14:paraId="304357F3"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Analysis of mentholated cigarettes using the COMMIT data</w:t>
            </w:r>
          </w:p>
        </w:tc>
        <w:tc>
          <w:tcPr>
            <w:tcW w:w="551" w:type="pct"/>
          </w:tcPr>
          <w:p w14:paraId="2291D60D"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Unpublished</w:t>
            </w:r>
          </w:p>
        </w:tc>
        <w:tc>
          <w:tcPr>
            <w:tcW w:w="459" w:type="pct"/>
          </w:tcPr>
          <w:p w14:paraId="4FCD8338"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 xml:space="preserve">The COMMIT </w:t>
            </w:r>
          </w:p>
        </w:tc>
        <w:tc>
          <w:tcPr>
            <w:tcW w:w="905" w:type="pct"/>
          </w:tcPr>
          <w:p w14:paraId="1A2FD4A9"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U.S.; Current smokers between 25 and 64 years of age at baseline</w:t>
            </w:r>
          </w:p>
        </w:tc>
        <w:tc>
          <w:tcPr>
            <w:tcW w:w="556" w:type="pct"/>
          </w:tcPr>
          <w:p w14:paraId="37FE1EA7"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2AEABC8B"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Prospective cohort</w:t>
            </w:r>
            <w:r w:rsidRPr="00741564">
              <w:rPr>
                <w:rFonts w:cstheme="minorHAnsi"/>
                <w:sz w:val="18"/>
                <w:szCs w:val="18"/>
              </w:rPr>
              <w:t xml:space="preserve"> </w:t>
            </w:r>
          </w:p>
        </w:tc>
      </w:tr>
      <w:tr w:rsidR="007F0AE0" w:rsidRPr="00096053" w14:paraId="45CF8720" w14:textId="77777777" w:rsidTr="00453DE3">
        <w:tc>
          <w:tcPr>
            <w:cnfStyle w:val="001000000000" w:firstRow="0" w:lastRow="0" w:firstColumn="1" w:lastColumn="0" w:oddVBand="0" w:evenVBand="0" w:oddHBand="0" w:evenHBand="0" w:firstRowFirstColumn="0" w:firstRowLastColumn="0" w:lastRowFirstColumn="0" w:lastRowLastColumn="0"/>
            <w:tcW w:w="459" w:type="pct"/>
          </w:tcPr>
          <w:p w14:paraId="37215F7D"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741564">
              <w:rPr>
                <w:rFonts w:cstheme="minorHAnsi"/>
                <w:sz w:val="18"/>
                <w:szCs w:val="18"/>
              </w:rPr>
              <w:fldChar w:fldCharType="separate"/>
            </w:r>
            <w:r>
              <w:rPr>
                <w:rFonts w:cstheme="minorHAnsi"/>
                <w:noProof/>
                <w:sz w:val="18"/>
                <w:szCs w:val="18"/>
              </w:rPr>
              <w:t>(</w:t>
            </w:r>
            <w:hyperlink w:anchor="_ENREF_34" w:tooltip="Kahende, 2011 #43" w:history="1">
              <w:r>
                <w:rPr>
                  <w:rFonts w:cstheme="minorHAnsi"/>
                  <w:noProof/>
                  <w:sz w:val="18"/>
                  <w:szCs w:val="18"/>
                </w:rPr>
                <w:t>34</w:t>
              </w:r>
            </w:hyperlink>
            <w:r>
              <w:rPr>
                <w:rFonts w:cstheme="minorHAnsi"/>
                <w:noProof/>
                <w:sz w:val="18"/>
                <w:szCs w:val="18"/>
              </w:rPr>
              <w:t>)</w:t>
            </w:r>
            <w:r w:rsidRPr="00741564">
              <w:rPr>
                <w:rFonts w:cstheme="minorHAnsi"/>
                <w:sz w:val="18"/>
                <w:szCs w:val="18"/>
              </w:rPr>
              <w:fldChar w:fldCharType="end"/>
            </w:r>
          </w:p>
        </w:tc>
        <w:tc>
          <w:tcPr>
            <w:tcW w:w="957" w:type="pct"/>
          </w:tcPr>
          <w:p w14:paraId="1659012D"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Quit attempt correlates among smokers by race/ethnicity</w:t>
            </w:r>
          </w:p>
        </w:tc>
        <w:tc>
          <w:tcPr>
            <w:tcW w:w="551" w:type="pct"/>
          </w:tcPr>
          <w:p w14:paraId="6F8EC8C0"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International Journal of Environmental Research and Public Health</w:t>
            </w:r>
          </w:p>
        </w:tc>
        <w:tc>
          <w:tcPr>
            <w:tcW w:w="459" w:type="pct"/>
          </w:tcPr>
          <w:p w14:paraId="53B870CC"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TUS-CPS</w:t>
            </w:r>
          </w:p>
        </w:tc>
        <w:tc>
          <w:tcPr>
            <w:tcW w:w="905" w:type="pct"/>
          </w:tcPr>
          <w:p w14:paraId="65CC3679"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National (U.S.); Adults (≥18 years of age) who had smoked within the past year</w:t>
            </w:r>
          </w:p>
        </w:tc>
        <w:tc>
          <w:tcPr>
            <w:tcW w:w="556" w:type="pct"/>
          </w:tcPr>
          <w:p w14:paraId="66529D2A"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0A6452F7"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4051">
              <w:rPr>
                <w:rFonts w:cstheme="minorHAnsi"/>
                <w:sz w:val="18"/>
                <w:szCs w:val="18"/>
              </w:rPr>
              <w:t>Cross-sectional</w:t>
            </w:r>
          </w:p>
        </w:tc>
      </w:tr>
      <w:tr w:rsidR="007F0AE0" w:rsidRPr="00096053" w14:paraId="45A7A8D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 w:type="pct"/>
          </w:tcPr>
          <w:p w14:paraId="457FB5B6"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741564">
              <w:rPr>
                <w:rFonts w:cstheme="minorHAnsi"/>
                <w:sz w:val="18"/>
                <w:szCs w:val="18"/>
              </w:rPr>
              <w:fldChar w:fldCharType="separate"/>
            </w:r>
            <w:r>
              <w:rPr>
                <w:rFonts w:cstheme="minorHAnsi"/>
                <w:noProof/>
                <w:sz w:val="18"/>
                <w:szCs w:val="18"/>
              </w:rPr>
              <w:t>(</w:t>
            </w:r>
            <w:hyperlink w:anchor="_ENREF_29" w:tooltip="Keeler, 2017 #660" w:history="1">
              <w:r>
                <w:rPr>
                  <w:rFonts w:cstheme="minorHAnsi"/>
                  <w:noProof/>
                  <w:sz w:val="18"/>
                  <w:szCs w:val="18"/>
                </w:rPr>
                <w:t>29</w:t>
              </w:r>
            </w:hyperlink>
            <w:r>
              <w:rPr>
                <w:rFonts w:cstheme="minorHAnsi"/>
                <w:noProof/>
                <w:sz w:val="18"/>
                <w:szCs w:val="18"/>
              </w:rPr>
              <w:t>)</w:t>
            </w:r>
            <w:r w:rsidRPr="00741564">
              <w:rPr>
                <w:rFonts w:cstheme="minorHAnsi"/>
                <w:sz w:val="18"/>
                <w:szCs w:val="18"/>
              </w:rPr>
              <w:fldChar w:fldCharType="end"/>
            </w:r>
          </w:p>
        </w:tc>
        <w:tc>
          <w:tcPr>
            <w:tcW w:w="957" w:type="pct"/>
          </w:tcPr>
          <w:p w14:paraId="4F6ACDD9"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The association of menthol cigarette use with quit attempts, successful cessation, and intention to quit across racial/ethnic groups in the united states</w:t>
            </w:r>
          </w:p>
        </w:tc>
        <w:tc>
          <w:tcPr>
            <w:tcW w:w="551" w:type="pct"/>
          </w:tcPr>
          <w:p w14:paraId="4F67E9A7"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Nicotine &amp; Tobacco Research</w:t>
            </w:r>
          </w:p>
        </w:tc>
        <w:tc>
          <w:tcPr>
            <w:tcW w:w="459" w:type="pct"/>
          </w:tcPr>
          <w:p w14:paraId="607B941E"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TUS-CPS</w:t>
            </w:r>
          </w:p>
        </w:tc>
        <w:tc>
          <w:tcPr>
            <w:tcW w:w="905" w:type="pct"/>
          </w:tcPr>
          <w:p w14:paraId="7FEE24AD"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National (U.S.); Adults aged ≥18 who were recent active smokers, defined as current smokers or former smokers who quit less than 12 months ago.</w:t>
            </w:r>
          </w:p>
        </w:tc>
        <w:tc>
          <w:tcPr>
            <w:tcW w:w="556" w:type="pct"/>
          </w:tcPr>
          <w:p w14:paraId="6E02029F"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5E2B7EAD"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Cross-sectional</w:t>
            </w:r>
          </w:p>
        </w:tc>
      </w:tr>
      <w:tr w:rsidR="007F0AE0" w:rsidRPr="00096053" w14:paraId="1CC04319" w14:textId="77777777" w:rsidTr="00453DE3">
        <w:tc>
          <w:tcPr>
            <w:cnfStyle w:val="001000000000" w:firstRow="0" w:lastRow="0" w:firstColumn="1" w:lastColumn="0" w:oddVBand="0" w:evenVBand="0" w:oddHBand="0" w:evenHBand="0" w:firstRowFirstColumn="0" w:firstRowLastColumn="0" w:lastRowFirstColumn="0" w:lastRowLastColumn="0"/>
            <w:tcW w:w="459" w:type="pct"/>
          </w:tcPr>
          <w:p w14:paraId="4C05DCFB"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r>
            <w:r>
              <w:rPr>
                <w:rFonts w:cstheme="minorHAnsi"/>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741564">
              <w:rPr>
                <w:rFonts w:cstheme="minorHAnsi"/>
                <w:sz w:val="18"/>
                <w:szCs w:val="18"/>
              </w:rPr>
              <w:fldChar w:fldCharType="separate"/>
            </w:r>
            <w:r>
              <w:rPr>
                <w:rFonts w:cstheme="minorHAnsi"/>
                <w:noProof/>
                <w:sz w:val="18"/>
                <w:szCs w:val="18"/>
              </w:rPr>
              <w:t>(</w:t>
            </w:r>
            <w:hyperlink w:anchor="_ENREF_19" w:tooltip="Levy, 2011 #45" w:history="1">
              <w:r>
                <w:rPr>
                  <w:rFonts w:cstheme="minorHAnsi"/>
                  <w:noProof/>
                  <w:sz w:val="18"/>
                  <w:szCs w:val="18"/>
                </w:rPr>
                <w:t>19</w:t>
              </w:r>
            </w:hyperlink>
            <w:r>
              <w:rPr>
                <w:rFonts w:cstheme="minorHAnsi"/>
                <w:noProof/>
                <w:sz w:val="18"/>
                <w:szCs w:val="18"/>
              </w:rPr>
              <w:t>)</w:t>
            </w:r>
            <w:r w:rsidRPr="00741564">
              <w:rPr>
                <w:rFonts w:cstheme="minorHAnsi"/>
                <w:sz w:val="18"/>
                <w:szCs w:val="18"/>
              </w:rPr>
              <w:fldChar w:fldCharType="end"/>
            </w:r>
          </w:p>
        </w:tc>
        <w:tc>
          <w:tcPr>
            <w:tcW w:w="957" w:type="pct"/>
          </w:tcPr>
          <w:p w14:paraId="17FB79F4"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Quit attempts and quit rates among menthol and nonmenthol smokers in the united states</w:t>
            </w:r>
          </w:p>
        </w:tc>
        <w:tc>
          <w:tcPr>
            <w:tcW w:w="551" w:type="pct"/>
          </w:tcPr>
          <w:p w14:paraId="25824748"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American Journal of Public Health</w:t>
            </w:r>
          </w:p>
        </w:tc>
        <w:tc>
          <w:tcPr>
            <w:tcW w:w="459" w:type="pct"/>
          </w:tcPr>
          <w:p w14:paraId="11F54D21"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TUS-CPS</w:t>
            </w:r>
          </w:p>
        </w:tc>
        <w:tc>
          <w:tcPr>
            <w:tcW w:w="905" w:type="pct"/>
          </w:tcPr>
          <w:p w14:paraId="0A9CB8C4"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National (U.S.); Self-respondents aged 18 years and older</w:t>
            </w:r>
          </w:p>
        </w:tc>
        <w:tc>
          <w:tcPr>
            <w:tcW w:w="556" w:type="pct"/>
          </w:tcPr>
          <w:p w14:paraId="3968FF82"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0C1F02EF"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4051">
              <w:rPr>
                <w:rFonts w:cstheme="minorHAnsi"/>
                <w:sz w:val="18"/>
                <w:szCs w:val="18"/>
              </w:rPr>
              <w:t>Cross-sectional</w:t>
            </w:r>
          </w:p>
        </w:tc>
      </w:tr>
      <w:tr w:rsidR="007F0AE0" w:rsidRPr="00096053" w14:paraId="4A815DE9"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 w:type="pct"/>
          </w:tcPr>
          <w:p w14:paraId="16DAD95F" w14:textId="77777777" w:rsidR="007F0AE0" w:rsidRPr="00741564" w:rsidRDefault="007F0AE0" w:rsidP="00453DE3">
            <w:pPr>
              <w:spacing w:before="60" w:after="60"/>
              <w:rPr>
                <w:rFonts w:cstheme="minorHAnsi"/>
                <w:sz w:val="18"/>
                <w:szCs w:val="18"/>
              </w:rPr>
            </w:pPr>
            <w:r w:rsidRPr="00741564">
              <w:rPr>
                <w:rFonts w:cstheme="minorHAnsi"/>
                <w:sz w:val="18"/>
                <w:szCs w:val="18"/>
              </w:rPr>
              <w:lastRenderedPageBreak/>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sidRPr="00741564">
              <w:rPr>
                <w:rFonts w:cstheme="minorHAnsi"/>
                <w:sz w:val="18"/>
                <w:szCs w:val="18"/>
              </w:rPr>
              <w:fldChar w:fldCharType="separate"/>
            </w:r>
            <w:r>
              <w:rPr>
                <w:rFonts w:cstheme="minorHAnsi"/>
                <w:noProof/>
                <w:sz w:val="18"/>
                <w:szCs w:val="18"/>
              </w:rPr>
              <w:t>(</w:t>
            </w:r>
            <w:hyperlink w:anchor="_ENREF_31" w:tooltip="Park, 2017 #1103" w:history="1">
              <w:r>
                <w:rPr>
                  <w:rFonts w:cstheme="minorHAnsi"/>
                  <w:noProof/>
                  <w:sz w:val="18"/>
                  <w:szCs w:val="18"/>
                </w:rPr>
                <w:t>31</w:t>
              </w:r>
            </w:hyperlink>
            <w:r>
              <w:rPr>
                <w:rFonts w:cstheme="minorHAnsi"/>
                <w:noProof/>
                <w:sz w:val="18"/>
                <w:szCs w:val="18"/>
              </w:rPr>
              <w:t>)</w:t>
            </w:r>
            <w:r w:rsidRPr="00741564">
              <w:rPr>
                <w:rFonts w:cstheme="minorHAnsi"/>
                <w:sz w:val="18"/>
                <w:szCs w:val="18"/>
              </w:rPr>
              <w:fldChar w:fldCharType="end"/>
            </w:r>
          </w:p>
        </w:tc>
        <w:tc>
          <w:tcPr>
            <w:tcW w:w="957" w:type="pct"/>
          </w:tcPr>
          <w:p w14:paraId="64D1C955"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Tobacco use behaviors among vulnerable populations</w:t>
            </w:r>
          </w:p>
        </w:tc>
        <w:tc>
          <w:tcPr>
            <w:tcW w:w="551" w:type="pct"/>
          </w:tcPr>
          <w:p w14:paraId="5F25A814"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School of Public Health, Indiana University</w:t>
            </w:r>
          </w:p>
        </w:tc>
        <w:tc>
          <w:tcPr>
            <w:tcW w:w="459" w:type="pct"/>
          </w:tcPr>
          <w:p w14:paraId="42ADFE2D"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NATS</w:t>
            </w:r>
          </w:p>
        </w:tc>
        <w:tc>
          <w:tcPr>
            <w:tcW w:w="905" w:type="pct"/>
          </w:tcPr>
          <w:p w14:paraId="27FCE84E"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National (U.S.); Adults ages 18 years or older</w:t>
            </w:r>
          </w:p>
        </w:tc>
        <w:tc>
          <w:tcPr>
            <w:tcW w:w="556" w:type="pct"/>
          </w:tcPr>
          <w:p w14:paraId="2C68B7A7"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485A47CD"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 xml:space="preserve">Cross-sectional </w:t>
            </w:r>
          </w:p>
        </w:tc>
      </w:tr>
      <w:tr w:rsidR="007F0AE0" w:rsidRPr="00096053" w14:paraId="53D9221E" w14:textId="77777777" w:rsidTr="00453DE3">
        <w:tc>
          <w:tcPr>
            <w:cnfStyle w:val="001000000000" w:firstRow="0" w:lastRow="0" w:firstColumn="1" w:lastColumn="0" w:oddVBand="0" w:evenVBand="0" w:oddHBand="0" w:evenHBand="0" w:firstRowFirstColumn="0" w:firstRowLastColumn="0" w:lastRowFirstColumn="0" w:lastRowLastColumn="0"/>
            <w:tcW w:w="459" w:type="pct"/>
          </w:tcPr>
          <w:p w14:paraId="5FFC96B3"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r>
            <w:r>
              <w:rPr>
                <w:rFonts w:cstheme="minorHAnsi"/>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741564">
              <w:rPr>
                <w:rFonts w:cstheme="minorHAnsi"/>
                <w:sz w:val="18"/>
                <w:szCs w:val="18"/>
              </w:rPr>
              <w:fldChar w:fldCharType="separate"/>
            </w:r>
            <w:r>
              <w:rPr>
                <w:rFonts w:cstheme="minorHAnsi"/>
                <w:noProof/>
                <w:sz w:val="18"/>
                <w:szCs w:val="18"/>
              </w:rPr>
              <w:t>(</w:t>
            </w:r>
            <w:hyperlink w:anchor="_ENREF_41" w:tooltip="Pletcher, 2006 #78" w:history="1">
              <w:r>
                <w:rPr>
                  <w:rFonts w:cstheme="minorHAnsi"/>
                  <w:noProof/>
                  <w:sz w:val="18"/>
                  <w:szCs w:val="18"/>
                </w:rPr>
                <w:t>41</w:t>
              </w:r>
            </w:hyperlink>
            <w:r>
              <w:rPr>
                <w:rFonts w:cstheme="minorHAnsi"/>
                <w:noProof/>
                <w:sz w:val="18"/>
                <w:szCs w:val="18"/>
              </w:rPr>
              <w:t>)</w:t>
            </w:r>
            <w:r w:rsidRPr="00741564">
              <w:rPr>
                <w:rFonts w:cstheme="minorHAnsi"/>
                <w:sz w:val="18"/>
                <w:szCs w:val="18"/>
              </w:rPr>
              <w:fldChar w:fldCharType="end"/>
            </w:r>
          </w:p>
        </w:tc>
        <w:tc>
          <w:tcPr>
            <w:tcW w:w="957" w:type="pct"/>
          </w:tcPr>
          <w:p w14:paraId="782E2FCF"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Menthol cigarettes, smoking cessation, atherosclerosis, and pulmonary function</w:t>
            </w:r>
          </w:p>
        </w:tc>
        <w:tc>
          <w:tcPr>
            <w:tcW w:w="551" w:type="pct"/>
          </w:tcPr>
          <w:p w14:paraId="1EED0FCA"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Archives of internal medicine</w:t>
            </w:r>
          </w:p>
        </w:tc>
        <w:tc>
          <w:tcPr>
            <w:tcW w:w="459" w:type="pct"/>
          </w:tcPr>
          <w:p w14:paraId="078367F7"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CARDIA study</w:t>
            </w:r>
          </w:p>
        </w:tc>
        <w:tc>
          <w:tcPr>
            <w:tcW w:w="905" w:type="pct"/>
          </w:tcPr>
          <w:p w14:paraId="57382F51"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Oakland, Chicago, Minneapolis and Birmingham (U.S.); Healthy adults aged 18 to 30 years</w:t>
            </w:r>
          </w:p>
        </w:tc>
        <w:tc>
          <w:tcPr>
            <w:tcW w:w="556" w:type="pct"/>
          </w:tcPr>
          <w:p w14:paraId="217C264C"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32D5EC5B" w14:textId="77777777" w:rsidR="007F0AE0" w:rsidRPr="00741564"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4051">
              <w:rPr>
                <w:rFonts w:cstheme="minorHAnsi"/>
                <w:sz w:val="18"/>
                <w:szCs w:val="18"/>
              </w:rPr>
              <w:t>Prospective cohort</w:t>
            </w:r>
          </w:p>
        </w:tc>
      </w:tr>
      <w:tr w:rsidR="007F0AE0" w:rsidRPr="00096053" w14:paraId="289B0ABD"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 w:type="pct"/>
          </w:tcPr>
          <w:p w14:paraId="4BFEC88B" w14:textId="77777777" w:rsidR="007F0AE0" w:rsidRPr="00741564" w:rsidRDefault="007F0AE0" w:rsidP="00453DE3">
            <w:pPr>
              <w:spacing w:before="60" w:after="60"/>
              <w:rPr>
                <w:rFonts w:cstheme="minorHAnsi"/>
                <w:sz w:val="18"/>
                <w:szCs w:val="18"/>
              </w:rPr>
            </w:pPr>
            <w:r w:rsidRPr="00741564">
              <w:rPr>
                <w:rFonts w:cstheme="minorHAnsi"/>
                <w:sz w:val="18"/>
                <w:szCs w:val="18"/>
              </w:rPr>
              <w:fldChar w:fldCharType="begin"/>
            </w:r>
            <w:r>
              <w:rPr>
                <w:rFonts w:cstheme="minorHAnsi"/>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741564">
              <w:rPr>
                <w:rFonts w:cstheme="minorHAnsi"/>
                <w:sz w:val="18"/>
                <w:szCs w:val="18"/>
              </w:rPr>
              <w:fldChar w:fldCharType="separate"/>
            </w:r>
            <w:r>
              <w:rPr>
                <w:rFonts w:cstheme="minorHAnsi"/>
                <w:noProof/>
                <w:sz w:val="18"/>
                <w:szCs w:val="18"/>
              </w:rPr>
              <w:t>(</w:t>
            </w:r>
            <w:hyperlink w:anchor="_ENREF_35" w:tooltip="Webb Hooper, 2011 #51" w:history="1">
              <w:r>
                <w:rPr>
                  <w:rFonts w:cstheme="minorHAnsi"/>
                  <w:noProof/>
                  <w:sz w:val="18"/>
                  <w:szCs w:val="18"/>
                </w:rPr>
                <w:t>35</w:t>
              </w:r>
            </w:hyperlink>
            <w:r>
              <w:rPr>
                <w:rFonts w:cstheme="minorHAnsi"/>
                <w:noProof/>
                <w:sz w:val="18"/>
                <w:szCs w:val="18"/>
              </w:rPr>
              <w:t>)</w:t>
            </w:r>
            <w:r w:rsidRPr="00741564">
              <w:rPr>
                <w:rFonts w:cstheme="minorHAnsi"/>
                <w:sz w:val="18"/>
                <w:szCs w:val="18"/>
              </w:rPr>
              <w:fldChar w:fldCharType="end"/>
            </w:r>
          </w:p>
        </w:tc>
        <w:tc>
          <w:tcPr>
            <w:tcW w:w="957" w:type="pct"/>
          </w:tcPr>
          <w:p w14:paraId="086048B4"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Menthol cigarette smoking and health, Florida 2007 BRFSS</w:t>
            </w:r>
          </w:p>
        </w:tc>
        <w:tc>
          <w:tcPr>
            <w:tcW w:w="551" w:type="pct"/>
          </w:tcPr>
          <w:p w14:paraId="70D1CA73"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American journal of health behavior</w:t>
            </w:r>
          </w:p>
        </w:tc>
        <w:tc>
          <w:tcPr>
            <w:tcW w:w="459" w:type="pct"/>
          </w:tcPr>
          <w:p w14:paraId="3B508C4C"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BRFSS</w:t>
            </w:r>
          </w:p>
        </w:tc>
        <w:tc>
          <w:tcPr>
            <w:tcW w:w="905" w:type="pct"/>
          </w:tcPr>
          <w:p w14:paraId="1C231674"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National (U.S.); Civilian adults (≥18 years old)</w:t>
            </w:r>
          </w:p>
        </w:tc>
        <w:tc>
          <w:tcPr>
            <w:tcW w:w="556" w:type="pct"/>
          </w:tcPr>
          <w:p w14:paraId="092127A0"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741564">
              <w:rPr>
                <w:rFonts w:cstheme="minorHAnsi"/>
                <w:sz w:val="18"/>
                <w:szCs w:val="18"/>
              </w:rPr>
              <w:t>None</w:t>
            </w:r>
          </w:p>
        </w:tc>
        <w:tc>
          <w:tcPr>
            <w:tcW w:w="1112" w:type="pct"/>
          </w:tcPr>
          <w:p w14:paraId="57F9E38A" w14:textId="77777777" w:rsidR="007F0AE0" w:rsidRPr="00741564"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Cross-sectional</w:t>
            </w:r>
          </w:p>
        </w:tc>
      </w:tr>
    </w:tbl>
    <w:p w14:paraId="5EF7B3D3" w14:textId="77777777" w:rsidR="007F0AE0" w:rsidRPr="00130E10" w:rsidRDefault="007F0AE0" w:rsidP="007F0AE0">
      <w:pPr>
        <w:spacing w:after="240" w:line="300" w:lineRule="auto"/>
        <w:rPr>
          <w:rFonts w:ascii="Calibri" w:hAnsi="Calibri" w:cs="Calibri"/>
        </w:rPr>
      </w:pPr>
    </w:p>
    <w:p w14:paraId="5FBA8436" w14:textId="77777777" w:rsidR="007F0AE0" w:rsidRPr="00130E10" w:rsidRDefault="007F0AE0" w:rsidP="007F0AE0">
      <w:pPr>
        <w:rPr>
          <w:rFonts w:ascii="Calibri" w:hAnsi="Calibri" w:cs="Calibri"/>
        </w:rPr>
      </w:pPr>
      <w:bookmarkStart w:id="40" w:name="_Ref1049213"/>
      <w:bookmarkStart w:id="41" w:name="_Toc1048638"/>
      <w:bookmarkStart w:id="42" w:name="_Toc4401204"/>
      <w:r w:rsidRPr="00130E10">
        <w:rPr>
          <w:rFonts w:ascii="Calibri" w:hAnsi="Calibri" w:cs="Calibri"/>
        </w:rPr>
        <w:br w:type="page"/>
      </w:r>
    </w:p>
    <w:p w14:paraId="116EEE4D" w14:textId="77777777" w:rsidR="007F0AE0" w:rsidRPr="00570B68" w:rsidRDefault="007F0AE0" w:rsidP="007F0AE0">
      <w:pPr>
        <w:spacing w:after="120" w:line="240" w:lineRule="auto"/>
        <w:outlineLvl w:val="2"/>
        <w:rPr>
          <w:rFonts w:eastAsia="Calibri" w:cstheme="minorHAnsi"/>
          <w:b/>
          <w:color w:val="000000"/>
        </w:rPr>
      </w:pPr>
      <w:bookmarkStart w:id="43" w:name="Table14_2"/>
      <w:r w:rsidRPr="00570B68">
        <w:rPr>
          <w:rFonts w:eastAsia="Calibri" w:cstheme="minorHAnsi"/>
          <w:b/>
          <w:color w:val="000000"/>
        </w:rPr>
        <w:lastRenderedPageBreak/>
        <w:t>Table</w:t>
      </w:r>
      <w:bookmarkEnd w:id="40"/>
      <w:r w:rsidRPr="00570B68">
        <w:rPr>
          <w:rFonts w:eastAsia="Calibri" w:cstheme="minorHAnsi"/>
          <w:b/>
          <w:color w:val="000000"/>
        </w:rPr>
        <w:t xml:space="preserve"> </w:t>
      </w:r>
      <w:r>
        <w:rPr>
          <w:rFonts w:eastAsia="Calibri" w:cstheme="minorHAnsi"/>
          <w:b/>
          <w:color w:val="000000"/>
        </w:rPr>
        <w:t>17-</w:t>
      </w:r>
      <w:r w:rsidRPr="00570B68">
        <w:rPr>
          <w:rFonts w:eastAsia="Calibri" w:cstheme="minorHAnsi"/>
          <w:b/>
          <w:color w:val="000000"/>
        </w:rPr>
        <w:t>2: Definitions of Measures, Outcomes and Total Analytic Sample for Studies Included in the Meta-Analysis of Quit Attempt from Cigarette Smoking</w:t>
      </w:r>
      <w:bookmarkEnd w:id="41"/>
      <w:bookmarkEnd w:id="42"/>
    </w:p>
    <w:tbl>
      <w:tblPr>
        <w:tblStyle w:val="PlainTable21"/>
        <w:tblW w:w="1275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2" w:type="dxa"/>
          <w:left w:w="62" w:type="dxa"/>
          <w:bottom w:w="62" w:type="dxa"/>
          <w:right w:w="62" w:type="dxa"/>
        </w:tblCellMar>
        <w:tblLook w:val="04A0" w:firstRow="1" w:lastRow="0" w:firstColumn="1" w:lastColumn="0" w:noHBand="0" w:noVBand="1"/>
      </w:tblPr>
      <w:tblGrid>
        <w:gridCol w:w="1560"/>
        <w:gridCol w:w="1842"/>
        <w:gridCol w:w="2268"/>
        <w:gridCol w:w="1985"/>
        <w:gridCol w:w="1701"/>
        <w:gridCol w:w="1559"/>
        <w:gridCol w:w="1843"/>
      </w:tblGrid>
      <w:tr w:rsidR="007F0AE0" w:rsidRPr="00096053" w14:paraId="252F075B"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60" w:type="dxa"/>
            <w:shd w:val="clear" w:color="auto" w:fill="44546A"/>
            <w:vAlign w:val="bottom"/>
          </w:tcPr>
          <w:bookmarkEnd w:id="43"/>
          <w:p w14:paraId="67B8BBEA" w14:textId="77777777" w:rsidR="007F0AE0" w:rsidRPr="00096053" w:rsidRDefault="007F0AE0" w:rsidP="00453DE3">
            <w:pPr>
              <w:spacing w:before="60" w:after="60"/>
              <w:rPr>
                <w:rFonts w:cstheme="minorHAnsi"/>
                <w:sz w:val="18"/>
                <w:szCs w:val="18"/>
              </w:rPr>
            </w:pPr>
            <w:r w:rsidRPr="00F52E88">
              <w:rPr>
                <w:rFonts w:cstheme="minorHAnsi"/>
                <w:color w:val="FFFFFF" w:themeColor="background1"/>
                <w:sz w:val="18"/>
                <w:szCs w:val="18"/>
              </w:rPr>
              <w:t xml:space="preserve">Study </w:t>
            </w:r>
          </w:p>
        </w:tc>
        <w:tc>
          <w:tcPr>
            <w:tcW w:w="1842" w:type="dxa"/>
            <w:shd w:val="clear" w:color="auto" w:fill="44546A"/>
            <w:vAlign w:val="bottom"/>
          </w:tcPr>
          <w:p w14:paraId="350DE5D6"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Definition of menthol smoker</w:t>
            </w:r>
          </w:p>
        </w:tc>
        <w:tc>
          <w:tcPr>
            <w:tcW w:w="2268" w:type="dxa"/>
            <w:shd w:val="clear" w:color="auto" w:fill="44546A"/>
            <w:vAlign w:val="bottom"/>
          </w:tcPr>
          <w:p w14:paraId="713716CF"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Definition of non-menthol smokers</w:t>
            </w:r>
          </w:p>
        </w:tc>
        <w:tc>
          <w:tcPr>
            <w:tcW w:w="1985" w:type="dxa"/>
            <w:shd w:val="clear" w:color="auto" w:fill="44546A"/>
            <w:vAlign w:val="bottom"/>
          </w:tcPr>
          <w:p w14:paraId="6972FBC2"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Definition of smoking</w:t>
            </w:r>
          </w:p>
        </w:tc>
        <w:tc>
          <w:tcPr>
            <w:tcW w:w="1701" w:type="dxa"/>
            <w:shd w:val="clear" w:color="auto" w:fill="44546A"/>
            <w:vAlign w:val="bottom"/>
          </w:tcPr>
          <w:p w14:paraId="7B31255A"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Definition of non-smoking</w:t>
            </w:r>
          </w:p>
        </w:tc>
        <w:tc>
          <w:tcPr>
            <w:tcW w:w="1559" w:type="dxa"/>
            <w:shd w:val="clear" w:color="auto" w:fill="44546A"/>
            <w:vAlign w:val="bottom"/>
          </w:tcPr>
          <w:p w14:paraId="2772F2C5"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Definition of outcome</w:t>
            </w:r>
          </w:p>
        </w:tc>
        <w:tc>
          <w:tcPr>
            <w:tcW w:w="1843" w:type="dxa"/>
            <w:shd w:val="clear" w:color="auto" w:fill="44546A"/>
            <w:vAlign w:val="bottom"/>
          </w:tcPr>
          <w:p w14:paraId="7FD839D1"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color w:val="FFFFFF" w:themeColor="background1"/>
                <w:sz w:val="18"/>
                <w:szCs w:val="18"/>
              </w:rPr>
              <w:t>Analytic sample</w:t>
            </w:r>
          </w:p>
        </w:tc>
      </w:tr>
      <w:tr w:rsidR="007F0AE0" w:rsidRPr="00096053" w14:paraId="1194AA7B"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1839EE6D"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14" w:tooltip="Alexander, 2010 #59" w:history="1">
              <w:r>
                <w:rPr>
                  <w:rFonts w:cstheme="minorHAnsi"/>
                  <w:noProof/>
                  <w:sz w:val="18"/>
                  <w:szCs w:val="18"/>
                </w:rPr>
                <w:t>14</w:t>
              </w:r>
            </w:hyperlink>
            <w:r>
              <w:rPr>
                <w:rFonts w:cstheme="minorHAnsi"/>
                <w:noProof/>
                <w:sz w:val="18"/>
                <w:szCs w:val="18"/>
              </w:rPr>
              <w:t>)</w:t>
            </w:r>
            <w:r w:rsidRPr="00F52E88">
              <w:rPr>
                <w:rFonts w:cstheme="minorHAnsi"/>
                <w:sz w:val="18"/>
                <w:szCs w:val="18"/>
              </w:rPr>
              <w:fldChar w:fldCharType="end"/>
            </w:r>
          </w:p>
        </w:tc>
        <w:tc>
          <w:tcPr>
            <w:tcW w:w="1842" w:type="dxa"/>
          </w:tcPr>
          <w:p w14:paraId="017C803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menthol cigarette brand</w:t>
            </w:r>
          </w:p>
        </w:tc>
        <w:tc>
          <w:tcPr>
            <w:tcW w:w="2268" w:type="dxa"/>
          </w:tcPr>
          <w:p w14:paraId="204EEBA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non-menthol cigarette brand</w:t>
            </w:r>
          </w:p>
        </w:tc>
        <w:tc>
          <w:tcPr>
            <w:tcW w:w="1985" w:type="dxa"/>
          </w:tcPr>
          <w:p w14:paraId="0EB28E2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current smokers (every day or some days)</w:t>
            </w:r>
          </w:p>
        </w:tc>
        <w:tc>
          <w:tcPr>
            <w:tcW w:w="1701" w:type="dxa"/>
          </w:tcPr>
          <w:p w14:paraId="73044D8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559" w:type="dxa"/>
          </w:tcPr>
          <w:p w14:paraId="071E8CE6"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ever quit attempts of 1 day or longer</w:t>
            </w:r>
          </w:p>
        </w:tc>
        <w:tc>
          <w:tcPr>
            <w:tcW w:w="1843" w:type="dxa"/>
          </w:tcPr>
          <w:p w14:paraId="3A0FF77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30,176</w:t>
            </w:r>
          </w:p>
        </w:tc>
      </w:tr>
      <w:tr w:rsidR="007F0AE0" w:rsidRPr="00096053" w14:paraId="4B813811" w14:textId="77777777" w:rsidTr="00453DE3">
        <w:tc>
          <w:tcPr>
            <w:cnfStyle w:val="001000000000" w:firstRow="0" w:lastRow="0" w:firstColumn="1" w:lastColumn="0" w:oddVBand="0" w:evenVBand="0" w:oddHBand="0" w:evenHBand="0" w:firstRowFirstColumn="0" w:firstRowLastColumn="0" w:lastRowFirstColumn="0" w:lastRowLastColumn="0"/>
            <w:tcW w:w="1560" w:type="dxa"/>
          </w:tcPr>
          <w:p w14:paraId="0F5CF0E7"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36" w:tooltip="Fagan, 2007 #94" w:history="1">
              <w:r>
                <w:rPr>
                  <w:rFonts w:cstheme="minorHAnsi"/>
                  <w:noProof/>
                  <w:sz w:val="18"/>
                  <w:szCs w:val="18"/>
                </w:rPr>
                <w:t>36</w:t>
              </w:r>
            </w:hyperlink>
            <w:r>
              <w:rPr>
                <w:rFonts w:cstheme="minorHAnsi"/>
                <w:noProof/>
                <w:sz w:val="18"/>
                <w:szCs w:val="18"/>
              </w:rPr>
              <w:t>)</w:t>
            </w:r>
            <w:r w:rsidRPr="00F52E88">
              <w:rPr>
                <w:rFonts w:cstheme="minorHAnsi"/>
                <w:sz w:val="18"/>
                <w:szCs w:val="18"/>
              </w:rPr>
              <w:fldChar w:fldCharType="end"/>
            </w:r>
          </w:p>
        </w:tc>
        <w:tc>
          <w:tcPr>
            <w:tcW w:w="1842" w:type="dxa"/>
          </w:tcPr>
          <w:p w14:paraId="7B92749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menthol cigarette brand</w:t>
            </w:r>
          </w:p>
        </w:tc>
        <w:tc>
          <w:tcPr>
            <w:tcW w:w="2268" w:type="dxa"/>
          </w:tcPr>
          <w:p w14:paraId="3C8F477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non-menthol cigarette brand</w:t>
            </w:r>
          </w:p>
        </w:tc>
        <w:tc>
          <w:tcPr>
            <w:tcW w:w="1985" w:type="dxa"/>
          </w:tcPr>
          <w:p w14:paraId="5FB5FAF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current smokers (every day or some days) (answering “every day” or “some days” to question “do you now smoke cigarettes every day, some days, or not at a</w:t>
            </w:r>
            <w:r>
              <w:rPr>
                <w:rFonts w:cstheme="minorHAnsi"/>
                <w:sz w:val="18"/>
                <w:szCs w:val="18"/>
                <w:lang w:val="en-US"/>
              </w:rPr>
              <w:t>l</w:t>
            </w:r>
            <w:r w:rsidRPr="00F52E88">
              <w:rPr>
                <w:rFonts w:cstheme="minorHAnsi"/>
                <w:sz w:val="18"/>
                <w:szCs w:val="18"/>
              </w:rPr>
              <w:t>l?”)</w:t>
            </w:r>
          </w:p>
        </w:tc>
        <w:tc>
          <w:tcPr>
            <w:tcW w:w="1701" w:type="dxa"/>
          </w:tcPr>
          <w:p w14:paraId="6368F7C5"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former smokers (answering “not at all” to question “do you now smoke cigarettes every day, some days, or not at a</w:t>
            </w:r>
            <w:r>
              <w:rPr>
                <w:rFonts w:cstheme="minorHAnsi"/>
                <w:sz w:val="18"/>
                <w:szCs w:val="18"/>
                <w:lang w:val="en-US"/>
              </w:rPr>
              <w:t>l</w:t>
            </w:r>
            <w:r w:rsidRPr="00F52E88">
              <w:rPr>
                <w:rFonts w:cstheme="minorHAnsi"/>
                <w:sz w:val="18"/>
                <w:szCs w:val="18"/>
              </w:rPr>
              <w:t>l?”)</w:t>
            </w:r>
          </w:p>
        </w:tc>
        <w:tc>
          <w:tcPr>
            <w:tcW w:w="1559" w:type="dxa"/>
          </w:tcPr>
          <w:p w14:paraId="4CF622F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quit attempts of 1 day or longer in the past year</w:t>
            </w:r>
          </w:p>
        </w:tc>
        <w:tc>
          <w:tcPr>
            <w:tcW w:w="1843" w:type="dxa"/>
          </w:tcPr>
          <w:p w14:paraId="19A78AB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6,712</w:t>
            </w:r>
          </w:p>
        </w:tc>
      </w:tr>
      <w:tr w:rsidR="007F0AE0" w:rsidRPr="00096053" w14:paraId="068ECA66"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3750B6BF"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6" w:tooltip="Hyland, 2010 #100" w:history="1">
              <w:r>
                <w:rPr>
                  <w:rFonts w:cstheme="minorHAnsi"/>
                  <w:noProof/>
                  <w:sz w:val="18"/>
                  <w:szCs w:val="18"/>
                </w:rPr>
                <w:t>46</w:t>
              </w:r>
            </w:hyperlink>
            <w:r>
              <w:rPr>
                <w:rFonts w:cstheme="minorHAnsi"/>
                <w:noProof/>
                <w:sz w:val="18"/>
                <w:szCs w:val="18"/>
              </w:rPr>
              <w:t>)</w:t>
            </w:r>
            <w:r w:rsidRPr="00F52E88">
              <w:rPr>
                <w:rFonts w:cstheme="minorHAnsi"/>
                <w:sz w:val="18"/>
                <w:szCs w:val="18"/>
              </w:rPr>
              <w:fldChar w:fldCharType="end"/>
            </w:r>
          </w:p>
        </w:tc>
        <w:tc>
          <w:tcPr>
            <w:tcW w:w="1842" w:type="dxa"/>
          </w:tcPr>
          <w:p w14:paraId="2E7F9DAC"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 by answering the question: “What type of cigarettes are the brand that you smoke? Menthol or Plain”</w:t>
            </w:r>
          </w:p>
        </w:tc>
        <w:tc>
          <w:tcPr>
            <w:tcW w:w="2268" w:type="dxa"/>
          </w:tcPr>
          <w:p w14:paraId="70D0929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 by answering the question: “What type of cigarettes are the brand that you smoke? Menthol or Plain”</w:t>
            </w:r>
          </w:p>
        </w:tc>
        <w:tc>
          <w:tcPr>
            <w:tcW w:w="1985" w:type="dxa"/>
          </w:tcPr>
          <w:p w14:paraId="0C95AE0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701" w:type="dxa"/>
          </w:tcPr>
          <w:p w14:paraId="6541713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559" w:type="dxa"/>
          </w:tcPr>
          <w:p w14:paraId="1AA254A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ever quit attempts</w:t>
            </w:r>
          </w:p>
        </w:tc>
        <w:tc>
          <w:tcPr>
            <w:tcW w:w="1843" w:type="dxa"/>
          </w:tcPr>
          <w:p w14:paraId="6096718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2,095</w:t>
            </w:r>
          </w:p>
        </w:tc>
      </w:tr>
      <w:tr w:rsidR="007F0AE0" w:rsidRPr="00096053" w14:paraId="7E032C30" w14:textId="77777777" w:rsidTr="00453DE3">
        <w:tc>
          <w:tcPr>
            <w:cnfStyle w:val="001000000000" w:firstRow="0" w:lastRow="0" w:firstColumn="1" w:lastColumn="0" w:oddVBand="0" w:evenVBand="0" w:oddHBand="0" w:evenHBand="0" w:firstRowFirstColumn="0" w:firstRowLastColumn="0" w:lastRowFirstColumn="0" w:lastRowLastColumn="0"/>
            <w:tcW w:w="1560" w:type="dxa"/>
          </w:tcPr>
          <w:p w14:paraId="2EF769EC"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34" w:tooltip="Kahende, 2011 #43" w:history="1">
              <w:r>
                <w:rPr>
                  <w:rFonts w:cstheme="minorHAnsi"/>
                  <w:noProof/>
                  <w:sz w:val="18"/>
                  <w:szCs w:val="18"/>
                </w:rPr>
                <w:t>34</w:t>
              </w:r>
            </w:hyperlink>
            <w:r>
              <w:rPr>
                <w:rFonts w:cstheme="minorHAnsi"/>
                <w:noProof/>
                <w:sz w:val="18"/>
                <w:szCs w:val="18"/>
              </w:rPr>
              <w:t>)</w:t>
            </w:r>
            <w:r w:rsidRPr="00F52E88">
              <w:rPr>
                <w:rFonts w:cstheme="minorHAnsi"/>
                <w:sz w:val="18"/>
                <w:szCs w:val="18"/>
              </w:rPr>
              <w:fldChar w:fldCharType="end"/>
            </w:r>
          </w:p>
        </w:tc>
        <w:tc>
          <w:tcPr>
            <w:tcW w:w="1842" w:type="dxa"/>
          </w:tcPr>
          <w:p w14:paraId="64A7456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menthol cigarette brand</w:t>
            </w:r>
          </w:p>
        </w:tc>
        <w:tc>
          <w:tcPr>
            <w:tcW w:w="2268" w:type="dxa"/>
          </w:tcPr>
          <w:p w14:paraId="001F0D0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non-menthol cigarette brand</w:t>
            </w:r>
          </w:p>
        </w:tc>
        <w:tc>
          <w:tcPr>
            <w:tcW w:w="1985" w:type="dxa"/>
          </w:tcPr>
          <w:p w14:paraId="4243F31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Smokers were those who reported smoking at least 100 cigarettes during their lifetimes and smoked within the past year includes those who remained smokers [currently smoked every day or some days] at the time of interview</w:t>
            </w:r>
          </w:p>
        </w:tc>
        <w:tc>
          <w:tcPr>
            <w:tcW w:w="1701" w:type="dxa"/>
          </w:tcPr>
          <w:p w14:paraId="43D113D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Former smokers at the time of interview [did not currently smoke] but who reported that they last smoked sometime during the past year</w:t>
            </w:r>
          </w:p>
        </w:tc>
        <w:tc>
          <w:tcPr>
            <w:tcW w:w="1559" w:type="dxa"/>
          </w:tcPr>
          <w:p w14:paraId="46F2211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past year quit attempts</w:t>
            </w:r>
          </w:p>
          <w:p w14:paraId="51EBC22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p w14:paraId="5C84FDE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*Usable data only available for White race/ethnicity, as all other races/ethnicities were compared to it</w:t>
            </w:r>
          </w:p>
        </w:tc>
        <w:tc>
          <w:tcPr>
            <w:tcW w:w="1843" w:type="dxa"/>
          </w:tcPr>
          <w:p w14:paraId="750C902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White=12,794</w:t>
            </w:r>
          </w:p>
        </w:tc>
      </w:tr>
      <w:tr w:rsidR="007F0AE0" w:rsidRPr="00096053" w14:paraId="0C452E4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5AC32FBD"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lastRenderedPageBreak/>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29" w:tooltip="Keeler, 2017 #660" w:history="1">
              <w:r>
                <w:rPr>
                  <w:rFonts w:cstheme="minorHAnsi"/>
                  <w:noProof/>
                  <w:sz w:val="18"/>
                  <w:szCs w:val="18"/>
                </w:rPr>
                <w:t>29</w:t>
              </w:r>
            </w:hyperlink>
            <w:r>
              <w:rPr>
                <w:rFonts w:cstheme="minorHAnsi"/>
                <w:noProof/>
                <w:sz w:val="18"/>
                <w:szCs w:val="18"/>
              </w:rPr>
              <w:t>)</w:t>
            </w:r>
            <w:r w:rsidRPr="00F52E88">
              <w:rPr>
                <w:rFonts w:cstheme="minorHAnsi"/>
                <w:sz w:val="18"/>
                <w:szCs w:val="18"/>
              </w:rPr>
              <w:fldChar w:fldCharType="end"/>
            </w:r>
          </w:p>
        </w:tc>
        <w:tc>
          <w:tcPr>
            <w:tcW w:w="1842" w:type="dxa"/>
          </w:tcPr>
          <w:p w14:paraId="0D0B3AB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Answering yes to question “Do you usually smoke menthol or non-menthol cigarettes?”</w:t>
            </w:r>
          </w:p>
        </w:tc>
        <w:tc>
          <w:tcPr>
            <w:tcW w:w="2268" w:type="dxa"/>
          </w:tcPr>
          <w:p w14:paraId="02D7EB7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Answering no to question “Do you usually smoke menthol or non-menthol cigarettes?”</w:t>
            </w:r>
          </w:p>
        </w:tc>
        <w:tc>
          <w:tcPr>
            <w:tcW w:w="1985" w:type="dxa"/>
          </w:tcPr>
          <w:p w14:paraId="30706F5F"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Current smokers were defined as individuals who smoked 100 cigarettes in their lifetime and currently smoke every day (daily smokers) or some days (someday smokers)</w:t>
            </w:r>
          </w:p>
        </w:tc>
        <w:tc>
          <w:tcPr>
            <w:tcW w:w="1701" w:type="dxa"/>
          </w:tcPr>
          <w:p w14:paraId="646D6C2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Former smokers were defined as individuals who smoked 100 cigarettes in their lifetime but currently do not smoke</w:t>
            </w:r>
          </w:p>
        </w:tc>
        <w:tc>
          <w:tcPr>
            <w:tcW w:w="1559" w:type="dxa"/>
          </w:tcPr>
          <w:p w14:paraId="54D9E596"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past year quit attempts</w:t>
            </w:r>
          </w:p>
        </w:tc>
        <w:tc>
          <w:tcPr>
            <w:tcW w:w="1843" w:type="dxa"/>
          </w:tcPr>
          <w:p w14:paraId="46497CC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54,448</w:t>
            </w:r>
          </w:p>
        </w:tc>
      </w:tr>
      <w:tr w:rsidR="007F0AE0" w:rsidRPr="00096053" w14:paraId="56BA98B9" w14:textId="77777777" w:rsidTr="00453DE3">
        <w:tc>
          <w:tcPr>
            <w:cnfStyle w:val="001000000000" w:firstRow="0" w:lastRow="0" w:firstColumn="1" w:lastColumn="0" w:oddVBand="0" w:evenVBand="0" w:oddHBand="0" w:evenHBand="0" w:firstRowFirstColumn="0" w:firstRowLastColumn="0" w:lastRowFirstColumn="0" w:lastRowLastColumn="0"/>
            <w:tcW w:w="1560" w:type="dxa"/>
          </w:tcPr>
          <w:p w14:paraId="550DD613"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19" w:tooltip="Levy, 2011 #45" w:history="1">
              <w:r>
                <w:rPr>
                  <w:rFonts w:cstheme="minorHAnsi"/>
                  <w:noProof/>
                  <w:sz w:val="18"/>
                  <w:szCs w:val="18"/>
                </w:rPr>
                <w:t>19</w:t>
              </w:r>
            </w:hyperlink>
            <w:r>
              <w:rPr>
                <w:rFonts w:cstheme="minorHAnsi"/>
                <w:noProof/>
                <w:sz w:val="18"/>
                <w:szCs w:val="18"/>
              </w:rPr>
              <w:t>)</w:t>
            </w:r>
            <w:r w:rsidRPr="00F52E88">
              <w:rPr>
                <w:rFonts w:cstheme="minorHAnsi"/>
                <w:sz w:val="18"/>
                <w:szCs w:val="18"/>
              </w:rPr>
              <w:fldChar w:fldCharType="end"/>
            </w:r>
          </w:p>
        </w:tc>
        <w:tc>
          <w:tcPr>
            <w:tcW w:w="1842" w:type="dxa"/>
          </w:tcPr>
          <w:p w14:paraId="0EDA872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usual menthol cigarette brand</w:t>
            </w:r>
          </w:p>
        </w:tc>
        <w:tc>
          <w:tcPr>
            <w:tcW w:w="2268" w:type="dxa"/>
          </w:tcPr>
          <w:p w14:paraId="707F740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usual non-menthol cigarette brand</w:t>
            </w:r>
          </w:p>
        </w:tc>
        <w:tc>
          <w:tcPr>
            <w:tcW w:w="1985" w:type="dxa"/>
          </w:tcPr>
          <w:p w14:paraId="6493055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Individuals who smoked at least 100 cigarettes in their lifetime and were now smoking every day or some days were classified as current smokers</w:t>
            </w:r>
          </w:p>
        </w:tc>
        <w:tc>
          <w:tcPr>
            <w:tcW w:w="1701" w:type="dxa"/>
          </w:tcPr>
          <w:p w14:paraId="77418BEF"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Individuals who smoked at least 100 cigarettes in their lifetime but did not currently smoke were classified as former smokers</w:t>
            </w:r>
          </w:p>
        </w:tc>
        <w:tc>
          <w:tcPr>
            <w:tcW w:w="1559" w:type="dxa"/>
          </w:tcPr>
          <w:p w14:paraId="28A25725"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past year quit attempts</w:t>
            </w:r>
          </w:p>
        </w:tc>
        <w:tc>
          <w:tcPr>
            <w:tcW w:w="1843" w:type="dxa"/>
          </w:tcPr>
          <w:p w14:paraId="76F6021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r>
      <w:tr w:rsidR="007F0AE0" w:rsidRPr="00096053" w14:paraId="768026FA"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4F81DAEE"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sidRPr="00F52E88">
              <w:rPr>
                <w:rFonts w:cstheme="minorHAnsi"/>
                <w:sz w:val="18"/>
                <w:szCs w:val="18"/>
              </w:rPr>
              <w:fldChar w:fldCharType="separate"/>
            </w:r>
            <w:r>
              <w:rPr>
                <w:rFonts w:cstheme="minorHAnsi"/>
                <w:noProof/>
                <w:sz w:val="18"/>
                <w:szCs w:val="18"/>
              </w:rPr>
              <w:t>(</w:t>
            </w:r>
            <w:hyperlink w:anchor="_ENREF_31" w:tooltip="Park, 2017 #1103" w:history="1">
              <w:r>
                <w:rPr>
                  <w:rFonts w:cstheme="minorHAnsi"/>
                  <w:noProof/>
                  <w:sz w:val="18"/>
                  <w:szCs w:val="18"/>
                </w:rPr>
                <w:t>31</w:t>
              </w:r>
            </w:hyperlink>
            <w:r>
              <w:rPr>
                <w:rFonts w:cstheme="minorHAnsi"/>
                <w:noProof/>
                <w:sz w:val="18"/>
                <w:szCs w:val="18"/>
              </w:rPr>
              <w:t>)</w:t>
            </w:r>
            <w:r w:rsidRPr="00F52E88">
              <w:rPr>
                <w:rFonts w:cstheme="minorHAnsi"/>
                <w:sz w:val="18"/>
                <w:szCs w:val="18"/>
              </w:rPr>
              <w:fldChar w:fldCharType="end"/>
            </w:r>
          </w:p>
        </w:tc>
        <w:tc>
          <w:tcPr>
            <w:tcW w:w="1842" w:type="dxa"/>
          </w:tcPr>
          <w:p w14:paraId="43B8C19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Current menthol cigarette use was measured from the following two questions: “Have you ever smoked menthol cigarettes for 6 months or more?” and “Currently, when you smoke cigarettes, how often do you smoke menthol cigarettes?” Those who currently smoke menthol cigarettes “all of the time” and “most of the time,” were defined as menthol smokers</w:t>
            </w:r>
          </w:p>
        </w:tc>
        <w:tc>
          <w:tcPr>
            <w:tcW w:w="2268" w:type="dxa"/>
          </w:tcPr>
          <w:p w14:paraId="21E8861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Current menthol cigarette use was measured from the following two questions: “Have you ever smoked menthol cigarettes for 6 months or more?” and “Currently, when you smoke cigarettes, how often do you smoke menthol cigarettes?” Those who currently smoke menthol cigarettes “some of time” “rarely” or those who have never smoked menthol cigarettes for 6 months or more were defined as non-menthol smokers.</w:t>
            </w:r>
          </w:p>
        </w:tc>
        <w:tc>
          <w:tcPr>
            <w:tcW w:w="1985" w:type="dxa"/>
          </w:tcPr>
          <w:p w14:paraId="706DFDD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Respondents who had smoked more than 100 cigarettes in their lifetime and currently smoke cigarettes every day or some days</w:t>
            </w:r>
          </w:p>
        </w:tc>
        <w:tc>
          <w:tcPr>
            <w:tcW w:w="1701" w:type="dxa"/>
          </w:tcPr>
          <w:p w14:paraId="46AF41B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559" w:type="dxa"/>
          </w:tcPr>
          <w:p w14:paraId="4C79275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Likelihood of past-year quit attempts</w:t>
            </w:r>
          </w:p>
        </w:tc>
        <w:tc>
          <w:tcPr>
            <w:tcW w:w="1843" w:type="dxa"/>
          </w:tcPr>
          <w:p w14:paraId="5EE79D0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4,245</w:t>
            </w:r>
          </w:p>
        </w:tc>
      </w:tr>
      <w:tr w:rsidR="007F0AE0" w:rsidRPr="00096053" w14:paraId="2FD04B1A" w14:textId="77777777" w:rsidTr="00453DE3">
        <w:tc>
          <w:tcPr>
            <w:cnfStyle w:val="001000000000" w:firstRow="0" w:lastRow="0" w:firstColumn="1" w:lastColumn="0" w:oddVBand="0" w:evenVBand="0" w:oddHBand="0" w:evenHBand="0" w:firstRowFirstColumn="0" w:firstRowLastColumn="0" w:lastRowFirstColumn="0" w:lastRowLastColumn="0"/>
            <w:tcW w:w="1560" w:type="dxa"/>
          </w:tcPr>
          <w:p w14:paraId="2D643451"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lastRenderedPageBreak/>
              <w:fldChar w:fldCharType="begin"/>
            </w:r>
            <w:r>
              <w:rPr>
                <w:rFonts w:cstheme="minorHAnsi"/>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1" w:tooltip="Pletcher, 2006 #78" w:history="1">
              <w:r>
                <w:rPr>
                  <w:rFonts w:cstheme="minorHAnsi"/>
                  <w:noProof/>
                  <w:sz w:val="18"/>
                  <w:szCs w:val="18"/>
                </w:rPr>
                <w:t>41</w:t>
              </w:r>
            </w:hyperlink>
            <w:r>
              <w:rPr>
                <w:rFonts w:cstheme="minorHAnsi"/>
                <w:noProof/>
                <w:sz w:val="18"/>
                <w:szCs w:val="18"/>
              </w:rPr>
              <w:t>)</w:t>
            </w:r>
            <w:r w:rsidRPr="00F52E88">
              <w:rPr>
                <w:rFonts w:cstheme="minorHAnsi"/>
                <w:sz w:val="18"/>
                <w:szCs w:val="18"/>
              </w:rPr>
              <w:fldChar w:fldCharType="end"/>
            </w:r>
          </w:p>
        </w:tc>
        <w:tc>
          <w:tcPr>
            <w:tcW w:w="1842" w:type="dxa"/>
          </w:tcPr>
          <w:p w14:paraId="7837C5B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Answering “mentholated” to question “Is [your current brand of cigarettes] mentholated or nonmentholated?”</w:t>
            </w:r>
          </w:p>
        </w:tc>
        <w:tc>
          <w:tcPr>
            <w:tcW w:w="2268" w:type="dxa"/>
          </w:tcPr>
          <w:p w14:paraId="0EA7EEF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Answering “nonmentholated” to question “Is [your current brand of cigarettes] mentholated or nonmentholated?”</w:t>
            </w:r>
          </w:p>
        </w:tc>
        <w:tc>
          <w:tcPr>
            <w:tcW w:w="1985" w:type="dxa"/>
          </w:tcPr>
          <w:p w14:paraId="5B8767A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701" w:type="dxa"/>
          </w:tcPr>
          <w:p w14:paraId="74A0370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559" w:type="dxa"/>
          </w:tcPr>
          <w:p w14:paraId="416CCF3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ever quit attempts</w:t>
            </w:r>
          </w:p>
        </w:tc>
        <w:tc>
          <w:tcPr>
            <w:tcW w:w="1843" w:type="dxa"/>
          </w:tcPr>
          <w:p w14:paraId="0655E3DF"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6,636*</w:t>
            </w:r>
          </w:p>
          <w:p w14:paraId="28139DA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p w14:paraId="1393FFF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*Number of examinations</w:t>
            </w:r>
          </w:p>
        </w:tc>
      </w:tr>
      <w:tr w:rsidR="007F0AE0" w:rsidRPr="00096053" w14:paraId="31A627C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64DDF524"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35" w:tooltip="Webb Hooper, 2011 #51" w:history="1">
              <w:r>
                <w:rPr>
                  <w:rFonts w:cstheme="minorHAnsi"/>
                  <w:noProof/>
                  <w:sz w:val="18"/>
                  <w:szCs w:val="18"/>
                </w:rPr>
                <w:t>35</w:t>
              </w:r>
            </w:hyperlink>
            <w:r>
              <w:rPr>
                <w:rFonts w:cstheme="minorHAnsi"/>
                <w:noProof/>
                <w:sz w:val="18"/>
                <w:szCs w:val="18"/>
              </w:rPr>
              <w:t>)</w:t>
            </w:r>
            <w:r w:rsidRPr="00F52E88">
              <w:rPr>
                <w:rFonts w:cstheme="minorHAnsi"/>
                <w:sz w:val="18"/>
                <w:szCs w:val="18"/>
              </w:rPr>
              <w:fldChar w:fldCharType="end"/>
            </w:r>
          </w:p>
        </w:tc>
        <w:tc>
          <w:tcPr>
            <w:tcW w:w="1842" w:type="dxa"/>
          </w:tcPr>
          <w:p w14:paraId="321257F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Answering “menthol” to the question “Is your usual cigarette brand menthol or nonmenthol?”</w:t>
            </w:r>
          </w:p>
        </w:tc>
        <w:tc>
          <w:tcPr>
            <w:tcW w:w="2268" w:type="dxa"/>
          </w:tcPr>
          <w:p w14:paraId="04C5A28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Answering “nonmenthol” to the question “Is your usual cigarette brand menthol or nonmenthol?”</w:t>
            </w:r>
          </w:p>
        </w:tc>
        <w:tc>
          <w:tcPr>
            <w:tcW w:w="1985" w:type="dxa"/>
          </w:tcPr>
          <w:p w14:paraId="2CF9024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Current smokers indicated that they smoked at least 100 lifetime cigarettes and smoked every day or some days</w:t>
            </w:r>
          </w:p>
        </w:tc>
        <w:tc>
          <w:tcPr>
            <w:tcW w:w="1701" w:type="dxa"/>
          </w:tcPr>
          <w:p w14:paraId="67D9A44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1559" w:type="dxa"/>
          </w:tcPr>
          <w:p w14:paraId="2380180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past year quit attempts</w:t>
            </w:r>
          </w:p>
        </w:tc>
        <w:tc>
          <w:tcPr>
            <w:tcW w:w="1843" w:type="dxa"/>
          </w:tcPr>
          <w:p w14:paraId="04259A8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2,977</w:t>
            </w:r>
          </w:p>
        </w:tc>
      </w:tr>
    </w:tbl>
    <w:p w14:paraId="4E50C500" w14:textId="77777777" w:rsidR="007F0AE0" w:rsidRDefault="007F0AE0" w:rsidP="007F0AE0">
      <w:pPr>
        <w:spacing w:after="120" w:line="240" w:lineRule="auto"/>
        <w:rPr>
          <w:rFonts w:eastAsia="Calibri" w:cstheme="minorHAnsi"/>
          <w:b/>
          <w:color w:val="000000"/>
        </w:rPr>
      </w:pPr>
      <w:bookmarkStart w:id="44" w:name="_Ref1045921"/>
      <w:bookmarkStart w:id="45" w:name="_Toc1048639"/>
      <w:bookmarkStart w:id="46" w:name="_Toc4401205"/>
    </w:p>
    <w:p w14:paraId="0BA26453" w14:textId="77777777" w:rsidR="007F0AE0" w:rsidRPr="00570B68" w:rsidRDefault="007F0AE0" w:rsidP="007F0AE0">
      <w:pPr>
        <w:outlineLvl w:val="2"/>
        <w:rPr>
          <w:rFonts w:eastAsia="Calibri" w:cstheme="minorHAnsi"/>
          <w:b/>
          <w:color w:val="000000"/>
        </w:rPr>
      </w:pPr>
      <w:r>
        <w:rPr>
          <w:rFonts w:eastAsia="Calibri" w:cstheme="minorHAnsi"/>
          <w:b/>
          <w:color w:val="000000"/>
        </w:rPr>
        <w:br w:type="page"/>
      </w:r>
      <w:bookmarkStart w:id="47" w:name="Table14_3"/>
      <w:r>
        <w:rPr>
          <w:rFonts w:eastAsia="Calibri" w:cstheme="minorHAnsi"/>
          <w:b/>
          <w:color w:val="000000"/>
        </w:rPr>
        <w:lastRenderedPageBreak/>
        <w:t>T</w:t>
      </w:r>
      <w:r w:rsidRPr="00570B68">
        <w:rPr>
          <w:rFonts w:eastAsia="Calibri" w:cstheme="minorHAnsi"/>
          <w:b/>
          <w:color w:val="000000"/>
        </w:rPr>
        <w:t>abl</w:t>
      </w:r>
      <w:bookmarkEnd w:id="44"/>
      <w:r w:rsidRPr="00570B68">
        <w:rPr>
          <w:rFonts w:eastAsia="Calibri" w:cstheme="minorHAnsi"/>
          <w:b/>
          <w:color w:val="000000"/>
        </w:rPr>
        <w:t xml:space="preserve">e </w:t>
      </w:r>
      <w:r>
        <w:rPr>
          <w:rFonts w:eastAsia="Calibri" w:cstheme="minorHAnsi"/>
          <w:b/>
          <w:color w:val="000000"/>
        </w:rPr>
        <w:t>17-</w:t>
      </w:r>
      <w:r w:rsidRPr="00570B68">
        <w:rPr>
          <w:rFonts w:eastAsia="Calibri" w:cstheme="minorHAnsi"/>
          <w:b/>
          <w:color w:val="000000"/>
        </w:rPr>
        <w:t>3: Covariates Controlled for Studies Included in the Meta-Analysis of Cigarette Smoking Quit Attempt</w:t>
      </w:r>
      <w:bookmarkEnd w:id="45"/>
      <w:bookmarkEnd w:id="46"/>
    </w:p>
    <w:tbl>
      <w:tblPr>
        <w:tblStyle w:val="PlainTable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62" w:type="dxa"/>
          <w:bottom w:w="62" w:type="dxa"/>
          <w:right w:w="62" w:type="dxa"/>
        </w:tblCellMar>
        <w:tblLook w:val="04A0" w:firstRow="1" w:lastRow="0" w:firstColumn="1" w:lastColumn="0" w:noHBand="0" w:noVBand="1"/>
      </w:tblPr>
      <w:tblGrid>
        <w:gridCol w:w="1406"/>
        <w:gridCol w:w="2279"/>
        <w:gridCol w:w="3256"/>
        <w:gridCol w:w="2922"/>
        <w:gridCol w:w="3087"/>
      </w:tblGrid>
      <w:tr w:rsidR="007F0AE0" w:rsidRPr="00096053" w14:paraId="4DC239F3"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43" w:type="pct"/>
            <w:shd w:val="clear" w:color="auto" w:fill="44546A" w:themeFill="text2"/>
            <w:vAlign w:val="bottom"/>
          </w:tcPr>
          <w:bookmarkEnd w:id="47"/>
          <w:p w14:paraId="6FEF7707" w14:textId="77777777" w:rsidR="007F0AE0" w:rsidRPr="00F52E88" w:rsidRDefault="007F0AE0" w:rsidP="00453DE3">
            <w:pPr>
              <w:spacing w:before="60" w:after="60"/>
              <w:rPr>
                <w:rFonts w:cstheme="minorHAnsi"/>
                <w:color w:val="FFFFFF" w:themeColor="background1"/>
                <w:sz w:val="18"/>
                <w:szCs w:val="18"/>
                <w:lang w:val="en-US"/>
              </w:rPr>
            </w:pPr>
            <w:r w:rsidRPr="00F52E88">
              <w:rPr>
                <w:rFonts w:cstheme="minorHAnsi"/>
                <w:color w:val="FFFFFF" w:themeColor="background1"/>
                <w:sz w:val="18"/>
                <w:szCs w:val="18"/>
              </w:rPr>
              <w:t xml:space="preserve">Study </w:t>
            </w:r>
          </w:p>
        </w:tc>
        <w:tc>
          <w:tcPr>
            <w:tcW w:w="880" w:type="pct"/>
            <w:shd w:val="clear" w:color="auto" w:fill="44546A" w:themeFill="text2"/>
            <w:vAlign w:val="bottom"/>
          </w:tcPr>
          <w:p w14:paraId="50B62E32"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lang w:val="en-US"/>
              </w:rPr>
            </w:pPr>
            <w:r w:rsidRPr="00F52E88">
              <w:rPr>
                <w:rFonts w:cstheme="minorHAnsi"/>
                <w:color w:val="FFFFFF" w:themeColor="background1"/>
                <w:sz w:val="18"/>
                <w:szCs w:val="18"/>
              </w:rPr>
              <w:t>Characteristics of population</w:t>
            </w:r>
          </w:p>
        </w:tc>
        <w:tc>
          <w:tcPr>
            <w:tcW w:w="1257" w:type="pct"/>
            <w:shd w:val="clear" w:color="auto" w:fill="44546A" w:themeFill="text2"/>
            <w:vAlign w:val="bottom"/>
          </w:tcPr>
          <w:p w14:paraId="7817084E"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lang w:val="en-US"/>
              </w:rPr>
            </w:pPr>
            <w:r w:rsidRPr="00F52E88">
              <w:rPr>
                <w:rFonts w:cstheme="minorHAnsi"/>
                <w:color w:val="FFFFFF" w:themeColor="background1"/>
                <w:sz w:val="18"/>
                <w:szCs w:val="18"/>
              </w:rPr>
              <w:t>Micro Factors</w:t>
            </w:r>
          </w:p>
        </w:tc>
        <w:tc>
          <w:tcPr>
            <w:tcW w:w="1128" w:type="pct"/>
            <w:shd w:val="clear" w:color="auto" w:fill="44546A" w:themeFill="text2"/>
            <w:vAlign w:val="bottom"/>
          </w:tcPr>
          <w:p w14:paraId="26A697DE"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lang w:val="en-US"/>
              </w:rPr>
            </w:pPr>
            <w:r w:rsidRPr="00F52E88">
              <w:rPr>
                <w:rFonts w:cstheme="minorHAnsi"/>
                <w:color w:val="FFFFFF" w:themeColor="background1"/>
                <w:sz w:val="18"/>
                <w:szCs w:val="18"/>
              </w:rPr>
              <w:t>Meso Factors</w:t>
            </w:r>
          </w:p>
        </w:tc>
        <w:tc>
          <w:tcPr>
            <w:tcW w:w="1192" w:type="pct"/>
            <w:shd w:val="clear" w:color="auto" w:fill="44546A" w:themeFill="text2"/>
            <w:vAlign w:val="bottom"/>
          </w:tcPr>
          <w:p w14:paraId="601CD91E"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color w:val="FFFFFF" w:themeColor="background1"/>
                <w:sz w:val="18"/>
                <w:szCs w:val="18"/>
                <w:lang w:val="en-US"/>
              </w:rPr>
            </w:pPr>
            <w:r w:rsidRPr="00F52E88">
              <w:rPr>
                <w:rFonts w:cstheme="minorHAnsi"/>
                <w:color w:val="FFFFFF" w:themeColor="background1"/>
                <w:sz w:val="18"/>
                <w:szCs w:val="18"/>
              </w:rPr>
              <w:t>Macro Factors</w:t>
            </w:r>
          </w:p>
        </w:tc>
      </w:tr>
      <w:tr w:rsidR="007F0AE0" w:rsidRPr="00096053" w14:paraId="4B9C206F"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2F360841"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14" w:tooltip="Alexander, 2010 #59" w:history="1">
              <w:r>
                <w:rPr>
                  <w:rFonts w:cstheme="minorHAnsi"/>
                  <w:noProof/>
                  <w:sz w:val="18"/>
                  <w:szCs w:val="18"/>
                </w:rPr>
                <w:t>14</w:t>
              </w:r>
            </w:hyperlink>
            <w:r>
              <w:rPr>
                <w:rFonts w:cstheme="minorHAnsi"/>
                <w:noProof/>
                <w:sz w:val="18"/>
                <w:szCs w:val="18"/>
              </w:rPr>
              <w:t>)</w:t>
            </w:r>
            <w:r w:rsidRPr="00F52E88">
              <w:rPr>
                <w:rFonts w:cstheme="minorHAnsi"/>
                <w:sz w:val="18"/>
                <w:szCs w:val="18"/>
              </w:rPr>
              <w:fldChar w:fldCharType="end"/>
            </w:r>
          </w:p>
        </w:tc>
        <w:tc>
          <w:tcPr>
            <w:tcW w:w="0" w:type="pct"/>
          </w:tcPr>
          <w:p w14:paraId="46E76B7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Smokers 18 years of age or older from U.S.</w:t>
            </w:r>
          </w:p>
        </w:tc>
        <w:tc>
          <w:tcPr>
            <w:tcW w:w="0" w:type="pct"/>
          </w:tcPr>
          <w:p w14:paraId="3711D95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42CBD22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2049B2B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465A68E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Education</w:t>
            </w:r>
          </w:p>
          <w:p w14:paraId="15765B6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Region</w:t>
            </w:r>
          </w:p>
        </w:tc>
        <w:tc>
          <w:tcPr>
            <w:tcW w:w="0" w:type="pct"/>
          </w:tcPr>
          <w:p w14:paraId="789C515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1FE9137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1781C845"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3F950D41"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PEVuZE5vdGU+PENpdGU+PEF1dGhvcj5GYWdhbjwvQXV0aG9yPjxZZWFyPjIwMDc8L1llYXI+PFJl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==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36" w:tooltip="Fagan, 2007 #94" w:history="1">
              <w:r>
                <w:rPr>
                  <w:rFonts w:cstheme="minorHAnsi"/>
                  <w:noProof/>
                  <w:sz w:val="18"/>
                  <w:szCs w:val="18"/>
                </w:rPr>
                <w:t>36</w:t>
              </w:r>
            </w:hyperlink>
            <w:r>
              <w:rPr>
                <w:rFonts w:cstheme="minorHAnsi"/>
                <w:noProof/>
                <w:sz w:val="18"/>
                <w:szCs w:val="18"/>
              </w:rPr>
              <w:t>)</w:t>
            </w:r>
            <w:r w:rsidRPr="00F52E88">
              <w:rPr>
                <w:rFonts w:cstheme="minorHAnsi"/>
                <w:sz w:val="18"/>
                <w:szCs w:val="18"/>
              </w:rPr>
              <w:fldChar w:fldCharType="end"/>
            </w:r>
          </w:p>
        </w:tc>
        <w:tc>
          <w:tcPr>
            <w:tcW w:w="0" w:type="pct"/>
          </w:tcPr>
          <w:p w14:paraId="542A42A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Young adult current smokers aged 18 to 30 years from U.S.</w:t>
            </w:r>
          </w:p>
        </w:tc>
        <w:tc>
          <w:tcPr>
            <w:tcW w:w="0" w:type="pct"/>
          </w:tcPr>
          <w:p w14:paraId="744C5B9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3063401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6A9DC8A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p w14:paraId="4226BD6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*Following covariates were adjusted for if independent variables in the bivariate models had a p &lt;0.25:</w:t>
            </w:r>
          </w:p>
          <w:p w14:paraId="633BF38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0DF9575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Employment status</w:t>
            </w:r>
          </w:p>
          <w:p w14:paraId="3199207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Enrolled in school last week</w:t>
            </w:r>
          </w:p>
          <w:p w14:paraId="5A7E557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Annual family income</w:t>
            </w:r>
          </w:p>
          <w:p w14:paraId="3BA245FF"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Smoking status</w:t>
            </w:r>
          </w:p>
        </w:tc>
        <w:tc>
          <w:tcPr>
            <w:tcW w:w="0" w:type="pct"/>
          </w:tcPr>
          <w:p w14:paraId="5B641A35"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2A4E438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05990E35"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68ECCF50"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6" w:tooltip="Hyland, 2010 #100" w:history="1">
              <w:r>
                <w:rPr>
                  <w:rFonts w:cstheme="minorHAnsi"/>
                  <w:noProof/>
                  <w:sz w:val="18"/>
                  <w:szCs w:val="18"/>
                </w:rPr>
                <w:t>46</w:t>
              </w:r>
            </w:hyperlink>
            <w:r>
              <w:rPr>
                <w:rFonts w:cstheme="minorHAnsi"/>
                <w:noProof/>
                <w:sz w:val="18"/>
                <w:szCs w:val="18"/>
              </w:rPr>
              <w:t>)</w:t>
            </w:r>
            <w:r w:rsidRPr="00F52E88">
              <w:rPr>
                <w:rFonts w:cstheme="minorHAnsi"/>
                <w:sz w:val="18"/>
                <w:szCs w:val="18"/>
              </w:rPr>
              <w:fldChar w:fldCharType="end"/>
            </w:r>
          </w:p>
        </w:tc>
        <w:tc>
          <w:tcPr>
            <w:tcW w:w="0" w:type="pct"/>
          </w:tcPr>
          <w:p w14:paraId="5FDA1E8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Current smokers between 25 and 64 years of age at baseline from U.S.</w:t>
            </w:r>
          </w:p>
        </w:tc>
        <w:tc>
          <w:tcPr>
            <w:tcW w:w="0" w:type="pct"/>
          </w:tcPr>
          <w:p w14:paraId="4DD13106"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6D529E2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158B0CE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1279AFD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Education</w:t>
            </w:r>
          </w:p>
          <w:p w14:paraId="615B830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Frequency of alcohol consumption in 1988</w:t>
            </w:r>
          </w:p>
          <w:p w14:paraId="0EBD842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 started smoking</w:t>
            </w:r>
          </w:p>
          <w:p w14:paraId="1784586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Amount smoked in 1993</w:t>
            </w:r>
          </w:p>
          <w:p w14:paraId="4B40987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Number of past quit attempts</w:t>
            </w:r>
          </w:p>
          <w:p w14:paraId="08263C1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Other smokers in the household</w:t>
            </w:r>
          </w:p>
          <w:p w14:paraId="3DDCFC6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Desire to quit smoking in 1988</w:t>
            </w:r>
          </w:p>
        </w:tc>
        <w:tc>
          <w:tcPr>
            <w:tcW w:w="0" w:type="pct"/>
          </w:tcPr>
          <w:p w14:paraId="61CCBDE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069E651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60F45CE8"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5BC2BB7A"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lastRenderedPageBreak/>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PEVuZE5vdGU+PENpdGU+PEF1dGhvcj5LYWhlbmRlPC9BdXRob3I+PFllYXI+MjAxMTwvWWVhcj48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34" w:tooltip="Kahende, 2011 #43" w:history="1">
              <w:r>
                <w:rPr>
                  <w:rFonts w:cstheme="minorHAnsi"/>
                  <w:noProof/>
                  <w:sz w:val="18"/>
                  <w:szCs w:val="18"/>
                </w:rPr>
                <w:t>34</w:t>
              </w:r>
            </w:hyperlink>
            <w:r>
              <w:rPr>
                <w:rFonts w:cstheme="minorHAnsi"/>
                <w:noProof/>
                <w:sz w:val="18"/>
                <w:szCs w:val="18"/>
              </w:rPr>
              <w:t>)</w:t>
            </w:r>
            <w:r w:rsidRPr="00F52E88">
              <w:rPr>
                <w:rFonts w:cstheme="minorHAnsi"/>
                <w:sz w:val="18"/>
                <w:szCs w:val="18"/>
              </w:rPr>
              <w:fldChar w:fldCharType="end"/>
            </w:r>
          </w:p>
        </w:tc>
        <w:tc>
          <w:tcPr>
            <w:tcW w:w="0" w:type="pct"/>
          </w:tcPr>
          <w:p w14:paraId="589F285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Adults (≥18 years of age) who had smoked within the past year from U.S.</w:t>
            </w:r>
          </w:p>
        </w:tc>
        <w:tc>
          <w:tcPr>
            <w:tcW w:w="0" w:type="pct"/>
          </w:tcPr>
          <w:p w14:paraId="6CDA5B9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0FF91B49"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6298683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Education</w:t>
            </w:r>
          </w:p>
          <w:p w14:paraId="0BE284EF"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Region</w:t>
            </w:r>
          </w:p>
          <w:p w14:paraId="0C1289D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Number of CPD</w:t>
            </w:r>
          </w:p>
          <w:p w14:paraId="3E3E956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How long smoked</w:t>
            </w:r>
          </w:p>
        </w:tc>
        <w:tc>
          <w:tcPr>
            <w:tcW w:w="0" w:type="pct"/>
          </w:tcPr>
          <w:p w14:paraId="01F5A4C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Smoking policy at work</w:t>
            </w:r>
          </w:p>
        </w:tc>
        <w:tc>
          <w:tcPr>
            <w:tcW w:w="0" w:type="pct"/>
          </w:tcPr>
          <w:p w14:paraId="47BE0C8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5FD3370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199D1F67"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PEVuZE5vdGU+PENpdGU+PEF1dGhvcj5LZWVsZXI8L0F1dGhvcj48WWVhcj4yMDE3PC9ZZWFyPjxS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29" w:tooltip="Keeler, 2017 #660" w:history="1">
              <w:r>
                <w:rPr>
                  <w:rFonts w:cstheme="minorHAnsi"/>
                  <w:noProof/>
                  <w:sz w:val="18"/>
                  <w:szCs w:val="18"/>
                </w:rPr>
                <w:t>29</w:t>
              </w:r>
            </w:hyperlink>
            <w:r>
              <w:rPr>
                <w:rFonts w:cstheme="minorHAnsi"/>
                <w:noProof/>
                <w:sz w:val="18"/>
                <w:szCs w:val="18"/>
              </w:rPr>
              <w:t>)</w:t>
            </w:r>
            <w:r w:rsidRPr="00F52E88">
              <w:rPr>
                <w:rFonts w:cstheme="minorHAnsi"/>
                <w:sz w:val="18"/>
                <w:szCs w:val="18"/>
              </w:rPr>
              <w:fldChar w:fldCharType="end"/>
            </w:r>
          </w:p>
        </w:tc>
        <w:tc>
          <w:tcPr>
            <w:tcW w:w="0" w:type="pct"/>
          </w:tcPr>
          <w:p w14:paraId="3BCA743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Adults aged ≥18 for national (U.S.) survey</w:t>
            </w:r>
          </w:p>
        </w:tc>
        <w:tc>
          <w:tcPr>
            <w:tcW w:w="0" w:type="pct"/>
          </w:tcPr>
          <w:p w14:paraId="60D8DB2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7A5C9FC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4E6AF7C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Education</w:t>
            </w:r>
          </w:p>
          <w:p w14:paraId="78B1513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Smoking less than 30 min after waking</w:t>
            </w:r>
          </w:p>
          <w:p w14:paraId="4585410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Cigarette type</w:t>
            </w:r>
          </w:p>
          <w:p w14:paraId="241BD32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Survey year</w:t>
            </w:r>
          </w:p>
          <w:p w14:paraId="5A80487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Family income</w:t>
            </w:r>
          </w:p>
          <w:p w14:paraId="06682FFC"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Marital status</w:t>
            </w:r>
          </w:p>
          <w:p w14:paraId="66057F9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Region</w:t>
            </w:r>
          </w:p>
          <w:p w14:paraId="7BFD4BD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tc>
        <w:tc>
          <w:tcPr>
            <w:tcW w:w="0" w:type="pct"/>
          </w:tcPr>
          <w:p w14:paraId="3F52DAC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68A011A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6D350E7F"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44F3A458"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&lt;EndNote&gt;&lt;Cite&gt;&lt;Author&gt;Levy&lt;/Author&gt;&lt;Year&gt;2011&lt;/Year&gt;&lt;RecNum&gt;45&lt;/RecNum&gt;&lt;DisplayText&gt;(19)&lt;/DisplayText&gt;&lt;record&gt;&lt;rec-number&gt;45&lt;/rec-number&gt;&lt;foreign-keys&gt;&lt;key app="EN" db-id="a2vz2dfp8xrad6exes75zwpiw5rxwa0vwapv" timestamp="0"&gt;45&lt;/key&gt;&lt;/foreign-keys&gt;&lt;ref-type name="Journal Article"&gt;17&lt;/ref-type&gt;&lt;contributors&gt;&lt;authors&gt;&lt;author&gt;Levy, D. T.&lt;/author&gt;&lt;author&gt;Blackman, K.&lt;/author&gt;&lt;author&gt;Tauras, J.&lt;/author&gt;&lt;author&gt;Chaloupka, F. J.&lt;/author&gt;&lt;author&gt;Villanti, A. C.&lt;/author&gt;&lt;author&gt;Niaura, R. S.&lt;/author&gt;&lt;author&gt;Vallone, D. M.&lt;/author&gt;&lt;author&gt;Abrams, D. B.&lt;/author&gt;&lt;/authors&gt;&lt;/contributors&gt;&lt;auth-address&gt;Department of Economics, University of Baltimore, Baltimore, MD, USA. dlevy@ubalt.edu&lt;/auth-address&gt;&lt;titles&gt;&lt;title&gt;Quit attempts and quit rates among menthol and nonmenthol smokers in the United States&lt;/title&gt;&lt;secondary-title&gt;Am J Public Health&lt;/secondary-title&gt;&lt;/titles&gt;&lt;periodical&gt;&lt;full-title&gt;Am J Public Health&lt;/full-title&gt;&lt;/periodical&gt;&lt;pages&gt;1241-7&lt;/pages&gt;&lt;volume&gt;101&lt;/volume&gt;&lt;number&gt;7&lt;/number&gt;&lt;keywords&gt;&lt;keyword&gt;Health Surveys&lt;/keyword&gt;&lt;keyword&gt;Humans&lt;/keyword&gt;&lt;keyword&gt;Logistic Models&lt;/keyword&gt;&lt;keyword&gt;Menthol&lt;/keyword&gt;&lt;keyword&gt;Smoking/epidemiology/legislation &amp;amp; jurisprudence&lt;/keyword&gt;&lt;keyword&gt;Smoking Cessation/*statistics &amp;amp; numerical data&lt;/keyword&gt;&lt;keyword&gt;Socioeconomic Factors&lt;/keyword&gt;&lt;keyword&gt;United States/epidemiology&lt;/keyword&gt;&lt;/keywords&gt;&lt;dates&gt;&lt;year&gt;2011&lt;/year&gt;&lt;pub-dates&gt;&lt;date&gt;Jul&lt;/date&gt;&lt;/pub-dates&gt;&lt;/dates&gt;&lt;isbn&gt;1541-0048 (Electronic)&amp;#xD;0090-0036 (Linking)&lt;/isbn&gt;&lt;accession-num&gt;21566032&lt;/accession-num&gt;&lt;urls&gt;&lt;related-urls&gt;&lt;url&gt;http://www.ncbi.nlm.nih.gov/pubmed/21566032&lt;/url&gt;&lt;/related-urls&gt;&lt;/urls&gt;&lt;custom2&gt;PMC3110228&lt;/custom2&gt;&lt;electronic-resource-num&gt;10.2105/AJPH.2011.300178&lt;/electronic-resource-num&gt;&lt;research-notes&gt;#237&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19" w:tooltip="Levy, 2011 #45" w:history="1">
              <w:r>
                <w:rPr>
                  <w:rFonts w:cstheme="minorHAnsi"/>
                  <w:noProof/>
                  <w:sz w:val="18"/>
                  <w:szCs w:val="18"/>
                </w:rPr>
                <w:t>19</w:t>
              </w:r>
            </w:hyperlink>
            <w:r>
              <w:rPr>
                <w:rFonts w:cstheme="minorHAnsi"/>
                <w:noProof/>
                <w:sz w:val="18"/>
                <w:szCs w:val="18"/>
              </w:rPr>
              <w:t>)</w:t>
            </w:r>
            <w:r w:rsidRPr="00F52E88">
              <w:rPr>
                <w:rFonts w:cstheme="minorHAnsi"/>
                <w:sz w:val="18"/>
                <w:szCs w:val="18"/>
              </w:rPr>
              <w:fldChar w:fldCharType="end"/>
            </w:r>
          </w:p>
        </w:tc>
        <w:tc>
          <w:tcPr>
            <w:tcW w:w="0" w:type="pct"/>
          </w:tcPr>
          <w:p w14:paraId="51F4ADC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Self-respondents aged 18 years and older from U.S.</w:t>
            </w:r>
          </w:p>
        </w:tc>
        <w:tc>
          <w:tcPr>
            <w:tcW w:w="0" w:type="pct"/>
          </w:tcPr>
          <w:p w14:paraId="32BB245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506D621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0F59C3D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01BA9F4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Marital status</w:t>
            </w:r>
          </w:p>
          <w:p w14:paraId="6F7DBCB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Education</w:t>
            </w:r>
          </w:p>
          <w:p w14:paraId="45BD825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Family income</w:t>
            </w:r>
          </w:p>
          <w:p w14:paraId="123EF81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Survey year</w:t>
            </w:r>
          </w:p>
        </w:tc>
        <w:tc>
          <w:tcPr>
            <w:tcW w:w="0" w:type="pct"/>
          </w:tcPr>
          <w:p w14:paraId="14C036B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2CFFD25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State-level tobacco control policies</w:t>
            </w:r>
          </w:p>
        </w:tc>
      </w:tr>
      <w:tr w:rsidR="007F0AE0" w:rsidRPr="00096053" w14:paraId="40EE5788"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277A1580"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&lt;EndNote&gt;&lt;Cite&gt;&lt;Author&gt;Park&lt;/Author&gt;&lt;Year&gt;2017&lt;/Year&gt;&lt;RecNum&gt;1103&lt;/RecNum&gt;&lt;DisplayText&gt;(31)&lt;/DisplayText&gt;&lt;record&gt;&lt;rec-number&gt;1103&lt;/rec-number&gt;&lt;foreign-keys&gt;&lt;key app="EN" db-id="a2vz2dfp8xrad6exes75zwpiw5rxwa0vwapv" timestamp="1548690884"&gt;1103&lt;/key&gt;&lt;/foreign-keys&gt;&lt;ref-type name="Journal Article"&gt;17&lt;/ref-type&gt;&lt;contributors&gt;&lt;authors&gt;&lt;author&gt;Park, Ji-Yeun&lt;/author&gt;&lt;/authors&gt;&lt;/contributors&gt;&lt;titles&gt;&lt;title&gt;Tobacco use behaviors among vulnerable populations&lt;/title&gt;&lt;secondary-title&gt;Dissertation Abstracts International: Section B: The Sciences and Engineering&lt;/secondary-title&gt;&lt;tertiary-title&gt;Dissertation Abstracts International&lt;/tertiary-title&gt;&lt;/titles&gt;&lt;periodical&gt;&lt;full-title&gt;Dissertation Abstracts International: Section B: The Sciences and Engineering&lt;/full-title&gt;&lt;/periodical&gt;&lt;pages&gt;No-Specified&lt;/pages&gt;&lt;volume&gt;77&lt;/volume&gt;&lt;number&gt;12-B(E)&lt;/number&gt;&lt;keywords&gt;&lt;keyword&gt;*Susceptibility (Disorders)&lt;/keyword&gt;&lt;keyword&gt;*Tobacco Smoking&lt;/keyword&gt;&lt;keyword&gt;*Bullying&lt;/keyword&gt;&lt;/keywords&gt;&lt;dates&gt;&lt;year&gt;2017&lt;/year&gt;&lt;/dates&gt;&lt;pub-location&gt;US&lt;/pub-location&gt;&lt;publisher&gt;ProQuest Information &amp;amp; Learning&amp;#xD;US&lt;/publisher&gt;&lt;isbn&gt;0419-4217&amp;#xD;978-1339862552&lt;/isbn&gt;&lt;work-type&gt;Health &amp;amp; Mental Health Treatment &amp;amp; Prevention 3300&lt;/work-type&gt;&lt;urls&gt;&lt;related-urls&gt;&lt;url&gt;http://ovidsp.ovid.com/ovidweb.cgi?T=JS&amp;amp;PAGE=reference&amp;amp;D=psyc13a&amp;amp;NEWS=N&amp;amp;AN=2016-58399-162&lt;/url&gt;&lt;/related-urls&gt;&lt;/urls&gt;&lt;custom1&gt;Database: EBM Reviews - Cochrane Central Register of Controlled Trials &amp;lt;November 2018&amp;gt;, EBM Reviews - Cochrane Database of Systematic Reviews &amp;lt;2005 to December 14, 2018&amp;gt;, EBM Reviews - Database of Abstracts of Reviews of Effects &amp;lt;1st Quarter 2016&amp;gt;, Embase &amp;lt;1974 to 2018 December 14&amp;gt;, Ovid MEDLINE(R) ALL &amp;lt;1946 to December 14, 2018&amp;gt;, PsycINFO &amp;lt;1806 to December Week 2 2018&amp;gt; Search Strategy:&lt;/custom1&gt;&lt;/record&gt;&lt;/Cite&gt;&lt;/EndNote&gt;</w:instrText>
            </w:r>
            <w:r w:rsidRPr="00F52E88">
              <w:rPr>
                <w:rFonts w:cstheme="minorHAnsi"/>
                <w:sz w:val="18"/>
                <w:szCs w:val="18"/>
              </w:rPr>
              <w:fldChar w:fldCharType="separate"/>
            </w:r>
            <w:r>
              <w:rPr>
                <w:rFonts w:cstheme="minorHAnsi"/>
                <w:noProof/>
                <w:sz w:val="18"/>
                <w:szCs w:val="18"/>
              </w:rPr>
              <w:t>(</w:t>
            </w:r>
            <w:hyperlink w:anchor="_ENREF_31" w:tooltip="Park, 2017 #1103" w:history="1">
              <w:r>
                <w:rPr>
                  <w:rFonts w:cstheme="minorHAnsi"/>
                  <w:noProof/>
                  <w:sz w:val="18"/>
                  <w:szCs w:val="18"/>
                </w:rPr>
                <w:t>31</w:t>
              </w:r>
            </w:hyperlink>
            <w:r>
              <w:rPr>
                <w:rFonts w:cstheme="minorHAnsi"/>
                <w:noProof/>
                <w:sz w:val="18"/>
                <w:szCs w:val="18"/>
              </w:rPr>
              <w:t>)</w:t>
            </w:r>
            <w:r w:rsidRPr="00F52E88">
              <w:rPr>
                <w:rFonts w:cstheme="minorHAnsi"/>
                <w:sz w:val="18"/>
                <w:szCs w:val="18"/>
              </w:rPr>
              <w:fldChar w:fldCharType="end"/>
            </w:r>
          </w:p>
        </w:tc>
        <w:tc>
          <w:tcPr>
            <w:tcW w:w="0" w:type="pct"/>
          </w:tcPr>
          <w:p w14:paraId="1197909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Adults ages 18 years or older from U.S.</w:t>
            </w:r>
          </w:p>
        </w:tc>
        <w:tc>
          <w:tcPr>
            <w:tcW w:w="0" w:type="pct"/>
          </w:tcPr>
          <w:p w14:paraId="7E93AAF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Menthol cigarette use</w:t>
            </w:r>
          </w:p>
          <w:p w14:paraId="02123D4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10C51F7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7554CFD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51B5E05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Marital status</w:t>
            </w:r>
          </w:p>
          <w:p w14:paraId="496B574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lastRenderedPageBreak/>
              <w:t>Education</w:t>
            </w:r>
          </w:p>
          <w:p w14:paraId="35FFD5B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Household income</w:t>
            </w:r>
          </w:p>
          <w:p w14:paraId="32B6E40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Quantity of smoking per day</w:t>
            </w:r>
          </w:p>
          <w:p w14:paraId="2D561DB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Smoking onset</w:t>
            </w:r>
          </w:p>
        </w:tc>
        <w:tc>
          <w:tcPr>
            <w:tcW w:w="0" w:type="pct"/>
          </w:tcPr>
          <w:p w14:paraId="5BBE81B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lastRenderedPageBreak/>
              <w:t>Home smoking restrictions</w:t>
            </w:r>
          </w:p>
        </w:tc>
        <w:tc>
          <w:tcPr>
            <w:tcW w:w="0" w:type="pct"/>
          </w:tcPr>
          <w:p w14:paraId="3682547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Statewide comprehensive smoke-free laws</w:t>
            </w:r>
          </w:p>
        </w:tc>
      </w:tr>
      <w:tr w:rsidR="007F0AE0" w:rsidRPr="00096053" w14:paraId="346578FD"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12A0C624"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1" w:tooltip="Pletcher, 2006 #78" w:history="1">
              <w:r>
                <w:rPr>
                  <w:rFonts w:cstheme="minorHAnsi"/>
                  <w:noProof/>
                  <w:sz w:val="18"/>
                  <w:szCs w:val="18"/>
                </w:rPr>
                <w:t>41</w:t>
              </w:r>
            </w:hyperlink>
            <w:r>
              <w:rPr>
                <w:rFonts w:cstheme="minorHAnsi"/>
                <w:noProof/>
                <w:sz w:val="18"/>
                <w:szCs w:val="18"/>
              </w:rPr>
              <w:t>)</w:t>
            </w:r>
            <w:r w:rsidRPr="00F52E88">
              <w:rPr>
                <w:rFonts w:cstheme="minorHAnsi"/>
                <w:sz w:val="18"/>
                <w:szCs w:val="18"/>
              </w:rPr>
              <w:fldChar w:fldCharType="end"/>
            </w:r>
          </w:p>
        </w:tc>
        <w:tc>
          <w:tcPr>
            <w:tcW w:w="0" w:type="pct"/>
          </w:tcPr>
          <w:p w14:paraId="3CDDFC5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Healthy adults aged 18 to 30 years from Oakland, Chicago, Minneapolis and Birmingham (U.S.)</w:t>
            </w:r>
          </w:p>
        </w:tc>
        <w:tc>
          <w:tcPr>
            <w:tcW w:w="0" w:type="pct"/>
          </w:tcPr>
          <w:p w14:paraId="2B2758D9"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1F88473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4A21B0C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0988607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CPD at baseline</w:t>
            </w:r>
          </w:p>
          <w:p w14:paraId="4FE8C33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Educational level</w:t>
            </w:r>
          </w:p>
          <w:p w14:paraId="2F94F71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Marital status</w:t>
            </w:r>
          </w:p>
          <w:p w14:paraId="00D8AB8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Employment</w:t>
            </w:r>
          </w:p>
          <w:p w14:paraId="13389F3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Health insurance status</w:t>
            </w:r>
          </w:p>
        </w:tc>
        <w:tc>
          <w:tcPr>
            <w:tcW w:w="0" w:type="pct"/>
          </w:tcPr>
          <w:p w14:paraId="7E41375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26F587BF"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0600F36B"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33DF4A24"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&lt;EndNote&gt;&lt;Cite&gt;&lt;Author&gt;Webb Hooper&lt;/Author&gt;&lt;Year&gt;2011&lt;/Year&gt;&lt;RecNum&gt;51&lt;/RecNum&gt;&lt;DisplayText&gt;(35)&lt;/DisplayText&gt;&lt;record&gt;&lt;rec-number&gt;51&lt;/rec-number&gt;&lt;foreign-keys&gt;&lt;key app="EN" db-id="a2vz2dfp8xrad6exes75zwpiw5rxwa0vwapv" timestamp="0"&gt;51&lt;/key&gt;&lt;/foreign-keys&gt;&lt;ref-type name="Journal Article"&gt;17&lt;/ref-type&gt;&lt;contributors&gt;&lt;authors&gt;&lt;author&gt;Webb Hooper, M.&lt;/author&gt;&lt;author&gt;Zhao, W.&lt;/author&gt;&lt;author&gt;Byrne, M. M.&lt;/author&gt;&lt;author&gt;Davila, E.&lt;/author&gt;&lt;author&gt;Caban-Martinez, A.&lt;/author&gt;&lt;author&gt;Dietz, N. A.&lt;/author&gt;&lt;author&gt;Parker, D. F.&lt;/author&gt;&lt;author&gt;Huang, Y.&lt;/author&gt;&lt;author&gt;Messiah, A.&lt;/author&gt;&lt;author&gt;Lee, D. J.&lt;/author&gt;&lt;/authors&gt;&lt;/contributors&gt;&lt;titles&gt;&lt;title&gt;Menthol cigarette smoking and health, Florida 2007 BRFSS&lt;/title&gt;&lt;secondary-title&gt;Am J Health Behav&lt;/secondary-title&gt;&lt;/titles&gt;&lt;pages&gt;3-14&lt;/pages&gt;&lt;volume&gt;31&lt;/volume&gt;&lt;number&gt;1&lt;/number&gt;&lt;section&gt;3&lt;/section&gt;&lt;dates&gt;&lt;year&gt;2011&lt;/year&gt;&lt;/dates&gt;&lt;urls&gt;&lt;/urls&gt;&lt;research-notes&gt;#272&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35" w:tooltip="Webb Hooper, 2011 #51" w:history="1">
              <w:r>
                <w:rPr>
                  <w:rFonts w:cstheme="minorHAnsi"/>
                  <w:noProof/>
                  <w:sz w:val="18"/>
                  <w:szCs w:val="18"/>
                </w:rPr>
                <w:t>35</w:t>
              </w:r>
            </w:hyperlink>
            <w:r>
              <w:rPr>
                <w:rFonts w:cstheme="minorHAnsi"/>
                <w:noProof/>
                <w:sz w:val="18"/>
                <w:szCs w:val="18"/>
              </w:rPr>
              <w:t>)</w:t>
            </w:r>
            <w:r w:rsidRPr="00F52E88">
              <w:rPr>
                <w:rFonts w:cstheme="minorHAnsi"/>
                <w:sz w:val="18"/>
                <w:szCs w:val="18"/>
              </w:rPr>
              <w:fldChar w:fldCharType="end"/>
            </w:r>
          </w:p>
        </w:tc>
        <w:tc>
          <w:tcPr>
            <w:tcW w:w="0" w:type="pct"/>
          </w:tcPr>
          <w:p w14:paraId="182C24D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Civilian adults (≥18 years old) from U.S.</w:t>
            </w:r>
          </w:p>
        </w:tc>
        <w:tc>
          <w:tcPr>
            <w:tcW w:w="0" w:type="pct"/>
          </w:tcPr>
          <w:p w14:paraId="708D225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Race/ethnicity</w:t>
            </w:r>
          </w:p>
          <w:p w14:paraId="716A66B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Age</w:t>
            </w:r>
          </w:p>
          <w:p w14:paraId="19F2C2D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Gender</w:t>
            </w:r>
          </w:p>
          <w:p w14:paraId="11285AB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Smoked pack years</w:t>
            </w:r>
          </w:p>
          <w:p w14:paraId="542BE37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Nicotine dependence</w:t>
            </w:r>
          </w:p>
          <w:p w14:paraId="32C1F152"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Ever had medical condition</w:t>
            </w:r>
          </w:p>
          <w:p w14:paraId="5553AD4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Any health coverage</w:t>
            </w:r>
          </w:p>
          <w:p w14:paraId="062A87FC"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Frequency poor mental health</w:t>
            </w:r>
          </w:p>
          <w:p w14:paraId="28AF7B3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Frequency poor physical health</w:t>
            </w:r>
          </w:p>
        </w:tc>
        <w:tc>
          <w:tcPr>
            <w:tcW w:w="0" w:type="pct"/>
          </w:tcPr>
          <w:p w14:paraId="6F165D9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48126D8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bl>
    <w:p w14:paraId="6D8710C2" w14:textId="77777777" w:rsidR="007F0AE0" w:rsidRPr="00130E10" w:rsidRDefault="007F0AE0" w:rsidP="007F0AE0">
      <w:pPr>
        <w:spacing w:after="240" w:line="300" w:lineRule="auto"/>
        <w:rPr>
          <w:rFonts w:ascii="Calibri" w:hAnsi="Calibri" w:cs="Calibri"/>
        </w:rPr>
        <w:sectPr w:rsidR="007F0AE0" w:rsidRPr="00130E10" w:rsidSect="008A07A9">
          <w:pgSz w:w="15840" w:h="12240" w:orient="landscape"/>
          <w:pgMar w:top="1440" w:right="1440" w:bottom="1440" w:left="1440" w:header="708" w:footer="708" w:gutter="0"/>
          <w:cols w:space="708"/>
          <w:docGrid w:linePitch="360"/>
        </w:sectPr>
      </w:pPr>
    </w:p>
    <w:p w14:paraId="719AC7DA" w14:textId="77777777" w:rsidR="007F0AE0" w:rsidRPr="00570B68" w:rsidRDefault="007F0AE0" w:rsidP="007F0AE0">
      <w:pPr>
        <w:spacing w:after="120" w:line="240" w:lineRule="auto"/>
        <w:outlineLvl w:val="2"/>
        <w:rPr>
          <w:rFonts w:eastAsia="Calibri" w:cstheme="minorHAnsi"/>
          <w:b/>
          <w:color w:val="000000"/>
        </w:rPr>
      </w:pPr>
      <w:bookmarkStart w:id="48" w:name="Table14_4"/>
      <w:r w:rsidRPr="00570B68">
        <w:rPr>
          <w:rFonts w:eastAsia="Calibri" w:cstheme="minorHAnsi"/>
          <w:b/>
          <w:color w:val="000000"/>
        </w:rPr>
        <w:lastRenderedPageBreak/>
        <w:t xml:space="preserve">Table </w:t>
      </w:r>
      <w:r>
        <w:rPr>
          <w:rFonts w:eastAsia="Calibri" w:cstheme="minorHAnsi"/>
          <w:b/>
          <w:color w:val="000000"/>
        </w:rPr>
        <w:t>17-</w:t>
      </w:r>
      <w:r w:rsidRPr="00570B68">
        <w:rPr>
          <w:rFonts w:eastAsia="Calibri" w:cstheme="minorHAnsi"/>
          <w:b/>
          <w:color w:val="000000"/>
        </w:rPr>
        <w:t>4: Characteristics of Studies Inc</w:t>
      </w:r>
      <w:r>
        <w:rPr>
          <w:rFonts w:eastAsia="Calibri" w:cstheme="minorHAnsi"/>
          <w:b/>
          <w:color w:val="000000"/>
        </w:rPr>
        <w:t>luded in the Meta-Analysis of</w:t>
      </w:r>
      <w:r w:rsidRPr="00570B68">
        <w:rPr>
          <w:rFonts w:eastAsia="Calibri" w:cstheme="minorHAnsi"/>
          <w:b/>
          <w:color w:val="000000"/>
        </w:rPr>
        <w:t xml:space="preserve"> Abstinence from Cigarette Smoking</w:t>
      </w:r>
    </w:p>
    <w:tbl>
      <w:tblPr>
        <w:tblStyle w:val="PlainTable22"/>
        <w:tblW w:w="4647"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62" w:type="dxa"/>
          <w:bottom w:w="62" w:type="dxa"/>
          <w:right w:w="62" w:type="dxa"/>
        </w:tblCellMar>
        <w:tblLook w:val="04A0" w:firstRow="1" w:lastRow="0" w:firstColumn="1" w:lastColumn="0" w:noHBand="0" w:noVBand="1"/>
      </w:tblPr>
      <w:tblGrid>
        <w:gridCol w:w="1110"/>
        <w:gridCol w:w="2494"/>
        <w:gridCol w:w="1964"/>
        <w:gridCol w:w="1245"/>
        <w:gridCol w:w="2205"/>
        <w:gridCol w:w="1338"/>
        <w:gridCol w:w="2215"/>
      </w:tblGrid>
      <w:tr w:rsidR="007F0AE0" w:rsidRPr="00096053" w14:paraId="246F3550"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42" w:type="pct"/>
            <w:shd w:val="clear" w:color="auto" w:fill="44546A"/>
            <w:vAlign w:val="bottom"/>
          </w:tcPr>
          <w:bookmarkEnd w:id="48"/>
          <w:p w14:paraId="59F1ED41" w14:textId="77777777" w:rsidR="007F0AE0" w:rsidRPr="00096053" w:rsidRDefault="007F0AE0" w:rsidP="00453DE3">
            <w:pPr>
              <w:spacing w:before="60" w:after="60"/>
              <w:rPr>
                <w:rFonts w:cstheme="minorHAnsi"/>
                <w:color w:val="000000"/>
                <w:sz w:val="18"/>
                <w:szCs w:val="18"/>
              </w:rPr>
            </w:pPr>
            <w:r w:rsidRPr="00CD6E74">
              <w:rPr>
                <w:rFonts w:cstheme="minorHAnsi"/>
                <w:color w:val="FFFFFF" w:themeColor="background1"/>
                <w:sz w:val="18"/>
                <w:szCs w:val="18"/>
              </w:rPr>
              <w:t>Study</w:t>
            </w:r>
          </w:p>
        </w:tc>
        <w:tc>
          <w:tcPr>
            <w:tcW w:w="992" w:type="pct"/>
            <w:shd w:val="clear" w:color="auto" w:fill="44546A"/>
            <w:vAlign w:val="bottom"/>
          </w:tcPr>
          <w:p w14:paraId="3127C895"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Study title</w:t>
            </w:r>
          </w:p>
        </w:tc>
        <w:tc>
          <w:tcPr>
            <w:tcW w:w="781" w:type="pct"/>
            <w:shd w:val="clear" w:color="auto" w:fill="44546A"/>
            <w:vAlign w:val="bottom"/>
          </w:tcPr>
          <w:p w14:paraId="5E46BA2B"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Journal</w:t>
            </w:r>
          </w:p>
        </w:tc>
        <w:tc>
          <w:tcPr>
            <w:tcW w:w="495" w:type="pct"/>
            <w:shd w:val="clear" w:color="auto" w:fill="44546A"/>
            <w:vAlign w:val="bottom"/>
          </w:tcPr>
          <w:p w14:paraId="5A60ECBF"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Survey name</w:t>
            </w:r>
          </w:p>
        </w:tc>
        <w:tc>
          <w:tcPr>
            <w:tcW w:w="877" w:type="pct"/>
            <w:shd w:val="clear" w:color="auto" w:fill="44546A"/>
            <w:vAlign w:val="bottom"/>
          </w:tcPr>
          <w:p w14:paraId="53672F28"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Scope; Population</w:t>
            </w:r>
          </w:p>
        </w:tc>
        <w:tc>
          <w:tcPr>
            <w:tcW w:w="532" w:type="pct"/>
            <w:shd w:val="clear" w:color="auto" w:fill="44546A"/>
            <w:vAlign w:val="bottom"/>
          </w:tcPr>
          <w:p w14:paraId="3888EE38"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Special population</w:t>
            </w:r>
          </w:p>
        </w:tc>
        <w:tc>
          <w:tcPr>
            <w:tcW w:w="881" w:type="pct"/>
            <w:shd w:val="clear" w:color="auto" w:fill="44546A"/>
            <w:vAlign w:val="bottom"/>
          </w:tcPr>
          <w:p w14:paraId="7827A844" w14:textId="77777777" w:rsidR="007F0AE0" w:rsidRPr="00096053"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D6E74">
              <w:rPr>
                <w:rFonts w:cstheme="minorHAnsi"/>
                <w:color w:val="FFFFFF" w:themeColor="background1"/>
                <w:sz w:val="18"/>
                <w:szCs w:val="18"/>
              </w:rPr>
              <w:t xml:space="preserve">Study design </w:t>
            </w:r>
          </w:p>
        </w:tc>
      </w:tr>
      <w:tr w:rsidR="007F0AE0" w:rsidRPr="00096053" w14:paraId="4A4DE4F5"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595CF43C" w14:textId="77777777" w:rsidR="007F0AE0" w:rsidRPr="00AB2869" w:rsidRDefault="007F0AE0" w:rsidP="00453DE3">
            <w:pPr>
              <w:spacing w:before="60" w:after="60"/>
              <w:rPr>
                <w:rFonts w:cstheme="minorHAnsi"/>
                <w:b w:val="0"/>
                <w:color w:val="000000"/>
                <w:sz w:val="18"/>
                <w:szCs w:val="18"/>
              </w:rPr>
            </w:pPr>
            <w:r w:rsidRPr="00AB2869">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AB2869">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AB2869">
              <w:rPr>
                <w:rFonts w:cstheme="minorHAnsi"/>
                <w:color w:val="000000"/>
                <w:sz w:val="18"/>
                <w:szCs w:val="18"/>
              </w:rPr>
              <w:fldChar w:fldCharType="end"/>
            </w:r>
          </w:p>
        </w:tc>
        <w:tc>
          <w:tcPr>
            <w:tcW w:w="992" w:type="pct"/>
          </w:tcPr>
          <w:p w14:paraId="5E128826"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Lung cancer risk among smokers of menthol cigarettes</w:t>
            </w:r>
          </w:p>
        </w:tc>
        <w:tc>
          <w:tcPr>
            <w:tcW w:w="781" w:type="pct"/>
          </w:tcPr>
          <w:p w14:paraId="07FDF84B"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Journal of the National Cancer Institute</w:t>
            </w:r>
          </w:p>
        </w:tc>
        <w:tc>
          <w:tcPr>
            <w:tcW w:w="495" w:type="pct"/>
          </w:tcPr>
          <w:p w14:paraId="352B0A99"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Southern Community Cohort Study</w:t>
            </w:r>
          </w:p>
        </w:tc>
        <w:tc>
          <w:tcPr>
            <w:tcW w:w="877" w:type="pct"/>
          </w:tcPr>
          <w:p w14:paraId="4F424FA5"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Alabama, Arkansas, Florida, Georgia, Kentucky, Louisiana, Mississippi, North Carolina, South Carolina, Tennessee, Virginia, and West Virginia (U.S.); Adults aged 40–79 years</w:t>
            </w:r>
          </w:p>
        </w:tc>
        <w:tc>
          <w:tcPr>
            <w:tcW w:w="532" w:type="pct"/>
          </w:tcPr>
          <w:p w14:paraId="3DF65265"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2DC3C449"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Prospective cohort</w:t>
            </w:r>
          </w:p>
        </w:tc>
      </w:tr>
      <w:tr w:rsidR="007F0AE0" w:rsidRPr="00096053" w14:paraId="34F378B6" w14:textId="77777777" w:rsidTr="00453DE3">
        <w:trPr>
          <w:trHeight w:val="421"/>
        </w:trPr>
        <w:tc>
          <w:tcPr>
            <w:cnfStyle w:val="001000000000" w:firstRow="0" w:lastRow="0" w:firstColumn="1" w:lastColumn="0" w:oddVBand="0" w:evenVBand="0" w:oddHBand="0" w:evenHBand="0" w:firstRowFirstColumn="0" w:firstRowLastColumn="0" w:lastRowFirstColumn="0" w:lastRowLastColumn="0"/>
            <w:tcW w:w="442" w:type="pct"/>
          </w:tcPr>
          <w:p w14:paraId="29556CF0"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AB2869">
              <w:rPr>
                <w:rFonts w:cstheme="minorHAnsi"/>
                <w:sz w:val="18"/>
                <w:szCs w:val="18"/>
              </w:rPr>
              <w:fldChar w:fldCharType="separate"/>
            </w:r>
            <w:r>
              <w:rPr>
                <w:rFonts w:cstheme="minorHAnsi"/>
                <w:noProof/>
                <w:sz w:val="18"/>
                <w:szCs w:val="18"/>
              </w:rPr>
              <w:t>(</w:t>
            </w:r>
            <w:hyperlink w:anchor="_ENREF_57" w:tooltip="Delnevo, 2011 #42" w:history="1">
              <w:r>
                <w:rPr>
                  <w:rFonts w:cstheme="minorHAnsi"/>
                  <w:noProof/>
                  <w:sz w:val="18"/>
                  <w:szCs w:val="18"/>
                </w:rPr>
                <w:t>57</w:t>
              </w:r>
            </w:hyperlink>
            <w:r>
              <w:rPr>
                <w:rFonts w:cstheme="minorHAnsi"/>
                <w:noProof/>
                <w:sz w:val="18"/>
                <w:szCs w:val="18"/>
              </w:rPr>
              <w:t>)</w:t>
            </w:r>
            <w:r w:rsidRPr="00AB2869">
              <w:rPr>
                <w:rFonts w:cstheme="minorHAnsi"/>
                <w:sz w:val="18"/>
                <w:szCs w:val="18"/>
              </w:rPr>
              <w:fldChar w:fldCharType="end"/>
            </w:r>
          </w:p>
        </w:tc>
        <w:tc>
          <w:tcPr>
            <w:tcW w:w="992" w:type="pct"/>
          </w:tcPr>
          <w:p w14:paraId="4D40F62C"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Smoking-Cessation prevalence among U.S. smokers of menthol versus non-menthol cigarettes</w:t>
            </w:r>
          </w:p>
        </w:tc>
        <w:tc>
          <w:tcPr>
            <w:tcW w:w="781" w:type="pct"/>
          </w:tcPr>
          <w:p w14:paraId="5030DEA9"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American Journal of Preventive Medicine</w:t>
            </w:r>
          </w:p>
        </w:tc>
        <w:tc>
          <w:tcPr>
            <w:tcW w:w="495" w:type="pct"/>
          </w:tcPr>
          <w:p w14:paraId="7DDAC9B7"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Analysis of 2003 and 2006/2007 TUS CPS</w:t>
            </w:r>
          </w:p>
        </w:tc>
        <w:tc>
          <w:tcPr>
            <w:tcW w:w="877" w:type="pct"/>
          </w:tcPr>
          <w:p w14:paraId="4D7966E5"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National (U.S.); Adult smokers ≥18 years old</w:t>
            </w:r>
          </w:p>
        </w:tc>
        <w:tc>
          <w:tcPr>
            <w:tcW w:w="532" w:type="pct"/>
          </w:tcPr>
          <w:p w14:paraId="456D2AF2"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081551E5"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 xml:space="preserve">Cross-sectional </w:t>
            </w:r>
          </w:p>
        </w:tc>
      </w:tr>
      <w:tr w:rsidR="007F0AE0" w:rsidRPr="00096053" w14:paraId="1D9BCD4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7B6AB2A2"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AB2869">
              <w:rPr>
                <w:rFonts w:cstheme="minorHAnsi"/>
                <w:sz w:val="18"/>
                <w:szCs w:val="18"/>
              </w:rPr>
              <w:fldChar w:fldCharType="separate"/>
            </w:r>
            <w:r>
              <w:rPr>
                <w:rFonts w:cstheme="minorHAnsi"/>
                <w:noProof/>
                <w:sz w:val="18"/>
                <w:szCs w:val="18"/>
              </w:rPr>
              <w:t>(</w:t>
            </w:r>
            <w:hyperlink w:anchor="_ENREF_27" w:tooltip="Faseru, 2013 #29" w:history="1">
              <w:r>
                <w:rPr>
                  <w:rFonts w:cstheme="minorHAnsi"/>
                  <w:noProof/>
                  <w:sz w:val="18"/>
                  <w:szCs w:val="18"/>
                </w:rPr>
                <w:t>27</w:t>
              </w:r>
            </w:hyperlink>
            <w:r>
              <w:rPr>
                <w:rFonts w:cstheme="minorHAnsi"/>
                <w:noProof/>
                <w:sz w:val="18"/>
                <w:szCs w:val="18"/>
              </w:rPr>
              <w:t>)</w:t>
            </w:r>
            <w:r w:rsidRPr="00AB2869">
              <w:rPr>
                <w:rFonts w:cstheme="minorHAnsi"/>
                <w:sz w:val="18"/>
                <w:szCs w:val="18"/>
              </w:rPr>
              <w:fldChar w:fldCharType="end"/>
            </w:r>
          </w:p>
        </w:tc>
        <w:tc>
          <w:tcPr>
            <w:tcW w:w="992" w:type="pct"/>
          </w:tcPr>
          <w:p w14:paraId="4753ECDC"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Predictors of cessation in African American light smokers</w:t>
            </w:r>
          </w:p>
        </w:tc>
        <w:tc>
          <w:tcPr>
            <w:tcW w:w="781" w:type="pct"/>
          </w:tcPr>
          <w:p w14:paraId="79B27F12"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Addictive Behaviors</w:t>
            </w:r>
          </w:p>
        </w:tc>
        <w:tc>
          <w:tcPr>
            <w:tcW w:w="495" w:type="pct"/>
          </w:tcPr>
          <w:p w14:paraId="4FC1DCDC"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5B42BF8F"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Kansas City Metropolitan area (U.S.); African American light smokers ≥18 years old</w:t>
            </w:r>
          </w:p>
        </w:tc>
        <w:tc>
          <w:tcPr>
            <w:tcW w:w="532" w:type="pct"/>
          </w:tcPr>
          <w:p w14:paraId="2ABBB069"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7D6B6F5A"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 xml:space="preserve">Prospective cohort </w:t>
            </w:r>
          </w:p>
        </w:tc>
      </w:tr>
      <w:tr w:rsidR="007F0AE0" w:rsidRPr="00096053" w14:paraId="6181AEF6" w14:textId="77777777" w:rsidTr="00453DE3">
        <w:tc>
          <w:tcPr>
            <w:cnfStyle w:val="001000000000" w:firstRow="0" w:lastRow="0" w:firstColumn="1" w:lastColumn="0" w:oddVBand="0" w:evenVBand="0" w:oddHBand="0" w:evenHBand="0" w:firstRowFirstColumn="0" w:firstRowLastColumn="0" w:lastRowFirstColumn="0" w:lastRowLastColumn="0"/>
            <w:tcW w:w="442" w:type="pct"/>
          </w:tcPr>
          <w:p w14:paraId="7D1EE0C0"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r>
            <w:r>
              <w:rPr>
                <w:rFonts w:cstheme="minorHAnsi"/>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66" w:tooltip="Foulds, 2006 #95" w:history="1">
              <w:r>
                <w:rPr>
                  <w:rFonts w:cstheme="minorHAnsi"/>
                  <w:noProof/>
                  <w:sz w:val="18"/>
                  <w:szCs w:val="18"/>
                </w:rPr>
                <w:t>66</w:t>
              </w:r>
            </w:hyperlink>
            <w:r>
              <w:rPr>
                <w:rFonts w:cstheme="minorHAnsi"/>
                <w:noProof/>
                <w:sz w:val="18"/>
                <w:szCs w:val="18"/>
              </w:rPr>
              <w:t>)</w:t>
            </w:r>
            <w:r w:rsidRPr="00AB2869">
              <w:rPr>
                <w:rFonts w:cstheme="minorHAnsi"/>
                <w:sz w:val="18"/>
                <w:szCs w:val="18"/>
              </w:rPr>
              <w:fldChar w:fldCharType="end"/>
            </w:r>
          </w:p>
        </w:tc>
        <w:tc>
          <w:tcPr>
            <w:tcW w:w="992" w:type="pct"/>
          </w:tcPr>
          <w:p w14:paraId="24A11C4A"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Factors associated with quitting smoking</w:t>
            </w:r>
          </w:p>
        </w:tc>
        <w:tc>
          <w:tcPr>
            <w:tcW w:w="781" w:type="pct"/>
          </w:tcPr>
          <w:p w14:paraId="53C70425"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American Journal of Health Behavior</w:t>
            </w:r>
          </w:p>
        </w:tc>
        <w:tc>
          <w:tcPr>
            <w:tcW w:w="495" w:type="pct"/>
          </w:tcPr>
          <w:p w14:paraId="14F6E14D"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5E2E02FD"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New Jersey (U.S.); First 1021 patients who attempted to quit</w:t>
            </w:r>
          </w:p>
        </w:tc>
        <w:tc>
          <w:tcPr>
            <w:tcW w:w="532" w:type="pct"/>
          </w:tcPr>
          <w:p w14:paraId="263590B5"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6FFD3FB3"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Prospective cohort</w:t>
            </w:r>
          </w:p>
        </w:tc>
      </w:tr>
      <w:tr w:rsidR="007F0AE0" w:rsidRPr="00096053" w14:paraId="1370465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4721F3CD"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AB2869">
              <w:rPr>
                <w:rFonts w:cstheme="minorHAnsi"/>
                <w:sz w:val="18"/>
                <w:szCs w:val="18"/>
              </w:rPr>
              <w:fldChar w:fldCharType="separate"/>
            </w:r>
            <w:r>
              <w:rPr>
                <w:rFonts w:cstheme="minorHAnsi"/>
                <w:noProof/>
                <w:sz w:val="18"/>
                <w:szCs w:val="18"/>
              </w:rPr>
              <w:t>(</w:t>
            </w:r>
            <w:hyperlink w:anchor="_ENREF_23" w:tooltip="Fu, 2008 #72" w:history="1">
              <w:r>
                <w:rPr>
                  <w:rFonts w:cstheme="minorHAnsi"/>
                  <w:noProof/>
                  <w:sz w:val="18"/>
                  <w:szCs w:val="18"/>
                </w:rPr>
                <w:t>23</w:t>
              </w:r>
            </w:hyperlink>
            <w:r>
              <w:rPr>
                <w:rFonts w:cstheme="minorHAnsi"/>
                <w:noProof/>
                <w:sz w:val="18"/>
                <w:szCs w:val="18"/>
              </w:rPr>
              <w:t>)</w:t>
            </w:r>
            <w:r w:rsidRPr="00AB2869">
              <w:rPr>
                <w:rFonts w:cstheme="minorHAnsi"/>
                <w:sz w:val="18"/>
                <w:szCs w:val="18"/>
              </w:rPr>
              <w:fldChar w:fldCharType="end"/>
            </w:r>
          </w:p>
        </w:tc>
        <w:tc>
          <w:tcPr>
            <w:tcW w:w="992" w:type="pct"/>
          </w:tcPr>
          <w:p w14:paraId="7C92D08B"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Menthol cigarettes and smoking cessation during an aided quit attempt</w:t>
            </w:r>
          </w:p>
        </w:tc>
        <w:tc>
          <w:tcPr>
            <w:tcW w:w="781" w:type="pct"/>
          </w:tcPr>
          <w:p w14:paraId="275752DE"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Nicotine &amp; Tobacco Research</w:t>
            </w:r>
          </w:p>
        </w:tc>
        <w:tc>
          <w:tcPr>
            <w:tcW w:w="495" w:type="pct"/>
          </w:tcPr>
          <w:p w14:paraId="5C12D78D"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59E4324F"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U.S. (national); Veterans ≥19 years old who had received a prescription for nicotine replacement therapy (NRT) or bupropion for smoking cessation between February and October 2002 from one of five participating VA medical centers were randomly assigned to either the intervention or usual care.</w:t>
            </w:r>
          </w:p>
        </w:tc>
        <w:tc>
          <w:tcPr>
            <w:tcW w:w="532" w:type="pct"/>
          </w:tcPr>
          <w:p w14:paraId="226AE4BB"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Veterans</w:t>
            </w:r>
          </w:p>
        </w:tc>
        <w:tc>
          <w:tcPr>
            <w:tcW w:w="881" w:type="pct"/>
          </w:tcPr>
          <w:p w14:paraId="79D5A037"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Prospective cohort</w:t>
            </w:r>
          </w:p>
        </w:tc>
      </w:tr>
      <w:tr w:rsidR="007F0AE0" w:rsidRPr="00096053" w14:paraId="6E2EE132" w14:textId="77777777" w:rsidTr="00453DE3">
        <w:tc>
          <w:tcPr>
            <w:cnfStyle w:val="001000000000" w:firstRow="0" w:lastRow="0" w:firstColumn="1" w:lastColumn="0" w:oddVBand="0" w:evenVBand="0" w:oddHBand="0" w:evenHBand="0" w:firstRowFirstColumn="0" w:firstRowLastColumn="0" w:lastRowFirstColumn="0" w:lastRowLastColumn="0"/>
            <w:tcW w:w="442" w:type="pct"/>
          </w:tcPr>
          <w:p w14:paraId="5547EBF2" w14:textId="77777777" w:rsidR="007F0AE0" w:rsidRPr="00AB2869" w:rsidRDefault="007F0AE0" w:rsidP="00453DE3">
            <w:pPr>
              <w:spacing w:before="60" w:after="60"/>
              <w:rPr>
                <w:rFonts w:cstheme="minorHAnsi"/>
                <w:b w:val="0"/>
                <w:sz w:val="18"/>
                <w:szCs w:val="18"/>
              </w:rPr>
            </w:pPr>
            <w:r w:rsidRPr="00AB2869">
              <w:rPr>
                <w:rFonts w:cstheme="minorHAnsi"/>
                <w:sz w:val="18"/>
                <w:szCs w:val="18"/>
              </w:rPr>
              <w:lastRenderedPageBreak/>
              <w:fldChar w:fldCharType="begin"/>
            </w:r>
            <w:r>
              <w:rPr>
                <w:rFonts w:cstheme="minorHAnsi"/>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47" w:tooltip="Gandhi, 2009 #67" w:history="1">
              <w:r>
                <w:rPr>
                  <w:rFonts w:cstheme="minorHAnsi"/>
                  <w:noProof/>
                  <w:sz w:val="18"/>
                  <w:szCs w:val="18"/>
                </w:rPr>
                <w:t>47</w:t>
              </w:r>
            </w:hyperlink>
            <w:r>
              <w:rPr>
                <w:rFonts w:cstheme="minorHAnsi"/>
                <w:noProof/>
                <w:sz w:val="18"/>
                <w:szCs w:val="18"/>
              </w:rPr>
              <w:t>)</w:t>
            </w:r>
            <w:r w:rsidRPr="00AB2869">
              <w:rPr>
                <w:rFonts w:cstheme="minorHAnsi"/>
                <w:sz w:val="18"/>
                <w:szCs w:val="18"/>
              </w:rPr>
              <w:fldChar w:fldCharType="end"/>
            </w:r>
          </w:p>
        </w:tc>
        <w:tc>
          <w:tcPr>
            <w:tcW w:w="992" w:type="pct"/>
          </w:tcPr>
          <w:p w14:paraId="4333896B"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Lower quit rates among African American and Latino menthol cigarette smokers at a tobacco treatment clinic</w:t>
            </w:r>
          </w:p>
        </w:tc>
        <w:tc>
          <w:tcPr>
            <w:tcW w:w="781" w:type="pct"/>
          </w:tcPr>
          <w:p w14:paraId="2B2B93EE"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International journal of clinical practice</w:t>
            </w:r>
          </w:p>
        </w:tc>
        <w:tc>
          <w:tcPr>
            <w:tcW w:w="495" w:type="pct"/>
          </w:tcPr>
          <w:p w14:paraId="41D6E4EE"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6C1965A3"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New Jersey (U.S.); Specialist tobacco dependence treatment outpatient clinic patients</w:t>
            </w:r>
          </w:p>
        </w:tc>
        <w:tc>
          <w:tcPr>
            <w:tcW w:w="532" w:type="pct"/>
          </w:tcPr>
          <w:p w14:paraId="255CFCA0"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7B545ADE"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Retrospective cohort</w:t>
            </w:r>
          </w:p>
        </w:tc>
      </w:tr>
      <w:tr w:rsidR="007F0AE0" w:rsidRPr="00096053" w14:paraId="3288A0E5"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17822065"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r>
            <w:r>
              <w:rPr>
                <w:rFonts w:cstheme="minorHAnsi"/>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59" w:tooltip="Gundersen, 2009 #65" w:history="1">
              <w:r>
                <w:rPr>
                  <w:rFonts w:cstheme="minorHAnsi"/>
                  <w:noProof/>
                  <w:sz w:val="18"/>
                  <w:szCs w:val="18"/>
                </w:rPr>
                <w:t>59</w:t>
              </w:r>
            </w:hyperlink>
            <w:r>
              <w:rPr>
                <w:rFonts w:cstheme="minorHAnsi"/>
                <w:noProof/>
                <w:sz w:val="18"/>
                <w:szCs w:val="18"/>
              </w:rPr>
              <w:t>)</w:t>
            </w:r>
            <w:r w:rsidRPr="00AB2869">
              <w:rPr>
                <w:rFonts w:cstheme="minorHAnsi"/>
                <w:sz w:val="18"/>
                <w:szCs w:val="18"/>
              </w:rPr>
              <w:fldChar w:fldCharType="end"/>
            </w:r>
          </w:p>
        </w:tc>
        <w:tc>
          <w:tcPr>
            <w:tcW w:w="992" w:type="pct"/>
          </w:tcPr>
          <w:p w14:paraId="76218573"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Exploring the relationship between race/ethnicity, menthol smoking, and cessation, in a nationally representative sample of adults"</w:t>
            </w:r>
          </w:p>
        </w:tc>
        <w:tc>
          <w:tcPr>
            <w:tcW w:w="781" w:type="pct"/>
          </w:tcPr>
          <w:p w14:paraId="7F0986E8"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Preventative Medicine</w:t>
            </w:r>
          </w:p>
        </w:tc>
        <w:tc>
          <w:tcPr>
            <w:tcW w:w="495" w:type="pct"/>
          </w:tcPr>
          <w:p w14:paraId="2B89757B"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Analysis of 2005 U.S. National Health Interview Survey - Cancer Control Supplement (NHIS-CCS)</w:t>
            </w:r>
          </w:p>
        </w:tc>
        <w:tc>
          <w:tcPr>
            <w:tcW w:w="877" w:type="pct"/>
          </w:tcPr>
          <w:p w14:paraId="536CCB9F"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National (U.S.); Adult smokers ≥18 years old</w:t>
            </w:r>
          </w:p>
        </w:tc>
        <w:tc>
          <w:tcPr>
            <w:tcW w:w="532" w:type="pct"/>
          </w:tcPr>
          <w:p w14:paraId="0FCC67BC"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2FB44A06"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 xml:space="preserve">Cross-sectional </w:t>
            </w:r>
          </w:p>
        </w:tc>
      </w:tr>
      <w:tr w:rsidR="007F0AE0" w:rsidRPr="00096053" w14:paraId="7FF86A99" w14:textId="77777777" w:rsidTr="00453DE3">
        <w:tc>
          <w:tcPr>
            <w:cnfStyle w:val="001000000000" w:firstRow="0" w:lastRow="0" w:firstColumn="1" w:lastColumn="0" w:oddVBand="0" w:evenVBand="0" w:oddHBand="0" w:evenHBand="0" w:firstRowFirstColumn="0" w:firstRowLastColumn="0" w:lastRowFirstColumn="0" w:lastRowLastColumn="0"/>
            <w:tcW w:w="442" w:type="pct"/>
          </w:tcPr>
          <w:p w14:paraId="3E914D6E"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r>
            <w:r>
              <w:rPr>
                <w:rFonts w:cstheme="minorHAnsi"/>
                <w:sz w:val="18"/>
                <w:szCs w:val="18"/>
              </w:rPr>
              <w:instrText xml:space="preserve"> ADDIN EN.CITE &lt;EndNote&gt;&lt;Cite&gt;&lt;Author&gt;Okuyemi&lt;/Author&gt;&lt;Year&gt;2003&lt;/Year&gt;&lt;RecNum&gt;85&lt;/RecNum&gt;&lt;DisplayText&gt;(49)&lt;/DisplayText&gt;&lt;record&gt;&lt;rec-number&gt;85&lt;/rec-number&gt;&lt;foreign-keys&gt;&lt;key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49" w:tooltip="Okuyemi, 2003 #85" w:history="1">
              <w:r>
                <w:rPr>
                  <w:rFonts w:cstheme="minorHAnsi"/>
                  <w:noProof/>
                  <w:sz w:val="18"/>
                  <w:szCs w:val="18"/>
                </w:rPr>
                <w:t>49</w:t>
              </w:r>
            </w:hyperlink>
            <w:r>
              <w:rPr>
                <w:rFonts w:cstheme="minorHAnsi"/>
                <w:noProof/>
                <w:sz w:val="18"/>
                <w:szCs w:val="18"/>
              </w:rPr>
              <w:t>)</w:t>
            </w:r>
            <w:r w:rsidRPr="00AB2869">
              <w:rPr>
                <w:rFonts w:cstheme="minorHAnsi"/>
                <w:sz w:val="18"/>
                <w:szCs w:val="18"/>
              </w:rPr>
              <w:fldChar w:fldCharType="end"/>
            </w:r>
          </w:p>
        </w:tc>
        <w:tc>
          <w:tcPr>
            <w:tcW w:w="992" w:type="pct"/>
          </w:tcPr>
          <w:p w14:paraId="67543F70"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Does menthol attenuate the effect of bupropion among African American smokers?</w:t>
            </w:r>
          </w:p>
        </w:tc>
        <w:tc>
          <w:tcPr>
            <w:tcW w:w="781" w:type="pct"/>
          </w:tcPr>
          <w:p w14:paraId="26129AA9"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Addiction</w:t>
            </w:r>
          </w:p>
        </w:tc>
        <w:tc>
          <w:tcPr>
            <w:tcW w:w="495" w:type="pct"/>
          </w:tcPr>
          <w:p w14:paraId="32C3F93F"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233DB40A"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Kansas City Metropolitan area (U.S.); African American smokers ≥18 years old</w:t>
            </w:r>
          </w:p>
        </w:tc>
        <w:tc>
          <w:tcPr>
            <w:tcW w:w="532" w:type="pct"/>
          </w:tcPr>
          <w:p w14:paraId="1130A86C"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12B9E0F9"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4051">
              <w:rPr>
                <w:rFonts w:cstheme="minorHAnsi"/>
                <w:sz w:val="18"/>
                <w:szCs w:val="18"/>
              </w:rPr>
              <w:t>Prospective cohort</w:t>
            </w:r>
          </w:p>
        </w:tc>
      </w:tr>
      <w:tr w:rsidR="007F0AE0" w:rsidRPr="00096053" w14:paraId="68712CC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781E6DFC"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r>
            <w:r>
              <w:rPr>
                <w:rFonts w:cstheme="minorHAnsi"/>
                <w:sz w:val="18"/>
                <w:szCs w:val="18"/>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24" w:tooltip="Okuyemi, 2007 #74" w:history="1">
              <w:r>
                <w:rPr>
                  <w:rFonts w:cstheme="minorHAnsi"/>
                  <w:noProof/>
                  <w:sz w:val="18"/>
                  <w:szCs w:val="18"/>
                </w:rPr>
                <w:t>24</w:t>
              </w:r>
            </w:hyperlink>
            <w:r>
              <w:rPr>
                <w:rFonts w:cstheme="minorHAnsi"/>
                <w:noProof/>
                <w:sz w:val="18"/>
                <w:szCs w:val="18"/>
              </w:rPr>
              <w:t>)</w:t>
            </w:r>
            <w:r w:rsidRPr="00AB2869">
              <w:rPr>
                <w:rFonts w:cstheme="minorHAnsi"/>
                <w:sz w:val="18"/>
                <w:szCs w:val="18"/>
              </w:rPr>
              <w:fldChar w:fldCharType="end"/>
            </w:r>
          </w:p>
        </w:tc>
        <w:tc>
          <w:tcPr>
            <w:tcW w:w="992" w:type="pct"/>
          </w:tcPr>
          <w:p w14:paraId="426E46DF"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Relationship between menthol cigarettes and smoking cessation among African American light smokers</w:t>
            </w:r>
          </w:p>
        </w:tc>
        <w:tc>
          <w:tcPr>
            <w:tcW w:w="781" w:type="pct"/>
          </w:tcPr>
          <w:p w14:paraId="1BA1A943"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Addiction</w:t>
            </w:r>
          </w:p>
        </w:tc>
        <w:tc>
          <w:tcPr>
            <w:tcW w:w="495" w:type="pct"/>
          </w:tcPr>
          <w:p w14:paraId="23E7376C"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7845FA08"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Kansas City Metropolitan area (U.S.); African American light smokers ≥18 years old</w:t>
            </w:r>
          </w:p>
        </w:tc>
        <w:tc>
          <w:tcPr>
            <w:tcW w:w="532" w:type="pct"/>
          </w:tcPr>
          <w:p w14:paraId="2F95EFE8"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26215972"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t>Prospective cohort</w:t>
            </w:r>
          </w:p>
        </w:tc>
      </w:tr>
      <w:tr w:rsidR="007F0AE0" w:rsidRPr="00096053" w14:paraId="7EE19294" w14:textId="77777777" w:rsidTr="00453DE3">
        <w:tc>
          <w:tcPr>
            <w:cnfStyle w:val="001000000000" w:firstRow="0" w:lastRow="0" w:firstColumn="1" w:lastColumn="0" w:oddVBand="0" w:evenVBand="0" w:oddHBand="0" w:evenHBand="0" w:firstRowFirstColumn="0" w:firstRowLastColumn="0" w:lastRowFirstColumn="0" w:lastRowLastColumn="0"/>
            <w:tcW w:w="442" w:type="pct"/>
          </w:tcPr>
          <w:p w14:paraId="58D08BC3" w14:textId="77777777" w:rsidR="007F0AE0" w:rsidRPr="00AB2869" w:rsidRDefault="007F0AE0" w:rsidP="00453DE3">
            <w:pPr>
              <w:spacing w:before="60" w:after="60"/>
              <w:rPr>
                <w:rFonts w:cstheme="minorHAnsi"/>
                <w:b w:val="0"/>
                <w:color w:val="000000"/>
                <w:sz w:val="18"/>
                <w:szCs w:val="18"/>
              </w:rPr>
            </w:pPr>
            <w:r w:rsidRPr="00AB2869">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AB2869">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AB2869">
              <w:rPr>
                <w:rFonts w:cstheme="minorHAnsi"/>
                <w:color w:val="000000"/>
                <w:sz w:val="18"/>
                <w:szCs w:val="18"/>
              </w:rPr>
              <w:fldChar w:fldCharType="end"/>
            </w:r>
          </w:p>
        </w:tc>
        <w:tc>
          <w:tcPr>
            <w:tcW w:w="992" w:type="pct"/>
          </w:tcPr>
          <w:p w14:paraId="538EA921"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Menthol cigarettes, smoking cessation, atherosclerosis, and pulmonary function: the Coronary Artery Risk Development in Young Adults (CARDIA) Study</w:t>
            </w:r>
          </w:p>
        </w:tc>
        <w:tc>
          <w:tcPr>
            <w:tcW w:w="781" w:type="pct"/>
          </w:tcPr>
          <w:p w14:paraId="22FB4968"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Archives of internal medicine</w:t>
            </w:r>
          </w:p>
        </w:tc>
        <w:tc>
          <w:tcPr>
            <w:tcW w:w="495" w:type="pct"/>
          </w:tcPr>
          <w:p w14:paraId="1D3BDC45"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Coronary Artery Risk Development in Young Adults (CARDIA) Study</w:t>
            </w:r>
          </w:p>
        </w:tc>
        <w:tc>
          <w:tcPr>
            <w:tcW w:w="877" w:type="pct"/>
          </w:tcPr>
          <w:p w14:paraId="1C7E1378"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Oakland, Chicago, Minneapolis, Birmingham (U.S.); Adults aged 18 to 30 years and healthy at the time of enrollment in 1985</w:t>
            </w:r>
          </w:p>
        </w:tc>
        <w:tc>
          <w:tcPr>
            <w:tcW w:w="532" w:type="pct"/>
          </w:tcPr>
          <w:p w14:paraId="2BBD9240"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22A068CF"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color w:val="000000" w:themeColor="text1"/>
                <w:sz w:val="18"/>
                <w:szCs w:val="18"/>
              </w:rPr>
              <w:t>Prospective cohort</w:t>
            </w:r>
          </w:p>
        </w:tc>
      </w:tr>
      <w:tr w:rsidR="007F0AE0" w:rsidRPr="00096053" w14:paraId="6765D301"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 w:type="pct"/>
          </w:tcPr>
          <w:p w14:paraId="2EC13F9D"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r>
            <w:r>
              <w:rPr>
                <w:rFonts w:cstheme="minorHAnsi"/>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AB2869">
              <w:rPr>
                <w:rFonts w:cstheme="minorHAnsi"/>
                <w:sz w:val="18"/>
                <w:szCs w:val="18"/>
              </w:rPr>
              <w:fldChar w:fldCharType="separate"/>
            </w:r>
            <w:r>
              <w:rPr>
                <w:rFonts w:cstheme="minorHAnsi"/>
                <w:noProof/>
                <w:sz w:val="18"/>
                <w:szCs w:val="18"/>
              </w:rPr>
              <w:t>(</w:t>
            </w:r>
            <w:hyperlink w:anchor="_ENREF_62" w:tooltip="Rojewski, 2014 #22" w:history="1">
              <w:r>
                <w:rPr>
                  <w:rFonts w:cstheme="minorHAnsi"/>
                  <w:noProof/>
                  <w:sz w:val="18"/>
                  <w:szCs w:val="18"/>
                </w:rPr>
                <w:t>62</w:t>
              </w:r>
            </w:hyperlink>
            <w:r>
              <w:rPr>
                <w:rFonts w:cstheme="minorHAnsi"/>
                <w:noProof/>
                <w:sz w:val="18"/>
                <w:szCs w:val="18"/>
              </w:rPr>
              <w:t>)</w:t>
            </w:r>
            <w:r w:rsidRPr="00AB2869">
              <w:rPr>
                <w:rFonts w:cstheme="minorHAnsi"/>
                <w:sz w:val="18"/>
                <w:szCs w:val="18"/>
              </w:rPr>
              <w:fldChar w:fldCharType="end"/>
            </w:r>
          </w:p>
        </w:tc>
        <w:tc>
          <w:tcPr>
            <w:tcW w:w="992" w:type="pct"/>
          </w:tcPr>
          <w:p w14:paraId="46B229A6"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Menthol cigarette use predicts treatment outcomes of weight-concerned smokers</w:t>
            </w:r>
          </w:p>
        </w:tc>
        <w:tc>
          <w:tcPr>
            <w:tcW w:w="781" w:type="pct"/>
          </w:tcPr>
          <w:p w14:paraId="3BF4A750"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Nicotine &amp; Tobacco Research</w:t>
            </w:r>
          </w:p>
        </w:tc>
        <w:tc>
          <w:tcPr>
            <w:tcW w:w="495" w:type="pct"/>
          </w:tcPr>
          <w:p w14:paraId="33C37205"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6BF9E801"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Connecticut (U.S.); weight-concerned female smokers</w:t>
            </w:r>
          </w:p>
        </w:tc>
        <w:tc>
          <w:tcPr>
            <w:tcW w:w="532" w:type="pct"/>
          </w:tcPr>
          <w:p w14:paraId="6D46656C"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B2869">
              <w:rPr>
                <w:rFonts w:cstheme="minorHAnsi"/>
                <w:sz w:val="18"/>
                <w:szCs w:val="18"/>
              </w:rPr>
              <w:t xml:space="preserve">Smokers concerned about gaining weight after </w:t>
            </w:r>
            <w:r w:rsidRPr="00AB2869">
              <w:rPr>
                <w:rFonts w:cstheme="minorHAnsi"/>
                <w:sz w:val="18"/>
                <w:szCs w:val="18"/>
              </w:rPr>
              <w:lastRenderedPageBreak/>
              <w:t>quitting and smoking to manage weight</w:t>
            </w:r>
          </w:p>
        </w:tc>
        <w:tc>
          <w:tcPr>
            <w:tcW w:w="881" w:type="pct"/>
          </w:tcPr>
          <w:p w14:paraId="40ADD233" w14:textId="77777777" w:rsidR="007F0AE0" w:rsidRPr="00AB2869"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4051">
              <w:rPr>
                <w:rFonts w:cstheme="minorHAnsi"/>
                <w:sz w:val="18"/>
                <w:szCs w:val="18"/>
              </w:rPr>
              <w:lastRenderedPageBreak/>
              <w:t>Prospective cohort</w:t>
            </w:r>
          </w:p>
        </w:tc>
      </w:tr>
      <w:tr w:rsidR="007F0AE0" w:rsidRPr="00096053" w14:paraId="64528ED5" w14:textId="77777777" w:rsidTr="00453DE3">
        <w:tc>
          <w:tcPr>
            <w:cnfStyle w:val="001000000000" w:firstRow="0" w:lastRow="0" w:firstColumn="1" w:lastColumn="0" w:oddVBand="0" w:evenVBand="0" w:oddHBand="0" w:evenHBand="0" w:firstRowFirstColumn="0" w:firstRowLastColumn="0" w:lastRowFirstColumn="0" w:lastRowLastColumn="0"/>
            <w:tcW w:w="442" w:type="pct"/>
          </w:tcPr>
          <w:p w14:paraId="485CBD75" w14:textId="77777777" w:rsidR="007F0AE0" w:rsidRPr="00AB2869" w:rsidRDefault="007F0AE0" w:rsidP="00453DE3">
            <w:pPr>
              <w:spacing w:before="60" w:after="60"/>
              <w:rPr>
                <w:rFonts w:cstheme="minorHAnsi"/>
                <w:b w:val="0"/>
                <w:sz w:val="18"/>
                <w:szCs w:val="18"/>
              </w:rPr>
            </w:pPr>
            <w:r w:rsidRPr="00AB2869">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AB2869">
              <w:rPr>
                <w:rFonts w:cstheme="minorHAnsi"/>
                <w:sz w:val="18"/>
                <w:szCs w:val="18"/>
              </w:rPr>
              <w:fldChar w:fldCharType="separate"/>
            </w:r>
            <w:r>
              <w:rPr>
                <w:rFonts w:cstheme="minorHAnsi"/>
                <w:noProof/>
                <w:sz w:val="18"/>
                <w:szCs w:val="18"/>
              </w:rPr>
              <w:t>(</w:t>
            </w:r>
            <w:hyperlink w:anchor="_ENREF_64" w:tooltip="Steinberg, 2011 #50" w:history="1">
              <w:r>
                <w:rPr>
                  <w:rFonts w:cstheme="minorHAnsi"/>
                  <w:noProof/>
                  <w:sz w:val="18"/>
                  <w:szCs w:val="18"/>
                </w:rPr>
                <w:t>64</w:t>
              </w:r>
            </w:hyperlink>
            <w:r>
              <w:rPr>
                <w:rFonts w:cstheme="minorHAnsi"/>
                <w:noProof/>
                <w:sz w:val="18"/>
                <w:szCs w:val="18"/>
              </w:rPr>
              <w:t>)</w:t>
            </w:r>
            <w:r w:rsidRPr="00AB2869">
              <w:rPr>
                <w:rFonts w:cstheme="minorHAnsi"/>
                <w:sz w:val="18"/>
                <w:szCs w:val="18"/>
              </w:rPr>
              <w:fldChar w:fldCharType="end"/>
            </w:r>
          </w:p>
        </w:tc>
        <w:tc>
          <w:tcPr>
            <w:tcW w:w="992" w:type="pct"/>
          </w:tcPr>
          <w:p w14:paraId="28DD0128"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Abstinence and psychological distress in co-morbid smokers using various pharmacotherapies</w:t>
            </w:r>
          </w:p>
        </w:tc>
        <w:tc>
          <w:tcPr>
            <w:tcW w:w="781" w:type="pct"/>
          </w:tcPr>
          <w:p w14:paraId="4182123B"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Drug and Alcohol Dependence</w:t>
            </w:r>
          </w:p>
        </w:tc>
        <w:tc>
          <w:tcPr>
            <w:tcW w:w="495" w:type="pct"/>
          </w:tcPr>
          <w:p w14:paraId="36022BD7"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77" w:type="pct"/>
          </w:tcPr>
          <w:p w14:paraId="0C5898BF"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New Jersey (U.S.); smokers presenting for treatment</w:t>
            </w:r>
          </w:p>
        </w:tc>
        <w:tc>
          <w:tcPr>
            <w:tcW w:w="532" w:type="pct"/>
          </w:tcPr>
          <w:p w14:paraId="3DE88F5C"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None</w:t>
            </w:r>
          </w:p>
        </w:tc>
        <w:tc>
          <w:tcPr>
            <w:tcW w:w="881" w:type="pct"/>
          </w:tcPr>
          <w:p w14:paraId="1DD08A33" w14:textId="77777777" w:rsidR="007F0AE0" w:rsidRPr="00AB2869"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B2869">
              <w:rPr>
                <w:rFonts w:cstheme="minorHAnsi"/>
                <w:sz w:val="18"/>
                <w:szCs w:val="18"/>
              </w:rPr>
              <w:t>Retrospective cohort</w:t>
            </w:r>
          </w:p>
        </w:tc>
      </w:tr>
    </w:tbl>
    <w:p w14:paraId="4E3E6615" w14:textId="77777777" w:rsidR="007F0AE0" w:rsidRPr="00C73206" w:rsidRDefault="007F0AE0" w:rsidP="007F0AE0">
      <w:pPr>
        <w:rPr>
          <w:rFonts w:ascii="Calibri" w:hAnsi="Calibri" w:cs="Calibri"/>
        </w:rPr>
      </w:pPr>
    </w:p>
    <w:p w14:paraId="4ADF1243" w14:textId="77777777" w:rsidR="007F0AE0" w:rsidRPr="00130E10" w:rsidRDefault="007F0AE0" w:rsidP="007F0AE0">
      <w:pPr>
        <w:rPr>
          <w:rFonts w:ascii="Calibri" w:hAnsi="Calibri" w:cs="Calibri"/>
        </w:rPr>
      </w:pPr>
      <w:r w:rsidRPr="00130E10">
        <w:rPr>
          <w:rFonts w:ascii="Calibri" w:hAnsi="Calibri" w:cs="Calibri"/>
        </w:rPr>
        <w:br w:type="page"/>
      </w:r>
    </w:p>
    <w:p w14:paraId="6ACC7DFD" w14:textId="77777777" w:rsidR="007F0AE0" w:rsidRPr="00570B68" w:rsidRDefault="007F0AE0" w:rsidP="007F0AE0">
      <w:pPr>
        <w:spacing w:after="120" w:line="240" w:lineRule="auto"/>
        <w:outlineLvl w:val="2"/>
        <w:rPr>
          <w:rFonts w:eastAsia="Calibri" w:cstheme="minorHAnsi"/>
          <w:b/>
          <w:color w:val="000000"/>
        </w:rPr>
      </w:pPr>
      <w:bookmarkStart w:id="49" w:name="Table14_5"/>
      <w:r w:rsidRPr="00570B68">
        <w:rPr>
          <w:rFonts w:eastAsia="Calibri" w:cstheme="minorHAnsi"/>
          <w:b/>
          <w:color w:val="000000"/>
        </w:rPr>
        <w:lastRenderedPageBreak/>
        <w:t xml:space="preserve">Table </w:t>
      </w:r>
      <w:r>
        <w:rPr>
          <w:rFonts w:eastAsia="Calibri" w:cstheme="minorHAnsi"/>
          <w:b/>
          <w:color w:val="000000"/>
        </w:rPr>
        <w:t>17-</w:t>
      </w:r>
      <w:r w:rsidRPr="00570B68">
        <w:rPr>
          <w:rFonts w:eastAsia="Calibri" w:cstheme="minorHAnsi"/>
          <w:b/>
          <w:color w:val="000000"/>
        </w:rPr>
        <w:t>5: Definitions of Measures, Outcomes and Total Analytic Sample for Studies Included in the Meta-Analysis of Abstinence from Cigarette Smoking</w:t>
      </w:r>
    </w:p>
    <w:tbl>
      <w:tblPr>
        <w:tblStyle w:val="PlainTable22"/>
        <w:tblW w:w="1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62" w:type="dxa"/>
          <w:bottom w:w="62" w:type="dxa"/>
          <w:right w:w="62" w:type="dxa"/>
        </w:tblCellMar>
        <w:tblLook w:val="04A0" w:firstRow="1" w:lastRow="0" w:firstColumn="1" w:lastColumn="0" w:noHBand="0" w:noVBand="1"/>
      </w:tblPr>
      <w:tblGrid>
        <w:gridCol w:w="1300"/>
        <w:gridCol w:w="2466"/>
        <w:gridCol w:w="2122"/>
        <w:gridCol w:w="1639"/>
        <w:gridCol w:w="1610"/>
        <w:gridCol w:w="2783"/>
        <w:gridCol w:w="1312"/>
      </w:tblGrid>
      <w:tr w:rsidR="007F0AE0" w:rsidRPr="00096053" w14:paraId="053706DB"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16" w:type="dxa"/>
            <w:shd w:val="clear" w:color="auto" w:fill="44546A" w:themeFill="text2"/>
            <w:vAlign w:val="bottom"/>
          </w:tcPr>
          <w:bookmarkEnd w:id="49"/>
          <w:p w14:paraId="420A3118" w14:textId="77777777" w:rsidR="007F0AE0" w:rsidRPr="00F52E88" w:rsidRDefault="007F0AE0" w:rsidP="00453DE3">
            <w:pPr>
              <w:spacing w:before="60" w:after="60"/>
              <w:rPr>
                <w:rFonts w:cstheme="minorHAnsi"/>
                <w:bCs w:val="0"/>
                <w:color w:val="FFFFFF" w:themeColor="background1"/>
                <w:sz w:val="18"/>
                <w:szCs w:val="18"/>
                <w:lang w:val="en-US"/>
              </w:rPr>
            </w:pPr>
            <w:r w:rsidRPr="00F52E88">
              <w:rPr>
                <w:rFonts w:cstheme="minorHAnsi"/>
                <w:color w:val="FFFFFF" w:themeColor="background1"/>
                <w:sz w:val="18"/>
                <w:szCs w:val="18"/>
              </w:rPr>
              <w:t xml:space="preserve">Study </w:t>
            </w:r>
          </w:p>
        </w:tc>
        <w:tc>
          <w:tcPr>
            <w:tcW w:w="2492" w:type="dxa"/>
            <w:shd w:val="clear" w:color="auto" w:fill="44546A" w:themeFill="text2"/>
            <w:vAlign w:val="bottom"/>
          </w:tcPr>
          <w:p w14:paraId="1C0A4C00"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Definition of menthol smoker</w:t>
            </w:r>
          </w:p>
        </w:tc>
        <w:tc>
          <w:tcPr>
            <w:tcW w:w="2141" w:type="dxa"/>
            <w:shd w:val="clear" w:color="auto" w:fill="44546A" w:themeFill="text2"/>
            <w:vAlign w:val="bottom"/>
          </w:tcPr>
          <w:p w14:paraId="52124D27"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Definition of non-menthol smoker</w:t>
            </w:r>
          </w:p>
        </w:tc>
        <w:tc>
          <w:tcPr>
            <w:tcW w:w="1654" w:type="dxa"/>
            <w:shd w:val="clear" w:color="auto" w:fill="44546A" w:themeFill="text2"/>
            <w:vAlign w:val="bottom"/>
          </w:tcPr>
          <w:p w14:paraId="2326B101"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Definition of smoking</w:t>
            </w:r>
          </w:p>
        </w:tc>
        <w:tc>
          <w:tcPr>
            <w:tcW w:w="1626" w:type="dxa"/>
            <w:shd w:val="clear" w:color="auto" w:fill="44546A" w:themeFill="text2"/>
            <w:vAlign w:val="bottom"/>
          </w:tcPr>
          <w:p w14:paraId="1E61330E"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Definition of non-smoking</w:t>
            </w:r>
          </w:p>
        </w:tc>
        <w:tc>
          <w:tcPr>
            <w:tcW w:w="2815" w:type="dxa"/>
            <w:shd w:val="clear" w:color="auto" w:fill="44546A" w:themeFill="text2"/>
            <w:vAlign w:val="bottom"/>
          </w:tcPr>
          <w:p w14:paraId="11F062B3"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Definition of outcome</w:t>
            </w:r>
          </w:p>
        </w:tc>
        <w:tc>
          <w:tcPr>
            <w:tcW w:w="1188" w:type="dxa"/>
            <w:shd w:val="clear" w:color="auto" w:fill="44546A" w:themeFill="text2"/>
            <w:vAlign w:val="bottom"/>
          </w:tcPr>
          <w:p w14:paraId="4E0732DC"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Analytic sample</w:t>
            </w:r>
          </w:p>
        </w:tc>
      </w:tr>
      <w:tr w:rsidR="007F0AE0" w:rsidRPr="00096053" w14:paraId="451E363C"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2B0EA660" w14:textId="77777777" w:rsidR="007F0AE0" w:rsidRPr="00F52E88" w:rsidRDefault="007F0AE0" w:rsidP="00453DE3">
            <w:pPr>
              <w:spacing w:before="60" w:after="60"/>
              <w:rPr>
                <w:rFonts w:cstheme="minorHAnsi"/>
                <w:b w:val="0"/>
                <w:color w:val="000000"/>
                <w:sz w:val="18"/>
                <w:szCs w:val="18"/>
              </w:rPr>
            </w:pPr>
            <w:r w:rsidRPr="00F52E88">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F52E88">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F52E88">
              <w:rPr>
                <w:rFonts w:cstheme="minorHAnsi"/>
                <w:color w:val="000000"/>
                <w:sz w:val="18"/>
                <w:szCs w:val="18"/>
              </w:rPr>
              <w:fldChar w:fldCharType="end"/>
            </w:r>
          </w:p>
        </w:tc>
        <w:tc>
          <w:tcPr>
            <w:tcW w:w="0" w:type="dxa"/>
          </w:tcPr>
          <w:p w14:paraId="6C1167CC"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52E88">
              <w:rPr>
                <w:rFonts w:cstheme="minorHAnsi"/>
                <w:sz w:val="18"/>
                <w:szCs w:val="18"/>
              </w:rPr>
              <w:t>Answering yes to "Are the cigarettes you usually smoke menthol?”</w:t>
            </w:r>
          </w:p>
        </w:tc>
        <w:tc>
          <w:tcPr>
            <w:tcW w:w="0" w:type="dxa"/>
          </w:tcPr>
          <w:p w14:paraId="72C7DC6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Answering no to "Are the cigarettes you usually smoke menthol?”</w:t>
            </w:r>
          </w:p>
        </w:tc>
        <w:tc>
          <w:tcPr>
            <w:tcW w:w="0" w:type="dxa"/>
          </w:tcPr>
          <w:p w14:paraId="785FD08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52E88">
              <w:rPr>
                <w:rFonts w:cstheme="minorHAnsi"/>
                <w:sz w:val="18"/>
                <w:szCs w:val="18"/>
              </w:rPr>
              <w:t>Smoked at least 100 cigarettes in their lifetime</w:t>
            </w:r>
          </w:p>
        </w:tc>
        <w:tc>
          <w:tcPr>
            <w:tcW w:w="0" w:type="dxa"/>
          </w:tcPr>
          <w:p w14:paraId="0ECEEAC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52E88">
              <w:rPr>
                <w:rFonts w:cstheme="minorHAnsi"/>
                <w:sz w:val="18"/>
                <w:szCs w:val="18"/>
              </w:rPr>
              <w:t>NR</w:t>
            </w:r>
          </w:p>
        </w:tc>
        <w:tc>
          <w:tcPr>
            <w:tcW w:w="0" w:type="dxa"/>
          </w:tcPr>
          <w:p w14:paraId="3311051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Prospectively by computing quit rates ascertained from the follow-up interviews</w:t>
            </w:r>
          </w:p>
        </w:tc>
        <w:tc>
          <w:tcPr>
            <w:tcW w:w="0" w:type="dxa"/>
          </w:tcPr>
          <w:p w14:paraId="2EFD43C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52E88">
              <w:rPr>
                <w:rFonts w:cstheme="minorHAnsi"/>
                <w:sz w:val="18"/>
                <w:szCs w:val="18"/>
              </w:rPr>
              <w:t>NR</w:t>
            </w:r>
          </w:p>
        </w:tc>
      </w:tr>
      <w:tr w:rsidR="007F0AE0" w:rsidRPr="00096053" w14:paraId="54DD9F13"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331368D3"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57" w:tooltip="Delnevo, 2011 #42" w:history="1">
              <w:r>
                <w:rPr>
                  <w:rFonts w:cstheme="minorHAnsi"/>
                  <w:noProof/>
                  <w:sz w:val="18"/>
                  <w:szCs w:val="18"/>
                </w:rPr>
                <w:t>57</w:t>
              </w:r>
            </w:hyperlink>
            <w:r>
              <w:rPr>
                <w:rFonts w:cstheme="minorHAnsi"/>
                <w:noProof/>
                <w:sz w:val="18"/>
                <w:szCs w:val="18"/>
              </w:rPr>
              <w:t>)</w:t>
            </w:r>
            <w:r w:rsidRPr="00F52E88">
              <w:rPr>
                <w:rFonts w:cstheme="minorHAnsi"/>
                <w:sz w:val="18"/>
                <w:szCs w:val="18"/>
              </w:rPr>
              <w:fldChar w:fldCharType="end"/>
            </w:r>
          </w:p>
        </w:tc>
        <w:tc>
          <w:tcPr>
            <w:tcW w:w="0" w:type="dxa"/>
          </w:tcPr>
          <w:p w14:paraId="0AA9360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Usual brand of cigarettes in the past 12 months was mentholated</w:t>
            </w:r>
          </w:p>
        </w:tc>
        <w:tc>
          <w:tcPr>
            <w:tcW w:w="0" w:type="dxa"/>
          </w:tcPr>
          <w:p w14:paraId="1889858E"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Usual brand of cigarettes in the past 12 months was non-mentholated</w:t>
            </w:r>
          </w:p>
        </w:tc>
        <w:tc>
          <w:tcPr>
            <w:tcW w:w="0" w:type="dxa"/>
          </w:tcPr>
          <w:p w14:paraId="6ED54D1C"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100 cigarettes in a lifetime and smoking "everyday" or "some days" at the time of the survey</w:t>
            </w:r>
          </w:p>
        </w:tc>
        <w:tc>
          <w:tcPr>
            <w:tcW w:w="0" w:type="dxa"/>
          </w:tcPr>
          <w:p w14:paraId="07FC11A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 former smoker was defined as having smoked 100 cigarettes in a lifetime and smoking 'not at all' at the time of the survey"</w:t>
            </w:r>
          </w:p>
        </w:tc>
        <w:tc>
          <w:tcPr>
            <w:tcW w:w="0" w:type="dxa"/>
          </w:tcPr>
          <w:p w14:paraId="6C3EDFE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"The outcome variable was smoking cessation operationalized as current versus former smoker (0=current, 1=former)"</w:t>
            </w:r>
          </w:p>
        </w:tc>
        <w:tc>
          <w:tcPr>
            <w:tcW w:w="0" w:type="dxa"/>
          </w:tcPr>
          <w:p w14:paraId="43209AC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71,193</w:t>
            </w:r>
          </w:p>
        </w:tc>
      </w:tr>
      <w:tr w:rsidR="007F0AE0" w:rsidRPr="00096053" w14:paraId="4B57A04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552C883F"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27" w:tooltip="Faseru, 2013 #29" w:history="1">
              <w:r>
                <w:rPr>
                  <w:rFonts w:cstheme="minorHAnsi"/>
                  <w:noProof/>
                  <w:sz w:val="18"/>
                  <w:szCs w:val="18"/>
                </w:rPr>
                <w:t>27</w:t>
              </w:r>
            </w:hyperlink>
            <w:r>
              <w:rPr>
                <w:rFonts w:cstheme="minorHAnsi"/>
                <w:noProof/>
                <w:sz w:val="18"/>
                <w:szCs w:val="18"/>
              </w:rPr>
              <w:t>)</w:t>
            </w:r>
            <w:r w:rsidRPr="00F52E88">
              <w:rPr>
                <w:rFonts w:cstheme="minorHAnsi"/>
                <w:sz w:val="18"/>
                <w:szCs w:val="18"/>
              </w:rPr>
              <w:fldChar w:fldCharType="end"/>
            </w:r>
          </w:p>
        </w:tc>
        <w:tc>
          <w:tcPr>
            <w:tcW w:w="0" w:type="dxa"/>
          </w:tcPr>
          <w:p w14:paraId="2873CBC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"Smokes menthol cigarettes" - Yes</w:t>
            </w:r>
          </w:p>
        </w:tc>
        <w:tc>
          <w:tcPr>
            <w:tcW w:w="0" w:type="dxa"/>
          </w:tcPr>
          <w:p w14:paraId="7D5C700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"Smokes menthol cigarettes" - No</w:t>
            </w:r>
          </w:p>
        </w:tc>
        <w:tc>
          <w:tcPr>
            <w:tcW w:w="0" w:type="dxa"/>
          </w:tcPr>
          <w:p w14:paraId="5E435A6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≤10 CPD for ≥ 2 years, and have smoked on ≥ 25 days in the month prior to enrollment</w:t>
            </w:r>
          </w:p>
        </w:tc>
        <w:tc>
          <w:tcPr>
            <w:tcW w:w="0" w:type="dxa"/>
          </w:tcPr>
          <w:p w14:paraId="58EFAD0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No cigarettes (not even a puff) in the previous 7 days at Week 7", and a cotinine cut-point of 15ng/mL</w:t>
            </w:r>
          </w:p>
        </w:tc>
        <w:tc>
          <w:tcPr>
            <w:tcW w:w="0" w:type="dxa"/>
          </w:tcPr>
          <w:p w14:paraId="7DCDEBA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No cigarettes (not even a puff) in the previous 7 days at Week 7", and a cotinine cut-point of 15ng/mL</w:t>
            </w:r>
          </w:p>
        </w:tc>
        <w:tc>
          <w:tcPr>
            <w:tcW w:w="0" w:type="dxa"/>
          </w:tcPr>
          <w:p w14:paraId="5FD6B7D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540</w:t>
            </w:r>
          </w:p>
        </w:tc>
      </w:tr>
      <w:tr w:rsidR="007F0AE0" w:rsidRPr="00096053" w14:paraId="532E735D"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7BAC9037"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66" w:tooltip="Foulds, 2006 #95" w:history="1">
              <w:r>
                <w:rPr>
                  <w:rFonts w:cstheme="minorHAnsi"/>
                  <w:noProof/>
                  <w:sz w:val="18"/>
                  <w:szCs w:val="18"/>
                </w:rPr>
                <w:t>66</w:t>
              </w:r>
            </w:hyperlink>
            <w:r>
              <w:rPr>
                <w:rFonts w:cstheme="minorHAnsi"/>
                <w:noProof/>
                <w:sz w:val="18"/>
                <w:szCs w:val="18"/>
              </w:rPr>
              <w:t>)</w:t>
            </w:r>
            <w:r w:rsidRPr="00F52E88">
              <w:rPr>
                <w:rFonts w:cstheme="minorHAnsi"/>
                <w:sz w:val="18"/>
                <w:szCs w:val="18"/>
              </w:rPr>
              <w:fldChar w:fldCharType="end"/>
            </w:r>
          </w:p>
        </w:tc>
        <w:tc>
          <w:tcPr>
            <w:tcW w:w="0" w:type="dxa"/>
          </w:tcPr>
          <w:p w14:paraId="262598A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"Current brand menthol" - yes</w:t>
            </w:r>
          </w:p>
        </w:tc>
        <w:tc>
          <w:tcPr>
            <w:tcW w:w="0" w:type="dxa"/>
          </w:tcPr>
          <w:p w14:paraId="0B5EE0B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"Current brand menthol" - no</w:t>
            </w:r>
          </w:p>
        </w:tc>
        <w:tc>
          <w:tcPr>
            <w:tcW w:w="0" w:type="dxa"/>
          </w:tcPr>
          <w:p w14:paraId="51DFAB5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0CBD00C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096053">
              <w:rPr>
                <w:rFonts w:cstheme="minorHAnsi"/>
                <w:sz w:val="18"/>
                <w:szCs w:val="18"/>
              </w:rPr>
              <w:t>Self-report</w:t>
            </w:r>
            <w:r w:rsidRPr="00F52E88">
              <w:rPr>
                <w:rFonts w:cstheme="minorHAnsi"/>
                <w:sz w:val="18"/>
                <w:szCs w:val="18"/>
              </w:rPr>
              <w:t xml:space="preserve"> of no smoking in the past week and CO level below 10 parts per million (ppm)</w:t>
            </w:r>
          </w:p>
        </w:tc>
        <w:tc>
          <w:tcPr>
            <w:tcW w:w="0" w:type="dxa"/>
          </w:tcPr>
          <w:p w14:paraId="49D463EE"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The primary outcome was 7-day point abstinence rates (answering 'no' to the question, 'Have you used any tobacco in the past 7 days? )'" at 4 weeks</w:t>
            </w:r>
          </w:p>
        </w:tc>
        <w:tc>
          <w:tcPr>
            <w:tcW w:w="0" w:type="dxa"/>
          </w:tcPr>
          <w:p w14:paraId="740A88C9"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1,021</w:t>
            </w:r>
          </w:p>
        </w:tc>
      </w:tr>
      <w:tr w:rsidR="007F0AE0" w:rsidRPr="00096053" w14:paraId="482C60C5"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380CA9CD"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23" w:tooltip="Fu, 2008 #72" w:history="1">
              <w:r>
                <w:rPr>
                  <w:rFonts w:cstheme="minorHAnsi"/>
                  <w:noProof/>
                  <w:sz w:val="18"/>
                  <w:szCs w:val="18"/>
                </w:rPr>
                <w:t>23</w:t>
              </w:r>
            </w:hyperlink>
            <w:r>
              <w:rPr>
                <w:rFonts w:cstheme="minorHAnsi"/>
                <w:noProof/>
                <w:sz w:val="18"/>
                <w:szCs w:val="18"/>
              </w:rPr>
              <w:t>)</w:t>
            </w:r>
            <w:r w:rsidRPr="00F52E88">
              <w:rPr>
                <w:rFonts w:cstheme="minorHAnsi"/>
                <w:sz w:val="18"/>
                <w:szCs w:val="18"/>
              </w:rPr>
              <w:fldChar w:fldCharType="end"/>
            </w:r>
          </w:p>
        </w:tc>
        <w:tc>
          <w:tcPr>
            <w:tcW w:w="0" w:type="dxa"/>
          </w:tcPr>
          <w:p w14:paraId="58DAF058"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Smoked menthol cigarettes 2 years ago</w:t>
            </w:r>
          </w:p>
        </w:tc>
        <w:tc>
          <w:tcPr>
            <w:tcW w:w="0" w:type="dxa"/>
          </w:tcPr>
          <w:p w14:paraId="624335C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Did not smoke menthol cigarettes 2 years ago</w:t>
            </w:r>
          </w:p>
        </w:tc>
        <w:tc>
          <w:tcPr>
            <w:tcW w:w="0" w:type="dxa"/>
          </w:tcPr>
          <w:p w14:paraId="477252D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07E16D4F"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6E2B29B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"The primary outcome for the current study was self-reported 7-day point prevalent smoking abstinence"</w:t>
            </w:r>
          </w:p>
        </w:tc>
        <w:tc>
          <w:tcPr>
            <w:tcW w:w="0" w:type="dxa"/>
          </w:tcPr>
          <w:p w14:paraId="08EB5BC6"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1,343</w:t>
            </w:r>
          </w:p>
        </w:tc>
      </w:tr>
      <w:tr w:rsidR="007F0AE0" w:rsidRPr="00096053" w14:paraId="3C35BB5C"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698934FD" w14:textId="77777777" w:rsidR="007F0AE0" w:rsidRPr="00F52E88" w:rsidRDefault="007F0AE0" w:rsidP="00453DE3">
            <w:pPr>
              <w:spacing w:before="60" w:after="60"/>
              <w:rPr>
                <w:rFonts w:cstheme="minorHAnsi"/>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7" w:tooltip="Gandhi, 2009 #67" w:history="1">
              <w:r>
                <w:rPr>
                  <w:rFonts w:cstheme="minorHAnsi"/>
                  <w:noProof/>
                  <w:sz w:val="18"/>
                  <w:szCs w:val="18"/>
                </w:rPr>
                <w:t>47</w:t>
              </w:r>
            </w:hyperlink>
            <w:r>
              <w:rPr>
                <w:rFonts w:cstheme="minorHAnsi"/>
                <w:noProof/>
                <w:sz w:val="18"/>
                <w:szCs w:val="18"/>
              </w:rPr>
              <w:t>)</w:t>
            </w:r>
            <w:r w:rsidRPr="00F52E88">
              <w:rPr>
                <w:rFonts w:cstheme="minorHAnsi"/>
                <w:sz w:val="18"/>
                <w:szCs w:val="18"/>
              </w:rPr>
              <w:fldChar w:fldCharType="end"/>
            </w:r>
          </w:p>
        </w:tc>
        <w:tc>
          <w:tcPr>
            <w:tcW w:w="0" w:type="dxa"/>
          </w:tcPr>
          <w:p w14:paraId="4FC2BC6E"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Current cigarette type reported to be mentholated</w:t>
            </w:r>
          </w:p>
        </w:tc>
        <w:tc>
          <w:tcPr>
            <w:tcW w:w="0" w:type="dxa"/>
          </w:tcPr>
          <w:p w14:paraId="7CC39EB9"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Current cigarette type reported to be non-mentholated</w:t>
            </w:r>
          </w:p>
        </w:tc>
        <w:tc>
          <w:tcPr>
            <w:tcW w:w="0" w:type="dxa"/>
          </w:tcPr>
          <w:p w14:paraId="77AD2C7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498EFA6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0D28943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 xml:space="preserve">The primary outcome was self-reported 7-day point prevalence abstinence rate (answering ‘no’ to </w:t>
            </w:r>
            <w:r w:rsidRPr="00F52E88">
              <w:rPr>
                <w:rFonts w:cstheme="minorHAnsi"/>
                <w:sz w:val="18"/>
                <w:szCs w:val="18"/>
              </w:rPr>
              <w:lastRenderedPageBreak/>
              <w:t>the question, ‘Have you used any tobacco in the past 7 days?’)</w:t>
            </w:r>
          </w:p>
        </w:tc>
        <w:tc>
          <w:tcPr>
            <w:tcW w:w="0" w:type="dxa"/>
          </w:tcPr>
          <w:p w14:paraId="68CBADB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lastRenderedPageBreak/>
              <w:t>1,688</w:t>
            </w:r>
          </w:p>
          <w:p w14:paraId="68D34EB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White: 1,086</w:t>
            </w:r>
          </w:p>
          <w:p w14:paraId="0D7FC682"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Black: 374</w:t>
            </w:r>
          </w:p>
          <w:p w14:paraId="79EF1EA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lastRenderedPageBreak/>
              <w:t>Hispanic/Latino: 149</w:t>
            </w:r>
          </w:p>
          <w:p w14:paraId="6577B3B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Other: 79</w:t>
            </w:r>
          </w:p>
        </w:tc>
      </w:tr>
      <w:tr w:rsidR="007F0AE0" w:rsidRPr="00096053" w14:paraId="527239BB"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74619063" w14:textId="77777777" w:rsidR="007F0AE0" w:rsidRPr="00F52E88" w:rsidRDefault="007F0AE0" w:rsidP="00453DE3">
            <w:pPr>
              <w:spacing w:before="60" w:after="60"/>
              <w:rPr>
                <w:rFonts w:cstheme="minorHAnsi"/>
                <w:b w:val="0"/>
                <w:bCs w:val="0"/>
                <w:sz w:val="18"/>
                <w:szCs w:val="18"/>
                <w:lang w:val="en-US"/>
              </w:rPr>
            </w:pPr>
            <w:r w:rsidRPr="00F52E88">
              <w:rPr>
                <w:rFonts w:cstheme="minorHAnsi"/>
                <w:sz w:val="18"/>
                <w:szCs w:val="18"/>
              </w:rPr>
              <w:lastRenderedPageBreak/>
              <w:fldChar w:fldCharType="begin"/>
            </w:r>
            <w:r>
              <w:rPr>
                <w:rFonts w:cstheme="minorHAnsi"/>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59" w:tooltip="Gundersen, 2009 #65" w:history="1">
              <w:r>
                <w:rPr>
                  <w:rFonts w:cstheme="minorHAnsi"/>
                  <w:noProof/>
                  <w:sz w:val="18"/>
                  <w:szCs w:val="18"/>
                </w:rPr>
                <w:t>59</w:t>
              </w:r>
            </w:hyperlink>
            <w:r>
              <w:rPr>
                <w:rFonts w:cstheme="minorHAnsi"/>
                <w:noProof/>
                <w:sz w:val="18"/>
                <w:szCs w:val="18"/>
              </w:rPr>
              <w:t>)</w:t>
            </w:r>
            <w:r w:rsidRPr="00F52E88">
              <w:rPr>
                <w:rFonts w:cstheme="minorHAnsi"/>
                <w:sz w:val="18"/>
                <w:szCs w:val="18"/>
              </w:rPr>
              <w:fldChar w:fldCharType="end"/>
            </w:r>
          </w:p>
        </w:tc>
        <w:tc>
          <w:tcPr>
            <w:tcW w:w="0" w:type="dxa"/>
          </w:tcPr>
          <w:p w14:paraId="5DED093E"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that their usual brand of cigarettes in the past 12 months or in the 12 months prior to quitting was mentholated</w:t>
            </w:r>
          </w:p>
        </w:tc>
        <w:tc>
          <w:tcPr>
            <w:tcW w:w="0" w:type="dxa"/>
          </w:tcPr>
          <w:p w14:paraId="69888349"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that their usual brand of cigarettes in the past 12 months or in the 12 months prior to quitting was non-mentholated</w:t>
            </w:r>
          </w:p>
        </w:tc>
        <w:tc>
          <w:tcPr>
            <w:tcW w:w="0" w:type="dxa"/>
          </w:tcPr>
          <w:p w14:paraId="352179B6"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100 cigarettes in a lifetime and smoking "everyday" or "some days" at the time of the survey</w:t>
            </w:r>
          </w:p>
        </w:tc>
        <w:tc>
          <w:tcPr>
            <w:tcW w:w="0" w:type="dxa"/>
          </w:tcPr>
          <w:p w14:paraId="60470E1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 former smoker is defined as having smoked 100 cigarettes in a lifetime and now smoking 'not at all.”</w:t>
            </w:r>
          </w:p>
        </w:tc>
        <w:tc>
          <w:tcPr>
            <w:tcW w:w="0" w:type="dxa"/>
          </w:tcPr>
          <w:p w14:paraId="20F3589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"The outcome variable is cessation operationalized as current vs. former smoker (0=current, 1=former)"</w:t>
            </w:r>
          </w:p>
        </w:tc>
        <w:tc>
          <w:tcPr>
            <w:tcW w:w="0" w:type="dxa"/>
          </w:tcPr>
          <w:p w14:paraId="3299D44C"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7,815</w:t>
            </w:r>
          </w:p>
        </w:tc>
      </w:tr>
      <w:tr w:rsidR="007F0AE0" w:rsidRPr="00096053" w14:paraId="5F289AC9"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031D97C6"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&lt;EndNote&gt;&lt;Cite&gt;&lt;Author&gt;Okuyemi&lt;/Author&gt;&lt;Year&gt;2003&lt;/Year&gt;&lt;RecNum&gt;85&lt;/RecNum&gt;&lt;DisplayText&gt;(49)&lt;/DisplayText&gt;&lt;record&gt;&lt;rec-number&gt;85&lt;/rec-number&gt;&lt;foreign-keys&gt;&lt;key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49" w:tooltip="Okuyemi, 2003 #85" w:history="1">
              <w:r>
                <w:rPr>
                  <w:rFonts w:cstheme="minorHAnsi"/>
                  <w:noProof/>
                  <w:sz w:val="18"/>
                  <w:szCs w:val="18"/>
                </w:rPr>
                <w:t>49</w:t>
              </w:r>
            </w:hyperlink>
            <w:r>
              <w:rPr>
                <w:rFonts w:cstheme="minorHAnsi"/>
                <w:noProof/>
                <w:sz w:val="18"/>
                <w:szCs w:val="18"/>
              </w:rPr>
              <w:t>)</w:t>
            </w:r>
            <w:r w:rsidRPr="00F52E88">
              <w:rPr>
                <w:rFonts w:cstheme="minorHAnsi"/>
                <w:sz w:val="18"/>
                <w:szCs w:val="18"/>
              </w:rPr>
              <w:fldChar w:fldCharType="end"/>
            </w:r>
          </w:p>
        </w:tc>
        <w:tc>
          <w:tcPr>
            <w:tcW w:w="0" w:type="dxa"/>
          </w:tcPr>
          <w:p w14:paraId="21543C6E"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Answering "yes" to "Do you usually smoke menthol cigarettes?"</w:t>
            </w:r>
          </w:p>
        </w:tc>
        <w:tc>
          <w:tcPr>
            <w:tcW w:w="0" w:type="dxa"/>
          </w:tcPr>
          <w:p w14:paraId="379F15F7"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Answering "no" to "Do you usually smoke menthol cigarettes?"</w:t>
            </w:r>
          </w:p>
        </w:tc>
        <w:tc>
          <w:tcPr>
            <w:tcW w:w="0" w:type="dxa"/>
          </w:tcPr>
          <w:p w14:paraId="6D1A729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At least 10 CPD</w:t>
            </w:r>
          </w:p>
        </w:tc>
        <w:tc>
          <w:tcPr>
            <w:tcW w:w="0" w:type="dxa"/>
          </w:tcPr>
          <w:p w14:paraId="2AAA8D6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6BFF8926"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Self-reported 7-day point prevalence smoking cessation confirmed with eCO &lt;10 ppm and only in the case of discrepancies salivary cotinine &lt;20 ug/ml at 6 weeks</w:t>
            </w:r>
          </w:p>
        </w:tc>
        <w:tc>
          <w:tcPr>
            <w:tcW w:w="0" w:type="dxa"/>
          </w:tcPr>
          <w:p w14:paraId="453D63C0"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390</w:t>
            </w:r>
          </w:p>
        </w:tc>
      </w:tr>
      <w:tr w:rsidR="007F0AE0" w:rsidRPr="00096053" w14:paraId="7D722610"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33C6E949"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24" w:tooltip="Okuyemi, 2007 #74" w:history="1">
              <w:r>
                <w:rPr>
                  <w:rFonts w:cstheme="minorHAnsi"/>
                  <w:noProof/>
                  <w:sz w:val="18"/>
                  <w:szCs w:val="18"/>
                </w:rPr>
                <w:t>24</w:t>
              </w:r>
            </w:hyperlink>
            <w:r>
              <w:rPr>
                <w:rFonts w:cstheme="minorHAnsi"/>
                <w:noProof/>
                <w:sz w:val="18"/>
                <w:szCs w:val="18"/>
              </w:rPr>
              <w:t>)</w:t>
            </w:r>
            <w:r w:rsidRPr="00F52E88">
              <w:rPr>
                <w:rFonts w:cstheme="minorHAnsi"/>
                <w:sz w:val="18"/>
                <w:szCs w:val="18"/>
              </w:rPr>
              <w:fldChar w:fldCharType="end"/>
            </w:r>
          </w:p>
        </w:tc>
        <w:tc>
          <w:tcPr>
            <w:tcW w:w="0" w:type="dxa"/>
          </w:tcPr>
          <w:p w14:paraId="70F06E4F"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use of menthol cigarettes</w:t>
            </w:r>
          </w:p>
        </w:tc>
        <w:tc>
          <w:tcPr>
            <w:tcW w:w="0" w:type="dxa"/>
          </w:tcPr>
          <w:p w14:paraId="52C4AFE7"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use of non-menthol cigarettes</w:t>
            </w:r>
          </w:p>
        </w:tc>
        <w:tc>
          <w:tcPr>
            <w:tcW w:w="0" w:type="dxa"/>
          </w:tcPr>
          <w:p w14:paraId="5E9D1DA3"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Smoke ≤10 CPD for at least 6 months; smoke cigarettes on ≥25 of the last 30 days</w:t>
            </w:r>
          </w:p>
        </w:tc>
        <w:tc>
          <w:tcPr>
            <w:tcW w:w="0" w:type="dxa"/>
          </w:tcPr>
          <w:p w14:paraId="4C86E58F"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6E2175A4"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7-day point-prevalence smoking cessation defined as having smoked no cigarettes-not even a puff-for the previous 7 days, confirmed with salivary cotinine ≤20 ng/ml and eCO ≤10 ppm at 26 weeks</w:t>
            </w:r>
          </w:p>
        </w:tc>
        <w:tc>
          <w:tcPr>
            <w:tcW w:w="0" w:type="dxa"/>
          </w:tcPr>
          <w:p w14:paraId="14AAF47D"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&lt; 50 age group: N=NR; ≥ 50 years: N=NR</w:t>
            </w:r>
          </w:p>
        </w:tc>
      </w:tr>
      <w:tr w:rsidR="007F0AE0" w:rsidRPr="00096053" w14:paraId="7724F21C"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1F2B3F08" w14:textId="77777777" w:rsidR="007F0AE0" w:rsidRPr="00F52E88" w:rsidRDefault="007F0AE0" w:rsidP="00453DE3">
            <w:pPr>
              <w:spacing w:before="60" w:after="60"/>
              <w:rPr>
                <w:rFonts w:cstheme="minorHAnsi"/>
                <w:b w:val="0"/>
                <w:color w:val="000000"/>
                <w:sz w:val="18"/>
                <w:szCs w:val="18"/>
              </w:rPr>
            </w:pPr>
            <w:r w:rsidRPr="00F52E88">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F52E88">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F52E88">
              <w:rPr>
                <w:rFonts w:cstheme="minorHAnsi"/>
                <w:color w:val="000000"/>
                <w:sz w:val="18"/>
                <w:szCs w:val="18"/>
              </w:rPr>
              <w:fldChar w:fldCharType="end"/>
            </w:r>
          </w:p>
        </w:tc>
        <w:tc>
          <w:tcPr>
            <w:tcW w:w="0" w:type="dxa"/>
          </w:tcPr>
          <w:p w14:paraId="591DDC43"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Answering mentholated to question "Is [your current brand of cigarettes] mentholated or non-mentholated?"</w:t>
            </w:r>
          </w:p>
        </w:tc>
        <w:tc>
          <w:tcPr>
            <w:tcW w:w="0" w:type="dxa"/>
          </w:tcPr>
          <w:p w14:paraId="6997E5AE"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sz w:val="18"/>
                <w:szCs w:val="18"/>
              </w:rPr>
              <w:t>Answering non-mentholated to question "Is [your current brand of cigarettes] mentholated or non-mentholated?"</w:t>
            </w:r>
          </w:p>
        </w:tc>
        <w:tc>
          <w:tcPr>
            <w:tcW w:w="0" w:type="dxa"/>
          </w:tcPr>
          <w:p w14:paraId="03534145"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sz w:val="18"/>
                <w:szCs w:val="18"/>
              </w:rPr>
              <w:t>NR</w:t>
            </w:r>
          </w:p>
        </w:tc>
        <w:tc>
          <w:tcPr>
            <w:tcW w:w="0" w:type="dxa"/>
          </w:tcPr>
          <w:p w14:paraId="2BFBAD9D"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sz w:val="18"/>
                <w:szCs w:val="18"/>
              </w:rPr>
              <w:t>NR</w:t>
            </w:r>
          </w:p>
        </w:tc>
        <w:tc>
          <w:tcPr>
            <w:tcW w:w="0" w:type="dxa"/>
          </w:tcPr>
          <w:p w14:paraId="714026B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Sustained smoking cessation (no current smoking the past 2 times they were examined in The CARD1A Study)</w:t>
            </w:r>
          </w:p>
        </w:tc>
        <w:tc>
          <w:tcPr>
            <w:tcW w:w="0" w:type="dxa"/>
          </w:tcPr>
          <w:p w14:paraId="4519502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52E88">
              <w:rPr>
                <w:rFonts w:cstheme="minorHAnsi"/>
                <w:sz w:val="18"/>
                <w:szCs w:val="18"/>
              </w:rPr>
              <w:t>1,260</w:t>
            </w:r>
          </w:p>
        </w:tc>
      </w:tr>
      <w:tr w:rsidR="007F0AE0" w:rsidRPr="00096053" w14:paraId="2984C1E4"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5F69055F"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fldChar w:fldCharType="begin"/>
            </w:r>
            <w:r>
              <w:rPr>
                <w:rFonts w:cstheme="minorHAnsi"/>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F52E88">
              <w:rPr>
                <w:rFonts w:cstheme="minorHAnsi"/>
                <w:sz w:val="18"/>
                <w:szCs w:val="18"/>
              </w:rPr>
              <w:fldChar w:fldCharType="separate"/>
            </w:r>
            <w:r>
              <w:rPr>
                <w:rFonts w:cstheme="minorHAnsi"/>
                <w:noProof/>
                <w:sz w:val="18"/>
                <w:szCs w:val="18"/>
              </w:rPr>
              <w:t>(</w:t>
            </w:r>
            <w:hyperlink w:anchor="_ENREF_62" w:tooltip="Rojewski, 2014 #22" w:history="1">
              <w:r>
                <w:rPr>
                  <w:rFonts w:cstheme="minorHAnsi"/>
                  <w:noProof/>
                  <w:sz w:val="18"/>
                  <w:szCs w:val="18"/>
                </w:rPr>
                <w:t>62</w:t>
              </w:r>
            </w:hyperlink>
            <w:r>
              <w:rPr>
                <w:rFonts w:cstheme="minorHAnsi"/>
                <w:noProof/>
                <w:sz w:val="18"/>
                <w:szCs w:val="18"/>
              </w:rPr>
              <w:t>)</w:t>
            </w:r>
            <w:r w:rsidRPr="00F52E88">
              <w:rPr>
                <w:rFonts w:cstheme="minorHAnsi"/>
                <w:sz w:val="18"/>
                <w:szCs w:val="18"/>
              </w:rPr>
              <w:fldChar w:fldCharType="end"/>
            </w:r>
          </w:p>
        </w:tc>
        <w:tc>
          <w:tcPr>
            <w:tcW w:w="0" w:type="dxa"/>
          </w:tcPr>
          <w:p w14:paraId="5AFFE840"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"Defined by a response on a smoking history questionnaire of “menthol” (vs. nonmenthol) when asked about the cigarettes participants currently smoke most of the time."</w:t>
            </w:r>
          </w:p>
        </w:tc>
        <w:tc>
          <w:tcPr>
            <w:tcW w:w="0" w:type="dxa"/>
          </w:tcPr>
          <w:p w14:paraId="267DB7D1"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Answered "nonmenthol" when asked about the cigarettes participants currently smoke most of the time</w:t>
            </w:r>
          </w:p>
        </w:tc>
        <w:tc>
          <w:tcPr>
            <w:tcW w:w="0" w:type="dxa"/>
          </w:tcPr>
          <w:p w14:paraId="40019B3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Smoking to manage weight</w:t>
            </w:r>
          </w:p>
        </w:tc>
        <w:tc>
          <w:tcPr>
            <w:tcW w:w="0" w:type="dxa"/>
          </w:tcPr>
          <w:p w14:paraId="18ACD2CB"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391F7D9A"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Self-reported 7-day point abstinence confirmed with eCO ≤10 ppm at 14 weeks</w:t>
            </w:r>
          </w:p>
        </w:tc>
        <w:tc>
          <w:tcPr>
            <w:tcW w:w="0" w:type="dxa"/>
          </w:tcPr>
          <w:p w14:paraId="08225E35" w14:textId="77777777" w:rsidR="007F0AE0" w:rsidRPr="00F52E8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F52E88">
              <w:rPr>
                <w:rFonts w:cstheme="minorHAnsi"/>
                <w:sz w:val="18"/>
                <w:szCs w:val="18"/>
              </w:rPr>
              <w:t>166</w:t>
            </w:r>
          </w:p>
        </w:tc>
      </w:tr>
      <w:tr w:rsidR="007F0AE0" w:rsidRPr="00096053" w14:paraId="7ACD1FE2" w14:textId="77777777" w:rsidTr="00453DE3">
        <w:tc>
          <w:tcPr>
            <w:cnfStyle w:val="001000000000" w:firstRow="0" w:lastRow="0" w:firstColumn="1" w:lastColumn="0" w:oddVBand="0" w:evenVBand="0" w:oddHBand="0" w:evenHBand="0" w:firstRowFirstColumn="0" w:firstRowLastColumn="0" w:lastRowFirstColumn="0" w:lastRowLastColumn="0"/>
            <w:tcW w:w="0" w:type="dxa"/>
          </w:tcPr>
          <w:p w14:paraId="650F08DD" w14:textId="77777777" w:rsidR="007F0AE0" w:rsidRPr="00F52E88" w:rsidRDefault="007F0AE0" w:rsidP="00453DE3">
            <w:pPr>
              <w:spacing w:before="60" w:after="60"/>
              <w:rPr>
                <w:rFonts w:cstheme="minorHAnsi"/>
                <w:b w:val="0"/>
                <w:sz w:val="18"/>
                <w:szCs w:val="18"/>
                <w:lang w:val="en-US"/>
              </w:rPr>
            </w:pPr>
            <w:r w:rsidRPr="00F52E88">
              <w:rPr>
                <w:rFonts w:cstheme="minorHAnsi"/>
                <w:sz w:val="18"/>
                <w:szCs w:val="18"/>
              </w:rPr>
              <w:lastRenderedPageBreak/>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F52E88">
              <w:rPr>
                <w:rFonts w:cstheme="minorHAnsi"/>
                <w:sz w:val="18"/>
                <w:szCs w:val="18"/>
              </w:rPr>
              <w:fldChar w:fldCharType="separate"/>
            </w:r>
            <w:r>
              <w:rPr>
                <w:rFonts w:cstheme="minorHAnsi"/>
                <w:noProof/>
                <w:sz w:val="18"/>
                <w:szCs w:val="18"/>
              </w:rPr>
              <w:t>(</w:t>
            </w:r>
            <w:hyperlink w:anchor="_ENREF_64" w:tooltip="Steinberg, 2011 #50" w:history="1">
              <w:r>
                <w:rPr>
                  <w:rFonts w:cstheme="minorHAnsi"/>
                  <w:noProof/>
                  <w:sz w:val="18"/>
                  <w:szCs w:val="18"/>
                </w:rPr>
                <w:t>64</w:t>
              </w:r>
            </w:hyperlink>
            <w:r>
              <w:rPr>
                <w:rFonts w:cstheme="minorHAnsi"/>
                <w:noProof/>
                <w:sz w:val="18"/>
                <w:szCs w:val="18"/>
              </w:rPr>
              <w:t>)</w:t>
            </w:r>
            <w:r w:rsidRPr="00F52E88">
              <w:rPr>
                <w:rFonts w:cstheme="minorHAnsi"/>
                <w:sz w:val="18"/>
                <w:szCs w:val="18"/>
              </w:rPr>
              <w:fldChar w:fldCharType="end"/>
            </w:r>
          </w:p>
        </w:tc>
        <w:tc>
          <w:tcPr>
            <w:tcW w:w="0" w:type="dxa"/>
          </w:tcPr>
          <w:p w14:paraId="0CD3F99A"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3B1B515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NR</w:t>
            </w:r>
          </w:p>
        </w:tc>
        <w:tc>
          <w:tcPr>
            <w:tcW w:w="0" w:type="dxa"/>
          </w:tcPr>
          <w:p w14:paraId="220BC8D4"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eCO greater than 10ppm</w:t>
            </w:r>
          </w:p>
        </w:tc>
        <w:tc>
          <w:tcPr>
            <w:tcW w:w="0" w:type="dxa"/>
          </w:tcPr>
          <w:p w14:paraId="3924212B"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eCO less than 10ppm</w:t>
            </w:r>
          </w:p>
        </w:tc>
        <w:tc>
          <w:tcPr>
            <w:tcW w:w="0" w:type="dxa"/>
          </w:tcPr>
          <w:p w14:paraId="3A193248"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 xml:space="preserve">Self-reported 7-day point abstinence confirmed with eCO </w:t>
            </w:r>
            <w:r w:rsidRPr="00096053">
              <w:rPr>
                <w:rFonts w:cstheme="minorHAnsi"/>
                <w:sz w:val="18"/>
                <w:szCs w:val="18"/>
              </w:rPr>
              <w:t>cut-off</w:t>
            </w:r>
            <w:r w:rsidRPr="00F52E88">
              <w:rPr>
                <w:rFonts w:cstheme="minorHAnsi"/>
                <w:sz w:val="18"/>
                <w:szCs w:val="18"/>
              </w:rPr>
              <w:t xml:space="preserve"> of 10ppm at 26 weeks</w:t>
            </w:r>
          </w:p>
        </w:tc>
        <w:tc>
          <w:tcPr>
            <w:tcW w:w="0" w:type="dxa"/>
          </w:tcPr>
          <w:p w14:paraId="73AACED1" w14:textId="77777777" w:rsidR="007F0AE0" w:rsidRPr="00F52E8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F52E88">
              <w:rPr>
                <w:rFonts w:cstheme="minorHAnsi"/>
                <w:sz w:val="18"/>
                <w:szCs w:val="18"/>
              </w:rPr>
              <w:t>579</w:t>
            </w:r>
          </w:p>
        </w:tc>
      </w:tr>
    </w:tbl>
    <w:p w14:paraId="2A4D19F6" w14:textId="77777777" w:rsidR="007F0AE0" w:rsidRPr="00130E10" w:rsidRDefault="007F0AE0" w:rsidP="007F0AE0">
      <w:pPr>
        <w:rPr>
          <w:rFonts w:ascii="Calibri" w:hAnsi="Calibri" w:cs="Calibri"/>
        </w:rPr>
      </w:pPr>
    </w:p>
    <w:p w14:paraId="6AE9CBC1" w14:textId="77777777" w:rsidR="007F0AE0" w:rsidRDefault="007F0AE0" w:rsidP="007F0AE0">
      <w:pPr>
        <w:rPr>
          <w:rFonts w:eastAsia="Calibri" w:cstheme="minorHAnsi"/>
          <w:b/>
          <w:color w:val="000000"/>
        </w:rPr>
      </w:pPr>
      <w:bookmarkStart w:id="50" w:name="Table14_6"/>
      <w:r>
        <w:rPr>
          <w:rFonts w:eastAsia="Calibri" w:cstheme="minorHAnsi"/>
          <w:b/>
          <w:color w:val="000000"/>
        </w:rPr>
        <w:br w:type="page"/>
      </w:r>
    </w:p>
    <w:p w14:paraId="263A9FB4" w14:textId="77777777" w:rsidR="007F0AE0" w:rsidRPr="00570B68" w:rsidRDefault="007F0AE0" w:rsidP="007F0AE0">
      <w:pPr>
        <w:spacing w:after="120" w:line="240" w:lineRule="auto"/>
        <w:outlineLvl w:val="2"/>
        <w:rPr>
          <w:rFonts w:eastAsia="Calibri" w:cstheme="minorHAnsi"/>
          <w:b/>
          <w:color w:val="000000"/>
        </w:rPr>
      </w:pPr>
      <w:r w:rsidRPr="00570B68">
        <w:rPr>
          <w:rFonts w:eastAsia="Calibri" w:cstheme="minorHAnsi"/>
          <w:b/>
          <w:color w:val="000000"/>
        </w:rPr>
        <w:lastRenderedPageBreak/>
        <w:t xml:space="preserve">Table </w:t>
      </w:r>
      <w:r>
        <w:rPr>
          <w:rFonts w:eastAsia="Calibri" w:cstheme="minorHAnsi"/>
          <w:b/>
          <w:color w:val="000000"/>
        </w:rPr>
        <w:t>17-</w:t>
      </w:r>
      <w:r w:rsidRPr="00570B68">
        <w:rPr>
          <w:rFonts w:eastAsia="Calibri" w:cstheme="minorHAnsi"/>
          <w:b/>
          <w:color w:val="000000"/>
        </w:rPr>
        <w:t>6: Covariates Controlled for Studies Included in the Meta-Analysis of Cigarette Smoking Abstinence</w:t>
      </w:r>
    </w:p>
    <w:tbl>
      <w:tblPr>
        <w:tblStyle w:val="PlainTable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62" w:type="dxa"/>
          <w:bottom w:w="62" w:type="dxa"/>
          <w:right w:w="62" w:type="dxa"/>
        </w:tblCellMar>
        <w:tblLook w:val="04A0" w:firstRow="1" w:lastRow="0" w:firstColumn="1" w:lastColumn="0" w:noHBand="0" w:noVBand="1"/>
      </w:tblPr>
      <w:tblGrid>
        <w:gridCol w:w="1498"/>
        <w:gridCol w:w="3471"/>
        <w:gridCol w:w="3471"/>
        <w:gridCol w:w="3030"/>
        <w:gridCol w:w="2056"/>
      </w:tblGrid>
      <w:tr w:rsidR="007F0AE0" w:rsidRPr="00096053" w14:paraId="1A443B38" w14:textId="77777777" w:rsidTr="00453DE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54" w:type="pct"/>
            <w:shd w:val="clear" w:color="auto" w:fill="44546A" w:themeFill="text2"/>
          </w:tcPr>
          <w:bookmarkEnd w:id="50"/>
          <w:p w14:paraId="320D8825" w14:textId="77777777" w:rsidR="007F0AE0" w:rsidRPr="00F52E88" w:rsidRDefault="007F0AE0" w:rsidP="00453DE3">
            <w:pPr>
              <w:spacing w:before="60" w:after="60"/>
              <w:rPr>
                <w:rFonts w:cstheme="minorHAnsi"/>
                <w:bCs w:val="0"/>
                <w:color w:val="FFFFFF" w:themeColor="background1"/>
                <w:sz w:val="18"/>
                <w:szCs w:val="18"/>
                <w:lang w:val="en-US"/>
              </w:rPr>
            </w:pPr>
            <w:r w:rsidRPr="00F52E88">
              <w:rPr>
                <w:rFonts w:cstheme="minorHAnsi"/>
                <w:color w:val="FFFFFF" w:themeColor="background1"/>
                <w:sz w:val="18"/>
                <w:szCs w:val="18"/>
              </w:rPr>
              <w:t xml:space="preserve">Study </w:t>
            </w:r>
          </w:p>
        </w:tc>
        <w:tc>
          <w:tcPr>
            <w:tcW w:w="1283" w:type="pct"/>
            <w:shd w:val="clear" w:color="auto" w:fill="44546A" w:themeFill="text2"/>
          </w:tcPr>
          <w:p w14:paraId="4C2CBF6B"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Characteristics of population</w:t>
            </w:r>
          </w:p>
        </w:tc>
        <w:tc>
          <w:tcPr>
            <w:tcW w:w="1283" w:type="pct"/>
            <w:shd w:val="clear" w:color="auto" w:fill="44546A" w:themeFill="text2"/>
          </w:tcPr>
          <w:p w14:paraId="6BB84CC0"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Micro Factors</w:t>
            </w:r>
          </w:p>
        </w:tc>
        <w:tc>
          <w:tcPr>
            <w:tcW w:w="1120" w:type="pct"/>
            <w:shd w:val="clear" w:color="auto" w:fill="44546A" w:themeFill="text2"/>
          </w:tcPr>
          <w:p w14:paraId="18655CA3"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Meso Factors</w:t>
            </w:r>
          </w:p>
        </w:tc>
        <w:tc>
          <w:tcPr>
            <w:tcW w:w="760" w:type="pct"/>
            <w:shd w:val="clear" w:color="auto" w:fill="44546A" w:themeFill="text2"/>
          </w:tcPr>
          <w:p w14:paraId="039F8880" w14:textId="77777777" w:rsidR="007F0AE0" w:rsidRPr="00F52E88" w:rsidRDefault="007F0AE0" w:rsidP="00453DE3">
            <w:pPr>
              <w:spacing w:before="60" w:after="60"/>
              <w:cnfStyle w:val="100000000000" w:firstRow="1" w:lastRow="0" w:firstColumn="0" w:lastColumn="0" w:oddVBand="0" w:evenVBand="0" w:oddHBand="0" w:evenHBand="0" w:firstRowFirstColumn="0" w:firstRowLastColumn="0" w:lastRowFirstColumn="0" w:lastRowLastColumn="0"/>
              <w:rPr>
                <w:rFonts w:cstheme="minorHAnsi"/>
                <w:bCs w:val="0"/>
                <w:color w:val="FFFFFF" w:themeColor="background1"/>
                <w:sz w:val="18"/>
                <w:szCs w:val="18"/>
                <w:lang w:val="en-US"/>
              </w:rPr>
            </w:pPr>
            <w:r w:rsidRPr="00F52E88">
              <w:rPr>
                <w:rFonts w:cstheme="minorHAnsi"/>
                <w:color w:val="FFFFFF" w:themeColor="background1"/>
                <w:sz w:val="18"/>
                <w:szCs w:val="18"/>
              </w:rPr>
              <w:t>Macro Factors</w:t>
            </w:r>
          </w:p>
        </w:tc>
      </w:tr>
      <w:tr w:rsidR="007F0AE0" w:rsidRPr="00096053" w14:paraId="40C163F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46A086F8" w14:textId="77777777" w:rsidR="007F0AE0" w:rsidRPr="006F62B8" w:rsidRDefault="007F0AE0" w:rsidP="00453DE3">
            <w:pPr>
              <w:spacing w:before="60" w:after="60"/>
              <w:rPr>
                <w:rFonts w:cstheme="minorHAnsi"/>
                <w:b w:val="0"/>
                <w:color w:val="000000"/>
                <w:sz w:val="18"/>
                <w:szCs w:val="18"/>
              </w:rPr>
            </w:pPr>
            <w:r w:rsidRPr="006F62B8">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 </w:instrText>
            </w:r>
            <w:r>
              <w:rPr>
                <w:rFonts w:cstheme="minorHAnsi"/>
                <w:color w:val="000000"/>
                <w:sz w:val="18"/>
                <w:szCs w:val="18"/>
              </w:rPr>
              <w:fldChar w:fldCharType="begin">
                <w:fldData xml:space="preserve">PEVuZE5vdGU+PENpdGU+PEF1dGhvcj5CbG90PC9BdXRob3I+PFllYXI+MjAxMTwvWWVhcj48UmVj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</w:fldData>
              </w:fldChar>
            </w:r>
            <w:r>
              <w:rPr>
                <w:rFonts w:cstheme="minorHAnsi"/>
                <w:color w:val="000000"/>
                <w:sz w:val="18"/>
                <w:szCs w:val="18"/>
              </w:rPr>
              <w:instrText xml:space="preserve"> ADDIN EN.CITE.DATA </w:instrText>
            </w:r>
            <w:r>
              <w:rPr>
                <w:rFonts w:cstheme="minorHAnsi"/>
                <w:color w:val="000000"/>
                <w:sz w:val="18"/>
                <w:szCs w:val="18"/>
              </w:rPr>
            </w:r>
            <w:r>
              <w:rPr>
                <w:rFonts w:cstheme="minorHAnsi"/>
                <w:color w:val="000000"/>
                <w:sz w:val="18"/>
                <w:szCs w:val="18"/>
              </w:rPr>
              <w:fldChar w:fldCharType="end"/>
            </w:r>
            <w:r w:rsidRPr="006F62B8">
              <w:rPr>
                <w:rFonts w:cstheme="minorHAnsi"/>
                <w:color w:val="000000"/>
                <w:sz w:val="18"/>
                <w:szCs w:val="18"/>
              </w:rPr>
              <w:fldChar w:fldCharType="separate"/>
            </w:r>
            <w:r>
              <w:rPr>
                <w:rFonts w:cstheme="minorHAnsi"/>
                <w:noProof/>
                <w:color w:val="000000"/>
                <w:sz w:val="18"/>
                <w:szCs w:val="18"/>
              </w:rPr>
              <w:t>(</w:t>
            </w:r>
            <w:hyperlink w:anchor="_ENREF_56" w:tooltip="Blot, 2011 #48" w:history="1">
              <w:r>
                <w:rPr>
                  <w:rFonts w:cstheme="minorHAnsi"/>
                  <w:noProof/>
                  <w:color w:val="000000"/>
                  <w:sz w:val="18"/>
                  <w:szCs w:val="18"/>
                </w:rPr>
                <w:t>56</w:t>
              </w:r>
            </w:hyperlink>
            <w:r>
              <w:rPr>
                <w:rFonts w:cstheme="minorHAnsi"/>
                <w:noProof/>
                <w:color w:val="000000"/>
                <w:sz w:val="18"/>
                <w:szCs w:val="18"/>
              </w:rPr>
              <w:t>)</w:t>
            </w:r>
            <w:r w:rsidRPr="006F62B8">
              <w:rPr>
                <w:rFonts w:cstheme="minorHAnsi"/>
                <w:color w:val="000000"/>
                <w:sz w:val="18"/>
                <w:szCs w:val="18"/>
              </w:rPr>
              <w:fldChar w:fldCharType="end"/>
            </w:r>
          </w:p>
        </w:tc>
        <w:tc>
          <w:tcPr>
            <w:tcW w:w="0" w:type="pct"/>
          </w:tcPr>
          <w:p w14:paraId="1766B7B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Adults aged 40–79 years from Alabama, Arkansas, Florida, Georgia, Kentucky, Louisiana, Mississippi, North Carolina, South Carolina, Tennessee, Virginia, and West Virginia (U.S.)</w:t>
            </w:r>
          </w:p>
        </w:tc>
        <w:tc>
          <w:tcPr>
            <w:tcW w:w="0" w:type="pct"/>
          </w:tcPr>
          <w:p w14:paraId="5AA2458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Age</w:t>
            </w:r>
          </w:p>
          <w:p w14:paraId="1E528E1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Gender</w:t>
            </w:r>
          </w:p>
          <w:p w14:paraId="60228CE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Race/ethnicity</w:t>
            </w:r>
          </w:p>
          <w:p w14:paraId="2883833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Income</w:t>
            </w:r>
          </w:p>
          <w:p w14:paraId="584E5310"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Education</w:t>
            </w:r>
          </w:p>
          <w:p w14:paraId="4FD5647A"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Body mass index</w:t>
            </w:r>
          </w:p>
          <w:p w14:paraId="487C8A17"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Pack-years of smoking at entry into the cohort</w:t>
            </w:r>
          </w:p>
          <w:p w14:paraId="6CCA722A"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Type of cigarette (menthol or non-menthol)</w:t>
            </w:r>
          </w:p>
        </w:tc>
        <w:tc>
          <w:tcPr>
            <w:tcW w:w="0" w:type="pct"/>
          </w:tcPr>
          <w:p w14:paraId="2D8A9EF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Time elapsed between the baseline and follow-up questionnaires</w:t>
            </w:r>
          </w:p>
          <w:p w14:paraId="3A01E86A"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F62B8">
              <w:rPr>
                <w:rFonts w:cstheme="minorHAnsi"/>
                <w:sz w:val="18"/>
                <w:szCs w:val="18"/>
              </w:rPr>
              <w:t>Recruitment source</w:t>
            </w:r>
          </w:p>
        </w:tc>
        <w:tc>
          <w:tcPr>
            <w:tcW w:w="0" w:type="pct"/>
          </w:tcPr>
          <w:p w14:paraId="763DED3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6DB97C72"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5624DB9D" w14:textId="77777777" w:rsidR="007F0AE0" w:rsidRPr="006F62B8" w:rsidRDefault="007F0AE0" w:rsidP="00453DE3">
            <w:pPr>
              <w:spacing w:before="60" w:after="60"/>
              <w:rPr>
                <w:rFonts w:cstheme="minorHAnsi"/>
                <w:b w:val="0"/>
                <w:bCs w:val="0"/>
                <w:sz w:val="18"/>
                <w:szCs w:val="18"/>
                <w:lang w:val="en-US"/>
              </w:rPr>
            </w:pPr>
            <w:r w:rsidRPr="006F62B8">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PEVuZE5vdGU+PENpdGU+PEF1dGhvcj5EZWxuZXZvPC9BdXRob3I+PFllYXI+MjAxMTwvWWVhcj48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6F62B8">
              <w:rPr>
                <w:rFonts w:cstheme="minorHAnsi"/>
                <w:sz w:val="18"/>
                <w:szCs w:val="18"/>
              </w:rPr>
              <w:fldChar w:fldCharType="separate"/>
            </w:r>
            <w:r>
              <w:rPr>
                <w:rFonts w:cstheme="minorHAnsi"/>
                <w:noProof/>
                <w:sz w:val="18"/>
                <w:szCs w:val="18"/>
              </w:rPr>
              <w:t>(</w:t>
            </w:r>
            <w:hyperlink w:anchor="_ENREF_57" w:tooltip="Delnevo, 2011 #42" w:history="1">
              <w:r>
                <w:rPr>
                  <w:rFonts w:cstheme="minorHAnsi"/>
                  <w:noProof/>
                  <w:sz w:val="18"/>
                  <w:szCs w:val="18"/>
                </w:rPr>
                <w:t>57</w:t>
              </w:r>
            </w:hyperlink>
            <w:r>
              <w:rPr>
                <w:rFonts w:cstheme="minorHAnsi"/>
                <w:noProof/>
                <w:sz w:val="18"/>
                <w:szCs w:val="18"/>
              </w:rPr>
              <w:t>)</w:t>
            </w:r>
            <w:r w:rsidRPr="006F62B8">
              <w:rPr>
                <w:rFonts w:cstheme="minorHAnsi"/>
                <w:sz w:val="18"/>
                <w:szCs w:val="18"/>
              </w:rPr>
              <w:fldChar w:fldCharType="end"/>
            </w:r>
          </w:p>
        </w:tc>
        <w:tc>
          <w:tcPr>
            <w:tcW w:w="0" w:type="pct"/>
          </w:tcPr>
          <w:p w14:paraId="5F09EA8D"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Adults ≥18 years old from U.S. (national)</w:t>
            </w:r>
          </w:p>
        </w:tc>
        <w:tc>
          <w:tcPr>
            <w:tcW w:w="0" w:type="pct"/>
          </w:tcPr>
          <w:p w14:paraId="1A781F3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0D52E58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403BAC9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Race/ethnicity</w:t>
            </w:r>
          </w:p>
          <w:p w14:paraId="4C588960"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Hispanic origin</w:t>
            </w:r>
          </w:p>
          <w:p w14:paraId="7B9AF90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03502A2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Smoking status</w:t>
            </w:r>
          </w:p>
          <w:p w14:paraId="356E056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Year of survey</w:t>
            </w:r>
          </w:p>
          <w:p w14:paraId="58D1A46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Month of survey</w:t>
            </w:r>
          </w:p>
        </w:tc>
        <w:tc>
          <w:tcPr>
            <w:tcW w:w="0" w:type="pct"/>
          </w:tcPr>
          <w:p w14:paraId="7D9CAA1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7E35B6F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Cigarette excise tax increase</w:t>
            </w:r>
          </w:p>
        </w:tc>
      </w:tr>
      <w:tr w:rsidR="007F0AE0" w:rsidRPr="00096053" w14:paraId="771F2359"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FE80357"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PEVuZE5vdGU+PENpdGU+PEF1dGhvcj5GYXNlcnU8L0F1dGhvcj48WWVhcj4yMDEzPC9ZZWFyPjxS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6F62B8">
              <w:rPr>
                <w:rFonts w:cstheme="minorHAnsi"/>
                <w:sz w:val="18"/>
                <w:szCs w:val="18"/>
              </w:rPr>
              <w:fldChar w:fldCharType="separate"/>
            </w:r>
            <w:r>
              <w:rPr>
                <w:rFonts w:cstheme="minorHAnsi"/>
                <w:noProof/>
                <w:sz w:val="18"/>
                <w:szCs w:val="18"/>
              </w:rPr>
              <w:t>(</w:t>
            </w:r>
            <w:hyperlink w:anchor="_ENREF_27" w:tooltip="Faseru, 2013 #29" w:history="1">
              <w:r>
                <w:rPr>
                  <w:rFonts w:cstheme="minorHAnsi"/>
                  <w:noProof/>
                  <w:sz w:val="18"/>
                  <w:szCs w:val="18"/>
                </w:rPr>
                <w:t>27</w:t>
              </w:r>
            </w:hyperlink>
            <w:r>
              <w:rPr>
                <w:rFonts w:cstheme="minorHAnsi"/>
                <w:noProof/>
                <w:sz w:val="18"/>
                <w:szCs w:val="18"/>
              </w:rPr>
              <w:t>)</w:t>
            </w:r>
            <w:r w:rsidRPr="006F62B8">
              <w:rPr>
                <w:rFonts w:cstheme="minorHAnsi"/>
                <w:sz w:val="18"/>
                <w:szCs w:val="18"/>
              </w:rPr>
              <w:fldChar w:fldCharType="end"/>
            </w:r>
          </w:p>
        </w:tc>
        <w:tc>
          <w:tcPr>
            <w:tcW w:w="0" w:type="pct"/>
          </w:tcPr>
          <w:p w14:paraId="02D5306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African American light smokers of 18 years or older from Kansas City metropolitan area (U.S.)</w:t>
            </w:r>
          </w:p>
        </w:tc>
        <w:tc>
          <w:tcPr>
            <w:tcW w:w="0" w:type="pct"/>
          </w:tcPr>
          <w:p w14:paraId="47AE5C0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Treatment</w:t>
            </w:r>
          </w:p>
          <w:p w14:paraId="070E0B8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Type of cigarette</w:t>
            </w:r>
          </w:p>
          <w:p w14:paraId="40DD42B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Visit attendance</w:t>
            </w:r>
          </w:p>
          <w:p w14:paraId="035525F3"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Cotinine level</w:t>
            </w:r>
          </w:p>
          <w:p w14:paraId="749D88FB"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Years smoked</w:t>
            </w:r>
          </w:p>
          <w:p w14:paraId="5A9CFDB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p w14:paraId="53BF5CD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p w14:paraId="6F59260D"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*Age and gender were found to be not significant in univariate analysis and therefore were not used in adjustments</w:t>
            </w:r>
          </w:p>
        </w:tc>
        <w:tc>
          <w:tcPr>
            <w:tcW w:w="0" w:type="pct"/>
          </w:tcPr>
          <w:p w14:paraId="4A15B64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3DFEE83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44EAA39A"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009C1555"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lastRenderedPageBreak/>
              <w:fldChar w:fldCharType="begin"/>
            </w:r>
            <w:r>
              <w:rPr>
                <w:rFonts w:cstheme="minorHAnsi"/>
                <w:sz w:val="18"/>
                <w:szCs w:val="18"/>
              </w:rPr>
              <w:instrText xml:space="preserve"> ADDIN EN.CITE &lt;EndNote&gt;&lt;Cite&gt;&lt;Author&gt;Foulds&lt;/Author&gt;&lt;Year&gt;2006&lt;/Year&gt;&lt;RecNum&gt;95&lt;/RecNum&gt;&lt;DisplayText&gt;(66)&lt;/DisplayText&gt;&lt;record&gt;&lt;rec-number&gt;95&lt;/rec-number&gt;&lt;foreign-keys&gt;&lt;key app="EN" db-id="a2vz2dfp8xrad6exes75zwpiw5rxwa0vwapv" timestamp="0"&gt;95&lt;/key&gt;&lt;/foreign-keys&gt;&lt;ref-type name="Journal Article"&gt;17&lt;/ref-type&gt;&lt;contributors&gt;&lt;authors&gt;&lt;author&gt;Foulds, J.&lt;/author&gt;&lt;author&gt;Gandhi, K. K.&lt;/author&gt;&lt;author&gt;Steinberg, M. B.&lt;/author&gt;&lt;author&gt;Richardson, D. L.&lt;/author&gt;&lt;author&gt;Williams, J. M.&lt;/author&gt;&lt;author&gt;Burke, M. V.&lt;/author&gt;&lt;author&gt;Rhoads, G. G.&lt;/author&gt;&lt;/authors&gt;&lt;/contributors&gt;&lt;titles&gt;&lt;title&gt;Factors associated with quitting smoking at a tobacco dependence treatment clinic&lt;/title&gt;&lt;secondary-title&gt;Am J Health Behav&lt;/secondary-title&gt;&lt;/titles&gt;&lt;pages&gt;400-412&lt;/pages&gt;&lt;volume&gt;30&lt;/volume&gt;&lt;number&gt;4&lt;/number&gt;&lt;section&gt;400&lt;/section&gt;&lt;dates&gt;&lt;year&gt;2006&lt;/year&gt;&lt;/dates&gt;&lt;urls&gt;&lt;/urls&gt;&lt;research-notes&gt;#762&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66" w:tooltip="Foulds, 2006 #95" w:history="1">
              <w:r>
                <w:rPr>
                  <w:rFonts w:cstheme="minorHAnsi"/>
                  <w:noProof/>
                  <w:sz w:val="18"/>
                  <w:szCs w:val="18"/>
                </w:rPr>
                <w:t>66</w:t>
              </w:r>
            </w:hyperlink>
            <w:r>
              <w:rPr>
                <w:rFonts w:cstheme="minorHAnsi"/>
                <w:noProof/>
                <w:sz w:val="18"/>
                <w:szCs w:val="18"/>
              </w:rPr>
              <w:t>)</w:t>
            </w:r>
            <w:r w:rsidRPr="006F62B8">
              <w:rPr>
                <w:rFonts w:cstheme="minorHAnsi"/>
                <w:sz w:val="18"/>
                <w:szCs w:val="18"/>
              </w:rPr>
              <w:fldChar w:fldCharType="end"/>
            </w:r>
          </w:p>
        </w:tc>
        <w:tc>
          <w:tcPr>
            <w:tcW w:w="0" w:type="pct"/>
          </w:tcPr>
          <w:p w14:paraId="7EEB0510"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Patients using a specialist tobacco dependence treatment outpatient clinic to quit tobacco in New Jersey (U.S.)</w:t>
            </w:r>
          </w:p>
        </w:tc>
        <w:tc>
          <w:tcPr>
            <w:tcW w:w="0" w:type="pct"/>
          </w:tcPr>
          <w:p w14:paraId="192E36F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1CFE91CC"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6D2BF53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Race/ethnicity</w:t>
            </w:r>
          </w:p>
          <w:p w14:paraId="4A6AD1A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Marital status</w:t>
            </w:r>
          </w:p>
          <w:p w14:paraId="7EF93CE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3AA1FF7F"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Employment status</w:t>
            </w:r>
          </w:p>
          <w:p w14:paraId="73D390F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Number of children</w:t>
            </w:r>
          </w:p>
          <w:p w14:paraId="166D27C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Type of insurance</w:t>
            </w:r>
          </w:p>
          <w:p w14:paraId="749CB5D1"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 first used tobacco</w:t>
            </w:r>
          </w:p>
          <w:p w14:paraId="3AF804A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 started daily smoking</w:t>
            </w:r>
          </w:p>
          <w:p w14:paraId="57D7E3C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Years of daily tobacco use</w:t>
            </w:r>
          </w:p>
          <w:p w14:paraId="1049D9A1"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CPD</w:t>
            </w:r>
          </w:p>
          <w:p w14:paraId="7C2EBFE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Time to first smoke in the morning</w:t>
            </w:r>
          </w:p>
          <w:p w14:paraId="288475D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Awakens at night to smoke</w:t>
            </w:r>
          </w:p>
          <w:p w14:paraId="7CA9245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Prior attempts to quit smoking</w:t>
            </w:r>
          </w:p>
          <w:p w14:paraId="7FE45E7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Current brand light or low tar</w:t>
            </w:r>
          </w:p>
          <w:p w14:paraId="7709106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Current brand menthol</w:t>
            </w:r>
          </w:p>
          <w:p w14:paraId="31C77EDC"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Baseline stage of change (Current quit attempt)</w:t>
            </w:r>
          </w:p>
          <w:p w14:paraId="4D5A9B5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Any disease or condition caused or aggravated by tobacco use</w:t>
            </w:r>
          </w:p>
          <w:p w14:paraId="2806DF4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Previous treatment for a mental health or behavioral problem</w:t>
            </w:r>
          </w:p>
          <w:p w14:paraId="2AB186BC"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Previous treatment for alcohol or other drug problem</w:t>
            </w:r>
          </w:p>
          <w:p w14:paraId="778A942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Number of face-face contacts at the clinic</w:t>
            </w:r>
          </w:p>
          <w:p w14:paraId="1A620B9D"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*backward stepwise procedure entered all variables initially and removed one variable at a time (less significant first) until all had a value of p&lt;0.1.</w:t>
            </w:r>
          </w:p>
        </w:tc>
        <w:tc>
          <w:tcPr>
            <w:tcW w:w="0" w:type="pct"/>
          </w:tcPr>
          <w:p w14:paraId="3E64341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Referral to the clinic</w:t>
            </w:r>
          </w:p>
        </w:tc>
        <w:tc>
          <w:tcPr>
            <w:tcW w:w="0" w:type="pct"/>
          </w:tcPr>
          <w:p w14:paraId="2530319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78FB31E4"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893248E"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PEVuZE5vdGU+PENpdGU+PEF1dGhvcj5GdTwvQXV0aG9yPjxZZWFyPjIwMDg8L1llYXI+PFJlY051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6F62B8">
              <w:rPr>
                <w:rFonts w:cstheme="minorHAnsi"/>
                <w:sz w:val="18"/>
                <w:szCs w:val="18"/>
              </w:rPr>
              <w:fldChar w:fldCharType="separate"/>
            </w:r>
            <w:r>
              <w:rPr>
                <w:rFonts w:cstheme="minorHAnsi"/>
                <w:noProof/>
                <w:sz w:val="18"/>
                <w:szCs w:val="18"/>
              </w:rPr>
              <w:t>(</w:t>
            </w:r>
            <w:hyperlink w:anchor="_ENREF_23" w:tooltip="Fu, 2008 #72" w:history="1">
              <w:r>
                <w:rPr>
                  <w:rFonts w:cstheme="minorHAnsi"/>
                  <w:noProof/>
                  <w:sz w:val="18"/>
                  <w:szCs w:val="18"/>
                </w:rPr>
                <w:t>23</w:t>
              </w:r>
            </w:hyperlink>
            <w:r>
              <w:rPr>
                <w:rFonts w:cstheme="minorHAnsi"/>
                <w:noProof/>
                <w:sz w:val="18"/>
                <w:szCs w:val="18"/>
              </w:rPr>
              <w:t>)</w:t>
            </w:r>
            <w:r w:rsidRPr="006F62B8">
              <w:rPr>
                <w:rFonts w:cstheme="minorHAnsi"/>
                <w:sz w:val="18"/>
                <w:szCs w:val="18"/>
              </w:rPr>
              <w:fldChar w:fldCharType="end"/>
            </w:r>
          </w:p>
        </w:tc>
        <w:tc>
          <w:tcPr>
            <w:tcW w:w="0" w:type="pct"/>
          </w:tcPr>
          <w:p w14:paraId="3FEE651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Veterans ≥19 years old in national sample (U.S.)</w:t>
            </w:r>
          </w:p>
        </w:tc>
        <w:tc>
          <w:tcPr>
            <w:tcW w:w="0" w:type="pct"/>
          </w:tcPr>
          <w:p w14:paraId="37A89618"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Race/ethnicity</w:t>
            </w:r>
          </w:p>
          <w:p w14:paraId="5992EAC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7446199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lastRenderedPageBreak/>
              <w:t>Site</w:t>
            </w:r>
          </w:p>
          <w:p w14:paraId="40502692"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5DE486C7"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Intervention vs. usual care group</w:t>
            </w:r>
          </w:p>
          <w:p w14:paraId="2313750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History of smoking-related cancer</w:t>
            </w:r>
          </w:p>
          <w:p w14:paraId="3C7D8D9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History of substance abuse disorder</w:t>
            </w:r>
          </w:p>
          <w:p w14:paraId="37ADEA5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Additional 24-hour quit attempts in past 12 months</w:t>
            </w:r>
          </w:p>
        </w:tc>
        <w:tc>
          <w:tcPr>
            <w:tcW w:w="0" w:type="pct"/>
          </w:tcPr>
          <w:p w14:paraId="2603070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5D3297E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21CE490D"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57B5ED04" w14:textId="77777777" w:rsidR="007F0AE0" w:rsidRPr="006F62B8" w:rsidRDefault="007F0AE0" w:rsidP="00453DE3">
            <w:pPr>
              <w:spacing w:before="60" w:after="60"/>
              <w:rPr>
                <w:rFonts w:cstheme="minorHAnsi"/>
                <w:sz w:val="18"/>
                <w:szCs w:val="18"/>
                <w:lang w:val="en-US"/>
              </w:rPr>
            </w:pPr>
            <w:r w:rsidRPr="006F62B8">
              <w:rPr>
                <w:rFonts w:cstheme="minorHAnsi"/>
                <w:sz w:val="18"/>
                <w:szCs w:val="18"/>
              </w:rPr>
              <w:fldChar w:fldCharType="begin"/>
            </w:r>
            <w:r>
              <w:rPr>
                <w:rFonts w:cstheme="minorHAnsi"/>
                <w:sz w:val="18"/>
                <w:szCs w:val="18"/>
              </w:rPr>
              <w:instrText xml:space="preserve"> ADDIN EN.CITE &lt;EndNote&gt;&lt;Cite&gt;&lt;Author&gt;Gandhi&lt;/Author&gt;&lt;Year&gt;2009&lt;/Year&gt;&lt;RecNum&gt;67&lt;/RecNum&gt;&lt;DisplayText&gt;(47)&lt;/DisplayText&gt;&lt;record&gt;&lt;rec-number&gt;67&lt;/rec-number&gt;&lt;foreign-keys&gt;&lt;key app="EN" db-id="a2vz2dfp8xrad6exes75zwpiw5rxwa0vwapv" timestamp="0"&gt;67&lt;/key&gt;&lt;/foreign-keys&gt;&lt;ref-type name="Journal Article"&gt;17&lt;/ref-type&gt;&lt;contributors&gt;&lt;authors&gt;&lt;author&gt;Gandhi, K. K.&lt;/author&gt;&lt;author&gt;Foulds, J.&lt;/author&gt;&lt;author&gt;Steinberg, M. B.&lt;/author&gt;&lt;author&gt;Lu, S. E.&lt;/author&gt;&lt;author&gt;Williams, J. M.&lt;/author&gt;&lt;/authors&gt;&lt;/contributors&gt;&lt;auth-address&gt;Division of Addiction Psychiatry, UMDNJ-Robert Wood Johnson Medical School, New Brunswick, NJ 08901, USA. kunal.gandhi@umdnj.edu&lt;/auth-address&gt;&lt;titles&gt;&lt;title&gt;Lower quit rates among African American and Latino menthol cigarette smokers at a tobacco treatment clinic&lt;/title&gt;&lt;secondary-title&gt;Int J Clin Pract&lt;/secondary-title&gt;&lt;/titles&gt;&lt;pages&gt;360-7&lt;/pages&gt;&lt;volume&gt;63&lt;/volume&gt;&lt;number&gt;3&lt;/number&gt;&lt;keywords&gt;&lt;keyword&gt;Adult&lt;/keyword&gt;&lt;keyword&gt;African Americans/*statistics &amp;amp; numerical data&lt;/keyword&gt;&lt;keyword&gt;Cohort Studies&lt;/keyword&gt;&lt;keyword&gt;Educational Status&lt;/keyword&gt;&lt;keyword&gt;European Continental Ancestry Group/statistics &amp;amp; numerical data&lt;/keyword&gt;&lt;keyword&gt;Female&lt;/keyword&gt;&lt;keyword&gt;Hispanic Americans/*statistics &amp;amp; numerical data&lt;/keyword&gt;&lt;keyword&gt;Humans&lt;/keyword&gt;&lt;keyword&gt;Male&lt;/keyword&gt;&lt;keyword&gt;Menthol&lt;/keyword&gt;&lt;keyword&gt;New Jersey&lt;/keyword&gt;&lt;keyword&gt;Retrospective Studies&lt;/keyword&gt;&lt;keyword&gt;Smoking/ethnology/*prevention &amp;amp; control&lt;/keyword&gt;&lt;keyword&gt;Smoking Cessation/*ethnology/statistics &amp;amp; numerical data&lt;/keyword&gt;&lt;keyword&gt;Socioeconomic Factors&lt;/keyword&gt;&lt;keyword&gt;Treatment Outcome&lt;/keyword&gt;&lt;/keywords&gt;&lt;dates&gt;&lt;year&gt;2009&lt;/year&gt;&lt;pub-dates&gt;&lt;date&gt;Mar&lt;/date&gt;&lt;/pub-dates&gt;&lt;/dates&gt;&lt;isbn&gt;1742-1241 (Electronic)&amp;#xD;1368-5031 (Linking)&lt;/isbn&gt;&lt;accession-num&gt;19222622&lt;/accession-num&gt;&lt;urls&gt;&lt;related-urls&gt;&lt;url&gt;http://www.ncbi.nlm.nih.gov/pubmed/19222622&lt;/url&gt;&lt;/related-urls&gt;&lt;/urls&gt;&lt;electronic-resource-num&gt;10.1111/j.1742-1241.2008.01969.x&lt;/electronic-resource-num&gt;&lt;research-notes&gt;#335&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47" w:tooltip="Gandhi, 2009 #67" w:history="1">
              <w:r>
                <w:rPr>
                  <w:rFonts w:cstheme="minorHAnsi"/>
                  <w:noProof/>
                  <w:sz w:val="18"/>
                  <w:szCs w:val="18"/>
                </w:rPr>
                <w:t>47</w:t>
              </w:r>
            </w:hyperlink>
            <w:r>
              <w:rPr>
                <w:rFonts w:cstheme="minorHAnsi"/>
                <w:noProof/>
                <w:sz w:val="18"/>
                <w:szCs w:val="18"/>
              </w:rPr>
              <w:t>)</w:t>
            </w:r>
            <w:r w:rsidRPr="006F62B8">
              <w:rPr>
                <w:rFonts w:cstheme="minorHAnsi"/>
                <w:sz w:val="18"/>
                <w:szCs w:val="18"/>
              </w:rPr>
              <w:fldChar w:fldCharType="end"/>
            </w:r>
          </w:p>
        </w:tc>
        <w:tc>
          <w:tcPr>
            <w:tcW w:w="0" w:type="pct"/>
          </w:tcPr>
          <w:p w14:paraId="79528F9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Specialist tobacco dependence treatment outpatient clinic patients from New Jersey (U.S.)</w:t>
            </w:r>
          </w:p>
        </w:tc>
        <w:tc>
          <w:tcPr>
            <w:tcW w:w="0" w:type="pct"/>
          </w:tcPr>
          <w:p w14:paraId="6F5B653A"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2047461A"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695919CD"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1A3FBCD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Employment status</w:t>
            </w:r>
          </w:p>
          <w:p w14:paraId="1A3B749F"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Type of insurance</w:t>
            </w:r>
          </w:p>
          <w:p w14:paraId="75F5B14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CPD</w:t>
            </w:r>
          </w:p>
          <w:p w14:paraId="6D9FEA5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 smoked for first time</w:t>
            </w:r>
          </w:p>
          <w:p w14:paraId="2AEE89FD"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Awaken at night to smoke</w:t>
            </w:r>
          </w:p>
          <w:p w14:paraId="1C307C2A"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Time to use first cigarette of day</w:t>
            </w:r>
          </w:p>
          <w:p w14:paraId="0B181527"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Previous attempts to quit smoking</w:t>
            </w:r>
          </w:p>
          <w:p w14:paraId="35F02DF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Use of mentholated cigarettes</w:t>
            </w:r>
          </w:p>
          <w:p w14:paraId="5A21454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Presence of disease caused or aggravated by smoking</w:t>
            </w:r>
          </w:p>
        </w:tc>
        <w:tc>
          <w:tcPr>
            <w:tcW w:w="0" w:type="pct"/>
          </w:tcPr>
          <w:p w14:paraId="496BDD7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4A1BA67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2F9392C2"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01D52A14" w14:textId="77777777" w:rsidR="007F0AE0" w:rsidRPr="006F62B8" w:rsidRDefault="007F0AE0" w:rsidP="00453DE3">
            <w:pPr>
              <w:spacing w:before="60" w:after="60"/>
              <w:rPr>
                <w:rFonts w:cstheme="minorHAnsi"/>
                <w:b w:val="0"/>
                <w:bCs w:val="0"/>
                <w:sz w:val="18"/>
                <w:szCs w:val="18"/>
                <w:lang w:val="en-US"/>
              </w:rPr>
            </w:pPr>
            <w:r w:rsidRPr="006F62B8">
              <w:rPr>
                <w:rFonts w:cstheme="minorHAnsi"/>
                <w:sz w:val="18"/>
                <w:szCs w:val="18"/>
              </w:rPr>
              <w:fldChar w:fldCharType="begin"/>
            </w:r>
            <w:r>
              <w:rPr>
                <w:rFonts w:cstheme="minorHAnsi"/>
                <w:sz w:val="18"/>
                <w:szCs w:val="18"/>
              </w:rPr>
              <w:instrText xml:space="preserve"> ADDIN EN.CITE &lt;EndNote&gt;&lt;Cite&gt;&lt;Author&gt;Gundersen&lt;/Author&gt;&lt;Year&gt;2009&lt;/Year&gt;&lt;RecNum&gt;65&lt;/RecNum&gt;&lt;DisplayText&gt;(59)&lt;/DisplayText&gt;&lt;record&gt;&lt;rec-number&gt;65&lt;/rec-number&gt;&lt;foreign-keys&gt;&lt;key app="EN" db-id="a2vz2dfp8xrad6exes75zwpiw5rxwa0vwapv" timestamp="0"&gt;65&lt;/key&gt;&lt;/foreign-keys&gt;&lt;ref-type name="Journal Article"&gt;17&lt;/ref-type&gt;&lt;contributors&gt;&lt;authors&gt;&lt;author&gt;Gundersen, D. A.&lt;/author&gt;&lt;author&gt;Delnevo, C. D.&lt;/author&gt;&lt;author&gt;Wackowski, O.&lt;/author&gt;&lt;/authors&gt;&lt;/contributors&gt;&lt;auth-address&gt;Center for Tobacco Surveillance and Evaluation Research, University of Medicine and Dentistry of New Jersey-School of Public Health, New Brunswick, NJ 08903, USA. gunderda@umdnj.edu&lt;/auth-address&gt;&lt;titles&gt;&lt;title&gt;Exploring the relationship between race/ethnicity, menthol smoking, and cessation, in a nationally representative sample of adults&lt;/title&gt;&lt;secondary-title&gt;Prev Med&lt;/secondary-title&gt;&lt;/titles&gt;&lt;pages&gt;553-7&lt;/pages&gt;&lt;volume&gt;49&lt;/volume&gt;&lt;number&gt;6&lt;/number&gt;&lt;keywords&gt;&lt;keyword&gt;African Americans&lt;/keyword&gt;&lt;keyword&gt;Cross-Sectional Studies&lt;/keyword&gt;&lt;keyword&gt;*Ethnic Groups&lt;/keyword&gt;&lt;keyword&gt;European Continental Ancestry Group&lt;/keyword&gt;&lt;keyword&gt;Female&lt;/keyword&gt;&lt;keyword&gt;Health Surveys&lt;/keyword&gt;&lt;keyword&gt;Hispanic Americans&lt;/keyword&gt;&lt;keyword&gt;Humans&lt;/keyword&gt;&lt;keyword&gt;Logistic Models&lt;/keyword&gt;&lt;keyword&gt;Male&lt;/keyword&gt;&lt;keyword&gt;*Menthol&lt;/keyword&gt;&lt;keyword&gt;Middle Aged&lt;/keyword&gt;&lt;keyword&gt;Smoking/*ethnology&lt;/keyword&gt;&lt;keyword&gt;Smoking Cessation/*ethnology&lt;/keyword&gt;&lt;keyword&gt;United States&lt;/keyword&gt;&lt;/keywords&gt;&lt;dates&gt;&lt;year&gt;2009&lt;/year&gt;&lt;pub-dates&gt;&lt;date&gt;Dec&lt;/date&gt;&lt;/pub-dates&gt;&lt;/dates&gt;&lt;isbn&gt;1096-0260 (Electronic)&amp;#xD;0091-7435 (Linking)&lt;/isbn&gt;&lt;accession-num&gt;19850064&lt;/accession-num&gt;&lt;urls&gt;&lt;related-urls&gt;&lt;url&gt;http://www.ncbi.nlm.nih.gov/pubmed/19850064&lt;/url&gt;&lt;/related-urls&gt;&lt;/urls&gt;&lt;electronic-resource-num&gt;10.1016/j.ypmed.2009.10.003&lt;/electronic-resource-num&gt;&lt;research-notes&gt;#325&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59" w:tooltip="Gundersen, 2009 #65" w:history="1">
              <w:r>
                <w:rPr>
                  <w:rFonts w:cstheme="minorHAnsi"/>
                  <w:noProof/>
                  <w:sz w:val="18"/>
                  <w:szCs w:val="18"/>
                </w:rPr>
                <w:t>59</w:t>
              </w:r>
            </w:hyperlink>
            <w:r>
              <w:rPr>
                <w:rFonts w:cstheme="minorHAnsi"/>
                <w:noProof/>
                <w:sz w:val="18"/>
                <w:szCs w:val="18"/>
              </w:rPr>
              <w:t>)</w:t>
            </w:r>
            <w:r w:rsidRPr="006F62B8">
              <w:rPr>
                <w:rFonts w:cstheme="minorHAnsi"/>
                <w:sz w:val="18"/>
                <w:szCs w:val="18"/>
              </w:rPr>
              <w:fldChar w:fldCharType="end"/>
            </w:r>
          </w:p>
        </w:tc>
        <w:tc>
          <w:tcPr>
            <w:tcW w:w="0" w:type="pct"/>
          </w:tcPr>
          <w:p w14:paraId="69BBF723"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Adults ≥18 years old from U.S. (national)</w:t>
            </w:r>
          </w:p>
        </w:tc>
        <w:tc>
          <w:tcPr>
            <w:tcW w:w="0" w:type="pct"/>
          </w:tcPr>
          <w:p w14:paraId="6B04EA8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36A74F8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4BA3F21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6B8B780E"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CPD</w:t>
            </w:r>
          </w:p>
          <w:p w14:paraId="60899C28"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Perceived risk of cancer</w:t>
            </w:r>
          </w:p>
        </w:tc>
        <w:tc>
          <w:tcPr>
            <w:tcW w:w="0" w:type="pct"/>
          </w:tcPr>
          <w:p w14:paraId="1A389A1A"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Census region</w:t>
            </w:r>
          </w:p>
        </w:tc>
        <w:tc>
          <w:tcPr>
            <w:tcW w:w="0" w:type="pct"/>
          </w:tcPr>
          <w:p w14:paraId="087C9CA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265C8A47"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4B71E442"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r>
            <w:r>
              <w:rPr>
                <w:rFonts w:cstheme="minorHAnsi"/>
                <w:sz w:val="18"/>
                <w:szCs w:val="18"/>
              </w:rPr>
              <w:instrText xml:space="preserve"> ADDIN EN.CITE &lt;EndNote&gt;&lt;Cite&gt;&lt;Author&gt;Okuyemi&lt;/Author&gt;&lt;Year&gt;2003&lt;/Year&gt;&lt;RecNum&gt;85&lt;/RecNum&gt;&lt;DisplayText&gt;(49)&lt;/DisplayText&gt;&lt;record&gt;&lt;rec-number&gt;85&lt;/rec-number&gt;&lt;foreign-keys&gt;&lt;key app="EN" db-id="a2vz2dfp8xrad6exes75zwpiw5rxwa0vwapv" timestamp="0"&gt;85&lt;/key&gt;&lt;/foreign-keys&gt;&lt;ref-type name="Journal Article"&gt;17&lt;/ref-type&gt;&lt;contributors&gt;&lt;authors&gt;&lt;author&gt;Okuyemi, K. S.&lt;/author&gt;&lt;author&gt;Ahluwalia, J. S.&lt;/author&gt;&lt;author&gt;Ebersole-Robinson, M.&lt;/author&gt;&lt;author&gt;Catley, D.&lt;/author&gt;&lt;author&gt;Mayo, M. S.&lt;/author&gt;&lt;author&gt;Resnicow, K.&lt;/author&gt;&lt;/authors&gt;&lt;/contributors&gt;&lt;titles&gt;&lt;title&gt;Does menthol attenuate the effect of bupropion among African American smokers?&lt;/title&gt;&lt;secondary-title&gt;Addiction&lt;/secondary-title&gt;&lt;/titles&gt;&lt;periodical&gt;&lt;full-title&gt;Addiction&lt;/full-title&gt;&lt;/periodical&gt;&lt;pages&gt;1387-1393&lt;/pages&gt;&lt;volume&gt;98&lt;/volume&gt;&lt;dates&gt;&lt;year&gt;2003&lt;/year&gt;&lt;/dates&gt;&lt;urls&gt;&lt;/urls&gt;&lt;research-notes&gt;#425&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49" w:tooltip="Okuyemi, 2003 #85" w:history="1">
              <w:r>
                <w:rPr>
                  <w:rFonts w:cstheme="minorHAnsi"/>
                  <w:noProof/>
                  <w:sz w:val="18"/>
                  <w:szCs w:val="18"/>
                </w:rPr>
                <w:t>49</w:t>
              </w:r>
            </w:hyperlink>
            <w:r>
              <w:rPr>
                <w:rFonts w:cstheme="minorHAnsi"/>
                <w:noProof/>
                <w:sz w:val="18"/>
                <w:szCs w:val="18"/>
              </w:rPr>
              <w:t>)</w:t>
            </w:r>
            <w:r w:rsidRPr="006F62B8">
              <w:rPr>
                <w:rFonts w:cstheme="minorHAnsi"/>
                <w:sz w:val="18"/>
                <w:szCs w:val="18"/>
              </w:rPr>
              <w:fldChar w:fldCharType="end"/>
            </w:r>
          </w:p>
        </w:tc>
        <w:tc>
          <w:tcPr>
            <w:tcW w:w="0" w:type="pct"/>
          </w:tcPr>
          <w:p w14:paraId="6B4E924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African American smokers of 18 years or older from Kansas City metropolitan area (U.S.)</w:t>
            </w:r>
          </w:p>
        </w:tc>
        <w:tc>
          <w:tcPr>
            <w:tcW w:w="0" w:type="pct"/>
          </w:tcPr>
          <w:p w14:paraId="404E0FD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0DC1D25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Monthly income</w:t>
            </w:r>
          </w:p>
          <w:p w14:paraId="5FAE3DE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3A897D8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Employment</w:t>
            </w:r>
          </w:p>
          <w:p w14:paraId="47A200E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lastRenderedPageBreak/>
              <w:t>CPD</w:t>
            </w:r>
          </w:p>
          <w:p w14:paraId="2D0A969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FTND score</w:t>
            </w:r>
          </w:p>
          <w:p w14:paraId="0A3FB01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Satisfaction of most recent cigarette</w:t>
            </w:r>
          </w:p>
          <w:p w14:paraId="485333A7"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Taste of most recent cigarette</w:t>
            </w:r>
          </w:p>
          <w:p w14:paraId="3AF16A9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Salivary cotinine</w:t>
            </w:r>
          </w:p>
          <w:p w14:paraId="5A92929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eCO</w:t>
            </w:r>
          </w:p>
          <w:p w14:paraId="440EC17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p w14:paraId="0520A97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*Stepwise logistic regression and best subsets logistic regression were used to explore the joint relationship of treatment, menthol cigarette smoking and the other baseline variables</w:t>
            </w:r>
          </w:p>
        </w:tc>
        <w:tc>
          <w:tcPr>
            <w:tcW w:w="0" w:type="pct"/>
          </w:tcPr>
          <w:p w14:paraId="51119BF5"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2B98F78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368D17C7"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47317AEB"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r>
            <w:r>
              <w:rPr>
                <w:rFonts w:cstheme="minorHAnsi"/>
                <w:sz w:val="18"/>
                <w:szCs w:val="18"/>
              </w:rPr>
              <w:instrText xml:space="preserve"> ADDIN EN.CITE &lt;EndNote&gt;&lt;Cite&gt;&lt;Author&gt;Okuyemi&lt;/Author&gt;&lt;Year&gt;2007&lt;/Year&gt;&lt;RecNum&gt;74&lt;/RecNum&gt;&lt;DisplayText&gt;(24)&lt;/DisplayText&gt;&lt;record&gt;&lt;rec-number&gt;74&lt;/rec-number&gt;&lt;foreign-keys&gt;&lt;key app="EN" db-id="a2vz2dfp8xrad6exes75zwpiw5rxwa0vwapv" timestamp="0"&gt;74&lt;/key&gt;&lt;/foreign-keys&gt;&lt;ref-type name="Journal Article"&gt;17&lt;/ref-type&gt;&lt;contributors&gt;&lt;authors&gt;&lt;author&gt;Okuyemi, K. S.&lt;/author&gt;&lt;author&gt;Faseru, B.&lt;/author&gt;&lt;author&gt;Sanderson Cox, L.&lt;/author&gt;&lt;author&gt;Bronars, C. A.&lt;/author&gt;&lt;author&gt;Ahluwalia, J. S.&lt;/author&gt;&lt;/authors&gt;&lt;/contributors&gt;&lt;auth-address&gt;Program in Health Disparities Research, University of Minnesota Medical School, Minneapolis, MN 55455, USA. kokuyemi@umn.edu&lt;/auth-address&gt;&lt;titles&gt;&lt;title&gt;Relationship between menthol cigarettes and smoking cessation among African American light smokers&lt;/title&gt;&lt;secondary-title&gt;Addiction&lt;/secondary-title&gt;&lt;/titles&gt;&lt;periodical&gt;&lt;full-title&gt;Addiction&lt;/full-title&gt;&lt;/periodical&gt;&lt;pages&gt;1979-86&lt;/pages&gt;&lt;volume&gt;102&lt;/volume&gt;&lt;number&gt;12&lt;/number&gt;&lt;keywords&gt;&lt;keyword&gt;Adult&lt;/keyword&gt;&lt;keyword&gt;African Americans/*ethnology/psychology&lt;/keyword&gt;&lt;keyword&gt;Age Factors&lt;/keyword&gt;&lt;keyword&gt;Female&lt;/keyword&gt;&lt;keyword&gt;Health Education&lt;/keyword&gt;&lt;keyword&gt;Humans&lt;/keyword&gt;&lt;keyword&gt;Male&lt;/keyword&gt;&lt;keyword&gt;*Menthol&lt;/keyword&gt;&lt;keyword&gt;Middle Aged&lt;/keyword&gt;&lt;keyword&gt;Regression Analysis&lt;/keyword&gt;&lt;keyword&gt;Smoking/*adverse effects&lt;/keyword&gt;&lt;keyword&gt;Smoking Cessation/*ethnology/psychology/statistics &amp;amp; numerical data&lt;/keyword&gt;&lt;keyword&gt;Tobacco/*adverse effects&lt;/keyword&gt;&lt;/keywords&gt;&lt;dates&gt;&lt;year&gt;2007&lt;/year&gt;&lt;pub-dates&gt;&lt;date&gt;Dec&lt;/date&gt;&lt;/pub-dates&gt;&lt;/dates&gt;&lt;isbn&gt;0965-2140 (Print)&amp;#xD;0965-2140 (Linking)&lt;/isbn&gt;&lt;accession-num&gt;17916223&lt;/accession-num&gt;&lt;urls&gt;&lt;related-urls&gt;&lt;url&gt;http://www.ncbi.nlm.nih.gov/pubmed/17916223&lt;/url&gt;&lt;/related-urls&gt;&lt;/urls&gt;&lt;electronic-resource-num&gt;10.1111/j.1360-0443.2007.02010.x&lt;/electronic-resource-num&gt;&lt;research-notes&gt;#367&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24" w:tooltip="Okuyemi, 2007 #74" w:history="1">
              <w:r>
                <w:rPr>
                  <w:rFonts w:cstheme="minorHAnsi"/>
                  <w:noProof/>
                  <w:sz w:val="18"/>
                  <w:szCs w:val="18"/>
                </w:rPr>
                <w:t>24</w:t>
              </w:r>
            </w:hyperlink>
            <w:r>
              <w:rPr>
                <w:rFonts w:cstheme="minorHAnsi"/>
                <w:noProof/>
                <w:sz w:val="18"/>
                <w:szCs w:val="18"/>
              </w:rPr>
              <w:t>)</w:t>
            </w:r>
            <w:r w:rsidRPr="006F62B8">
              <w:rPr>
                <w:rFonts w:cstheme="minorHAnsi"/>
                <w:sz w:val="18"/>
                <w:szCs w:val="18"/>
              </w:rPr>
              <w:fldChar w:fldCharType="end"/>
            </w:r>
          </w:p>
        </w:tc>
        <w:tc>
          <w:tcPr>
            <w:tcW w:w="0" w:type="pct"/>
          </w:tcPr>
          <w:p w14:paraId="50455AE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Kansas City Metropolitan area; African American light smokers ≥18 years old</w:t>
            </w:r>
          </w:p>
        </w:tc>
        <w:tc>
          <w:tcPr>
            <w:tcW w:w="0" w:type="pct"/>
          </w:tcPr>
          <w:p w14:paraId="0FBCCEA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59506668"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Monthly income</w:t>
            </w:r>
          </w:p>
          <w:p w14:paraId="7C759525"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Marital status</w:t>
            </w:r>
          </w:p>
          <w:p w14:paraId="45E7A5D3"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Monthly family income</w:t>
            </w:r>
          </w:p>
          <w:p w14:paraId="62D1736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1844476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Employment</w:t>
            </w:r>
          </w:p>
          <w:p w14:paraId="0E730060"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CPD in past 7 days</w:t>
            </w:r>
          </w:p>
          <w:p w14:paraId="6CE215D3"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 xml:space="preserve">Age </w:t>
            </w:r>
            <w:r w:rsidRPr="00096053">
              <w:rPr>
                <w:rFonts w:cstheme="minorHAnsi"/>
                <w:sz w:val="18"/>
                <w:szCs w:val="18"/>
              </w:rPr>
              <w:t>started</w:t>
            </w:r>
            <w:r w:rsidRPr="006F62B8">
              <w:rPr>
                <w:rFonts w:cstheme="minorHAnsi"/>
                <w:sz w:val="18"/>
                <w:szCs w:val="18"/>
              </w:rPr>
              <w:t xml:space="preserve"> smoking regularly</w:t>
            </w:r>
          </w:p>
          <w:p w14:paraId="386C2D4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Duration of smoking</w:t>
            </w:r>
          </w:p>
          <w:p w14:paraId="2911A66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Number of 24-hour quit attempts in the past year</w:t>
            </w:r>
          </w:p>
          <w:p w14:paraId="2528A9D0"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Longest single quit period</w:t>
            </w:r>
          </w:p>
          <w:p w14:paraId="24074A7C"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Motivation to quit</w:t>
            </w:r>
          </w:p>
          <w:p w14:paraId="46C13A2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Confidence in quitting</w:t>
            </w:r>
          </w:p>
          <w:p w14:paraId="7DE1ED52"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NDSS</w:t>
            </w:r>
          </w:p>
          <w:p w14:paraId="5F5A513B"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Minnesota Withdrawal Score</w:t>
            </w:r>
          </w:p>
          <w:p w14:paraId="26EB3ABF"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eCO</w:t>
            </w:r>
          </w:p>
          <w:p w14:paraId="293983F6"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Serum cotinine</w:t>
            </w:r>
          </w:p>
          <w:p w14:paraId="1E882E4A"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p w14:paraId="6964900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lastRenderedPageBreak/>
              <w:t>*Stepwise logistic regression and best subsets logistic regression were used to explore the joint relationship of treatment, baseline variables (except age) and menthol cigarette smoking on the abstinence outcome</w:t>
            </w:r>
          </w:p>
        </w:tc>
        <w:tc>
          <w:tcPr>
            <w:tcW w:w="0" w:type="pct"/>
          </w:tcPr>
          <w:p w14:paraId="51F5E010"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60A1B44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275F4A8B"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5DD5F1ED" w14:textId="77777777" w:rsidR="007F0AE0" w:rsidRPr="006F62B8" w:rsidRDefault="007F0AE0" w:rsidP="00453DE3">
            <w:pPr>
              <w:spacing w:before="60" w:after="60"/>
              <w:rPr>
                <w:rFonts w:cstheme="minorHAnsi"/>
                <w:b w:val="0"/>
                <w:color w:val="000000"/>
                <w:sz w:val="18"/>
                <w:szCs w:val="18"/>
              </w:rPr>
            </w:pPr>
            <w:r w:rsidRPr="006F62B8">
              <w:rPr>
                <w:rFonts w:cstheme="minorHAnsi"/>
                <w:color w:val="000000"/>
                <w:sz w:val="18"/>
                <w:szCs w:val="18"/>
              </w:rPr>
              <w:fldChar w:fldCharType="begin"/>
            </w:r>
            <w:r>
              <w:rPr>
                <w:rFonts w:cstheme="minorHAnsi"/>
                <w:color w:val="000000"/>
                <w:sz w:val="18"/>
                <w:szCs w:val="18"/>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sidRPr="006F62B8">
              <w:rPr>
                <w:rFonts w:cstheme="minorHAnsi"/>
                <w:color w:val="000000"/>
                <w:sz w:val="18"/>
                <w:szCs w:val="18"/>
              </w:rPr>
              <w:fldChar w:fldCharType="separate"/>
            </w:r>
            <w:r>
              <w:rPr>
                <w:rFonts w:cstheme="minorHAnsi"/>
                <w:noProof/>
                <w:color w:val="000000"/>
                <w:sz w:val="18"/>
                <w:szCs w:val="18"/>
              </w:rPr>
              <w:t>(</w:t>
            </w:r>
            <w:hyperlink w:anchor="_ENREF_41" w:tooltip="Pletcher, 2006 #78" w:history="1">
              <w:r>
                <w:rPr>
                  <w:rFonts w:cstheme="minorHAnsi"/>
                  <w:noProof/>
                  <w:color w:val="000000"/>
                  <w:sz w:val="18"/>
                  <w:szCs w:val="18"/>
                </w:rPr>
                <w:t>41</w:t>
              </w:r>
            </w:hyperlink>
            <w:r>
              <w:rPr>
                <w:rFonts w:cstheme="minorHAnsi"/>
                <w:noProof/>
                <w:color w:val="000000"/>
                <w:sz w:val="18"/>
                <w:szCs w:val="18"/>
              </w:rPr>
              <w:t>)</w:t>
            </w:r>
            <w:r w:rsidRPr="006F62B8">
              <w:rPr>
                <w:rFonts w:cstheme="minorHAnsi"/>
                <w:color w:val="000000"/>
                <w:sz w:val="18"/>
                <w:szCs w:val="18"/>
              </w:rPr>
              <w:fldChar w:fldCharType="end"/>
            </w:r>
          </w:p>
        </w:tc>
        <w:tc>
          <w:tcPr>
            <w:tcW w:w="0" w:type="pct"/>
          </w:tcPr>
          <w:p w14:paraId="73AEF99F"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Adults aged 18 to 30 years and healthy at the time of enrollment in 1985 from Oakland, Chicago, Minneapolis, Birmingham (U.S.)</w:t>
            </w:r>
          </w:p>
        </w:tc>
        <w:tc>
          <w:tcPr>
            <w:tcW w:w="0" w:type="pct"/>
          </w:tcPr>
          <w:p w14:paraId="1AAB3184"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Age</w:t>
            </w:r>
          </w:p>
          <w:p w14:paraId="3497460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Gender</w:t>
            </w:r>
          </w:p>
          <w:p w14:paraId="2A6679C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Race/ethnicity</w:t>
            </w:r>
          </w:p>
          <w:p w14:paraId="385A64BE"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Educational level</w:t>
            </w:r>
          </w:p>
          <w:p w14:paraId="7ED78F4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Marital status</w:t>
            </w:r>
          </w:p>
          <w:p w14:paraId="2E9FC6B2"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Employment</w:t>
            </w:r>
          </w:p>
          <w:p w14:paraId="42966DE9"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Health insurance status</w:t>
            </w:r>
          </w:p>
          <w:p w14:paraId="200355EB"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F62B8">
              <w:rPr>
                <w:rFonts w:cstheme="minorHAnsi"/>
                <w:sz w:val="18"/>
                <w:szCs w:val="18"/>
              </w:rPr>
              <w:t>CPD at baseline</w:t>
            </w:r>
          </w:p>
        </w:tc>
        <w:tc>
          <w:tcPr>
            <w:tcW w:w="0" w:type="pct"/>
          </w:tcPr>
          <w:p w14:paraId="3B03DCC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1E39B847"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r w:rsidR="007F0AE0" w:rsidRPr="00096053" w14:paraId="66E0EE35" w14:textId="77777777" w:rsidTr="00453D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0DBB8CAB"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r>
            <w:r>
              <w:rPr>
                <w:rFonts w:cstheme="minorHAnsi"/>
                <w:sz w:val="18"/>
                <w:szCs w:val="18"/>
              </w:rPr>
              <w:instrText xml:space="preserve"> ADDIN EN.CITE &lt;EndNote&gt;&lt;Cite&gt;&lt;Author&gt;Rojewski&lt;/Author&gt;&lt;Year&gt;2014&lt;/Year&gt;&lt;RecNum&gt;22&lt;/RecNum&gt;&lt;DisplayText&gt;(62)&lt;/DisplayText&gt;&lt;record&gt;&lt;rec-number&gt;22&lt;/rec-number&gt;&lt;foreign-keys&gt;&lt;key app="EN" db-id="a2vz2dfp8xrad6exes75zwpiw5rxwa0vwapv" timestamp="0"&gt;22&lt;/key&gt;&lt;/foreign-keys&gt;&lt;ref-type name="Journal Article"&gt;17&lt;/ref-type&gt;&lt;contributors&gt;&lt;authors&gt;&lt;author&gt;Rojewski, A. M.&lt;/author&gt;&lt;author&gt;Toll, B. A.&lt;/author&gt;&lt;author&gt;O&amp;apos;Malley, S. S.&lt;/author&gt;&lt;/authors&gt;&lt;/contributors&gt;&lt;auth-address&gt;Department of Psychiatry, Yale University School of Medicine, New Haven, CT;&lt;/auth-address&gt;&lt;titles&gt;&lt;title&gt;Menthol cigarette use predicts treatment outcomes of weight-concerned smokers&lt;/title&gt;&lt;secondary-title&gt;Nicotine Tob Res&lt;/secondary-title&gt;&lt;/titles&gt;&lt;periodical&gt;&lt;full-title&gt;Nicotine Tob Res&lt;/full-title&gt;&lt;/periodical&gt;&lt;pages&gt;115-9&lt;/pages&gt;&lt;volume&gt;16&lt;/volume&gt;&lt;number&gt;1&lt;/number&gt;&lt;keywords&gt;&lt;keyword&gt;Adult&lt;/keyword&gt;&lt;keyword&gt;Body Weight&lt;/keyword&gt;&lt;keyword&gt;Female&lt;/keyword&gt;&lt;keyword&gt;Humans&lt;/keyword&gt;&lt;keyword&gt;Male&lt;/keyword&gt;&lt;keyword&gt;Menthol/*therapeutic use&lt;/keyword&gt;&lt;keyword&gt;Middle Aged&lt;/keyword&gt;&lt;keyword&gt;Smoking Cessation/*methods/psychology&lt;/keyword&gt;&lt;keyword&gt;Treatment Outcome&lt;/keyword&gt;&lt;/keywords&gt;&lt;dates&gt;&lt;year&gt;2014&lt;/year&gt;&lt;pub-dates&gt;&lt;date&gt;Jan&lt;/date&gt;&lt;/pub-dates&gt;&lt;/dates&gt;&lt;isbn&gt;1469-994X (Electronic)&amp;#xD;1462-2203 (Linking)&lt;/isbn&gt;&lt;accession-num&gt;24113927&lt;/accession-num&gt;&lt;urls&gt;&lt;related-urls&gt;&lt;url&gt;http://www.ncbi.nlm.nih.gov/pubmed/24113927&lt;/url&gt;&lt;/related-urls&gt;&lt;/urls&gt;&lt;custom2&gt;PMC3864493&lt;/custom2&gt;&lt;electronic-resource-num&gt;10.1093/ntr/ntt137&lt;/electronic-resource-num&gt;&lt;research-notes&gt;#115&lt;/research-notes&gt;&lt;/record&gt;&lt;/Cite&gt;&lt;/EndNote&gt;</w:instrText>
            </w:r>
            <w:r w:rsidRPr="006F62B8">
              <w:rPr>
                <w:rFonts w:cstheme="minorHAnsi"/>
                <w:sz w:val="18"/>
                <w:szCs w:val="18"/>
              </w:rPr>
              <w:fldChar w:fldCharType="separate"/>
            </w:r>
            <w:r>
              <w:rPr>
                <w:rFonts w:cstheme="minorHAnsi"/>
                <w:noProof/>
                <w:sz w:val="18"/>
                <w:szCs w:val="18"/>
              </w:rPr>
              <w:t>(</w:t>
            </w:r>
            <w:hyperlink w:anchor="_ENREF_62" w:tooltip="Rojewski, 2014 #22" w:history="1">
              <w:r>
                <w:rPr>
                  <w:rFonts w:cstheme="minorHAnsi"/>
                  <w:noProof/>
                  <w:sz w:val="18"/>
                  <w:szCs w:val="18"/>
                </w:rPr>
                <w:t>62</w:t>
              </w:r>
            </w:hyperlink>
            <w:r>
              <w:rPr>
                <w:rFonts w:cstheme="minorHAnsi"/>
                <w:noProof/>
                <w:sz w:val="18"/>
                <w:szCs w:val="18"/>
              </w:rPr>
              <w:t>)</w:t>
            </w:r>
            <w:r w:rsidRPr="006F62B8">
              <w:rPr>
                <w:rFonts w:cstheme="minorHAnsi"/>
                <w:sz w:val="18"/>
                <w:szCs w:val="18"/>
              </w:rPr>
              <w:fldChar w:fldCharType="end"/>
            </w:r>
          </w:p>
        </w:tc>
        <w:tc>
          <w:tcPr>
            <w:tcW w:w="0" w:type="pct"/>
          </w:tcPr>
          <w:p w14:paraId="6F102B40"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Female smokers from Connecticut (U.S.) smoking to manage weight</w:t>
            </w:r>
          </w:p>
        </w:tc>
        <w:tc>
          <w:tcPr>
            <w:tcW w:w="0" w:type="pct"/>
          </w:tcPr>
          <w:p w14:paraId="5A5819C1"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6F62B8">
              <w:rPr>
                <w:rFonts w:cstheme="minorHAnsi"/>
                <w:sz w:val="18"/>
                <w:szCs w:val="18"/>
              </w:rPr>
              <w:t>Age</w:t>
            </w:r>
          </w:p>
        </w:tc>
        <w:tc>
          <w:tcPr>
            <w:tcW w:w="0" w:type="pct"/>
          </w:tcPr>
          <w:p w14:paraId="00E0E359"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c>
          <w:tcPr>
            <w:tcW w:w="0" w:type="pct"/>
          </w:tcPr>
          <w:p w14:paraId="4E7E85D4" w14:textId="77777777" w:rsidR="007F0AE0" w:rsidRPr="006F62B8" w:rsidRDefault="007F0AE0" w:rsidP="00453DE3">
            <w:pPr>
              <w:spacing w:before="60" w:after="60"/>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p>
        </w:tc>
      </w:tr>
      <w:tr w:rsidR="007F0AE0" w:rsidRPr="00096053" w14:paraId="230BFFD3" w14:textId="77777777" w:rsidTr="00453DE3">
        <w:tc>
          <w:tcPr>
            <w:cnfStyle w:val="001000000000" w:firstRow="0" w:lastRow="0" w:firstColumn="1" w:lastColumn="0" w:oddVBand="0" w:evenVBand="0" w:oddHBand="0" w:evenHBand="0" w:firstRowFirstColumn="0" w:firstRowLastColumn="0" w:lastRowFirstColumn="0" w:lastRowLastColumn="0"/>
            <w:tcW w:w="0" w:type="pct"/>
          </w:tcPr>
          <w:p w14:paraId="5E1F448A" w14:textId="77777777" w:rsidR="007F0AE0" w:rsidRPr="006F62B8" w:rsidRDefault="007F0AE0" w:rsidP="00453DE3">
            <w:pPr>
              <w:spacing w:before="60" w:after="60"/>
              <w:rPr>
                <w:rFonts w:cstheme="minorHAnsi"/>
                <w:b w:val="0"/>
                <w:sz w:val="18"/>
                <w:szCs w:val="18"/>
                <w:lang w:val="en-US"/>
              </w:rPr>
            </w:pPr>
            <w:r w:rsidRPr="006F62B8">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PEVuZE5vdGU+PENpdGU+PEF1dGhvcj5TdGVpbmJlcmc8L0F1dGhvcj48WWVhcj4yMDExPC9ZZWFy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sidRPr="006F62B8">
              <w:rPr>
                <w:rFonts w:cstheme="minorHAnsi"/>
                <w:sz w:val="18"/>
                <w:szCs w:val="18"/>
              </w:rPr>
              <w:fldChar w:fldCharType="separate"/>
            </w:r>
            <w:r>
              <w:rPr>
                <w:rFonts w:cstheme="minorHAnsi"/>
                <w:noProof/>
                <w:sz w:val="18"/>
                <w:szCs w:val="18"/>
              </w:rPr>
              <w:t>(</w:t>
            </w:r>
            <w:hyperlink w:anchor="_ENREF_64" w:tooltip="Steinberg, 2011 #50" w:history="1">
              <w:r>
                <w:rPr>
                  <w:rFonts w:cstheme="minorHAnsi"/>
                  <w:noProof/>
                  <w:sz w:val="18"/>
                  <w:szCs w:val="18"/>
                </w:rPr>
                <w:t>64</w:t>
              </w:r>
            </w:hyperlink>
            <w:r>
              <w:rPr>
                <w:rFonts w:cstheme="minorHAnsi"/>
                <w:noProof/>
                <w:sz w:val="18"/>
                <w:szCs w:val="18"/>
              </w:rPr>
              <w:t>)</w:t>
            </w:r>
            <w:r w:rsidRPr="006F62B8">
              <w:rPr>
                <w:rFonts w:cstheme="minorHAnsi"/>
                <w:sz w:val="18"/>
                <w:szCs w:val="18"/>
              </w:rPr>
              <w:fldChar w:fldCharType="end"/>
            </w:r>
          </w:p>
        </w:tc>
        <w:tc>
          <w:tcPr>
            <w:tcW w:w="0" w:type="pct"/>
          </w:tcPr>
          <w:p w14:paraId="70954170"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Smokers from New Jersey (U.S.) presenting for treatment</w:t>
            </w:r>
          </w:p>
        </w:tc>
        <w:tc>
          <w:tcPr>
            <w:tcW w:w="0" w:type="pct"/>
          </w:tcPr>
          <w:p w14:paraId="28FC67B1"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Age</w:t>
            </w:r>
          </w:p>
          <w:p w14:paraId="7622AA7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Gender</w:t>
            </w:r>
          </w:p>
          <w:p w14:paraId="2AF2AE2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Race/ethnicity</w:t>
            </w:r>
          </w:p>
          <w:p w14:paraId="3B0F47F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Education</w:t>
            </w:r>
          </w:p>
          <w:p w14:paraId="54487AA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CPD</w:t>
            </w:r>
          </w:p>
          <w:p w14:paraId="7B95A9FC"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Employment</w:t>
            </w:r>
          </w:p>
          <w:p w14:paraId="37A7228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Marital status</w:t>
            </w:r>
          </w:p>
          <w:p w14:paraId="21E48A28"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6F62B8">
              <w:rPr>
                <w:rFonts w:cstheme="minorHAnsi"/>
                <w:sz w:val="18"/>
                <w:szCs w:val="18"/>
              </w:rPr>
              <w:t>Night smoking</w:t>
            </w:r>
          </w:p>
        </w:tc>
        <w:tc>
          <w:tcPr>
            <w:tcW w:w="0" w:type="pct"/>
          </w:tcPr>
          <w:p w14:paraId="5794F6B3"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tcW w:w="0" w:type="pct"/>
          </w:tcPr>
          <w:p w14:paraId="08C90686" w14:textId="77777777" w:rsidR="007F0AE0" w:rsidRPr="006F62B8" w:rsidRDefault="007F0AE0" w:rsidP="00453DE3">
            <w:pPr>
              <w:spacing w:before="60" w:after="60"/>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r>
    </w:tbl>
    <w:p w14:paraId="1E61FD86" w14:textId="77777777" w:rsidR="007F0AE0" w:rsidRPr="00130E10" w:rsidRDefault="007F0AE0" w:rsidP="007F0AE0">
      <w:pPr>
        <w:rPr>
          <w:rFonts w:ascii="Calibri" w:hAnsi="Calibri" w:cs="Calibri"/>
        </w:rPr>
      </w:pPr>
    </w:p>
    <w:p w14:paraId="3047B62D" w14:textId="77777777" w:rsidR="007F0AE0" w:rsidRDefault="007F0AE0" w:rsidP="007F0AE0">
      <w:pPr>
        <w:rPr>
          <w:rFonts w:cstheme="minorHAnsi"/>
        </w:rPr>
        <w:sectPr w:rsidR="007F0AE0" w:rsidSect="008A07A9">
          <w:pgSz w:w="15840" w:h="12240" w:orient="landscape"/>
          <w:pgMar w:top="1296" w:right="1152" w:bottom="1296" w:left="1152" w:header="720" w:footer="720" w:gutter="0"/>
          <w:cols w:space="720"/>
          <w:docGrid w:linePitch="360"/>
        </w:sectPr>
      </w:pPr>
    </w:p>
    <w:p w14:paraId="4A24B48A" w14:textId="77777777" w:rsidR="007F0AE0" w:rsidRPr="008425E9" w:rsidRDefault="007F0AE0" w:rsidP="007F0AE0">
      <w:pPr>
        <w:spacing w:after="240" w:line="240" w:lineRule="auto"/>
        <w:jc w:val="center"/>
      </w:pPr>
      <w:r>
        <w:rPr>
          <w:rFonts w:cstheme="minorHAnsi"/>
          <w:b/>
        </w:rPr>
        <w:lastRenderedPageBreak/>
        <w:t>REFERENCES</w:t>
      </w:r>
    </w:p>
    <w:p w14:paraId="7D2EE3F3" w14:textId="77777777" w:rsidR="007F0AE0" w:rsidRPr="00342AED" w:rsidRDefault="007F0AE0" w:rsidP="007F0AE0">
      <w:pPr>
        <w:pStyle w:val="EndNoteBibliography"/>
        <w:spacing w:after="0"/>
      </w:pPr>
      <w:r w:rsidRPr="008425E9">
        <w:fldChar w:fldCharType="begin"/>
      </w:r>
      <w:r w:rsidRPr="008425E9">
        <w:instrText xml:space="preserve"> ADDIN EN.REFLIST </w:instrText>
      </w:r>
      <w:r w:rsidRPr="008425E9">
        <w:fldChar w:fldCharType="separate"/>
      </w:r>
      <w:bookmarkStart w:id="51" w:name="_ENREF_1"/>
      <w:r w:rsidRPr="00342AED">
        <w:t>1.</w:t>
      </w:r>
      <w:r w:rsidRPr="00342AED">
        <w:tab/>
        <w:t xml:space="preserve">Tobacco Products Scientific Advisory Committee. Menthol Report and Recommendation 2011 [Available from: </w:t>
      </w:r>
      <w:hyperlink r:id="rId15" w:history="1">
        <w:r w:rsidRPr="00342AED">
          <w:rPr>
            <w:rStyle w:val="Hyperlink"/>
          </w:rPr>
          <w:t>http://www.fda.gov/downloads/AdvisoryCommittees/CommitteesMeetingMaterials/TobaccoProductsScientificAdvisoryCommittee/UCM269697.pdf</w:t>
        </w:r>
      </w:hyperlink>
      <w:r w:rsidRPr="00342AED">
        <w:t>.</w:t>
      </w:r>
      <w:bookmarkEnd w:id="51"/>
    </w:p>
    <w:p w14:paraId="0AEBEEF8" w14:textId="77777777" w:rsidR="007F0AE0" w:rsidRPr="00342AED" w:rsidRDefault="007F0AE0" w:rsidP="007F0AE0">
      <w:pPr>
        <w:pStyle w:val="EndNoteBibliography"/>
        <w:spacing w:after="0"/>
      </w:pPr>
      <w:bookmarkStart w:id="52" w:name="_ENREF_2"/>
      <w:r w:rsidRPr="00342AED">
        <w:t>2.</w:t>
      </w:r>
      <w:r w:rsidRPr="00342AED">
        <w:tab/>
        <w:t xml:space="preserve">U.S. Food and Drug Administration. Preliminary Scientific Evaluation of the Possible Public Health Effects of Menthol Versus Nonmenthol Cigarettes 2013 [Available from: </w:t>
      </w:r>
      <w:hyperlink r:id="rId16" w:history="1">
        <w:r w:rsidRPr="00342AED">
          <w:rPr>
            <w:rStyle w:val="Hyperlink"/>
          </w:rPr>
          <w:t>http://www.fda.gov/downloads/ScienceResearch/SpecialTopics/PeerReviewofScientificInformationandAssessments/UCM361598.pdf</w:t>
        </w:r>
      </w:hyperlink>
      <w:r w:rsidRPr="00342AED">
        <w:t>.</w:t>
      </w:r>
      <w:bookmarkEnd w:id="52"/>
    </w:p>
    <w:p w14:paraId="183B6628" w14:textId="77777777" w:rsidR="007F0AE0" w:rsidRPr="00342AED" w:rsidRDefault="007F0AE0" w:rsidP="007F0AE0">
      <w:pPr>
        <w:pStyle w:val="EndNoteBibliography"/>
        <w:spacing w:after="0"/>
      </w:pPr>
      <w:bookmarkStart w:id="53" w:name="_ENREF_3"/>
      <w:r w:rsidRPr="00342AED">
        <w:t>3.</w:t>
      </w:r>
      <w:r w:rsidRPr="00342AED">
        <w:tab/>
        <w:t xml:space="preserve">U.S. Food and Drug Administration. Reference Addendum: Preliminary Scientific Evaluation of the Possible Public Health Effects of Menthol versus Non-menthol Cigarettes 2015 [Available from: </w:t>
      </w:r>
      <w:hyperlink r:id="rId17" w:history="1">
        <w:r w:rsidRPr="00342AED">
          <w:rPr>
            <w:rStyle w:val="Hyperlink"/>
          </w:rPr>
          <w:t>http://www.fda.gov/downloads/ScienceResearch/SpecialTopics/PeerReviewofScientificInformationandAssessments/UCM362600.pdf</w:t>
        </w:r>
      </w:hyperlink>
      <w:r w:rsidRPr="00342AED">
        <w:t>.</w:t>
      </w:r>
      <w:bookmarkEnd w:id="53"/>
    </w:p>
    <w:p w14:paraId="39CAB9A4" w14:textId="77777777" w:rsidR="007F0AE0" w:rsidRPr="00342AED" w:rsidRDefault="007F0AE0" w:rsidP="007F0AE0">
      <w:pPr>
        <w:pStyle w:val="EndNoteBibliography"/>
        <w:spacing w:after="0"/>
      </w:pPr>
      <w:bookmarkStart w:id="54" w:name="_ENREF_4"/>
      <w:r w:rsidRPr="00342AED">
        <w:t>4.</w:t>
      </w:r>
      <w:r w:rsidRPr="00342AED">
        <w:tab/>
        <w:t>Stanton CA, Papandonatos G, Lloyd-Richardson EE, Niaura R. Consistency of self-reported smoking over a 6-year interval from adolescence to young adulthood. Addiction. 2007;102(11):1831-9.</w:t>
      </w:r>
      <w:bookmarkEnd w:id="54"/>
    </w:p>
    <w:p w14:paraId="31408964" w14:textId="77777777" w:rsidR="007F0AE0" w:rsidRPr="00342AED" w:rsidRDefault="007F0AE0" w:rsidP="007F0AE0">
      <w:pPr>
        <w:pStyle w:val="EndNoteBibliography"/>
        <w:spacing w:after="0"/>
      </w:pPr>
      <w:bookmarkStart w:id="55" w:name="_ENREF_5"/>
      <w:r w:rsidRPr="00342AED">
        <w:t>5.</w:t>
      </w:r>
      <w:r w:rsidRPr="00342AED">
        <w:tab/>
        <w:t>Soulakova JN, Hartman AM, Liu B, Willis GB, Augustine S. Reliability of adult self-reported smoking history: data from the tobacco use supplement to the current population survey 2002-2003 cohort. Nicotine Tob Res. 2012;14(8):952-60.</w:t>
      </w:r>
      <w:bookmarkEnd w:id="55"/>
    </w:p>
    <w:p w14:paraId="13E39FBE" w14:textId="77777777" w:rsidR="007F0AE0" w:rsidRPr="00342AED" w:rsidRDefault="007F0AE0" w:rsidP="007F0AE0">
      <w:pPr>
        <w:pStyle w:val="EndNoteBibliography"/>
        <w:spacing w:after="0"/>
      </w:pPr>
      <w:bookmarkStart w:id="56" w:name="_ENREF_6"/>
      <w:r w:rsidRPr="00342AED">
        <w:t>6.</w:t>
      </w:r>
      <w:r w:rsidRPr="00342AED">
        <w:tab/>
        <w:t>Smith PH, Assefa B, Kainth S, Salas-Ramirez KY, McKee SA, Giovino GA. Use of Mentholated Cigarettes and Likelihood of Smoking Cessation in the United States: A Meta-Analysis. Nicotine Tob Res. 2019.</w:t>
      </w:r>
      <w:bookmarkEnd w:id="56"/>
    </w:p>
    <w:p w14:paraId="1E73EA68" w14:textId="77777777" w:rsidR="007F0AE0" w:rsidRPr="00342AED" w:rsidRDefault="007F0AE0" w:rsidP="007F0AE0">
      <w:pPr>
        <w:pStyle w:val="EndNoteBibliography"/>
        <w:spacing w:after="0"/>
      </w:pPr>
      <w:bookmarkStart w:id="57" w:name="_ENREF_7"/>
      <w:r w:rsidRPr="00342AED">
        <w:t>7.</w:t>
      </w:r>
      <w:r w:rsidRPr="00342AED">
        <w:tab/>
        <w:t>Kandel DB, Kiros G-E, Schaffran C, Hu M-C. Racial/Ethnic Differences in Cigarette Smoking Initiation and Progression to Daily Smoking: A Multilevel Analysis. American Journal of Public Health. 2004;94(1):128-35.</w:t>
      </w:r>
      <w:bookmarkEnd w:id="57"/>
    </w:p>
    <w:p w14:paraId="5FF45BF7" w14:textId="77777777" w:rsidR="007F0AE0" w:rsidRPr="00342AED" w:rsidRDefault="007F0AE0" w:rsidP="007F0AE0">
      <w:pPr>
        <w:pStyle w:val="EndNoteBibliography"/>
        <w:spacing w:after="0"/>
      </w:pPr>
      <w:bookmarkStart w:id="58" w:name="_ENREF_8"/>
      <w:r w:rsidRPr="00342AED">
        <w:t>8.</w:t>
      </w:r>
      <w:r w:rsidRPr="00342AED">
        <w:tab/>
        <w:t>Yi Z, Mayorga ME, Hassmiller Lich K, Pearson JL. Changes in cigarette smoking initiation, cessation, and relapse among U.S. adults: a comparison of two longitudinal samples. Tobacco Induced Diseases. 2017;15:17.</w:t>
      </w:r>
      <w:bookmarkEnd w:id="58"/>
    </w:p>
    <w:p w14:paraId="3C78F7CF" w14:textId="77777777" w:rsidR="007F0AE0" w:rsidRPr="00342AED" w:rsidRDefault="007F0AE0" w:rsidP="007F0AE0">
      <w:pPr>
        <w:pStyle w:val="EndNoteBibliography"/>
        <w:spacing w:after="0"/>
      </w:pPr>
      <w:bookmarkStart w:id="59" w:name="_ENREF_9"/>
      <w:r w:rsidRPr="00342AED">
        <w:t>9.</w:t>
      </w:r>
      <w:r w:rsidRPr="00342AED">
        <w:tab/>
        <w:t>McLeroy KR, Bibeau D, Steckler A, Glanz K. An ecological perspective on health promotion programs. Health Educ Q. 1988;15(4):351-77.</w:t>
      </w:r>
      <w:bookmarkEnd w:id="59"/>
    </w:p>
    <w:p w14:paraId="07C79B51" w14:textId="77777777" w:rsidR="007F0AE0" w:rsidRPr="00342AED" w:rsidRDefault="007F0AE0" w:rsidP="007F0AE0">
      <w:pPr>
        <w:pStyle w:val="EndNoteBibliography"/>
        <w:spacing w:after="0"/>
      </w:pPr>
      <w:bookmarkStart w:id="60" w:name="_ENREF_10"/>
      <w:r w:rsidRPr="00342AED">
        <w:t>10.</w:t>
      </w:r>
      <w:r w:rsidRPr="00342AED">
        <w:tab/>
        <w:t>Downs SH, Black N. The feasibility of creating a checklist for the assessment of the methodological quality both of randomised and non-randomised studies of health care interventions. J Epidemiol Community Health. 1998;52(6):377-84.</w:t>
      </w:r>
      <w:bookmarkEnd w:id="60"/>
    </w:p>
    <w:p w14:paraId="0F9E211C" w14:textId="77777777" w:rsidR="007F0AE0" w:rsidRPr="00342AED" w:rsidRDefault="007F0AE0" w:rsidP="007F0AE0">
      <w:pPr>
        <w:pStyle w:val="EndNoteBibliography"/>
        <w:spacing w:after="0"/>
      </w:pPr>
      <w:bookmarkStart w:id="61" w:name="_ENREF_11"/>
      <w:r w:rsidRPr="00342AED">
        <w:t>11.</w:t>
      </w:r>
      <w:r w:rsidRPr="00342AED">
        <w:tab/>
        <w:t>Higgins JPT, Altman DG, Sterne JAC. Section 13.5. Assessing risk of bias in non-randomized studies. In: Higgins JPT, Green S, editors. Cochrane Handbook for Systematic Reviews of Interventions. Version 5.1.0: The Cochrane Collaboration; 2011.</w:t>
      </w:r>
      <w:bookmarkEnd w:id="61"/>
    </w:p>
    <w:p w14:paraId="4068E8DE" w14:textId="77777777" w:rsidR="007F0AE0" w:rsidRPr="00342AED" w:rsidRDefault="007F0AE0" w:rsidP="007F0AE0">
      <w:pPr>
        <w:pStyle w:val="EndNoteBibliography"/>
        <w:spacing w:after="0"/>
      </w:pPr>
      <w:bookmarkStart w:id="62" w:name="_ENREF_12"/>
      <w:r w:rsidRPr="00342AED">
        <w:t>12.</w:t>
      </w:r>
      <w:r w:rsidRPr="00342AED">
        <w:tab/>
        <w:t>Fagan P, Moolchan ET, Hart A, Jr., Rose A, Lawrence D, Shavers VL, et al. Nicotine dependence and quitting behaviors among menthol and non-menthol smokers with similar consumptive patterns. Addiction. 2010;105 Suppl 1:55-74.</w:t>
      </w:r>
      <w:bookmarkEnd w:id="62"/>
    </w:p>
    <w:p w14:paraId="13BA613F" w14:textId="77777777" w:rsidR="007F0AE0" w:rsidRPr="00342AED" w:rsidRDefault="007F0AE0" w:rsidP="007F0AE0">
      <w:pPr>
        <w:pStyle w:val="EndNoteBibliography"/>
        <w:spacing w:after="0"/>
      </w:pPr>
      <w:bookmarkStart w:id="63" w:name="_ENREF_13"/>
      <w:r w:rsidRPr="00342AED">
        <w:t>13.</w:t>
      </w:r>
      <w:r w:rsidRPr="00342AED">
        <w:tab/>
        <w:t>King A, Cao D, Matthews A. Influence of menthol use on smoking cessation outcomes in a smoking cessation treatment program. 2011.</w:t>
      </w:r>
      <w:bookmarkEnd w:id="63"/>
    </w:p>
    <w:p w14:paraId="70316422" w14:textId="77777777" w:rsidR="007F0AE0" w:rsidRPr="00342AED" w:rsidRDefault="007F0AE0" w:rsidP="007F0AE0">
      <w:pPr>
        <w:pStyle w:val="EndNoteBibliography"/>
        <w:spacing w:after="0"/>
      </w:pPr>
      <w:bookmarkStart w:id="64" w:name="_ENREF_14"/>
      <w:r w:rsidRPr="00342AED">
        <w:t>14.</w:t>
      </w:r>
      <w:r w:rsidRPr="00342AED">
        <w:tab/>
        <w:t>Alexander LA, Crawford T, Mendiondo MS. Occupational status, work-site cessation programs and policies and menthol smoking on quitting behaviors of US smokers. Addiction. 2010;105 Suppl 1:95-104.</w:t>
      </w:r>
      <w:bookmarkEnd w:id="64"/>
    </w:p>
    <w:p w14:paraId="31DB59AC" w14:textId="77777777" w:rsidR="007F0AE0" w:rsidRPr="00342AED" w:rsidRDefault="007F0AE0" w:rsidP="007F0AE0">
      <w:pPr>
        <w:pStyle w:val="EndNoteBibliography"/>
        <w:spacing w:after="0"/>
      </w:pPr>
      <w:bookmarkStart w:id="65" w:name="_ENREF_15"/>
      <w:r w:rsidRPr="00342AED">
        <w:t>15.</w:t>
      </w:r>
      <w:r w:rsidRPr="00342AED">
        <w:tab/>
        <w:t>Okuyemi KS, Ebersole-Robinson M, Nazir N, Ahluwalia JS. African-American menthol and nonmenthol smokers: Differences in smoking and cessation experiences. J Natl Med Assoc. 2004;96(9):1208-11.</w:t>
      </w:r>
      <w:bookmarkEnd w:id="65"/>
    </w:p>
    <w:p w14:paraId="470BF5EC" w14:textId="77777777" w:rsidR="007F0AE0" w:rsidRPr="00342AED" w:rsidRDefault="007F0AE0" w:rsidP="007F0AE0">
      <w:pPr>
        <w:pStyle w:val="EndNoteBibliography"/>
        <w:spacing w:after="0"/>
      </w:pPr>
      <w:bookmarkStart w:id="66" w:name="_ENREF_16"/>
      <w:r w:rsidRPr="00342AED">
        <w:t>16.</w:t>
      </w:r>
      <w:r w:rsidRPr="00342AED">
        <w:tab/>
        <w:t>Miller GE, Jarvik ME, Caskey NH, Segerstrom SC, Rosenblatt MR, McCarthy WJ. Cigarette mentholation increases smokers' exhaled carbon monoxide levels. Exp Clin Psychopharm. 1994;2(2):154-60.</w:t>
      </w:r>
      <w:bookmarkEnd w:id="66"/>
    </w:p>
    <w:p w14:paraId="30E641CA" w14:textId="77777777" w:rsidR="007F0AE0" w:rsidRPr="00342AED" w:rsidRDefault="007F0AE0" w:rsidP="007F0AE0">
      <w:pPr>
        <w:pStyle w:val="EndNoteBibliography"/>
        <w:spacing w:after="0"/>
      </w:pPr>
      <w:bookmarkStart w:id="67" w:name="_ENREF_17"/>
      <w:r w:rsidRPr="00342AED">
        <w:lastRenderedPageBreak/>
        <w:t>17.</w:t>
      </w:r>
      <w:r w:rsidRPr="00342AED">
        <w:tab/>
        <w:t>Rosenbloom J, Rees VW, Reid K, Wong J, Kinnunen T. A cross-sectional study on tobacco use and dependence among women: Does menthol matter? Tob Induc Dis. 2012;10(19):1-6.</w:t>
      </w:r>
      <w:bookmarkEnd w:id="67"/>
    </w:p>
    <w:p w14:paraId="0C76C12C" w14:textId="77777777" w:rsidR="007F0AE0" w:rsidRPr="00342AED" w:rsidRDefault="007F0AE0" w:rsidP="007F0AE0">
      <w:pPr>
        <w:pStyle w:val="EndNoteBibliography"/>
        <w:spacing w:after="0"/>
      </w:pPr>
      <w:bookmarkStart w:id="68" w:name="_ENREF_18"/>
      <w:r w:rsidRPr="00342AED">
        <w:t>18.</w:t>
      </w:r>
      <w:r w:rsidRPr="00342AED">
        <w:tab/>
        <w:t>Delnevo CD, Villanti AC, Wackowski OA, Gundersen DA, Giovenco DP. The influence of menthol, e-cigarettes and other tobacco products on young adults' self-reported changes in past year smoking. Tob Control. 2015.</w:t>
      </w:r>
      <w:bookmarkEnd w:id="68"/>
    </w:p>
    <w:p w14:paraId="42DD5FD8" w14:textId="77777777" w:rsidR="007F0AE0" w:rsidRPr="00342AED" w:rsidRDefault="007F0AE0" w:rsidP="007F0AE0">
      <w:pPr>
        <w:pStyle w:val="EndNoteBibliography"/>
        <w:spacing w:after="0"/>
      </w:pPr>
      <w:bookmarkStart w:id="69" w:name="_ENREF_19"/>
      <w:r w:rsidRPr="00342AED">
        <w:t>19.</w:t>
      </w:r>
      <w:r w:rsidRPr="00342AED">
        <w:tab/>
        <w:t>Levy DT, Blackman K, Tauras J, Chaloupka FJ, Villanti AC, Niaura RS, et al. Quit attempts and quit rates among menthol and nonmenthol smokers in the United States. Am J Public Health. 2011;101(7):1241-7.</w:t>
      </w:r>
      <w:bookmarkEnd w:id="69"/>
    </w:p>
    <w:p w14:paraId="41B2B769" w14:textId="77777777" w:rsidR="007F0AE0" w:rsidRPr="00342AED" w:rsidRDefault="007F0AE0" w:rsidP="007F0AE0">
      <w:pPr>
        <w:pStyle w:val="EndNoteBibliography"/>
        <w:spacing w:after="0"/>
      </w:pPr>
      <w:bookmarkStart w:id="70" w:name="_ENREF_20"/>
      <w:r w:rsidRPr="00342AED">
        <w:t>20.</w:t>
      </w:r>
      <w:r w:rsidRPr="00342AED">
        <w:tab/>
        <w:t>Cubbin C, Soobader MJ, LeClere FB. The intersection of gender and race/ethnicity in smoking behaviors among menthol and non-menthol smokers in the United States. Addiction. 2010;105 Suppl 1:32-8.</w:t>
      </w:r>
      <w:bookmarkEnd w:id="70"/>
    </w:p>
    <w:p w14:paraId="00331E1A" w14:textId="77777777" w:rsidR="007F0AE0" w:rsidRPr="00342AED" w:rsidRDefault="007F0AE0" w:rsidP="007F0AE0">
      <w:pPr>
        <w:pStyle w:val="EndNoteBibliography"/>
        <w:spacing w:after="0"/>
      </w:pPr>
      <w:bookmarkStart w:id="71" w:name="_ENREF_21"/>
      <w:r w:rsidRPr="00342AED">
        <w:t>21.</w:t>
      </w:r>
      <w:r w:rsidRPr="00342AED">
        <w:tab/>
        <w:t>Brooks DR, Palmer JR, Strom BL, Rosenberg L. Menthol cigarettes and risk of lung cancer. Am J Epidemiol. 2003;158(7):609-16; discussion 17-20.</w:t>
      </w:r>
      <w:bookmarkEnd w:id="71"/>
    </w:p>
    <w:p w14:paraId="44166E96" w14:textId="77777777" w:rsidR="007F0AE0" w:rsidRPr="00342AED" w:rsidRDefault="007F0AE0" w:rsidP="007F0AE0">
      <w:pPr>
        <w:pStyle w:val="EndNoteBibliography"/>
        <w:spacing w:after="0"/>
      </w:pPr>
      <w:bookmarkStart w:id="72" w:name="_ENREF_22"/>
      <w:r w:rsidRPr="00342AED">
        <w:t>22.</w:t>
      </w:r>
      <w:r w:rsidRPr="00342AED">
        <w:tab/>
        <w:t>Mendiondo MS, Alexander LA, Crawford T. Health profile differences for menthol and non-menthol smokers: findings from the National Health Interview Survey. Addiction. 2010;105 Suppl 1:124-40.</w:t>
      </w:r>
      <w:bookmarkEnd w:id="72"/>
    </w:p>
    <w:p w14:paraId="2B9D519A" w14:textId="77777777" w:rsidR="007F0AE0" w:rsidRPr="00342AED" w:rsidRDefault="007F0AE0" w:rsidP="007F0AE0">
      <w:pPr>
        <w:pStyle w:val="EndNoteBibliography"/>
        <w:spacing w:after="0"/>
      </w:pPr>
      <w:bookmarkStart w:id="73" w:name="_ENREF_23"/>
      <w:r w:rsidRPr="00342AED">
        <w:t>23.</w:t>
      </w:r>
      <w:r w:rsidRPr="00342AED">
        <w:tab/>
        <w:t>Fu SS, Okuyemi KS, Partin MR, Ahluwalia JS, Nelson DB, Clothier BA, et al. Menthol cigarettes and smoking cessation during an aided quit attempt. Nicotine Tob Res. 2008;10(3):457-62.</w:t>
      </w:r>
      <w:bookmarkEnd w:id="73"/>
    </w:p>
    <w:p w14:paraId="4D505264" w14:textId="77777777" w:rsidR="007F0AE0" w:rsidRPr="00342AED" w:rsidRDefault="007F0AE0" w:rsidP="007F0AE0">
      <w:pPr>
        <w:pStyle w:val="EndNoteBibliography"/>
        <w:spacing w:after="0"/>
      </w:pPr>
      <w:bookmarkStart w:id="74" w:name="_ENREF_24"/>
      <w:r w:rsidRPr="00342AED">
        <w:t>24.</w:t>
      </w:r>
      <w:r w:rsidRPr="00342AED">
        <w:tab/>
        <w:t>Okuyemi KS, Faseru B, Sanderson Cox L, Bronars CA, Ahluwalia JS. Relationship between menthol cigarettes and smoking cessation among African American light smokers. Addiction. 2007;102(12):1979-86.</w:t>
      </w:r>
      <w:bookmarkEnd w:id="74"/>
    </w:p>
    <w:p w14:paraId="1D75B12E" w14:textId="77777777" w:rsidR="007F0AE0" w:rsidRPr="00342AED" w:rsidRDefault="007F0AE0" w:rsidP="007F0AE0">
      <w:pPr>
        <w:pStyle w:val="EndNoteBibliography"/>
        <w:spacing w:after="0"/>
      </w:pPr>
      <w:bookmarkStart w:id="75" w:name="_ENREF_25"/>
      <w:r w:rsidRPr="00342AED">
        <w:t>25.</w:t>
      </w:r>
      <w:r w:rsidRPr="00342AED">
        <w:tab/>
        <w:t>Fagan P, Pohkrel P, Herzog T, Pagano I, Vallone D, Trinidad DR, et al. Comparisons of three nicotine dependence scales in a multiethnic sample of young adult menthol and non-menthol smokers. Drug Alcohol Depend. 2015;149:203-11.</w:t>
      </w:r>
      <w:bookmarkEnd w:id="75"/>
    </w:p>
    <w:p w14:paraId="471AE5F0" w14:textId="77777777" w:rsidR="007F0AE0" w:rsidRPr="00342AED" w:rsidRDefault="007F0AE0" w:rsidP="007F0AE0">
      <w:pPr>
        <w:pStyle w:val="EndNoteBibliography"/>
        <w:spacing w:after="0"/>
      </w:pPr>
      <w:bookmarkStart w:id="76" w:name="_ENREF_26"/>
      <w:r w:rsidRPr="00342AED">
        <w:t>26.</w:t>
      </w:r>
      <w:r w:rsidRPr="00342AED">
        <w:tab/>
        <w:t>Faseru B, Choi WS, Krebill R, Mayo MS, Nollen NL, Okuyemi KS, et al. Factors associated with smoking menthol cigarettes among treatment-seeking African American light smokers. Addict Behav. 2011;36(12):1321-4.</w:t>
      </w:r>
      <w:bookmarkEnd w:id="76"/>
    </w:p>
    <w:p w14:paraId="6DF3F2D0" w14:textId="77777777" w:rsidR="007F0AE0" w:rsidRPr="00342AED" w:rsidRDefault="007F0AE0" w:rsidP="007F0AE0">
      <w:pPr>
        <w:pStyle w:val="EndNoteBibliography"/>
        <w:spacing w:after="0"/>
      </w:pPr>
      <w:bookmarkStart w:id="77" w:name="_ENREF_27"/>
      <w:r w:rsidRPr="00342AED">
        <w:t>27.</w:t>
      </w:r>
      <w:r w:rsidRPr="00342AED">
        <w:tab/>
        <w:t>Faseru B, Nollen NL, Mayo MS, Krebill R, Choi WS, Benowitz NL, et al. Predictors of cessation in African American light smokers enrolled in a bupropion clinical trial. Addict Behav. 2013;38(3):1796-803.</w:t>
      </w:r>
      <w:bookmarkEnd w:id="77"/>
    </w:p>
    <w:p w14:paraId="42B71278" w14:textId="77777777" w:rsidR="007F0AE0" w:rsidRPr="00342AED" w:rsidRDefault="007F0AE0" w:rsidP="007F0AE0">
      <w:pPr>
        <w:pStyle w:val="EndNoteBibliography"/>
        <w:spacing w:after="0"/>
      </w:pPr>
      <w:bookmarkStart w:id="78" w:name="_ENREF_28"/>
      <w:r w:rsidRPr="00342AED">
        <w:t>28.</w:t>
      </w:r>
      <w:r w:rsidRPr="00342AED">
        <w:tab/>
        <w:t>Gubner NR, Williams DD, Pagano A, Campbell BK, Guydish J. Menthol cigarette smoking among individuals in treatment for substance use disorders. Addictive behaviors. 2018;80:135-41.</w:t>
      </w:r>
      <w:bookmarkEnd w:id="78"/>
    </w:p>
    <w:p w14:paraId="044C57A5" w14:textId="77777777" w:rsidR="007F0AE0" w:rsidRPr="00342AED" w:rsidRDefault="007F0AE0" w:rsidP="007F0AE0">
      <w:pPr>
        <w:pStyle w:val="EndNoteBibliography"/>
        <w:spacing w:after="0"/>
      </w:pPr>
      <w:bookmarkStart w:id="79" w:name="_ENREF_29"/>
      <w:r w:rsidRPr="00342AED">
        <w:t>29.</w:t>
      </w:r>
      <w:r w:rsidRPr="00342AED">
        <w:tab/>
        <w:t>Keeler C, Max W, Yerger V, Yao T, Ong MK, Sung H-Y. The Association of Menthol Cigarette Use With Quit Attempts, Successful Cessation, and Intention to Quit Across Racial/Ethnic Groups in the United States. Nicotine &amp; tobacco research : official journal of the Society for Research on Nicotine and Tobacco. 2017;19(12):1450-64.</w:t>
      </w:r>
      <w:bookmarkEnd w:id="79"/>
    </w:p>
    <w:p w14:paraId="7FCB0471" w14:textId="77777777" w:rsidR="007F0AE0" w:rsidRPr="00342AED" w:rsidRDefault="007F0AE0" w:rsidP="007F0AE0">
      <w:pPr>
        <w:pStyle w:val="EndNoteBibliography"/>
        <w:spacing w:after="0"/>
      </w:pPr>
      <w:bookmarkStart w:id="80" w:name="_ENREF_30"/>
      <w:r w:rsidRPr="00342AED">
        <w:t>30.</w:t>
      </w:r>
      <w:r w:rsidRPr="00342AED">
        <w:tab/>
        <w:t>Keeler C, Max W, Yerger VB, Yao T, Wang Y, Ong MK, et al. Effects of cigarette prices on intention to quit, quit attempts, and successful cessation among African American smokers. Nicotine &amp; tobacco research : official journal of the Society for Research on Nicotine and Tobacco. 2018.</w:t>
      </w:r>
      <w:bookmarkEnd w:id="80"/>
    </w:p>
    <w:p w14:paraId="2A766966" w14:textId="77777777" w:rsidR="007F0AE0" w:rsidRPr="00342AED" w:rsidRDefault="007F0AE0" w:rsidP="007F0AE0">
      <w:pPr>
        <w:pStyle w:val="EndNoteBibliography"/>
        <w:spacing w:after="0"/>
      </w:pPr>
      <w:bookmarkStart w:id="81" w:name="_ENREF_31"/>
      <w:r w:rsidRPr="00342AED">
        <w:t>31.</w:t>
      </w:r>
      <w:r w:rsidRPr="00342AED">
        <w:tab/>
        <w:t>Park J-Y. Tobacco use behaviors among vulnerable populations. Dissertation Abstracts International: Section B: The Sciences and Engineering. 2017;77(12-B(E)):No-Specified.</w:t>
      </w:r>
      <w:bookmarkEnd w:id="81"/>
    </w:p>
    <w:p w14:paraId="1BB63BC2" w14:textId="77777777" w:rsidR="007F0AE0" w:rsidRPr="00342AED" w:rsidRDefault="007F0AE0" w:rsidP="007F0AE0">
      <w:pPr>
        <w:pStyle w:val="EndNoteBibliography"/>
        <w:spacing w:after="0"/>
      </w:pPr>
      <w:bookmarkStart w:id="82" w:name="_ENREF_32"/>
      <w:r w:rsidRPr="00342AED">
        <w:t>32.</w:t>
      </w:r>
      <w:r w:rsidRPr="00342AED">
        <w:tab/>
        <w:t>Stahre M, Okuyemi KS, Joseph AM, Fu SS. Racial/ethnic differences in menthol cigarette smoking, population quit ratios and utilization of evidence-based tobacco cessation treatments. Addiction. 2010;105 Suppl 1:75-83.</w:t>
      </w:r>
      <w:bookmarkEnd w:id="82"/>
    </w:p>
    <w:p w14:paraId="391F42D1" w14:textId="77777777" w:rsidR="007F0AE0" w:rsidRPr="00342AED" w:rsidRDefault="007F0AE0" w:rsidP="007F0AE0">
      <w:pPr>
        <w:pStyle w:val="EndNoteBibliography"/>
        <w:spacing w:after="0"/>
      </w:pPr>
      <w:bookmarkStart w:id="83" w:name="_ENREF_33"/>
      <w:r w:rsidRPr="00342AED">
        <w:t>33.</w:t>
      </w:r>
      <w:r w:rsidRPr="00342AED">
        <w:tab/>
        <w:t>O'Connor RJ, Bansal-Travers M, Carter LP, Cummings KM. What would menthol smokers do if menthol in cigarettes were banned? Behavioral intentions and simulated demand. Addiction. 2012;107(7):1330-8.</w:t>
      </w:r>
      <w:bookmarkEnd w:id="83"/>
    </w:p>
    <w:p w14:paraId="7F530E62" w14:textId="77777777" w:rsidR="007F0AE0" w:rsidRPr="00342AED" w:rsidRDefault="007F0AE0" w:rsidP="007F0AE0">
      <w:pPr>
        <w:pStyle w:val="EndNoteBibliography"/>
        <w:spacing w:after="0"/>
      </w:pPr>
      <w:bookmarkStart w:id="84" w:name="_ENREF_34"/>
      <w:r w:rsidRPr="00342AED">
        <w:t>34.</w:t>
      </w:r>
      <w:r w:rsidRPr="00342AED">
        <w:tab/>
        <w:t>Kahende JW, Malarcher AM, Teplinskaya A, Asman KJ. Quit attempt correlates among smokers by race/ethnicity. International journal of environmental research and public health. 2011;8(10):3871-88.</w:t>
      </w:r>
      <w:bookmarkEnd w:id="84"/>
    </w:p>
    <w:p w14:paraId="305BCA3A" w14:textId="77777777" w:rsidR="007F0AE0" w:rsidRPr="00342AED" w:rsidRDefault="007F0AE0" w:rsidP="007F0AE0">
      <w:pPr>
        <w:pStyle w:val="EndNoteBibliography"/>
        <w:spacing w:after="0"/>
      </w:pPr>
      <w:bookmarkStart w:id="85" w:name="_ENREF_35"/>
      <w:r w:rsidRPr="00342AED">
        <w:t>35.</w:t>
      </w:r>
      <w:r w:rsidRPr="00342AED">
        <w:tab/>
        <w:t>Webb Hooper M, Zhao W, Byrne MM, Davila E, Caban-Martinez A, Dietz NA, et al. Menthol cigarette smoking and health, Florida 2007 BRFSS. Am J Health Behav. 2011;31(1):3-14.</w:t>
      </w:r>
      <w:bookmarkEnd w:id="85"/>
    </w:p>
    <w:p w14:paraId="4C69DA07" w14:textId="77777777" w:rsidR="007F0AE0" w:rsidRPr="00342AED" w:rsidRDefault="007F0AE0" w:rsidP="007F0AE0">
      <w:pPr>
        <w:pStyle w:val="EndNoteBibliography"/>
        <w:spacing w:after="0"/>
      </w:pPr>
      <w:bookmarkStart w:id="86" w:name="_ENREF_36"/>
      <w:r w:rsidRPr="00342AED">
        <w:lastRenderedPageBreak/>
        <w:t>36.</w:t>
      </w:r>
      <w:r w:rsidRPr="00342AED">
        <w:tab/>
        <w:t>Fagan P, Augustson E, Backinger CL, O'Connell ME, Vollinger RE, Jr., Kaufman A, et al. Quit attempts and intention to quit cigarette smoking among young adults in the United States. Am J Public Health. 2007;97(8):1412-20.</w:t>
      </w:r>
      <w:bookmarkEnd w:id="86"/>
    </w:p>
    <w:p w14:paraId="13DE18E9" w14:textId="77777777" w:rsidR="007F0AE0" w:rsidRPr="00342AED" w:rsidRDefault="007F0AE0" w:rsidP="007F0AE0">
      <w:pPr>
        <w:pStyle w:val="EndNoteBibliography"/>
        <w:spacing w:after="0"/>
      </w:pPr>
      <w:bookmarkStart w:id="87" w:name="_ENREF_37"/>
      <w:r w:rsidRPr="00342AED">
        <w:t>37.</w:t>
      </w:r>
      <w:r w:rsidRPr="00342AED">
        <w:tab/>
        <w:t>Rath JM, Villanti AC, Williams VF, Richardson A, Pearson JL, Vallone DM. Patterns of Longitudinal Transitions in Menthol Use Among US Young Adult Smokers. Nicotine Tob Res. 2015;17(7):839-46.</w:t>
      </w:r>
      <w:bookmarkEnd w:id="87"/>
    </w:p>
    <w:p w14:paraId="4A6E585E" w14:textId="77777777" w:rsidR="007F0AE0" w:rsidRPr="00342AED" w:rsidRDefault="007F0AE0" w:rsidP="007F0AE0">
      <w:pPr>
        <w:pStyle w:val="EndNoteBibliography"/>
        <w:spacing w:after="0"/>
      </w:pPr>
      <w:bookmarkStart w:id="88" w:name="_ENREF_38"/>
      <w:r w:rsidRPr="00342AED">
        <w:t>38.</w:t>
      </w:r>
      <w:r w:rsidRPr="00342AED">
        <w:tab/>
        <w:t>Pearson JL. Public reaction to potential food and drug administration actions under the family smoking prevention and tobacco control act: Regulating e-cigarettes, banning menthol, and reducing cigarette nicotine content: Johns Hopkins University; 2011.</w:t>
      </w:r>
      <w:bookmarkEnd w:id="88"/>
    </w:p>
    <w:p w14:paraId="0640F10F" w14:textId="77777777" w:rsidR="007F0AE0" w:rsidRPr="00342AED" w:rsidRDefault="007F0AE0" w:rsidP="007F0AE0">
      <w:pPr>
        <w:pStyle w:val="EndNoteBibliography"/>
        <w:spacing w:after="0"/>
      </w:pPr>
      <w:bookmarkStart w:id="89" w:name="_ENREF_39"/>
      <w:r w:rsidRPr="00342AED">
        <w:t>39.</w:t>
      </w:r>
      <w:r w:rsidRPr="00342AED">
        <w:tab/>
        <w:t>Pearson JL, Abrams DB, Niaura RS, Richardson A, Vallone D. A ban on menthol cigarettes: Impact on public opinion and smokers' intention to quit. Am J Public Health. 2012;102(11):e107-e14.</w:t>
      </w:r>
      <w:bookmarkEnd w:id="89"/>
    </w:p>
    <w:p w14:paraId="046C76F0" w14:textId="77777777" w:rsidR="007F0AE0" w:rsidRPr="00342AED" w:rsidRDefault="007F0AE0" w:rsidP="007F0AE0">
      <w:pPr>
        <w:pStyle w:val="EndNoteBibliography"/>
        <w:spacing w:after="0"/>
      </w:pPr>
      <w:bookmarkStart w:id="90" w:name="_ENREF_40"/>
      <w:r w:rsidRPr="00342AED">
        <w:t>40.</w:t>
      </w:r>
      <w:r w:rsidRPr="00342AED">
        <w:tab/>
        <w:t>Kasza KA, Hyland AJ, Bansal-Travers M, Vogl LM, Chen J, Evans SE, et al. Switching between menthol and nonmenthol cigarettes: findings from the U.S. Cohort of the International Tobacco Control Four Country Survey. Nicotine Tob Res. 2014;16(9):1255-65.</w:t>
      </w:r>
      <w:bookmarkEnd w:id="90"/>
    </w:p>
    <w:p w14:paraId="501B884A" w14:textId="77777777" w:rsidR="007F0AE0" w:rsidRPr="00342AED" w:rsidRDefault="007F0AE0" w:rsidP="007F0AE0">
      <w:pPr>
        <w:pStyle w:val="EndNoteBibliography"/>
        <w:spacing w:after="0"/>
      </w:pPr>
      <w:bookmarkStart w:id="91" w:name="_ENREF_41"/>
      <w:r w:rsidRPr="00342AED">
        <w:t>41.</w:t>
      </w:r>
      <w:r w:rsidRPr="00342AED">
        <w:tab/>
        <w:t>Pletcher MJ, Hulley BJ, Houston T, Kiefe CI, Benowitz N, Sidney S. Menthol cigarettes, smoking cessation, atherosclerosis, and pulmonary function. Arch Intern Med. 2006;166:1915-22.</w:t>
      </w:r>
      <w:bookmarkEnd w:id="91"/>
    </w:p>
    <w:p w14:paraId="4B485413" w14:textId="77777777" w:rsidR="007F0AE0" w:rsidRPr="00342AED" w:rsidRDefault="007F0AE0" w:rsidP="007F0AE0">
      <w:pPr>
        <w:pStyle w:val="EndNoteBibliography"/>
        <w:spacing w:after="0"/>
      </w:pPr>
      <w:bookmarkStart w:id="92" w:name="_ENREF_42"/>
      <w:r w:rsidRPr="00342AED">
        <w:t>42.</w:t>
      </w:r>
      <w:r w:rsidRPr="00342AED">
        <w:tab/>
        <w:t>D'Silva J, Boyle RG, Lien R, Rode P, Okuyemi KS. Cessation outcomes among treatment-seeking menthol and nonmenthol smokers. Am J Prev Med. 2012;43(5 Suppl 3):S242-8.</w:t>
      </w:r>
      <w:bookmarkEnd w:id="92"/>
    </w:p>
    <w:p w14:paraId="30CE4AE6" w14:textId="77777777" w:rsidR="007F0AE0" w:rsidRPr="00342AED" w:rsidRDefault="007F0AE0" w:rsidP="007F0AE0">
      <w:pPr>
        <w:pStyle w:val="EndNoteBibliography"/>
        <w:spacing w:after="0"/>
      </w:pPr>
      <w:bookmarkStart w:id="93" w:name="_ENREF_43"/>
      <w:r w:rsidRPr="00342AED">
        <w:t>43.</w:t>
      </w:r>
      <w:r w:rsidRPr="00342AED">
        <w:tab/>
        <w:t>Thihalolipavan S, Jung M, Jasek J, Chamany S. Menthol smokers in large-scale nicotine replacement therapy program. Am J Public Health. 2014;104(11):e3-4.</w:t>
      </w:r>
      <w:bookmarkEnd w:id="93"/>
    </w:p>
    <w:p w14:paraId="751C25E7" w14:textId="77777777" w:rsidR="007F0AE0" w:rsidRPr="00342AED" w:rsidRDefault="007F0AE0" w:rsidP="007F0AE0">
      <w:pPr>
        <w:pStyle w:val="EndNoteBibliography"/>
        <w:spacing w:after="0"/>
      </w:pPr>
      <w:bookmarkStart w:id="94" w:name="_ENREF_44"/>
      <w:r w:rsidRPr="00342AED">
        <w:t>44.</w:t>
      </w:r>
      <w:r w:rsidRPr="00342AED">
        <w:tab/>
        <w:t>Hersey JC, Ng SW, Nonnemaker JM, Mowery P, Thomas KY, Vilsaint MC, et al. Are menthol cigarettes a starter product for youth? Nicotine Tob Res. 2006;8(3):403-13.</w:t>
      </w:r>
      <w:bookmarkEnd w:id="94"/>
    </w:p>
    <w:p w14:paraId="53E712A4" w14:textId="77777777" w:rsidR="007F0AE0" w:rsidRPr="00342AED" w:rsidRDefault="007F0AE0" w:rsidP="007F0AE0">
      <w:pPr>
        <w:pStyle w:val="EndNoteBibliography"/>
        <w:spacing w:after="0"/>
      </w:pPr>
      <w:bookmarkStart w:id="95" w:name="_ENREF_45"/>
      <w:r w:rsidRPr="00342AED">
        <w:t>45.</w:t>
      </w:r>
      <w:r w:rsidRPr="00342AED">
        <w:tab/>
        <w:t>Smith SS, Fiore MC, Baker TB. Smoking cessation in smokers who smoke menthol and non-menthol cigarettes. Addiction. 2014;109(12):2107-17.</w:t>
      </w:r>
      <w:bookmarkEnd w:id="95"/>
    </w:p>
    <w:p w14:paraId="62C30401" w14:textId="77777777" w:rsidR="007F0AE0" w:rsidRPr="00342AED" w:rsidRDefault="007F0AE0" w:rsidP="007F0AE0">
      <w:pPr>
        <w:pStyle w:val="EndNoteBibliography"/>
        <w:spacing w:after="0"/>
      </w:pPr>
      <w:bookmarkStart w:id="96" w:name="_ENREF_46"/>
      <w:r w:rsidRPr="00342AED">
        <w:t>46.</w:t>
      </w:r>
      <w:r w:rsidRPr="00342AED">
        <w:tab/>
        <w:t>Hyland A, Rivard C. Analysis of mentholated cigarettes using the COMMIT data -- summary. Department of Health Behavior, Roswell Park Cancer Institute; 2010.</w:t>
      </w:r>
      <w:bookmarkEnd w:id="96"/>
    </w:p>
    <w:p w14:paraId="6E7D7FD0" w14:textId="77777777" w:rsidR="007F0AE0" w:rsidRPr="00342AED" w:rsidRDefault="007F0AE0" w:rsidP="007F0AE0">
      <w:pPr>
        <w:pStyle w:val="EndNoteBibliography"/>
        <w:spacing w:after="0"/>
      </w:pPr>
      <w:bookmarkStart w:id="97" w:name="_ENREF_47"/>
      <w:r w:rsidRPr="00342AED">
        <w:t>47.</w:t>
      </w:r>
      <w:r w:rsidRPr="00342AED">
        <w:tab/>
        <w:t>Gandhi KK, Foulds J, Steinberg MB, Lu SE, Williams JM. Lower quit rates among African American and Latino menthol cigarette smokers at a tobacco treatment clinic. Int J Clin Pract. 2009;63(3):360-7.</w:t>
      </w:r>
      <w:bookmarkEnd w:id="97"/>
    </w:p>
    <w:p w14:paraId="5F9D4C84" w14:textId="77777777" w:rsidR="007F0AE0" w:rsidRPr="00342AED" w:rsidRDefault="007F0AE0" w:rsidP="007F0AE0">
      <w:pPr>
        <w:pStyle w:val="EndNoteBibliography"/>
        <w:spacing w:after="0"/>
      </w:pPr>
      <w:bookmarkStart w:id="98" w:name="_ENREF_48"/>
      <w:r w:rsidRPr="00342AED">
        <w:t>48.</w:t>
      </w:r>
      <w:r w:rsidRPr="00342AED">
        <w:tab/>
        <w:t>Harris KJ, Okuyemi KS, Catley D, Mayo MS, Ge B, Ahluwalia JS. Predictors of smoking cessation among African-Americans enrolled in a randomized controlled trial of bupropion. Prev Med. 2004;38(4):498-502.</w:t>
      </w:r>
      <w:bookmarkEnd w:id="98"/>
    </w:p>
    <w:p w14:paraId="308D4AD5" w14:textId="77777777" w:rsidR="007F0AE0" w:rsidRPr="00342AED" w:rsidRDefault="007F0AE0" w:rsidP="007F0AE0">
      <w:pPr>
        <w:pStyle w:val="EndNoteBibliography"/>
        <w:spacing w:after="0"/>
      </w:pPr>
      <w:bookmarkStart w:id="99" w:name="_ENREF_49"/>
      <w:r w:rsidRPr="00342AED">
        <w:t>49.</w:t>
      </w:r>
      <w:r w:rsidRPr="00342AED">
        <w:tab/>
        <w:t>Okuyemi KS, Ahluwalia JS, Ebersole-Robinson M, Catley D, Mayo MS, Resnicow K. Does menthol attenuate the effect of bupropion among African American smokers? Addiction. 2003;98:1387-93.</w:t>
      </w:r>
      <w:bookmarkEnd w:id="99"/>
    </w:p>
    <w:p w14:paraId="377C8FEB" w14:textId="77777777" w:rsidR="007F0AE0" w:rsidRPr="00342AED" w:rsidRDefault="007F0AE0" w:rsidP="007F0AE0">
      <w:pPr>
        <w:pStyle w:val="EndNoteBibliography"/>
        <w:spacing w:after="0"/>
      </w:pPr>
      <w:bookmarkStart w:id="100" w:name="_ENREF_50"/>
      <w:r w:rsidRPr="00342AED">
        <w:t>50.</w:t>
      </w:r>
      <w:r w:rsidRPr="00342AED">
        <w:tab/>
        <w:t>Hyland A, Garten S, Giovino GA, Cummings KM. Mentholated cigarettes and smoking cessation: Findings from COMMIT. Tob Control. 2002;11:135-9.</w:t>
      </w:r>
      <w:bookmarkEnd w:id="100"/>
    </w:p>
    <w:p w14:paraId="40A9E93C" w14:textId="77777777" w:rsidR="007F0AE0" w:rsidRPr="00342AED" w:rsidRDefault="007F0AE0" w:rsidP="007F0AE0">
      <w:pPr>
        <w:pStyle w:val="EndNoteBibliography"/>
        <w:spacing w:after="0"/>
      </w:pPr>
      <w:bookmarkStart w:id="101" w:name="_ENREF_51"/>
      <w:r w:rsidRPr="00342AED">
        <w:t>51.</w:t>
      </w:r>
      <w:r w:rsidRPr="00342AED">
        <w:tab/>
        <w:t>Jarvik ME, Tashkin DP, Caskey NH, McCarthy WJ, Rosenblatt MR. Mentholated cigarettes decrease puff volume of smoke and increase carbon monoxide absorption. Physiol Behav. 1994;56(3):563-70.</w:t>
      </w:r>
      <w:bookmarkEnd w:id="101"/>
    </w:p>
    <w:p w14:paraId="51658BD8" w14:textId="77777777" w:rsidR="007F0AE0" w:rsidRPr="00342AED" w:rsidRDefault="007F0AE0" w:rsidP="007F0AE0">
      <w:pPr>
        <w:pStyle w:val="EndNoteBibliography"/>
        <w:spacing w:after="0"/>
      </w:pPr>
      <w:bookmarkStart w:id="102" w:name="_ENREF_52"/>
      <w:r w:rsidRPr="00342AED">
        <w:t>52.</w:t>
      </w:r>
      <w:r w:rsidRPr="00342AED">
        <w:tab/>
        <w:t>Trinidad DR, Perez-Stable EJ, Messer K, White MM, Pierce JP. Menthol cigarettes and smoking cessation among racial/ethnic groups in the United States. Addiction. 2010;105 Suppl 1:84-94.</w:t>
      </w:r>
      <w:bookmarkEnd w:id="102"/>
    </w:p>
    <w:p w14:paraId="3FB2D0A2" w14:textId="77777777" w:rsidR="007F0AE0" w:rsidRPr="00342AED" w:rsidRDefault="007F0AE0" w:rsidP="007F0AE0">
      <w:pPr>
        <w:pStyle w:val="EndNoteBibliography"/>
        <w:spacing w:after="0"/>
      </w:pPr>
      <w:bookmarkStart w:id="103" w:name="_ENREF_53"/>
      <w:r w:rsidRPr="00342AED">
        <w:t>53.</w:t>
      </w:r>
      <w:r w:rsidRPr="00342AED">
        <w:tab/>
        <w:t>Lewis M, Wang Y, Berg CJ. Tobacco control environment in the United States and individual consumer characteristics in relation to continued smoking: differential responses among menthol smokers? Prev Med. 2014;65:47-51.</w:t>
      </w:r>
      <w:bookmarkEnd w:id="103"/>
    </w:p>
    <w:p w14:paraId="49FAB7A9" w14:textId="77777777" w:rsidR="007F0AE0" w:rsidRPr="00342AED" w:rsidRDefault="007F0AE0" w:rsidP="007F0AE0">
      <w:pPr>
        <w:pStyle w:val="EndNoteBibliography"/>
        <w:spacing w:after="0"/>
      </w:pPr>
      <w:bookmarkStart w:id="104" w:name="_ENREF_54"/>
      <w:r w:rsidRPr="00342AED">
        <w:t>54.</w:t>
      </w:r>
      <w:r w:rsidRPr="00342AED">
        <w:tab/>
        <w:t>Sulsky SI, Fuller WG, Van Landingham C, Ogden MW, Swauger JE, Curtin GM. Evaluating the association between menthol cigarette use and the likelihood of being a former versus current smoker. Regul Toxicol Pharmacol. 2014;70(1):231-41.</w:t>
      </w:r>
      <w:bookmarkEnd w:id="104"/>
    </w:p>
    <w:p w14:paraId="32649BF2" w14:textId="77777777" w:rsidR="007F0AE0" w:rsidRPr="00342AED" w:rsidRDefault="007F0AE0" w:rsidP="007F0AE0">
      <w:pPr>
        <w:pStyle w:val="EndNoteBibliography"/>
        <w:spacing w:after="0"/>
      </w:pPr>
      <w:bookmarkStart w:id="105" w:name="_ENREF_55"/>
      <w:r w:rsidRPr="00342AED">
        <w:t>55.</w:t>
      </w:r>
      <w:r w:rsidRPr="00342AED">
        <w:tab/>
        <w:t>Muscat JE, Richie JP, Jr., Stellman SD. Mentholated cigaettes and smoking habits in whites and blacks. Tob Control. 2002;11:368-71.</w:t>
      </w:r>
      <w:bookmarkEnd w:id="105"/>
    </w:p>
    <w:p w14:paraId="58BF6CAD" w14:textId="77777777" w:rsidR="007F0AE0" w:rsidRPr="00342AED" w:rsidRDefault="007F0AE0" w:rsidP="007F0AE0">
      <w:pPr>
        <w:pStyle w:val="EndNoteBibliography"/>
        <w:spacing w:after="0"/>
      </w:pPr>
      <w:bookmarkStart w:id="106" w:name="_ENREF_56"/>
      <w:r w:rsidRPr="00342AED">
        <w:t>56.</w:t>
      </w:r>
      <w:r w:rsidRPr="00342AED">
        <w:tab/>
        <w:t>Blot WJ, Cohen SS, Aldrich M, McLaughlin JK, Hargreaves MK, Signorello LB. Lung cancer risk among smokers of menthol cigarettes. J Natl Cancer Inst. 2011;103(10):810-6.</w:t>
      </w:r>
      <w:bookmarkEnd w:id="106"/>
    </w:p>
    <w:p w14:paraId="42B919EA" w14:textId="77777777" w:rsidR="007F0AE0" w:rsidRPr="00342AED" w:rsidRDefault="007F0AE0" w:rsidP="007F0AE0">
      <w:pPr>
        <w:pStyle w:val="EndNoteBibliography"/>
        <w:spacing w:after="0"/>
      </w:pPr>
      <w:bookmarkStart w:id="107" w:name="_ENREF_57"/>
      <w:r w:rsidRPr="00342AED">
        <w:lastRenderedPageBreak/>
        <w:t>57.</w:t>
      </w:r>
      <w:r w:rsidRPr="00342AED">
        <w:tab/>
        <w:t>Delnevo CD, Gundersen DA, Hrywna M, Echeverria SE, Steinberg MB. Smoking-cessation prevalence among U.S. smokers of menthol versus non-menthol cigarettes. Am J Prev Med. 2011;41(4):357-65.</w:t>
      </w:r>
      <w:bookmarkEnd w:id="107"/>
    </w:p>
    <w:p w14:paraId="52240384" w14:textId="77777777" w:rsidR="007F0AE0" w:rsidRPr="00342AED" w:rsidRDefault="007F0AE0" w:rsidP="007F0AE0">
      <w:pPr>
        <w:pStyle w:val="EndNoteBibliography"/>
        <w:spacing w:after="0"/>
      </w:pPr>
      <w:bookmarkStart w:id="108" w:name="_ENREF_58"/>
      <w:r w:rsidRPr="00342AED">
        <w:t>58.</w:t>
      </w:r>
      <w:r w:rsidRPr="00342AED">
        <w:tab/>
        <w:t>Delnevo CD, Gundersen DA, Hrywna M. Examining the relationship between menthol smoking and cessation using data from the 2003 and 2006/7 Tobacco Use Supplement. Center for Tobacco Surveillance and Evaluation Research: University of Medicine &amp; Dentistry of New Jersey - School of Public Health; 2010 January 10-11, 2011.</w:t>
      </w:r>
      <w:bookmarkEnd w:id="108"/>
    </w:p>
    <w:p w14:paraId="4AA7D32B" w14:textId="77777777" w:rsidR="007F0AE0" w:rsidRPr="00342AED" w:rsidRDefault="007F0AE0" w:rsidP="007F0AE0">
      <w:pPr>
        <w:pStyle w:val="EndNoteBibliography"/>
        <w:spacing w:after="0"/>
      </w:pPr>
      <w:bookmarkStart w:id="109" w:name="_ENREF_59"/>
      <w:r w:rsidRPr="00342AED">
        <w:t>59.</w:t>
      </w:r>
      <w:r w:rsidRPr="00342AED">
        <w:tab/>
        <w:t>Gundersen DA, Delnevo CD, Wackowski O. Exploring the relationship between race/ethnicity, menthol smoking, and cessation, in a nationally representative sample of adults. Prev Med. 2009;49(6):553-7.</w:t>
      </w:r>
      <w:bookmarkEnd w:id="109"/>
    </w:p>
    <w:p w14:paraId="235CE7E6" w14:textId="77777777" w:rsidR="007F0AE0" w:rsidRPr="00342AED" w:rsidRDefault="007F0AE0" w:rsidP="007F0AE0">
      <w:pPr>
        <w:pStyle w:val="EndNoteBibliography"/>
        <w:spacing w:after="0"/>
      </w:pPr>
      <w:bookmarkStart w:id="110" w:name="_ENREF_60"/>
      <w:r w:rsidRPr="00342AED">
        <w:t>60.</w:t>
      </w:r>
      <w:r w:rsidRPr="00342AED">
        <w:tab/>
        <w:t>Murray RP, Connett JE, Skeans MA, Tashkin DP. Menthol cigarettes and health risks in Lung Health Study data. Nicotine Tob Res. 2007;9(1):101-7.</w:t>
      </w:r>
      <w:bookmarkEnd w:id="110"/>
    </w:p>
    <w:p w14:paraId="3E391CC6" w14:textId="77777777" w:rsidR="007F0AE0" w:rsidRPr="00342AED" w:rsidRDefault="007F0AE0" w:rsidP="007F0AE0">
      <w:pPr>
        <w:pStyle w:val="EndNoteBibliography"/>
        <w:spacing w:after="0"/>
      </w:pPr>
      <w:bookmarkStart w:id="111" w:name="_ENREF_61"/>
      <w:r w:rsidRPr="00342AED">
        <w:t>61.</w:t>
      </w:r>
      <w:r w:rsidRPr="00342AED">
        <w:tab/>
        <w:t>Nonnemaker J, Hersey J, Homsi G, Busey A, Allen J, Vallone D. Initiation with menthol cigarettes and youth smoking uptake. Addiction. 2012;108(1):171-8.</w:t>
      </w:r>
      <w:bookmarkEnd w:id="111"/>
    </w:p>
    <w:p w14:paraId="3011B6F1" w14:textId="77777777" w:rsidR="007F0AE0" w:rsidRPr="00342AED" w:rsidRDefault="007F0AE0" w:rsidP="007F0AE0">
      <w:pPr>
        <w:pStyle w:val="EndNoteBibliography"/>
        <w:spacing w:after="0"/>
      </w:pPr>
      <w:bookmarkStart w:id="112" w:name="_ENREF_62"/>
      <w:r w:rsidRPr="00342AED">
        <w:t>62.</w:t>
      </w:r>
      <w:r w:rsidRPr="00342AED">
        <w:tab/>
        <w:t>Rojewski AM, Toll BA, O'Malley SS. Menthol cigarette use predicts treatment outcomes of weight-concerned smokers. Nicotine Tob Res. 2014;16(1):115-9.</w:t>
      </w:r>
      <w:bookmarkEnd w:id="112"/>
    </w:p>
    <w:p w14:paraId="32A3FB51" w14:textId="77777777" w:rsidR="007F0AE0" w:rsidRPr="00342AED" w:rsidRDefault="007F0AE0" w:rsidP="007F0AE0">
      <w:pPr>
        <w:pStyle w:val="EndNoteBibliography"/>
        <w:spacing w:after="0"/>
      </w:pPr>
      <w:bookmarkStart w:id="113" w:name="_ENREF_63"/>
      <w:r w:rsidRPr="00342AED">
        <w:t>63.</w:t>
      </w:r>
      <w:r w:rsidRPr="00342AED">
        <w:tab/>
        <w:t>Winhusen TM, Adinoff B, Lewis DF, Brigham GS, Gardin JG, 2nd, Sonne SC, et al. A tale of two stimulants: mentholated cigarettes may play a role in cocaine, but not methamphetamine, dependence. Drug Alcohol Depend. 2013;133(3):845-51.</w:t>
      </w:r>
      <w:bookmarkEnd w:id="113"/>
    </w:p>
    <w:p w14:paraId="57ED1C01" w14:textId="77777777" w:rsidR="007F0AE0" w:rsidRPr="00342AED" w:rsidRDefault="007F0AE0" w:rsidP="007F0AE0">
      <w:pPr>
        <w:pStyle w:val="EndNoteBibliography"/>
        <w:spacing w:after="0"/>
      </w:pPr>
      <w:bookmarkStart w:id="114" w:name="_ENREF_64"/>
      <w:r w:rsidRPr="00342AED">
        <w:t>64.</w:t>
      </w:r>
      <w:r w:rsidRPr="00342AED">
        <w:tab/>
        <w:t>Steinberg MB, Bover MT, Richardson DL, Schmelzer AC, Williams JM, Foulds J. Abstinence and psychological distress in co-morbid smokers using various pharmacotherapies. Drug Alcohol Depend. 2011;114(1):77-81.</w:t>
      </w:r>
      <w:bookmarkEnd w:id="114"/>
    </w:p>
    <w:p w14:paraId="3E583A70" w14:textId="77777777" w:rsidR="007F0AE0" w:rsidRPr="00342AED" w:rsidRDefault="007F0AE0" w:rsidP="007F0AE0">
      <w:pPr>
        <w:pStyle w:val="EndNoteBibliography"/>
        <w:spacing w:after="0"/>
      </w:pPr>
      <w:bookmarkStart w:id="115" w:name="_ENREF_65"/>
      <w:r w:rsidRPr="00342AED">
        <w:t>65.</w:t>
      </w:r>
      <w:r w:rsidRPr="00342AED">
        <w:tab/>
        <w:t>Cropsey KL, Weaver MF, Eldridge GD, Villalobos GC, Best AM, Stitzer ML. Differential success rates in racial groups: results of a clinical trial of smoking cessation among female prisoners. Nicotine Tob Res. 2009;11(6):690-7.</w:t>
      </w:r>
      <w:bookmarkEnd w:id="115"/>
    </w:p>
    <w:p w14:paraId="59C6BFFD" w14:textId="77777777" w:rsidR="007F0AE0" w:rsidRPr="00342AED" w:rsidRDefault="007F0AE0" w:rsidP="007F0AE0">
      <w:pPr>
        <w:pStyle w:val="EndNoteBibliography"/>
        <w:spacing w:after="0"/>
      </w:pPr>
      <w:bookmarkStart w:id="116" w:name="_ENREF_66"/>
      <w:r w:rsidRPr="00342AED">
        <w:t>66.</w:t>
      </w:r>
      <w:r w:rsidRPr="00342AED">
        <w:tab/>
        <w:t>Foulds J, Gandhi KK, Steinberg MB, Richardson DL, Williams JM, Burke MV, et al. Factors associated with quitting smoking at a tobacco dependence treatment clinic. Am J Health Behav. 2006;30(4):400-12.</w:t>
      </w:r>
      <w:bookmarkEnd w:id="116"/>
    </w:p>
    <w:p w14:paraId="38C03CEE" w14:textId="77777777" w:rsidR="007F0AE0" w:rsidRPr="00342AED" w:rsidRDefault="007F0AE0" w:rsidP="007F0AE0">
      <w:pPr>
        <w:pStyle w:val="EndNoteBibliography"/>
        <w:spacing w:after="0"/>
      </w:pPr>
      <w:bookmarkStart w:id="117" w:name="_ENREF_67"/>
      <w:r w:rsidRPr="00342AED">
        <w:t>67.</w:t>
      </w:r>
      <w:r w:rsidRPr="00342AED">
        <w:tab/>
        <w:t>Berg CJ, Thomas JL, Guo H, An LC, Okuyemi KS, Collins TC, et al. Predictors of smoking reduction among Blacks. Nicotine Tob Res. 2010;12(4):423-31.</w:t>
      </w:r>
      <w:bookmarkEnd w:id="117"/>
    </w:p>
    <w:p w14:paraId="41EE3F24" w14:textId="77777777" w:rsidR="007F0AE0" w:rsidRPr="00342AED" w:rsidRDefault="007F0AE0" w:rsidP="007F0AE0">
      <w:pPr>
        <w:pStyle w:val="EndNoteBibliography"/>
        <w:spacing w:after="0"/>
      </w:pPr>
      <w:bookmarkStart w:id="118" w:name="_ENREF_68"/>
      <w:r w:rsidRPr="00342AED">
        <w:t>68.</w:t>
      </w:r>
      <w:r w:rsidRPr="00342AED">
        <w:tab/>
        <w:t>Reitzel LR, Li Y, Stewart DW, Cao Y, Wetter DW, Waters AJ, et al. Race moderates the effect of menthol cigarette use on short-term smoking abstinence. Nicotine Tob Res. 2013;15(5):883-9.</w:t>
      </w:r>
      <w:bookmarkEnd w:id="118"/>
    </w:p>
    <w:p w14:paraId="6BF92942" w14:textId="77777777" w:rsidR="007F0AE0" w:rsidRPr="00342AED" w:rsidRDefault="007F0AE0" w:rsidP="007F0AE0">
      <w:pPr>
        <w:pStyle w:val="EndNoteBibliography"/>
        <w:spacing w:after="0"/>
      </w:pPr>
      <w:bookmarkStart w:id="119" w:name="_ENREF_69"/>
      <w:r w:rsidRPr="00342AED">
        <w:t>69.</w:t>
      </w:r>
      <w:r w:rsidRPr="00342AED">
        <w:tab/>
        <w:t>Reitzel LR. Menthol cigarettes, tobacco dependence, and smoking cessation: Project CARE final report. 2011.</w:t>
      </w:r>
      <w:bookmarkEnd w:id="119"/>
    </w:p>
    <w:p w14:paraId="50B0B95E" w14:textId="77777777" w:rsidR="007F0AE0" w:rsidRPr="00342AED" w:rsidRDefault="007F0AE0" w:rsidP="007F0AE0">
      <w:pPr>
        <w:pStyle w:val="EndNoteBibliography"/>
        <w:spacing w:after="0"/>
      </w:pPr>
      <w:bookmarkStart w:id="120" w:name="_ENREF_70"/>
      <w:r w:rsidRPr="00342AED">
        <w:t>70.</w:t>
      </w:r>
      <w:r w:rsidRPr="00342AED">
        <w:tab/>
        <w:t>Reitzel LR. Menthol cigarettes, tobacco dependence, and smoking cessation: Project BREAK FREE final report. 2011.</w:t>
      </w:r>
      <w:bookmarkEnd w:id="120"/>
    </w:p>
    <w:p w14:paraId="26C436AC" w14:textId="77777777" w:rsidR="007F0AE0" w:rsidRPr="00342AED" w:rsidRDefault="007F0AE0" w:rsidP="007F0AE0">
      <w:pPr>
        <w:pStyle w:val="EndNoteBibliography"/>
        <w:spacing w:after="0"/>
      </w:pPr>
      <w:bookmarkStart w:id="121" w:name="_ENREF_71"/>
      <w:r w:rsidRPr="00342AED">
        <w:t>71.</w:t>
      </w:r>
      <w:r w:rsidRPr="00342AED">
        <w:tab/>
        <w:t>Reitzel LR. Menthol cigarettes, tobacco dependence, and smoking cessation: Project MOM final report. 2011.</w:t>
      </w:r>
      <w:bookmarkEnd w:id="121"/>
    </w:p>
    <w:p w14:paraId="5072310F" w14:textId="77777777" w:rsidR="007F0AE0" w:rsidRPr="00342AED" w:rsidRDefault="007F0AE0" w:rsidP="007F0AE0">
      <w:pPr>
        <w:pStyle w:val="EndNoteBibliography"/>
        <w:spacing w:after="0"/>
      </w:pPr>
      <w:bookmarkStart w:id="122" w:name="_ENREF_72"/>
      <w:r w:rsidRPr="00342AED">
        <w:t>72.</w:t>
      </w:r>
      <w:r w:rsidRPr="00342AED">
        <w:tab/>
        <w:t>Kanyuch JA, Bercz PA, Chang J, Martinez FJ, Criner GJ, Lawrence MJ, et al. Menthol cigarette use among African Americans associated with persistent tobacco use. Am J Respir Crit Care Med; 2011. p. A4568.</w:t>
      </w:r>
      <w:bookmarkEnd w:id="122"/>
    </w:p>
    <w:p w14:paraId="47D0FEB7" w14:textId="77777777" w:rsidR="007F0AE0" w:rsidRPr="00342AED" w:rsidRDefault="007F0AE0" w:rsidP="007F0AE0">
      <w:pPr>
        <w:pStyle w:val="EndNoteBibliography"/>
        <w:spacing w:after="0"/>
      </w:pPr>
      <w:bookmarkStart w:id="123" w:name="_ENREF_73"/>
      <w:r w:rsidRPr="00342AED">
        <w:t>73.</w:t>
      </w:r>
      <w:r w:rsidRPr="00342AED">
        <w:tab/>
        <w:t>Sidney S, Tekawa IS, Friedman GD. Mentholated cigarette use among multiphasic examinees, 1979-86. Am J Public Health. 1989;79:1415-6.</w:t>
      </w:r>
      <w:bookmarkEnd w:id="123"/>
    </w:p>
    <w:p w14:paraId="37C88C65" w14:textId="77777777" w:rsidR="007F0AE0" w:rsidRPr="00342AED" w:rsidRDefault="007F0AE0" w:rsidP="007F0AE0">
      <w:pPr>
        <w:pStyle w:val="EndNoteBibliography"/>
        <w:spacing w:after="0"/>
      </w:pPr>
      <w:bookmarkStart w:id="124" w:name="_ENREF_74"/>
      <w:r w:rsidRPr="00342AED">
        <w:t>74.</w:t>
      </w:r>
      <w:r w:rsidRPr="00342AED">
        <w:tab/>
        <w:t>Muench C, Juliano LM. Predictors of smoking lapse during a 48-hour laboratory analogue smoking cessation attempt. Psychology of addictive behaviors : journal of the Society of Psychologists in Addictive Behaviors. 2017;31(4):415-22.</w:t>
      </w:r>
      <w:bookmarkEnd w:id="124"/>
    </w:p>
    <w:p w14:paraId="23BED755" w14:textId="77777777" w:rsidR="007F0AE0" w:rsidRPr="00342AED" w:rsidRDefault="007F0AE0" w:rsidP="007F0AE0">
      <w:pPr>
        <w:pStyle w:val="EndNoteBibliography"/>
        <w:spacing w:after="0"/>
      </w:pPr>
      <w:bookmarkStart w:id="125" w:name="_ENREF_75"/>
      <w:r w:rsidRPr="00342AED">
        <w:t>75.</w:t>
      </w:r>
      <w:r w:rsidRPr="00342AED">
        <w:tab/>
        <w:t>Reitzel LR, Nguyen N, Cao Y, Vidrine JI, Daza P, Mullen PD, et al. Race/ethnicity moderates the effect of prepartum menthol cigarette use on postpartum smoking abstinence. Nicotine Tob Res. 2011;13(12):1305-10.</w:t>
      </w:r>
      <w:bookmarkEnd w:id="125"/>
    </w:p>
    <w:p w14:paraId="6B57AD25" w14:textId="77777777" w:rsidR="007F0AE0" w:rsidRPr="00342AED" w:rsidRDefault="007F0AE0" w:rsidP="007F0AE0">
      <w:pPr>
        <w:pStyle w:val="EndNoteBibliography"/>
        <w:spacing w:after="0"/>
      </w:pPr>
      <w:bookmarkStart w:id="126" w:name="_ENREF_76"/>
      <w:r w:rsidRPr="00342AED">
        <w:t>76.</w:t>
      </w:r>
      <w:r w:rsidRPr="00342AED">
        <w:tab/>
        <w:t>DerSimonian R, Laird N. Meta-analysis in clinical trials. Control Clin Trials 1986;7(3):177-88.</w:t>
      </w:r>
      <w:bookmarkEnd w:id="126"/>
    </w:p>
    <w:p w14:paraId="1D9A5968" w14:textId="77777777" w:rsidR="007F0AE0" w:rsidRPr="00342AED" w:rsidRDefault="007F0AE0" w:rsidP="007F0AE0">
      <w:pPr>
        <w:pStyle w:val="EndNoteBibliography"/>
        <w:spacing w:after="0"/>
      </w:pPr>
      <w:bookmarkStart w:id="127" w:name="_ENREF_77"/>
      <w:r w:rsidRPr="00342AED">
        <w:lastRenderedPageBreak/>
        <w:t>77.</w:t>
      </w:r>
      <w:r w:rsidRPr="00342AED">
        <w:tab/>
        <w:t>DiFranza JR, Savageau JA, Fletcher K, Ockene JK, Rigotti NA, McNeill AD, et al. Measuring the loss of autonomy over nicotine use in adolescents: the DANDY (Development and Assessment of Nicotine Dependence in Youths) study. Arch Pediatr Adolesc Med. 2002;156(4):397-403.</w:t>
      </w:r>
      <w:bookmarkEnd w:id="127"/>
    </w:p>
    <w:p w14:paraId="4564B316" w14:textId="77777777" w:rsidR="007F0AE0" w:rsidRPr="00342AED" w:rsidRDefault="007F0AE0" w:rsidP="007F0AE0">
      <w:pPr>
        <w:pStyle w:val="EndNoteBibliography"/>
        <w:spacing w:after="0"/>
      </w:pPr>
      <w:bookmarkStart w:id="128" w:name="_ENREF_78"/>
      <w:r w:rsidRPr="00342AED">
        <w:t>78.</w:t>
      </w:r>
      <w:r w:rsidRPr="00342AED">
        <w:tab/>
        <w:t>Baker TB, Piper ME, McCarthy DE, Bolt DM, Smith SS, Kim SY, et al. Time to first cigarette in the morning as an index of ability to quit smoking: implications for nicotine dependence. Nicotine Tob Res. 2007;9 Suppl 4:S555-70.</w:t>
      </w:r>
      <w:bookmarkEnd w:id="128"/>
    </w:p>
    <w:p w14:paraId="433737B2" w14:textId="77777777" w:rsidR="007F0AE0" w:rsidRPr="00342AED" w:rsidRDefault="007F0AE0" w:rsidP="007F0AE0">
      <w:pPr>
        <w:pStyle w:val="EndNoteBibliography"/>
        <w:spacing w:after="0"/>
      </w:pPr>
      <w:bookmarkStart w:id="129" w:name="_ENREF_79"/>
      <w:r w:rsidRPr="00342AED">
        <w:t>79.</w:t>
      </w:r>
      <w:r w:rsidRPr="00342AED">
        <w:tab/>
        <w:t>Piper ME, McCarthy DE, Bolt DM, Smith SS, Lerman C, Benowitz N, et al. Assessing dimensions of nicotine dependence: an evaluation of the Nicotine Dependence Syndrome Scale (NDSS) and the Wisconsin Inventory of Smoking Dependence Motives (WISDM). Nicotine Tob Res. 2008;10(6):1009-20.</w:t>
      </w:r>
      <w:bookmarkEnd w:id="129"/>
    </w:p>
    <w:p w14:paraId="3860864D" w14:textId="77777777" w:rsidR="007F0AE0" w:rsidRPr="00342AED" w:rsidRDefault="007F0AE0" w:rsidP="007F0AE0">
      <w:pPr>
        <w:pStyle w:val="EndNoteBibliography"/>
        <w:spacing w:after="0"/>
      </w:pPr>
      <w:bookmarkStart w:id="130" w:name="_ENREF_80"/>
      <w:r w:rsidRPr="00342AED">
        <w:t>80.</w:t>
      </w:r>
      <w:r w:rsidRPr="00342AED">
        <w:tab/>
        <w:t>Green LW, Glasgow RE. Evaluating the relevance, generalization, and applicability of research: issues in external validation and translation methodology. Eval Health Prof. 2006;29(1):126-53.</w:t>
      </w:r>
      <w:bookmarkEnd w:id="130"/>
    </w:p>
    <w:p w14:paraId="6A0CFB42" w14:textId="77777777" w:rsidR="007F0AE0" w:rsidRPr="00342AED" w:rsidRDefault="007F0AE0" w:rsidP="007F0AE0">
      <w:pPr>
        <w:pStyle w:val="EndNoteBibliography"/>
        <w:spacing w:after="0"/>
      </w:pPr>
      <w:bookmarkStart w:id="131" w:name="_ENREF_81"/>
      <w:r w:rsidRPr="00342AED">
        <w:t>81.</w:t>
      </w:r>
      <w:r w:rsidRPr="00342AED">
        <w:tab/>
        <w:t>Kirk J, Miller ML. Reliability and validity in qualitative research. Beverly Hills, CA: Sage Publications; 1986.</w:t>
      </w:r>
      <w:bookmarkEnd w:id="131"/>
    </w:p>
    <w:p w14:paraId="0F0FF12A" w14:textId="77777777" w:rsidR="007F0AE0" w:rsidRPr="00342AED" w:rsidRDefault="007F0AE0" w:rsidP="007F0AE0">
      <w:pPr>
        <w:pStyle w:val="EndNoteBibliography"/>
        <w:spacing w:after="0"/>
      </w:pPr>
      <w:bookmarkStart w:id="132" w:name="_ENREF_82"/>
      <w:r w:rsidRPr="00342AED">
        <w:t>82.</w:t>
      </w:r>
      <w:r w:rsidRPr="00342AED">
        <w:tab/>
        <w:t>Sim J, Wright CC. The kappa statistic in reliability studies: use, interpretation, and sample size requirements. Phys Ther. 2005;85(3):257-68.</w:t>
      </w:r>
      <w:bookmarkEnd w:id="132"/>
    </w:p>
    <w:p w14:paraId="71A39818" w14:textId="77777777" w:rsidR="007F0AE0" w:rsidRPr="00342AED" w:rsidRDefault="007F0AE0" w:rsidP="007F0AE0">
      <w:pPr>
        <w:pStyle w:val="EndNoteBibliography"/>
        <w:spacing w:after="0"/>
      </w:pPr>
      <w:bookmarkStart w:id="133" w:name="_ENREF_83"/>
      <w:r w:rsidRPr="00342AED">
        <w:t>83.</w:t>
      </w:r>
      <w:r w:rsidRPr="00342AED">
        <w:tab/>
        <w:t>Banerjee M, Capozzoli M, McSweeney L, Sinha D. Beyond kappa: A review of interrater agreement measures. Can J Statistics. 1999;27(1):3-23.</w:t>
      </w:r>
      <w:bookmarkEnd w:id="133"/>
    </w:p>
    <w:p w14:paraId="2C0EC7A2" w14:textId="77777777" w:rsidR="007F0AE0" w:rsidRPr="00342AED" w:rsidRDefault="007F0AE0" w:rsidP="007F0AE0">
      <w:pPr>
        <w:pStyle w:val="EndNoteBibliography"/>
        <w:spacing w:after="0"/>
      </w:pPr>
      <w:bookmarkStart w:id="134" w:name="_ENREF_84"/>
      <w:r w:rsidRPr="00342AED">
        <w:t>84.</w:t>
      </w:r>
      <w:r w:rsidRPr="00342AED">
        <w:tab/>
        <w:t>Crocker L, Algina L. Introduction to Classical and Modern Test Theory. Mason, Ohio: Wadsworth Publishing Company; 2006.</w:t>
      </w:r>
      <w:bookmarkEnd w:id="134"/>
    </w:p>
    <w:p w14:paraId="4E0D4F84" w14:textId="77777777" w:rsidR="007F0AE0" w:rsidRPr="00342AED" w:rsidRDefault="007F0AE0" w:rsidP="007F0AE0">
      <w:pPr>
        <w:pStyle w:val="EndNoteBibliography"/>
        <w:spacing w:after="0"/>
      </w:pPr>
      <w:bookmarkStart w:id="135" w:name="_ENREF_85"/>
      <w:r w:rsidRPr="00342AED">
        <w:t>85.</w:t>
      </w:r>
      <w:r w:rsidRPr="00342AED">
        <w:tab/>
        <w:t>Cronbach L. Coefficient alpha and the internal structure of tests. Psychometrika. 1951;16(3):297-334.</w:t>
      </w:r>
      <w:bookmarkEnd w:id="135"/>
    </w:p>
    <w:p w14:paraId="6FB06799" w14:textId="77777777" w:rsidR="007F0AE0" w:rsidRPr="00342AED" w:rsidRDefault="007F0AE0" w:rsidP="007F0AE0">
      <w:pPr>
        <w:pStyle w:val="EndNoteBibliography"/>
        <w:spacing w:after="0"/>
      </w:pPr>
      <w:bookmarkStart w:id="136" w:name="_ENREF_86"/>
      <w:r w:rsidRPr="00342AED">
        <w:t>86.</w:t>
      </w:r>
      <w:r w:rsidRPr="00342AED">
        <w:tab/>
        <w:t>Nunnally J, Bernstein L. Psychometric Theory. 3rd Ed. New York: McGraw-Hill; 1994.</w:t>
      </w:r>
      <w:bookmarkEnd w:id="136"/>
    </w:p>
    <w:p w14:paraId="5D8340F5" w14:textId="77777777" w:rsidR="007F0AE0" w:rsidRPr="00342AED" w:rsidRDefault="007F0AE0" w:rsidP="007F0AE0">
      <w:pPr>
        <w:pStyle w:val="EndNoteBibliography"/>
        <w:spacing w:after="0"/>
      </w:pPr>
      <w:bookmarkStart w:id="137" w:name="_ENREF_87"/>
      <w:r w:rsidRPr="00342AED">
        <w:t>87.</w:t>
      </w:r>
      <w:r w:rsidRPr="00342AED">
        <w:tab/>
        <w:t>Bland JM, Altman DG. Cronbach's alpha. BMJ. 1997;314(7080):572.</w:t>
      </w:r>
      <w:bookmarkEnd w:id="137"/>
    </w:p>
    <w:p w14:paraId="0F5FD1E5" w14:textId="77777777" w:rsidR="007F0AE0" w:rsidRPr="00342AED" w:rsidRDefault="007F0AE0" w:rsidP="007F0AE0">
      <w:pPr>
        <w:pStyle w:val="EndNoteBibliography"/>
        <w:spacing w:after="0"/>
      </w:pPr>
      <w:bookmarkStart w:id="138" w:name="_ENREF_88"/>
      <w:r w:rsidRPr="00342AED">
        <w:t>88.</w:t>
      </w:r>
      <w:r w:rsidRPr="00342AED">
        <w:tab/>
        <w:t>DeVellis R. Scale development: theory and applications. 2nd Ed. Thousand Oaks, CA: Sage; 2003.</w:t>
      </w:r>
      <w:bookmarkEnd w:id="138"/>
    </w:p>
    <w:p w14:paraId="6A03FE54" w14:textId="77777777" w:rsidR="007F0AE0" w:rsidRPr="00342AED" w:rsidRDefault="007F0AE0" w:rsidP="007F0AE0">
      <w:pPr>
        <w:pStyle w:val="EndNoteBibliography"/>
        <w:spacing w:after="0"/>
      </w:pPr>
      <w:bookmarkStart w:id="139" w:name="_ENREF_89"/>
      <w:r w:rsidRPr="00342AED">
        <w:t>89.</w:t>
      </w:r>
      <w:r w:rsidRPr="00342AED">
        <w:tab/>
        <w:t>Thompson B, editor. Score reliability: Contemporary thinking on reliability issues. Newbury Park, CA: Sage; 2003.</w:t>
      </w:r>
      <w:bookmarkEnd w:id="139"/>
    </w:p>
    <w:p w14:paraId="3640C8F0" w14:textId="77777777" w:rsidR="007F0AE0" w:rsidRPr="00342AED" w:rsidRDefault="007F0AE0" w:rsidP="007F0AE0">
      <w:pPr>
        <w:pStyle w:val="EndNoteBibliography"/>
        <w:spacing w:after="0"/>
      </w:pPr>
      <w:bookmarkStart w:id="140" w:name="_ENREF_90"/>
      <w:r w:rsidRPr="00342AED">
        <w:t>90.</w:t>
      </w:r>
      <w:r w:rsidRPr="00342AED">
        <w:tab/>
        <w:t>Eisinga R, Grotenhuis M, Pelzer B. The reliability of a two-item scale: Pearson, Cronbach, or Spearman-Brown? Int J Public Health. 2013;58(4):637-42.</w:t>
      </w:r>
      <w:bookmarkEnd w:id="140"/>
    </w:p>
    <w:p w14:paraId="6E6972A8" w14:textId="77777777" w:rsidR="007F0AE0" w:rsidRPr="00342AED" w:rsidRDefault="007F0AE0" w:rsidP="007F0AE0">
      <w:pPr>
        <w:pStyle w:val="EndNoteBibliography"/>
        <w:spacing w:after="0"/>
      </w:pPr>
      <w:bookmarkStart w:id="141" w:name="_ENREF_91"/>
      <w:r w:rsidRPr="00342AED">
        <w:t>91.</w:t>
      </w:r>
      <w:r w:rsidRPr="00342AED">
        <w:tab/>
        <w:t>Streiner DL. Starting at the beginning: an introduction to coefficient alpha and internal consistency. J Pers Assess. 2003;80(1):99-103.</w:t>
      </w:r>
      <w:bookmarkEnd w:id="141"/>
    </w:p>
    <w:p w14:paraId="5E607E35" w14:textId="77777777" w:rsidR="007F0AE0" w:rsidRPr="00342AED" w:rsidRDefault="007F0AE0" w:rsidP="007F0AE0">
      <w:pPr>
        <w:pStyle w:val="EndNoteBibliography"/>
        <w:spacing w:after="0"/>
      </w:pPr>
      <w:bookmarkStart w:id="142" w:name="_ENREF_92"/>
      <w:r w:rsidRPr="00342AED">
        <w:t>92.</w:t>
      </w:r>
      <w:r w:rsidRPr="00342AED">
        <w:tab/>
        <w:t>International Agency for Research on Cancer. Section 3.3 Measurement of nicotine dependence.  Methods for Evaluating Tobacco Control Policies IARC Handbook of Cancer Prevention Volume 12 Lyon, France: World Health Organization; 2008.</w:t>
      </w:r>
      <w:bookmarkEnd w:id="142"/>
    </w:p>
    <w:p w14:paraId="36D695BD" w14:textId="77777777" w:rsidR="007F0AE0" w:rsidRPr="00342AED" w:rsidRDefault="007F0AE0" w:rsidP="007F0AE0">
      <w:pPr>
        <w:pStyle w:val="EndNoteBibliography"/>
        <w:spacing w:after="0"/>
      </w:pPr>
      <w:bookmarkStart w:id="143" w:name="_ENREF_93"/>
      <w:r w:rsidRPr="00342AED">
        <w:t>93.</w:t>
      </w:r>
      <w:r w:rsidRPr="00342AED">
        <w:tab/>
        <w:t>Hoeppner BB, Kelly JF, Urbanoski KA, Slaymaker V. Comparative utility of a single-item versus multiple-item measure of self-efficacy in predicting relapse among young adults. J Subst Abuse Treat. 2011;41(3):305-12.</w:t>
      </w:r>
      <w:bookmarkEnd w:id="143"/>
    </w:p>
    <w:p w14:paraId="613B4F5F" w14:textId="77777777" w:rsidR="007F0AE0" w:rsidRPr="00342AED" w:rsidRDefault="007F0AE0" w:rsidP="007F0AE0">
      <w:pPr>
        <w:pStyle w:val="EndNoteBibliography"/>
        <w:spacing w:after="0"/>
      </w:pPr>
      <w:bookmarkStart w:id="144" w:name="_ENREF_94"/>
      <w:r w:rsidRPr="00342AED">
        <w:t>94.</w:t>
      </w:r>
      <w:r w:rsidRPr="00342AED">
        <w:tab/>
        <w:t>Rostron BL, Schroeder MJ, Ambrose BK. Dependence symptoms and cessation intentions among US adult daily cigarette, cigar, and e-cigarette users, 2012-2013. BMC Public Health. 2016;16(1):814.</w:t>
      </w:r>
      <w:bookmarkEnd w:id="144"/>
    </w:p>
    <w:p w14:paraId="3B60D5F0" w14:textId="77777777" w:rsidR="007F0AE0" w:rsidRPr="00342AED" w:rsidRDefault="007F0AE0" w:rsidP="007F0AE0">
      <w:pPr>
        <w:pStyle w:val="EndNoteBibliography"/>
        <w:spacing w:after="0"/>
      </w:pPr>
      <w:bookmarkStart w:id="145" w:name="_ENREF_95"/>
      <w:r w:rsidRPr="00342AED">
        <w:t>95.</w:t>
      </w:r>
      <w:r w:rsidRPr="00342AED">
        <w:tab/>
        <w:t>NASEM. Public Health Consequences of E-Cigarettes: A Consensus Study Report of The National Academies of Sciences, Engineering, and Medicine. Washington, DC: National Academies Press; 2018.</w:t>
      </w:r>
      <w:bookmarkEnd w:id="145"/>
    </w:p>
    <w:p w14:paraId="0CFC3DA5" w14:textId="77777777" w:rsidR="007F0AE0" w:rsidRPr="00342AED" w:rsidRDefault="007F0AE0" w:rsidP="007F0AE0">
      <w:pPr>
        <w:pStyle w:val="EndNoteBibliography"/>
        <w:spacing w:after="0"/>
      </w:pPr>
      <w:bookmarkStart w:id="146" w:name="_ENREF_96"/>
      <w:r w:rsidRPr="00342AED">
        <w:t>96.</w:t>
      </w:r>
      <w:r w:rsidRPr="00342AED">
        <w:tab/>
        <w:t>Kozlowski LT, Porter CQ, Orleans CT, Pope MA, Heatherton T. Predicting smoking cessation with self-reported measures of nicotine dependence: FTQ, FTND, and HSI. Drug Alcohol Depend. 1994;34(3):211-6.</w:t>
      </w:r>
      <w:bookmarkEnd w:id="146"/>
    </w:p>
    <w:p w14:paraId="43D5942B" w14:textId="77777777" w:rsidR="007F0AE0" w:rsidRPr="00342AED" w:rsidRDefault="007F0AE0" w:rsidP="007F0AE0">
      <w:pPr>
        <w:pStyle w:val="EndNoteBibliography"/>
        <w:spacing w:after="0"/>
      </w:pPr>
      <w:bookmarkStart w:id="147" w:name="_ENREF_97"/>
      <w:r w:rsidRPr="00342AED">
        <w:t>97.</w:t>
      </w:r>
      <w:r w:rsidRPr="00342AED">
        <w:tab/>
        <w:t>Strong DR, Messer K, Hartman SJ, Conway KP, Hoffman AC, Pharris-Ciurej N, et al. Measurement of multiple nicotine dependence domains among cigarette, non-cigarette and poly-tobacco users: Insights from item response theory. Drug Alcohol Depend. 2015;152:185-93.</w:t>
      </w:r>
      <w:bookmarkEnd w:id="147"/>
    </w:p>
    <w:p w14:paraId="73A21C6B" w14:textId="77777777" w:rsidR="007F0AE0" w:rsidRPr="00342AED" w:rsidRDefault="007F0AE0" w:rsidP="007F0AE0">
      <w:pPr>
        <w:pStyle w:val="EndNoteBibliography"/>
        <w:spacing w:after="0"/>
      </w:pPr>
      <w:bookmarkStart w:id="148" w:name="_ENREF_98"/>
      <w:r w:rsidRPr="00342AED">
        <w:t>98.</w:t>
      </w:r>
      <w:r w:rsidRPr="00342AED">
        <w:tab/>
        <w:t>Brigham J, Lessov-Schlaggar CN, Javitz HS, Krasnow RE, McElroy M, Swan GE. Test-retest reliability of web-based retrospective self-report of tobacco exposure and risk. J Med Internet Res. 2009;11(3):e35.</w:t>
      </w:r>
      <w:bookmarkEnd w:id="148"/>
    </w:p>
    <w:p w14:paraId="2D293D2B" w14:textId="77777777" w:rsidR="007F0AE0" w:rsidRPr="00342AED" w:rsidRDefault="007F0AE0" w:rsidP="007F0AE0">
      <w:pPr>
        <w:pStyle w:val="EndNoteBibliography"/>
        <w:spacing w:after="0"/>
      </w:pPr>
      <w:bookmarkStart w:id="149" w:name="_ENREF_99"/>
      <w:r w:rsidRPr="00342AED">
        <w:lastRenderedPageBreak/>
        <w:t>99.</w:t>
      </w:r>
      <w:r w:rsidRPr="00342AED">
        <w:tab/>
        <w:t>Colby SM, Clark MA, Rogers ML, Ramsey S, Graham AL, Boergers J, et al. Development and reliability of the lifetime interview on smoking trajectories. Nicotine &amp; tobacco research : official journal of the Society for Research on Nicotine and Tobacco. 2012;14(3):290-8.</w:t>
      </w:r>
      <w:bookmarkEnd w:id="149"/>
    </w:p>
    <w:p w14:paraId="221C5DAF" w14:textId="77777777" w:rsidR="007F0AE0" w:rsidRPr="00342AED" w:rsidRDefault="007F0AE0" w:rsidP="007F0AE0">
      <w:pPr>
        <w:pStyle w:val="EndNoteBibliography"/>
        <w:spacing w:after="0"/>
      </w:pPr>
      <w:bookmarkStart w:id="150" w:name="_ENREF_100"/>
      <w:r w:rsidRPr="00342AED">
        <w:t>100.</w:t>
      </w:r>
      <w:r w:rsidRPr="00342AED">
        <w:tab/>
        <w:t>Borland R, Yong HH, O'Connor RJ, Hyland A, Thompson ME. The reliability and predictive validity of the Heaviness of Smoking Index and its two components: findings from the International Tobacco Control Four Country study. Nicotine Tob Res. 2010;12 Suppl:S45-50.</w:t>
      </w:r>
      <w:bookmarkEnd w:id="150"/>
    </w:p>
    <w:p w14:paraId="3542CBDB" w14:textId="77777777" w:rsidR="007F0AE0" w:rsidRPr="00342AED" w:rsidRDefault="007F0AE0" w:rsidP="007F0AE0">
      <w:pPr>
        <w:pStyle w:val="EndNoteBibliography"/>
        <w:spacing w:after="0"/>
      </w:pPr>
      <w:bookmarkStart w:id="151" w:name="_ENREF_101"/>
      <w:r w:rsidRPr="00342AED">
        <w:t>101.</w:t>
      </w:r>
      <w:r w:rsidRPr="00342AED">
        <w:tab/>
        <w:t>Brigham J, Lessov-Schlaggar CN, Javitz HS, Krasnow RE, Tildesley E, Andrews J, et al. Validity of recall of tobacco use in two prospective cohorts. American journal of epidemiology. 2010;172(7):828-35.</w:t>
      </w:r>
      <w:bookmarkEnd w:id="151"/>
    </w:p>
    <w:p w14:paraId="5E935CC2" w14:textId="77777777" w:rsidR="007F0AE0" w:rsidRPr="00342AED" w:rsidRDefault="007F0AE0" w:rsidP="007F0AE0">
      <w:pPr>
        <w:pStyle w:val="EndNoteBibliography"/>
        <w:spacing w:after="0"/>
      </w:pPr>
      <w:bookmarkStart w:id="152" w:name="_ENREF_102"/>
      <w:r w:rsidRPr="00342AED">
        <w:t>102.</w:t>
      </w:r>
      <w:r w:rsidRPr="00342AED">
        <w:tab/>
        <w:t>Brener ND, Kann L, McManus T, Kinchen SA, Sundberg EC, Ross JG. Reliability of the 1999 youth risk behavior survey questionnaire. J Adolesc Health. 2002;31(4):336-42.</w:t>
      </w:r>
      <w:bookmarkEnd w:id="152"/>
    </w:p>
    <w:p w14:paraId="565A7443" w14:textId="77777777" w:rsidR="007F0AE0" w:rsidRPr="00342AED" w:rsidRDefault="007F0AE0" w:rsidP="007F0AE0">
      <w:pPr>
        <w:pStyle w:val="EndNoteBibliography"/>
        <w:spacing w:after="0"/>
      </w:pPr>
      <w:bookmarkStart w:id="153" w:name="_ENREF_103"/>
      <w:r w:rsidRPr="00342AED">
        <w:t>103.</w:t>
      </w:r>
      <w:r w:rsidRPr="00342AED">
        <w:tab/>
        <w:t>Hughes JR, Carpenter MJ, Naud S. Do point prevalence and prolonged abstinence measures produce similar results in smoking cessation studies? A systematic review. Nicotine Tob Res. 2010;12(7):756-62.</w:t>
      </w:r>
      <w:bookmarkEnd w:id="153"/>
    </w:p>
    <w:p w14:paraId="672B1CDB" w14:textId="77777777" w:rsidR="007F0AE0" w:rsidRPr="00342AED" w:rsidRDefault="007F0AE0" w:rsidP="007F0AE0">
      <w:pPr>
        <w:pStyle w:val="EndNoteBibliography"/>
        <w:spacing w:after="0"/>
      </w:pPr>
      <w:bookmarkStart w:id="154" w:name="_ENREF_104"/>
      <w:r w:rsidRPr="00342AED">
        <w:t>104.</w:t>
      </w:r>
      <w:r w:rsidRPr="00342AED">
        <w:tab/>
        <w:t>Velicer WF, Prochaska JO. A comparison of four self-report smoking cessation outcome measures. Addict Behav. 2004;29(1):51-60.</w:t>
      </w:r>
      <w:bookmarkEnd w:id="154"/>
    </w:p>
    <w:p w14:paraId="7BFEFAAF" w14:textId="77777777" w:rsidR="007F0AE0" w:rsidRPr="00342AED" w:rsidRDefault="007F0AE0" w:rsidP="007F0AE0">
      <w:pPr>
        <w:pStyle w:val="EndNoteBibliography"/>
        <w:spacing w:after="0"/>
      </w:pPr>
      <w:bookmarkStart w:id="155" w:name="_ENREF_105"/>
      <w:r w:rsidRPr="00342AED">
        <w:t>105.</w:t>
      </w:r>
      <w:r w:rsidRPr="00342AED">
        <w:tab/>
        <w:t>Rahman A, Mohamad MHN, Jamshed S. Evaluating effectiveness and safety toward electronic cigarette among Malaysian vapers: One-month observational study. Arch Pharma Pract. 2016;7:43.</w:t>
      </w:r>
      <w:bookmarkEnd w:id="155"/>
    </w:p>
    <w:p w14:paraId="7FE418CF" w14:textId="77777777" w:rsidR="007F0AE0" w:rsidRPr="00342AED" w:rsidRDefault="007F0AE0" w:rsidP="007F0AE0">
      <w:pPr>
        <w:pStyle w:val="EndNoteBibliography"/>
        <w:spacing w:after="0"/>
      </w:pPr>
      <w:bookmarkStart w:id="156" w:name="_ENREF_106"/>
      <w:r w:rsidRPr="00342AED">
        <w:t>106.</w:t>
      </w:r>
      <w:r w:rsidRPr="00342AED">
        <w:tab/>
        <w:t>Abrams DB, Follick MJ, Biener L, Carey KB, Hitti J. Saliva cotinine as a measure of smoking status in field settings. Am J Public Health. 1987;77(7):846-8.</w:t>
      </w:r>
      <w:bookmarkEnd w:id="156"/>
    </w:p>
    <w:p w14:paraId="6C98CC89" w14:textId="77777777" w:rsidR="007F0AE0" w:rsidRPr="00342AED" w:rsidRDefault="007F0AE0" w:rsidP="007F0AE0">
      <w:pPr>
        <w:pStyle w:val="EndNoteBibliography"/>
        <w:spacing w:after="0"/>
      </w:pPr>
      <w:bookmarkStart w:id="157" w:name="_ENREF_107"/>
      <w:r w:rsidRPr="00342AED">
        <w:t>107.</w:t>
      </w:r>
      <w:r w:rsidRPr="00342AED">
        <w:tab/>
        <w:t>From Attebring M, Herlitz J, Berndt AK, Karlsson T, Hjalmarson A. Are patients truthful about their smoking habits? A validation of self-report about smoking cessation with biochemical markers of smoking activity amongst patients with ischaemic heart disease. J Intern Med. 2001;249(2):145-51.</w:t>
      </w:r>
      <w:bookmarkEnd w:id="157"/>
    </w:p>
    <w:p w14:paraId="3CEB900B" w14:textId="77777777" w:rsidR="007F0AE0" w:rsidRPr="00342AED" w:rsidRDefault="007F0AE0" w:rsidP="007F0AE0">
      <w:pPr>
        <w:pStyle w:val="EndNoteBibliography"/>
        <w:spacing w:after="0"/>
      </w:pPr>
      <w:bookmarkStart w:id="158" w:name="_ENREF_108"/>
      <w:r w:rsidRPr="00342AED">
        <w:t>108.</w:t>
      </w:r>
      <w:r w:rsidRPr="00342AED">
        <w:tab/>
        <w:t>Bender D, Haubruck P, Boxriker S, Korff S, Schmidmaier G, Moghaddam A. Validity of subjective smoking status in orthopedic patients. Ther Clin Risk Manag. 2015;11:1297-303.</w:t>
      </w:r>
      <w:bookmarkEnd w:id="158"/>
    </w:p>
    <w:p w14:paraId="3401BB9B" w14:textId="77777777" w:rsidR="007F0AE0" w:rsidRPr="00342AED" w:rsidRDefault="007F0AE0" w:rsidP="007F0AE0">
      <w:pPr>
        <w:pStyle w:val="EndNoteBibliography"/>
        <w:spacing w:after="0"/>
      </w:pPr>
      <w:bookmarkStart w:id="159" w:name="_ENREF_109"/>
      <w:r w:rsidRPr="00342AED">
        <w:t>109.</w:t>
      </w:r>
      <w:r w:rsidRPr="00342AED">
        <w:tab/>
        <w:t>Gerritsen M, Berndt N, Lechner L, de Vries H, Mudde A, Bolman C. Self-Reporting of Smoking Cessation in Cardiac Patients: How Reliable Is It and Is Reliability Associated With Patient Characteristics? J Addict Med. 2015;9(4):308-16.</w:t>
      </w:r>
      <w:bookmarkEnd w:id="159"/>
    </w:p>
    <w:p w14:paraId="4186F955" w14:textId="77777777" w:rsidR="007F0AE0" w:rsidRPr="00342AED" w:rsidRDefault="007F0AE0" w:rsidP="007F0AE0">
      <w:pPr>
        <w:pStyle w:val="EndNoteBibliography"/>
        <w:spacing w:after="0"/>
      </w:pPr>
      <w:bookmarkStart w:id="160" w:name="_ENREF_110"/>
      <w:r w:rsidRPr="00342AED">
        <w:t>110.</w:t>
      </w:r>
      <w:r w:rsidRPr="00342AED">
        <w:tab/>
        <w:t>Hilberink SR, Jacobs JE, Breteler MH, de Vries H, Grol RP. General practice counseling for patients with chronic obstructive pulmonary disease to quit smoking: impact after 1 year of two complex interventions. Patient Educ Couns. 2011;83(1):120-4.</w:t>
      </w:r>
      <w:bookmarkEnd w:id="160"/>
    </w:p>
    <w:p w14:paraId="72180B6A" w14:textId="77777777" w:rsidR="007F0AE0" w:rsidRPr="00342AED" w:rsidRDefault="007F0AE0" w:rsidP="007F0AE0">
      <w:pPr>
        <w:pStyle w:val="EndNoteBibliography"/>
        <w:spacing w:after="0"/>
      </w:pPr>
      <w:bookmarkStart w:id="161" w:name="_ENREF_111"/>
      <w:r w:rsidRPr="00342AED">
        <w:t>111.</w:t>
      </w:r>
      <w:r w:rsidRPr="00342AED">
        <w:tab/>
        <w:t>Studts JL, Ghate SR, Gill JL, Studts CR, Barnes CN, LaJoie AS, et al. Validity of self-reported smoking status among participants in a lung cancer screening trial. Cancer Epidemiol Biomarkers Prev. 2006;15(10):1825-8.</w:t>
      </w:r>
      <w:bookmarkEnd w:id="161"/>
    </w:p>
    <w:p w14:paraId="1F7AE409" w14:textId="77777777" w:rsidR="007F0AE0" w:rsidRPr="00342AED" w:rsidRDefault="007F0AE0" w:rsidP="007F0AE0">
      <w:pPr>
        <w:pStyle w:val="EndNoteBibliography"/>
        <w:spacing w:after="0"/>
      </w:pPr>
      <w:bookmarkStart w:id="162" w:name="_ENREF_112"/>
      <w:r w:rsidRPr="00342AED">
        <w:t>112.</w:t>
      </w:r>
      <w:r w:rsidRPr="00342AED">
        <w:tab/>
        <w:t>Tourangeau R, Yan T, Sun H, Hyland A, Stanton CA. Population Assessment of Tobacco and Health (PATH) reliability and validity study: selected reliability and validity estimates. Tob Control. 2018.</w:t>
      </w:r>
      <w:bookmarkEnd w:id="162"/>
    </w:p>
    <w:p w14:paraId="488AF0EE" w14:textId="77777777" w:rsidR="007F0AE0" w:rsidRPr="00342AED" w:rsidRDefault="007F0AE0" w:rsidP="007F0AE0">
      <w:pPr>
        <w:pStyle w:val="EndNoteBibliography"/>
        <w:spacing w:after="0"/>
      </w:pPr>
      <w:bookmarkStart w:id="163" w:name="_ENREF_113"/>
      <w:r w:rsidRPr="00342AED">
        <w:t>113.</w:t>
      </w:r>
      <w:r w:rsidRPr="00342AED">
        <w:tab/>
        <w:t>van der Aalst CM, de Koning HJ. Biochemical verification of the self-reported smoking status of screened male smokers of the Dutch-Belgian randomized controlled lung cancer screening trial. Lung Cancer. 2016;94:96-101.</w:t>
      </w:r>
      <w:bookmarkEnd w:id="163"/>
    </w:p>
    <w:p w14:paraId="1549B521" w14:textId="77777777" w:rsidR="007F0AE0" w:rsidRPr="00342AED" w:rsidRDefault="007F0AE0" w:rsidP="007F0AE0">
      <w:pPr>
        <w:pStyle w:val="EndNoteBibliography"/>
        <w:spacing w:after="0"/>
      </w:pPr>
      <w:bookmarkStart w:id="164" w:name="_ENREF_114"/>
      <w:r w:rsidRPr="00342AED">
        <w:t>114.</w:t>
      </w:r>
      <w:r w:rsidRPr="00342AED">
        <w:tab/>
        <w:t>Hymowitz N, Cummings KM, Hyland A, Lynn WR, Pechacek TF, Hartwell TD. Predictors of smoking cessation in a cohort of adult smokers followed for five years. Tob Control. 1997;6 Suppl 2:S57-62.</w:t>
      </w:r>
      <w:bookmarkEnd w:id="164"/>
    </w:p>
    <w:p w14:paraId="47B65E39" w14:textId="77777777" w:rsidR="007F0AE0" w:rsidRPr="00342AED" w:rsidRDefault="007F0AE0" w:rsidP="007F0AE0">
      <w:pPr>
        <w:pStyle w:val="EndNoteBibliography"/>
        <w:spacing w:after="0"/>
      </w:pPr>
      <w:bookmarkStart w:id="165" w:name="_ENREF_115"/>
      <w:r w:rsidRPr="00342AED">
        <w:t>115.</w:t>
      </w:r>
      <w:r w:rsidRPr="00342AED">
        <w:tab/>
        <w:t>Rohsenow DJ, Martin RA, Tidey JW, Monti PM, Colby SM. Comparison of the cigarette dependence scale with four other measures of nicotine involvement: correlations with smoking history and smoking treatment outcome in smokers with substance use disorders. Addict Behav. 2013;38(8):2409-13.</w:t>
      </w:r>
      <w:bookmarkEnd w:id="165"/>
    </w:p>
    <w:p w14:paraId="3A498321" w14:textId="77777777" w:rsidR="007F0AE0" w:rsidRPr="00342AED" w:rsidRDefault="007F0AE0" w:rsidP="007F0AE0">
      <w:pPr>
        <w:pStyle w:val="EndNoteBibliography"/>
        <w:spacing w:after="0"/>
      </w:pPr>
      <w:bookmarkStart w:id="166" w:name="_ENREF_116"/>
      <w:r w:rsidRPr="00342AED">
        <w:t>116.</w:t>
      </w:r>
      <w:r w:rsidRPr="00342AED">
        <w:tab/>
        <w:t>Brozek G, Jankowski M, Zejda J, Jarosinska A, Idzik A, Banka P. E-smoking among students of medicine - frequency, pattern and motivations. Adv Respir Med. 2017;85(1):8-14.</w:t>
      </w:r>
      <w:bookmarkEnd w:id="166"/>
    </w:p>
    <w:p w14:paraId="31385B56" w14:textId="77777777" w:rsidR="007F0AE0" w:rsidRPr="00342AED" w:rsidRDefault="007F0AE0" w:rsidP="007F0AE0">
      <w:pPr>
        <w:pStyle w:val="EndNoteBibliography"/>
        <w:spacing w:after="0"/>
      </w:pPr>
      <w:bookmarkStart w:id="167" w:name="_ENREF_117"/>
      <w:r w:rsidRPr="00342AED">
        <w:t>117.</w:t>
      </w:r>
      <w:r w:rsidRPr="00342AED">
        <w:tab/>
        <w:t>Grant BF, Dawson DA, Stinson FS, Chou PS, Kay W, Pickering R. The Alcohol Use Disorder and Associated Disabilities Interview Schedule-IV (AUDADIS-IV): reliability of alcohol consumption, tobacco use, family history of depression and psychiatric diagnostic modules in a general population sample. Drug Alcohol Depend. 2003;71(1):7-16.</w:t>
      </w:r>
      <w:bookmarkEnd w:id="167"/>
    </w:p>
    <w:p w14:paraId="5A14BD9E" w14:textId="77777777" w:rsidR="007F0AE0" w:rsidRPr="00342AED" w:rsidRDefault="007F0AE0" w:rsidP="007F0AE0">
      <w:pPr>
        <w:pStyle w:val="EndNoteBibliography"/>
        <w:spacing w:after="0"/>
      </w:pPr>
      <w:bookmarkStart w:id="168" w:name="_ENREF_118"/>
      <w:r w:rsidRPr="00342AED">
        <w:lastRenderedPageBreak/>
        <w:t>118.</w:t>
      </w:r>
      <w:r w:rsidRPr="00342AED">
        <w:tab/>
        <w:t>Ramo DE, Hall SM, Prochaska JJ. Reliability and validity of self-reported smoking in an anonymous online survey with young adults. Health Psychol. 2011;30(6):693-701.</w:t>
      </w:r>
      <w:bookmarkEnd w:id="168"/>
    </w:p>
    <w:p w14:paraId="68BB4C42" w14:textId="77777777" w:rsidR="007F0AE0" w:rsidRPr="00342AED" w:rsidRDefault="007F0AE0" w:rsidP="007F0AE0">
      <w:pPr>
        <w:pStyle w:val="EndNoteBibliography"/>
        <w:spacing w:after="0"/>
      </w:pPr>
      <w:bookmarkStart w:id="169" w:name="_ENREF_119"/>
      <w:r w:rsidRPr="00342AED">
        <w:t>119.</w:t>
      </w:r>
      <w:r w:rsidRPr="00342AED">
        <w:tab/>
        <w:t>Stanton WR, McClelland M, Elwood C, Ferry D, Silva PA. Prevalence, reliability and bias of adolescents' reports of smoking and quitting. Addiction. 1996;91(11):1705-14.</w:t>
      </w:r>
      <w:bookmarkEnd w:id="169"/>
    </w:p>
    <w:p w14:paraId="74697576" w14:textId="77777777" w:rsidR="007F0AE0" w:rsidRPr="00342AED" w:rsidRDefault="007F0AE0" w:rsidP="007F0AE0">
      <w:pPr>
        <w:pStyle w:val="EndNoteBibliography"/>
        <w:spacing w:after="0"/>
      </w:pPr>
      <w:bookmarkStart w:id="170" w:name="_ENREF_120"/>
      <w:r w:rsidRPr="00342AED">
        <w:t>120.</w:t>
      </w:r>
      <w:r w:rsidRPr="00342AED">
        <w:tab/>
        <w:t>Blank MD, Breland AB, Enlow PT, Duncan C, Metzger A, Cobb CO. Measurement of Smoking Behavior: Comparison of Self-Reports, Returned Cigarette Butts, and Toxicant Levels. Exp Clin Psychopharmacol. 2016.</w:t>
      </w:r>
      <w:bookmarkEnd w:id="170"/>
    </w:p>
    <w:p w14:paraId="0CCC28E1" w14:textId="77777777" w:rsidR="007F0AE0" w:rsidRPr="00342AED" w:rsidRDefault="007F0AE0" w:rsidP="007F0AE0">
      <w:pPr>
        <w:pStyle w:val="EndNoteBibliography"/>
        <w:spacing w:after="0"/>
      </w:pPr>
      <w:bookmarkStart w:id="171" w:name="_ENREF_121"/>
      <w:r w:rsidRPr="00342AED">
        <w:t>121.</w:t>
      </w:r>
      <w:r w:rsidRPr="00342AED">
        <w:tab/>
        <w:t>Weinberger AH, Reutenauer EL, Allen TM, Termine A, Vessicchio JC, Sacco KA, et al. Reliability of the Fagerstrom Test for Nicotine Dependence, Minnesota Nicotine Withdrawal Scale, and Tiffany Questionnaire for Smoking Urges in smokers with and without schizophrenia. Drug Alcohol Depend. 2007;86(2-3):278-82.</w:t>
      </w:r>
      <w:bookmarkEnd w:id="171"/>
    </w:p>
    <w:p w14:paraId="0F4900B4" w14:textId="77777777" w:rsidR="007F0AE0" w:rsidRPr="00342AED" w:rsidRDefault="007F0AE0" w:rsidP="007F0AE0">
      <w:pPr>
        <w:pStyle w:val="EndNoteBibliography"/>
        <w:spacing w:after="0"/>
      </w:pPr>
      <w:bookmarkStart w:id="172" w:name="_ENREF_122"/>
      <w:r w:rsidRPr="00342AED">
        <w:t>122.</w:t>
      </w:r>
      <w:r w:rsidRPr="00342AED">
        <w:tab/>
        <w:t>Wells GA, Shea B, Higgins JP, Sterne J, Tugwell P, Reeves BC. Checklists of methodological issues for review authors to consider when including non-randomized studies in systematic reviews. Res Synth Methods. 2013;4(1):63-77.</w:t>
      </w:r>
      <w:bookmarkEnd w:id="172"/>
    </w:p>
    <w:p w14:paraId="7EACBF5F" w14:textId="77777777" w:rsidR="007F0AE0" w:rsidRPr="00342AED" w:rsidRDefault="007F0AE0" w:rsidP="007F0AE0">
      <w:pPr>
        <w:pStyle w:val="EndNoteBibliography"/>
        <w:spacing w:after="0"/>
      </w:pPr>
      <w:bookmarkStart w:id="173" w:name="_ENREF_123"/>
      <w:r w:rsidRPr="00342AED">
        <w:t>123.</w:t>
      </w:r>
      <w:r w:rsidRPr="00342AED">
        <w:tab/>
        <w:t>Schunemann HJ, Tugwell P, Reeves BC, Akl EA, Santesso N, Spencer FA, et al. Non-randomized studies as a source of complementary, sequential or replacement evidence for randomized controlled trials in systematic reviews on the effects of interventions. Res Synth Methods. 2013;4(1):49-62.</w:t>
      </w:r>
      <w:bookmarkEnd w:id="173"/>
    </w:p>
    <w:p w14:paraId="44369260" w14:textId="77777777" w:rsidR="007F0AE0" w:rsidRPr="00342AED" w:rsidRDefault="007F0AE0" w:rsidP="007F0AE0">
      <w:pPr>
        <w:pStyle w:val="EndNoteBibliography"/>
        <w:spacing w:after="0"/>
      </w:pPr>
      <w:bookmarkStart w:id="174" w:name="_ENREF_124"/>
      <w:r w:rsidRPr="00342AED">
        <w:t>124.</w:t>
      </w:r>
      <w:r w:rsidRPr="00342AED">
        <w:tab/>
        <w:t>Norris SL, Moher D, Reeves BC, Shea B, Loke Y, Garner S, et al. Issues relating to selective reporting when including non-randomized studies in systematic reviews on the effects of healthcare interventions. Res Synth Methods. 2013;4(1):36-47.</w:t>
      </w:r>
      <w:bookmarkEnd w:id="174"/>
    </w:p>
    <w:p w14:paraId="7C9A583E" w14:textId="77777777" w:rsidR="007F0AE0" w:rsidRPr="00342AED" w:rsidRDefault="007F0AE0" w:rsidP="007F0AE0">
      <w:pPr>
        <w:pStyle w:val="EndNoteBibliography"/>
        <w:spacing w:after="0"/>
      </w:pPr>
      <w:bookmarkStart w:id="175" w:name="_ENREF_125"/>
      <w:r w:rsidRPr="00342AED">
        <w:t>125.</w:t>
      </w:r>
      <w:r w:rsidRPr="00342AED">
        <w:tab/>
        <w:t>Higgins JP, Ramsay C, Reeves BC, Deeks JJ, Shea B, Valentine JC, et al. Issues relating to study design and risk of bias when including non-randomized studies in systematic reviews on the effects of interventions. Res Synth Methods. 2013;4(1):12-25.</w:t>
      </w:r>
      <w:bookmarkEnd w:id="175"/>
    </w:p>
    <w:p w14:paraId="48384DE4" w14:textId="77777777" w:rsidR="007F0AE0" w:rsidRPr="00342AED" w:rsidRDefault="007F0AE0" w:rsidP="007F0AE0">
      <w:pPr>
        <w:pStyle w:val="EndNoteBibliography"/>
        <w:spacing w:after="0"/>
      </w:pPr>
      <w:bookmarkStart w:id="176" w:name="_ENREF_126"/>
      <w:r w:rsidRPr="00342AED">
        <w:t>126.</w:t>
      </w:r>
      <w:r w:rsidRPr="00342AED">
        <w:tab/>
        <w:t>Group GW. Grading quality of evidence and strength of recommendations. BMJ : British Medical Journal. 2004;328(7454):1490-.</w:t>
      </w:r>
      <w:bookmarkEnd w:id="176"/>
    </w:p>
    <w:p w14:paraId="3310F7F9" w14:textId="77777777" w:rsidR="007F0AE0" w:rsidRPr="00342AED" w:rsidRDefault="007F0AE0" w:rsidP="007F0AE0">
      <w:pPr>
        <w:pStyle w:val="EndNoteBibliography"/>
        <w:spacing w:after="0"/>
      </w:pPr>
      <w:bookmarkStart w:id="177" w:name="_ENREF_127"/>
      <w:r w:rsidRPr="00342AED">
        <w:t>127.</w:t>
      </w:r>
      <w:r w:rsidRPr="00342AED">
        <w:tab/>
        <w:t>Berkman ND, Lohr KN, Ansari MT, Balk EM, Kane R, McDonagh M, et al. Grading the strength of a body of evidence when assessing health care interventions: an EPC update. J Clin Epidemiol. 2015;68(11):1312-24.</w:t>
      </w:r>
      <w:bookmarkEnd w:id="177"/>
    </w:p>
    <w:p w14:paraId="2D05E4A0" w14:textId="77777777" w:rsidR="007F0AE0" w:rsidRPr="00342AED" w:rsidRDefault="007F0AE0" w:rsidP="007F0AE0">
      <w:pPr>
        <w:pStyle w:val="EndNoteBibliography"/>
        <w:spacing w:after="0"/>
      </w:pPr>
      <w:bookmarkStart w:id="178" w:name="_ENREF_128"/>
      <w:r w:rsidRPr="00342AED">
        <w:t>128.</w:t>
      </w:r>
      <w:r w:rsidRPr="00342AED">
        <w:tab/>
        <w:t>Schisterman EF, Cole SR, Platt RW. Overadjustment bias and unnecessary adjustment in epidemiologic studies. Epidemiology. 2009;20(4):488-95.</w:t>
      </w:r>
      <w:bookmarkEnd w:id="178"/>
    </w:p>
    <w:p w14:paraId="56208772" w14:textId="77777777" w:rsidR="007F0AE0" w:rsidRPr="00342AED" w:rsidRDefault="007F0AE0" w:rsidP="007F0AE0">
      <w:pPr>
        <w:pStyle w:val="EndNoteBibliography"/>
        <w:spacing w:after="0"/>
      </w:pPr>
      <w:bookmarkStart w:id="179" w:name="_ENREF_129"/>
      <w:r w:rsidRPr="00342AED">
        <w:t>129.</w:t>
      </w:r>
      <w:r w:rsidRPr="00342AED">
        <w:tab/>
        <w:t>Higgins JP, Thompson SG. Quantifying heterogeneity in a meta-analysis. Stat Med 2002;21(11):1539-58.</w:t>
      </w:r>
      <w:bookmarkEnd w:id="179"/>
    </w:p>
    <w:p w14:paraId="38F8F888" w14:textId="77777777" w:rsidR="007F0AE0" w:rsidRPr="00342AED" w:rsidRDefault="007F0AE0" w:rsidP="007F0AE0">
      <w:pPr>
        <w:pStyle w:val="EndNoteBibliography"/>
      </w:pPr>
      <w:bookmarkStart w:id="180" w:name="_ENREF_130"/>
      <w:r w:rsidRPr="00342AED">
        <w:t>130.</w:t>
      </w:r>
      <w:r w:rsidRPr="00342AED">
        <w:tab/>
        <w:t>The Nordic Cochrane Centre. Review Manager (RevMan). The Cochrane Collaboration. 5.3 ed. Copenhagen: The Cochrane Collaboration; 2014.</w:t>
      </w:r>
      <w:bookmarkEnd w:id="180"/>
    </w:p>
    <w:p w14:paraId="42634443" w14:textId="77777777" w:rsidR="007F0AE0" w:rsidRPr="008425E9" w:rsidRDefault="007F0AE0" w:rsidP="007F0AE0">
      <w:pPr>
        <w:spacing w:after="240" w:line="240" w:lineRule="auto"/>
        <w:sectPr w:rsidR="007F0AE0" w:rsidRPr="008425E9" w:rsidSect="008425E9">
          <w:pgSz w:w="12240" w:h="15840"/>
          <w:pgMar w:top="1152" w:right="1296" w:bottom="1152" w:left="1296" w:header="720" w:footer="720" w:gutter="0"/>
          <w:cols w:space="720"/>
          <w:docGrid w:linePitch="360"/>
        </w:sectPr>
      </w:pPr>
      <w:r w:rsidRPr="008425E9">
        <w:fldChar w:fldCharType="end"/>
      </w:r>
    </w:p>
    <w:p w14:paraId="753E836C" w14:textId="77777777" w:rsidR="007F0AE0" w:rsidRPr="006F62B8" w:rsidRDefault="007F0AE0" w:rsidP="007F0AE0">
      <w:pPr>
        <w:spacing w:after="240" w:line="300" w:lineRule="auto"/>
        <w:outlineLvl w:val="0"/>
        <w:rPr>
          <w:rFonts w:ascii="Calibri" w:hAnsi="Calibri" w:cs="Calibri"/>
          <w:b/>
        </w:rPr>
      </w:pPr>
      <w:bookmarkStart w:id="181" w:name="Supp15"/>
      <w:r w:rsidRPr="006F62B8">
        <w:rPr>
          <w:rFonts w:ascii="Calibri" w:hAnsi="Calibri" w:cs="Calibri"/>
          <w:b/>
        </w:rPr>
        <w:lastRenderedPageBreak/>
        <w:t>SUPPLEMENTAL SECTION 1</w:t>
      </w:r>
      <w:r>
        <w:rPr>
          <w:rFonts w:ascii="Calibri" w:hAnsi="Calibri" w:cs="Calibri"/>
          <w:b/>
        </w:rPr>
        <w:t>8</w:t>
      </w:r>
      <w:r w:rsidRPr="006F62B8">
        <w:rPr>
          <w:rFonts w:ascii="Calibri" w:hAnsi="Calibri" w:cs="Calibri"/>
          <w:b/>
        </w:rPr>
        <w:t>: Forrest Plots of Meta-Analyses</w:t>
      </w:r>
    </w:p>
    <w:bookmarkEnd w:id="181"/>
    <w:p w14:paraId="7A44B234" w14:textId="77777777" w:rsidR="007F0AE0" w:rsidRDefault="007F0AE0" w:rsidP="007F0AE0">
      <w:pPr>
        <w:spacing w:after="120" w:line="240" w:lineRule="auto"/>
        <w:jc w:val="both"/>
        <w:rPr>
          <w:rStyle w:val="Hyperlink"/>
          <w:rFonts w:cstheme="minorHAnsi"/>
          <w:b/>
        </w:rPr>
      </w:pPr>
      <w:r w:rsidRPr="00D0235E">
        <w:rPr>
          <w:rStyle w:val="Hyperlink"/>
          <w:rFonts w:cstheme="minorHAnsi"/>
          <w:b/>
        </w:rPr>
        <w:fldChar w:fldCharType="begin"/>
      </w:r>
      <w:r w:rsidRPr="00D0235E">
        <w:rPr>
          <w:rStyle w:val="Hyperlink"/>
          <w:rFonts w:cstheme="minorHAnsi"/>
          <w:b/>
        </w:rPr>
        <w:instrText xml:space="preserve"> HYPERLINK  \l "Fig15_1" </w:instrText>
      </w:r>
      <w:r w:rsidRPr="00D0235E">
        <w:rPr>
          <w:rStyle w:val="Hyperlink"/>
          <w:rFonts w:cstheme="minorHAnsi"/>
          <w:b/>
        </w:rPr>
        <w:fldChar w:fldCharType="separate"/>
      </w:r>
      <w:r w:rsidRPr="00D0235E">
        <w:rPr>
          <w:rStyle w:val="Hyperlink"/>
          <w:rFonts w:cstheme="minorHAnsi"/>
          <w:b/>
        </w:rPr>
        <w:t xml:space="preserve">Figure </w:t>
      </w:r>
      <w:r>
        <w:rPr>
          <w:rStyle w:val="Hyperlink"/>
          <w:rFonts w:cstheme="minorHAnsi"/>
          <w:b/>
        </w:rPr>
        <w:t>18-</w:t>
      </w:r>
      <w:r w:rsidRPr="00D0235E">
        <w:rPr>
          <w:rStyle w:val="Hyperlink"/>
          <w:rFonts w:cstheme="minorHAnsi"/>
          <w:b/>
        </w:rPr>
        <w:t>1: Forrest plot, Past Year Quit Attempts among Menthol Smokers Compared to Non-Menthol Smokers</w:t>
      </w:r>
      <w:r w:rsidRPr="00D0235E">
        <w:rPr>
          <w:rStyle w:val="Hyperlink"/>
          <w:rFonts w:cstheme="minorHAnsi"/>
          <w:b/>
        </w:rPr>
        <w:fldChar w:fldCharType="end"/>
      </w:r>
    </w:p>
    <w:p w14:paraId="38756B5A" w14:textId="77777777" w:rsidR="007F0AE0" w:rsidRDefault="007F0AE0" w:rsidP="007F0AE0">
      <w:pPr>
        <w:spacing w:after="120" w:line="240" w:lineRule="auto"/>
        <w:outlineLvl w:val="2"/>
        <w:rPr>
          <w:rFonts w:ascii="Calibri" w:hAnsi="Calibri" w:cs="Calibri"/>
          <w:b/>
        </w:rPr>
      </w:pPr>
      <w:r>
        <w:rPr>
          <w:rStyle w:val="Hyperlink"/>
          <w:rFonts w:cstheme="minorHAnsi"/>
          <w:b/>
        </w:rPr>
        <w:fldChar w:fldCharType="begin"/>
      </w:r>
      <w:r>
        <w:rPr>
          <w:rStyle w:val="Hyperlink"/>
          <w:rFonts w:cstheme="minorHAnsi"/>
          <w:b/>
        </w:rPr>
        <w:instrText xml:space="preserve"> REF Fig15_1a \h </w:instrText>
      </w:r>
      <w:r>
        <w:rPr>
          <w:rStyle w:val="Hyperlink"/>
          <w:rFonts w:cstheme="minorHAnsi"/>
          <w:b/>
        </w:rPr>
      </w:r>
      <w:r>
        <w:rPr>
          <w:rStyle w:val="Hyperlink"/>
          <w:rFonts w:cstheme="minorHAnsi"/>
          <w:b/>
        </w:rP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18-2</w:t>
      </w:r>
      <w:r w:rsidRPr="00D0235E">
        <w:rPr>
          <w:rFonts w:ascii="Calibri" w:hAnsi="Calibri" w:cs="Calibri"/>
          <w:b/>
        </w:rPr>
        <w:t xml:space="preserve">: Forrest plot, </w:t>
      </w:r>
      <w:r>
        <w:rPr>
          <w:rFonts w:ascii="Calibri" w:hAnsi="Calibri" w:cs="Calibri"/>
          <w:b/>
        </w:rPr>
        <w:t>Ever</w:t>
      </w:r>
      <w:r w:rsidRPr="00D0235E">
        <w:rPr>
          <w:rFonts w:ascii="Calibri" w:hAnsi="Calibri" w:cs="Calibri"/>
          <w:b/>
        </w:rPr>
        <w:t xml:space="preserve"> Quit Attempts among Menthol Smokers Compared to Non-Menthol Smokers</w:t>
      </w:r>
    </w:p>
    <w:p w14:paraId="0BA43C48" w14:textId="77777777" w:rsidR="007F0AE0" w:rsidRPr="00D0235E" w:rsidRDefault="007F0AE0" w:rsidP="007F0AE0">
      <w:pPr>
        <w:spacing w:after="120" w:line="240" w:lineRule="auto"/>
        <w:outlineLvl w:val="2"/>
        <w:rPr>
          <w:rFonts w:ascii="Calibri" w:hAnsi="Calibri" w:cs="Calibri"/>
          <w:b/>
        </w:rPr>
      </w:pPr>
      <w:r>
        <w:rPr>
          <w:rStyle w:val="Hyperlink"/>
          <w:rFonts w:cstheme="minorHAnsi"/>
          <w:b/>
        </w:rPr>
        <w:fldChar w:fldCharType="end"/>
      </w:r>
      <w:r>
        <w:fldChar w:fldCharType="begin"/>
      </w:r>
      <w:r>
        <w:rPr>
          <w:rStyle w:val="Hyperlink"/>
          <w:rFonts w:cstheme="minorHAnsi"/>
          <w:b/>
        </w:rPr>
        <w:instrText xml:space="preserve"> REF Fig15_2 \h </w:instrText>
      </w:r>
      <w:r>
        <w:fldChar w:fldCharType="separate"/>
      </w:r>
      <w:r w:rsidRPr="00D0235E">
        <w:rPr>
          <w:rFonts w:ascii="Calibri" w:hAnsi="Calibri" w:cs="Calibri"/>
          <w:b/>
        </w:rPr>
        <w:t xml:space="preserve">Figure </w:t>
      </w:r>
      <w:r>
        <w:rPr>
          <w:rFonts w:ascii="Calibri" w:hAnsi="Calibri" w:cs="Calibri"/>
          <w:b/>
        </w:rPr>
        <w:t>18-3</w:t>
      </w:r>
      <w:r w:rsidRPr="00D0235E">
        <w:rPr>
          <w:rFonts w:ascii="Calibri" w:hAnsi="Calibri" w:cs="Calibri"/>
          <w:b/>
        </w:rPr>
        <w:t>: Forrest plot, Sub-Group Analysis for Past Year and Ever Quit Attempts among Menthol Smokers Compared to Non-Menthol Smokers</w:t>
      </w:r>
    </w:p>
    <w:p w14:paraId="36A94ECE" w14:textId="77777777" w:rsidR="007F0AE0" w:rsidRDefault="007F0AE0" w:rsidP="007F0AE0">
      <w:pPr>
        <w:spacing w:after="120" w:line="240" w:lineRule="auto"/>
        <w:jc w:val="both"/>
      </w:pPr>
      <w:r>
        <w:fldChar w:fldCharType="end"/>
      </w:r>
      <w:r>
        <w:fldChar w:fldCharType="begin"/>
      </w:r>
      <w:r>
        <w:instrText xml:space="preserve"> REF Fig15_3 \h </w:instrText>
      </w:r>
      <w: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18-4</w:t>
      </w:r>
      <w:r w:rsidRPr="00D0235E">
        <w:rPr>
          <w:rFonts w:ascii="Calibri" w:hAnsi="Calibri" w:cs="Calibri"/>
          <w:b/>
        </w:rPr>
        <w:t>: Forrest plot, Ever Quit Attempts among Black Respondents</w:t>
      </w:r>
      <w:r>
        <w:fldChar w:fldCharType="end"/>
      </w:r>
    </w:p>
    <w:p w14:paraId="1840F49A" w14:textId="77777777" w:rsidR="007F0AE0" w:rsidRDefault="007F0AE0" w:rsidP="007F0AE0">
      <w:pPr>
        <w:spacing w:after="120" w:line="240" w:lineRule="auto"/>
        <w:outlineLvl w:val="2"/>
        <w:rPr>
          <w:rFonts w:ascii="Calibri" w:hAnsi="Calibri" w:cs="Calibri"/>
          <w:b/>
        </w:rPr>
      </w:pPr>
      <w:r>
        <w:fldChar w:fldCharType="begin"/>
      </w:r>
      <w:r>
        <w:instrText xml:space="preserve"> REF Fig15_4 \h </w:instrText>
      </w:r>
      <w: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18-5</w:t>
      </w:r>
      <w:r w:rsidRPr="00D0235E">
        <w:rPr>
          <w:rFonts w:ascii="Calibri" w:hAnsi="Calibri" w:cs="Calibri"/>
          <w:b/>
        </w:rPr>
        <w:t>: Forrest plot, Ever Quit Attempts among White Respondents</w:t>
      </w:r>
    </w:p>
    <w:p w14:paraId="0EF48187" w14:textId="77777777" w:rsidR="007F0AE0" w:rsidRPr="00D0235E" w:rsidRDefault="007F0AE0" w:rsidP="007F0AE0">
      <w:pPr>
        <w:spacing w:after="120" w:line="240" w:lineRule="auto"/>
        <w:rPr>
          <w:rFonts w:ascii="Calibri" w:hAnsi="Calibri" w:cs="Calibri"/>
          <w:b/>
        </w:rPr>
      </w:pPr>
    </w:p>
    <w:p w14:paraId="5519D9C1" w14:textId="77777777" w:rsidR="007F0AE0" w:rsidRPr="00D0235E" w:rsidRDefault="007F0AE0" w:rsidP="007F0AE0">
      <w:pPr>
        <w:spacing w:after="120" w:line="240" w:lineRule="auto"/>
        <w:outlineLvl w:val="2"/>
        <w:rPr>
          <w:rFonts w:ascii="Calibri" w:hAnsi="Calibri" w:cs="Calibri"/>
          <w:b/>
        </w:rPr>
      </w:pPr>
      <w:r>
        <w:fldChar w:fldCharType="end"/>
      </w:r>
      <w:r>
        <w:fldChar w:fldCharType="begin"/>
      </w:r>
      <w:r>
        <w:instrText xml:space="preserve"> REF Fig15_5 \h </w:instrText>
      </w:r>
      <w:r>
        <w:fldChar w:fldCharType="separate"/>
      </w:r>
      <w:r w:rsidRPr="00D0235E">
        <w:rPr>
          <w:rFonts w:ascii="Calibri" w:hAnsi="Calibri" w:cs="Calibri"/>
          <w:b/>
        </w:rPr>
        <w:t xml:space="preserve">Figure </w:t>
      </w:r>
      <w:r>
        <w:rPr>
          <w:rFonts w:ascii="Calibri" w:hAnsi="Calibri" w:cs="Calibri"/>
          <w:b/>
        </w:rPr>
        <w:t>18-6</w:t>
      </w:r>
      <w:r w:rsidRPr="00D0235E">
        <w:rPr>
          <w:rFonts w:ascii="Calibri" w:hAnsi="Calibri" w:cs="Calibri"/>
          <w:b/>
        </w:rPr>
        <w:t>: Forrest plot, Abstinence with no Specified Duration between Study Designs and All Studies</w:t>
      </w:r>
    </w:p>
    <w:p w14:paraId="5BC3A66A" w14:textId="77777777" w:rsidR="007F0AE0" w:rsidRPr="00D0235E" w:rsidRDefault="007F0AE0" w:rsidP="007F0AE0">
      <w:pPr>
        <w:spacing w:after="120" w:line="240" w:lineRule="auto"/>
        <w:outlineLvl w:val="2"/>
        <w:rPr>
          <w:rFonts w:ascii="Calibri" w:hAnsi="Calibri" w:cs="Calibri"/>
          <w:b/>
        </w:rPr>
      </w:pPr>
      <w:r>
        <w:fldChar w:fldCharType="end"/>
      </w:r>
      <w:r>
        <w:fldChar w:fldCharType="begin"/>
      </w:r>
      <w:r>
        <w:instrText xml:space="preserve"> REF Fig15_6 \h </w:instrText>
      </w:r>
      <w: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18-7</w:t>
      </w:r>
      <w:r w:rsidRPr="00D0235E">
        <w:rPr>
          <w:rFonts w:ascii="Calibri" w:hAnsi="Calibri" w:cs="Calibri"/>
          <w:b/>
        </w:rPr>
        <w:t>: Forrest plot, Abstinence with no Specified Duration among Black Respondents</w:t>
      </w:r>
    </w:p>
    <w:p w14:paraId="7BD42086" w14:textId="77777777" w:rsidR="007F0AE0" w:rsidRDefault="007F0AE0" w:rsidP="007F0AE0">
      <w:pPr>
        <w:spacing w:after="120" w:line="240" w:lineRule="auto"/>
        <w:outlineLvl w:val="2"/>
        <w:rPr>
          <w:rFonts w:ascii="Calibri" w:hAnsi="Calibri" w:cs="Calibri"/>
          <w:b/>
        </w:rPr>
      </w:pPr>
      <w:r>
        <w:fldChar w:fldCharType="end"/>
      </w:r>
      <w:r>
        <w:fldChar w:fldCharType="begin"/>
      </w:r>
      <w:r>
        <w:instrText xml:space="preserve"> REF Fig15_7 \h </w:instrText>
      </w:r>
      <w: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18-8</w:t>
      </w:r>
      <w:r w:rsidRPr="00D0235E">
        <w:rPr>
          <w:rFonts w:ascii="Calibri" w:hAnsi="Calibri" w:cs="Calibri"/>
          <w:b/>
        </w:rPr>
        <w:t>: Forrest plot, Abstinence with no Specified Duration among White Respondents</w:t>
      </w:r>
    </w:p>
    <w:p w14:paraId="13F0A3BA" w14:textId="77777777" w:rsidR="007F0AE0" w:rsidRPr="00D0235E" w:rsidRDefault="007F0AE0" w:rsidP="007F0AE0">
      <w:pPr>
        <w:spacing w:after="120" w:line="240" w:lineRule="auto"/>
        <w:rPr>
          <w:rFonts w:ascii="Calibri" w:hAnsi="Calibri" w:cs="Calibri"/>
        </w:rPr>
      </w:pPr>
    </w:p>
    <w:p w14:paraId="11C5D18B" w14:textId="77777777" w:rsidR="007F0AE0" w:rsidRPr="00D0235E" w:rsidRDefault="007F0AE0" w:rsidP="007F0AE0">
      <w:pPr>
        <w:spacing w:after="120" w:line="240" w:lineRule="auto"/>
        <w:outlineLvl w:val="2"/>
        <w:rPr>
          <w:rFonts w:ascii="Calibri" w:hAnsi="Calibri" w:cs="Calibri"/>
          <w:b/>
        </w:rPr>
      </w:pPr>
      <w:r>
        <w:fldChar w:fldCharType="end"/>
      </w:r>
      <w:r>
        <w:fldChar w:fldCharType="begin"/>
      </w:r>
      <w:r>
        <w:instrText xml:space="preserve"> REF Fig15_8 \h </w:instrText>
      </w:r>
      <w:r>
        <w:fldChar w:fldCharType="separate"/>
      </w: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18-9</w:t>
      </w:r>
      <w:r w:rsidRPr="00D0235E">
        <w:rPr>
          <w:rFonts w:ascii="Calibri" w:hAnsi="Calibri" w:cs="Calibri"/>
          <w:b/>
        </w:rPr>
        <w:t>: Forrest plot, 7-Day PPA between Study Designs and All Studies</w:t>
      </w:r>
    </w:p>
    <w:p w14:paraId="6D047319" w14:textId="77777777" w:rsidR="007F0AE0" w:rsidRDefault="007F0AE0" w:rsidP="007F0AE0">
      <w:pPr>
        <w:spacing w:after="120" w:line="240" w:lineRule="auto"/>
        <w:jc w:val="both"/>
      </w:pPr>
      <w:r>
        <w:fldChar w:fldCharType="end"/>
      </w:r>
      <w:r>
        <w:fldChar w:fldCharType="begin"/>
      </w:r>
      <w:r>
        <w:instrText xml:space="preserve"> REF Fig15_9 \h </w:instrText>
      </w:r>
      <w:r>
        <w:fldChar w:fldCharType="separate"/>
      </w:r>
      <w:r w:rsidRPr="00D0235E">
        <w:rPr>
          <w:rFonts w:ascii="Calibri" w:hAnsi="Calibri" w:cs="Calibri"/>
          <w:b/>
        </w:rPr>
        <w:t xml:space="preserve">Figure </w:t>
      </w:r>
      <w:r>
        <w:rPr>
          <w:rFonts w:ascii="Calibri" w:hAnsi="Calibri" w:cs="Calibri"/>
          <w:b/>
        </w:rPr>
        <w:t>18-10</w:t>
      </w:r>
      <w:r w:rsidRPr="00D0235E">
        <w:rPr>
          <w:rFonts w:ascii="Calibri" w:hAnsi="Calibri" w:cs="Calibri"/>
          <w:b/>
        </w:rPr>
        <w:t>: Forrest plot, 7-Day PPA among Black Respondents</w:t>
      </w:r>
      <w:r>
        <w:fldChar w:fldCharType="end"/>
      </w:r>
    </w:p>
    <w:p w14:paraId="5EC0695C" w14:textId="77777777" w:rsidR="007F0AE0" w:rsidRPr="008A07A9" w:rsidRDefault="007F0AE0" w:rsidP="007F0AE0">
      <w:pPr>
        <w:rPr>
          <w:rFonts w:ascii="Calibri" w:hAnsi="Calibri" w:cs="Calibri"/>
          <w:sz w:val="24"/>
          <w:szCs w:val="24"/>
        </w:rPr>
      </w:pPr>
      <w:r>
        <w:fldChar w:fldCharType="begin"/>
      </w:r>
      <w:r>
        <w:rPr>
          <w:rFonts w:ascii="Calibri" w:hAnsi="Calibri" w:cs="Calibri"/>
        </w:rPr>
        <w:instrText xml:space="preserve"> REF Fig15_10 \h </w:instrText>
      </w:r>
      <w:r>
        <w:fldChar w:fldCharType="separate"/>
      </w:r>
      <w:r w:rsidRPr="00D0235E">
        <w:rPr>
          <w:rFonts w:ascii="Calibri" w:hAnsi="Calibri" w:cs="Calibri"/>
          <w:b/>
        </w:rPr>
        <w:t xml:space="preserve">Figure </w:t>
      </w:r>
      <w:r>
        <w:rPr>
          <w:rFonts w:ascii="Calibri" w:hAnsi="Calibri" w:cs="Calibri"/>
          <w:b/>
        </w:rPr>
        <w:t>18-</w:t>
      </w:r>
      <w:r w:rsidRPr="00D0235E">
        <w:rPr>
          <w:rFonts w:ascii="Calibri" w:hAnsi="Calibri" w:cs="Calibri"/>
          <w:b/>
        </w:rPr>
        <w:t>1</w:t>
      </w:r>
      <w:r>
        <w:rPr>
          <w:rFonts w:ascii="Calibri" w:hAnsi="Calibri" w:cs="Calibri"/>
          <w:b/>
        </w:rPr>
        <w:t>1</w:t>
      </w:r>
      <w:r w:rsidRPr="00D0235E">
        <w:rPr>
          <w:rFonts w:ascii="Calibri" w:hAnsi="Calibri" w:cs="Calibri"/>
          <w:b/>
        </w:rPr>
        <w:t>: Forrest plot, eCO verified 7-Day PPA</w:t>
      </w:r>
      <w:r>
        <w:fldChar w:fldCharType="end"/>
      </w:r>
    </w:p>
    <w:p w14:paraId="1696E230" w14:textId="77777777" w:rsidR="007F0AE0" w:rsidRPr="008A07A9" w:rsidRDefault="007F0AE0" w:rsidP="007F0AE0">
      <w:pPr>
        <w:spacing w:after="240" w:line="300" w:lineRule="auto"/>
        <w:rPr>
          <w:rFonts w:ascii="Calibri" w:hAnsi="Calibri" w:cs="Calibri"/>
          <w:sz w:val="24"/>
          <w:szCs w:val="24"/>
        </w:rPr>
        <w:sectPr w:rsidR="007F0AE0" w:rsidRPr="008A07A9" w:rsidSect="00AD5319">
          <w:pgSz w:w="12240" w:h="15840"/>
          <w:pgMar w:top="1440" w:right="1440" w:bottom="1440" w:left="1440" w:header="708" w:footer="708" w:gutter="0"/>
          <w:cols w:space="708"/>
          <w:docGrid w:linePitch="360"/>
        </w:sectPr>
      </w:pPr>
    </w:p>
    <w:p w14:paraId="35701744" w14:textId="77777777" w:rsidR="007F0AE0" w:rsidRPr="00D203D4" w:rsidRDefault="007F0AE0" w:rsidP="007F0AE0">
      <w:pPr>
        <w:pStyle w:val="Level1Heading"/>
        <w:spacing w:before="0" w:after="120"/>
        <w:jc w:val="left"/>
        <w:outlineLvl w:val="0"/>
        <w:rPr>
          <w:rFonts w:asciiTheme="minorHAnsi" w:hAnsiTheme="minorHAnsi" w:cstheme="minorHAnsi"/>
          <w:sz w:val="24"/>
        </w:rPr>
      </w:pPr>
      <w:r w:rsidRPr="00D203D4">
        <w:rPr>
          <w:rFonts w:asciiTheme="minorHAnsi" w:hAnsiTheme="minorHAnsi" w:cstheme="minorHAnsi"/>
          <w:sz w:val="24"/>
        </w:rPr>
        <w:lastRenderedPageBreak/>
        <w:t>RESULTS</w:t>
      </w:r>
      <w:r>
        <w:rPr>
          <w:rFonts w:asciiTheme="minorHAnsi" w:hAnsiTheme="minorHAnsi" w:cstheme="minorHAnsi"/>
          <w:sz w:val="24"/>
        </w:rPr>
        <w:t xml:space="preserve"> OF META-ANALYSIS</w:t>
      </w:r>
    </w:p>
    <w:p w14:paraId="28395EA7" w14:textId="77777777" w:rsidR="007F0AE0" w:rsidRPr="00616345" w:rsidRDefault="007F0AE0" w:rsidP="007F0AE0">
      <w:pPr>
        <w:spacing w:after="120" w:line="240" w:lineRule="auto"/>
        <w:jc w:val="both"/>
        <w:rPr>
          <w:rFonts w:cs="Calibri"/>
          <w:b/>
        </w:rPr>
      </w:pPr>
      <w:r w:rsidRPr="00D203D4">
        <w:rPr>
          <w:rFonts w:eastAsia="Calibri" w:cstheme="minorHAnsi"/>
          <w:color w:val="000000"/>
        </w:rPr>
        <w:t>Pooled</w:t>
      </w:r>
      <w:r w:rsidRPr="008A07A9">
        <w:rPr>
          <w:rFonts w:cs="Calibri"/>
        </w:rPr>
        <w:t xml:space="preserve"> data for the meta-analyses were extracted for two outcome measures</w:t>
      </w:r>
      <w:r>
        <w:rPr>
          <w:rFonts w:cs="Calibri"/>
        </w:rPr>
        <w:t>:</w:t>
      </w:r>
      <w:r w:rsidRPr="008A07A9">
        <w:rPr>
          <w:rFonts w:cs="Calibri"/>
        </w:rPr>
        <w:t xml:space="preserve"> quit attempts and </w:t>
      </w:r>
      <w:r>
        <w:rPr>
          <w:rFonts w:cs="Calibri"/>
        </w:rPr>
        <w:t xml:space="preserve">duration of </w:t>
      </w:r>
      <w:r w:rsidRPr="008A07A9">
        <w:rPr>
          <w:rFonts w:cs="Calibri"/>
        </w:rPr>
        <w:t>abstinence. After screening all included adjusted studies, nine studies</w:t>
      </w:r>
      <w:r>
        <w:rPr>
          <w:rFonts w:cs="Calibri"/>
        </w:rPr>
        <w:t xml:space="preserve"> </w:t>
      </w:r>
      <w:r>
        <w:rPr>
          <w:rFonts w:cs="Calibri"/>
        </w:rPr>
        <w:fldChar w:fldCharType="begin">
          <w:fldData xml:space="preserve">PEVuZE5vdGU+PENpdGU+PEF1dGhvcj5BbGV4YW5kZXI8L0F1dGhvcj48WWVhcj4yMDEwPC9ZZWFy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cmF0ZWd5OjwvY3VzdG9tMT48L3JlY29yZD48L0NpdGU+PENpdGU+PEF1dGhvcj5QbGV0Y2hlcjwv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=
</w:fldData>
        </w:fldChar>
      </w:r>
      <w:r>
        <w:rPr>
          <w:rFonts w:cs="Calibri"/>
        </w:rPr>
        <w:instrText xml:space="preserve"> ADDIN EN.CITE </w:instrText>
      </w:r>
      <w:r>
        <w:rPr>
          <w:rFonts w:cs="Calibri"/>
        </w:rPr>
        <w:fldChar w:fldCharType="begin">
          <w:fldData xml:space="preserve">PEVuZE5vdGU+PENpdGU+PEF1dGhvcj5BbGV4YW5kZXI8L0F1dGhvcj48WWVhcj4yMDEwPC9ZZWFy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=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4" w:tooltip="Alexander, 2010 #59" w:history="1">
        <w:r>
          <w:rPr>
            <w:rFonts w:cs="Calibri"/>
            <w:noProof/>
          </w:rPr>
          <w:t>14</w:t>
        </w:r>
      </w:hyperlink>
      <w:r>
        <w:rPr>
          <w:rFonts w:cs="Calibri"/>
          <w:noProof/>
        </w:rPr>
        <w:t xml:space="preserve">, </w:t>
      </w:r>
      <w:hyperlink w:anchor="_ENREF_19" w:tooltip="Levy, 2011 #45" w:history="1">
        <w:r>
          <w:rPr>
            <w:rFonts w:cs="Calibri"/>
            <w:noProof/>
          </w:rPr>
          <w:t>19</w:t>
        </w:r>
      </w:hyperlink>
      <w:r>
        <w:rPr>
          <w:rFonts w:cs="Calibri"/>
          <w:noProof/>
        </w:rPr>
        <w:t xml:space="preserve">, </w:t>
      </w:r>
      <w:hyperlink w:anchor="_ENREF_29" w:tooltip="Keeler, 2017 #660" w:history="1">
        <w:r>
          <w:rPr>
            <w:rFonts w:cs="Calibri"/>
            <w:noProof/>
          </w:rPr>
          <w:t>29</w:t>
        </w:r>
      </w:hyperlink>
      <w:r>
        <w:rPr>
          <w:rFonts w:cs="Calibri"/>
          <w:noProof/>
        </w:rPr>
        <w:t xml:space="preserve">, </w:t>
      </w:r>
      <w:hyperlink w:anchor="_ENREF_31" w:tooltip="Park, 2017 #1103" w:history="1">
        <w:r>
          <w:rPr>
            <w:rFonts w:cs="Calibri"/>
            <w:noProof/>
          </w:rPr>
          <w:t>31</w:t>
        </w:r>
      </w:hyperlink>
      <w:r>
        <w:rPr>
          <w:rFonts w:cs="Calibri"/>
          <w:noProof/>
        </w:rPr>
        <w:t xml:space="preserve">, </w:t>
      </w:r>
      <w:hyperlink w:anchor="_ENREF_34" w:tooltip="Kahende, 2011 #43" w:history="1">
        <w:r>
          <w:rPr>
            <w:rFonts w:cs="Calibri"/>
            <w:noProof/>
          </w:rPr>
          <w:t>34-36</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Pr>
          <w:rFonts w:cs="Calibri"/>
        </w:rPr>
        <w:t xml:space="preserve"> </w:t>
      </w:r>
      <w:r w:rsidRPr="008A07A9">
        <w:rPr>
          <w:rFonts w:cs="Calibri"/>
        </w:rPr>
        <w:t xml:space="preserve">were included in the </w:t>
      </w:r>
      <w:r>
        <w:rPr>
          <w:rFonts w:cs="Calibri"/>
        </w:rPr>
        <w:t>meta-analyses</w:t>
      </w:r>
      <w:r w:rsidRPr="008A07A9">
        <w:rPr>
          <w:rFonts w:cs="Calibri"/>
        </w:rPr>
        <w:t xml:space="preserve"> for quit attempts</w:t>
      </w:r>
      <w:r>
        <w:rPr>
          <w:rFonts w:cs="Calibri"/>
        </w:rPr>
        <w:t xml:space="preserve"> and </w:t>
      </w:r>
      <w:r w:rsidRPr="008A07A9">
        <w:rPr>
          <w:rFonts w:cs="Calibri"/>
        </w:rPr>
        <w:t>12 studies for abstinence</w:t>
      </w:r>
      <w:r>
        <w:rPr>
          <w:rFonts w:cs="Calibri"/>
        </w:rPr>
        <w:t xml:space="preserve"> </w:t>
      </w:r>
      <w:r w:rsidRPr="001773FB">
        <w:rPr>
          <w:rFonts w:cs="Calibri"/>
        </w:rPr>
        <w:fldChar w:fldCharType="begin">
          <w:fldData xml:space="preserve">PEVuZE5vdGU+PENpdGU+PEF1dGhvcj5CbG90PC9BdXRob3I+PFllYXI+MjAxMTwvWWVhcj48UmVj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</w:fldData>
        </w:fldChar>
      </w:r>
      <w:r>
        <w:rPr>
          <w:rFonts w:cs="Calibri"/>
        </w:rPr>
        <w:instrText xml:space="preserve"> ADDIN EN.CITE </w:instrText>
      </w:r>
      <w:r>
        <w:rPr>
          <w:rFonts w:cs="Calibri"/>
        </w:rPr>
        <w:fldChar w:fldCharType="begin">
          <w:fldData xml:space="preserve">PEVuZE5vdGU+PENpdGU+PEF1dGhvcj5CbG90PC9BdXRob3I+PFllYXI+MjAxMTwvWWVhcj48UmVj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</w:fldData>
        </w:fldChar>
      </w:r>
      <w:r>
        <w:rPr>
          <w:rFonts w:cs="Calibri"/>
        </w:rPr>
        <w:instrText xml:space="preserve"> ADDIN EN.CITE.DATA </w:instrText>
      </w:r>
      <w:r>
        <w:rPr>
          <w:rFonts w:cs="Calibri"/>
        </w:rPr>
      </w:r>
      <w:r>
        <w:rPr>
          <w:rFonts w:cs="Calibri"/>
        </w:rPr>
        <w:fldChar w:fldCharType="end"/>
      </w:r>
      <w:r w:rsidRPr="001773FB">
        <w:rPr>
          <w:rFonts w:cs="Calibri"/>
        </w:rPr>
        <w:fldChar w:fldCharType="separate"/>
      </w:r>
      <w:r>
        <w:rPr>
          <w:rFonts w:cs="Calibri"/>
          <w:noProof/>
        </w:rPr>
        <w:t>(</w:t>
      </w:r>
      <w:hyperlink w:anchor="_ENREF_23" w:tooltip="Fu, 2008 #72" w:history="1">
        <w:r>
          <w:rPr>
            <w:rFonts w:cs="Calibri"/>
            <w:noProof/>
          </w:rPr>
          <w:t>23</w:t>
        </w:r>
      </w:hyperlink>
      <w:r>
        <w:rPr>
          <w:rFonts w:cs="Calibri"/>
          <w:noProof/>
        </w:rPr>
        <w:t xml:space="preserve">, </w:t>
      </w:r>
      <w:hyperlink w:anchor="_ENREF_24" w:tooltip="Okuyemi, 2007 #74" w:history="1">
        <w:r>
          <w:rPr>
            <w:rFonts w:cs="Calibri"/>
            <w:noProof/>
          </w:rPr>
          <w:t>24</w:t>
        </w:r>
      </w:hyperlink>
      <w:r>
        <w:rPr>
          <w:rFonts w:cs="Calibri"/>
          <w:noProof/>
        </w:rPr>
        <w:t xml:space="preserve">, </w:t>
      </w:r>
      <w:hyperlink w:anchor="_ENREF_27" w:tooltip="Faseru, 2013 #29" w:history="1">
        <w:r>
          <w:rPr>
            <w:rFonts w:cs="Calibri"/>
            <w:noProof/>
          </w:rPr>
          <w:t>27</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7" w:tooltip="Gandhi, 2009 #67" w:history="1">
        <w:r>
          <w:rPr>
            <w:rFonts w:cs="Calibri"/>
            <w:noProof/>
          </w:rPr>
          <w:t>47</w:t>
        </w:r>
      </w:hyperlink>
      <w:r>
        <w:rPr>
          <w:rFonts w:cs="Calibri"/>
          <w:noProof/>
        </w:rPr>
        <w:t xml:space="preserve">, </w:t>
      </w:r>
      <w:hyperlink w:anchor="_ENREF_49" w:tooltip="Okuyemi, 2003 #85" w:history="1">
        <w:r>
          <w:rPr>
            <w:rFonts w:cs="Calibri"/>
            <w:noProof/>
          </w:rPr>
          <w:t>49</w:t>
        </w:r>
      </w:hyperlink>
      <w:r>
        <w:rPr>
          <w:rFonts w:cs="Calibri"/>
          <w:noProof/>
        </w:rPr>
        <w:t xml:space="preserve">, </w:t>
      </w:r>
      <w:hyperlink w:anchor="_ENREF_56" w:tooltip="Blot, 2011 #48" w:history="1">
        <w:r>
          <w:rPr>
            <w:rFonts w:cs="Calibri"/>
            <w:noProof/>
          </w:rPr>
          <w:t>56</w:t>
        </w:r>
      </w:hyperlink>
      <w:r>
        <w:rPr>
          <w:rFonts w:cs="Calibri"/>
          <w:noProof/>
        </w:rPr>
        <w:t xml:space="preserve">, </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 xml:space="preserve">, </w:t>
      </w:r>
      <w:hyperlink w:anchor="_ENREF_62" w:tooltip="Rojewski, 2014 #22" w:history="1">
        <w:r>
          <w:rPr>
            <w:rFonts w:cs="Calibri"/>
            <w:noProof/>
          </w:rPr>
          <w:t>62</w:t>
        </w:r>
      </w:hyperlink>
      <w:r>
        <w:rPr>
          <w:rFonts w:cs="Calibri"/>
          <w:noProof/>
        </w:rPr>
        <w:t xml:space="preserve">, </w:t>
      </w:r>
      <w:hyperlink w:anchor="_ENREF_64" w:tooltip="Steinberg, 2011 #50" w:history="1">
        <w:r>
          <w:rPr>
            <w:rFonts w:cs="Calibri"/>
            <w:noProof/>
          </w:rPr>
          <w:t>64</w:t>
        </w:r>
      </w:hyperlink>
      <w:r>
        <w:rPr>
          <w:rFonts w:cs="Calibri"/>
          <w:noProof/>
        </w:rPr>
        <w:t xml:space="preserve">, </w:t>
      </w:r>
      <w:hyperlink w:anchor="_ENREF_66" w:tooltip="Foulds, 2006 #95" w:history="1">
        <w:r>
          <w:rPr>
            <w:rFonts w:cs="Calibri"/>
            <w:noProof/>
          </w:rPr>
          <w:t>66</w:t>
        </w:r>
      </w:hyperlink>
      <w:r>
        <w:rPr>
          <w:rFonts w:cs="Calibri"/>
          <w:noProof/>
        </w:rPr>
        <w:t>)</w:t>
      </w:r>
      <w:r w:rsidRPr="001773FB">
        <w:rPr>
          <w:rFonts w:cs="Calibri"/>
        </w:rPr>
        <w:fldChar w:fldCharType="end"/>
      </w:r>
      <w:r w:rsidRPr="001773FB">
        <w:rPr>
          <w:rFonts w:cs="Calibri"/>
        </w:rPr>
        <w:t>.</w:t>
      </w:r>
    </w:p>
    <w:p w14:paraId="3BF0E311" w14:textId="77777777" w:rsidR="007F0AE0" w:rsidRPr="00D203D4" w:rsidRDefault="007F0AE0" w:rsidP="007F0AE0">
      <w:pPr>
        <w:spacing w:after="120" w:line="240" w:lineRule="auto"/>
        <w:jc w:val="both"/>
        <w:outlineLvl w:val="1"/>
        <w:rPr>
          <w:rFonts w:cs="Calibri"/>
          <w:i/>
          <w:u w:val="single"/>
        </w:rPr>
      </w:pPr>
      <w:r w:rsidRPr="00D203D4">
        <w:rPr>
          <w:rFonts w:cs="Calibri"/>
          <w:i/>
          <w:u w:val="single"/>
        </w:rPr>
        <w:t>Adjusted Odds of Reporting a Quit Attempt (Past Year or Ever)</w:t>
      </w:r>
    </w:p>
    <w:p w14:paraId="2343D812" w14:textId="77777777" w:rsidR="007F0AE0" w:rsidRPr="008A07A9" w:rsidRDefault="007F0AE0" w:rsidP="007F0AE0">
      <w:pPr>
        <w:spacing w:after="120" w:line="240" w:lineRule="auto"/>
        <w:jc w:val="both"/>
        <w:rPr>
          <w:rFonts w:cs="Calibri"/>
        </w:rPr>
      </w:pPr>
      <w:r>
        <w:rPr>
          <w:rFonts w:cs="Calibri"/>
        </w:rPr>
        <w:t>Results from f</w:t>
      </w:r>
      <w:r w:rsidRPr="008A07A9">
        <w:rPr>
          <w:rFonts w:cs="Calibri"/>
        </w:rPr>
        <w:t xml:space="preserve">ive studies </w:t>
      </w:r>
      <w:r>
        <w:rPr>
          <w:rFonts w:cs="Calibri"/>
        </w:rPr>
        <w:t>(</w:t>
      </w:r>
      <w:r>
        <w:rPr>
          <w:rFonts w:cs="Calibri"/>
          <w:b/>
        </w:rPr>
        <w:t>Figure 18</w:t>
      </w:r>
      <w:r w:rsidRPr="00082513">
        <w:rPr>
          <w:rFonts w:cs="Calibri"/>
          <w:b/>
        </w:rPr>
        <w:t>-1</w:t>
      </w:r>
      <w:r>
        <w:rPr>
          <w:rFonts w:cs="Calibri"/>
        </w:rPr>
        <w:t xml:space="preserve">) </w:t>
      </w:r>
      <w:r w:rsidRPr="00082513">
        <w:rPr>
          <w:rFonts w:cs="Calibri"/>
        </w:rPr>
        <w:t>were</w:t>
      </w:r>
      <w:r>
        <w:rPr>
          <w:rFonts w:cs="Calibri"/>
        </w:rPr>
        <w:t xml:space="preserve"> pooled to measure </w:t>
      </w:r>
      <w:r w:rsidRPr="008A07A9">
        <w:rPr>
          <w:rFonts w:cs="Calibri"/>
        </w:rPr>
        <w:t xml:space="preserve">the association of menthol use and past year quit attempts. Pooled results showed a </w:t>
      </w:r>
      <w:r>
        <w:rPr>
          <w:rFonts w:cs="Calibri"/>
        </w:rPr>
        <w:t xml:space="preserve">statistically </w:t>
      </w:r>
      <w:r w:rsidRPr="008A07A9">
        <w:rPr>
          <w:rFonts w:cs="Calibri"/>
        </w:rPr>
        <w:t>significant association between menthol</w:t>
      </w:r>
      <w:r>
        <w:rPr>
          <w:rFonts w:cs="Calibri"/>
        </w:rPr>
        <w:t>, versus non-menthol,</w:t>
      </w:r>
      <w:r w:rsidRPr="008A07A9">
        <w:rPr>
          <w:rFonts w:cs="Calibri"/>
        </w:rPr>
        <w:t xml:space="preserve"> use and the </w:t>
      </w:r>
      <w:r>
        <w:rPr>
          <w:rFonts w:cs="Calibri"/>
        </w:rPr>
        <w:t xml:space="preserve">increasing </w:t>
      </w:r>
      <w:r w:rsidRPr="008A07A9">
        <w:rPr>
          <w:rFonts w:cs="Calibri"/>
        </w:rPr>
        <w:t>odds for past year quit attempts (</w:t>
      </w:r>
      <w:r>
        <w:rPr>
          <w:rFonts w:cs="Calibri"/>
        </w:rPr>
        <w:t>OR</w:t>
      </w:r>
      <w:r w:rsidRPr="008A07A9">
        <w:rPr>
          <w:rFonts w:cs="Calibri"/>
        </w:rPr>
        <w:t>=1.02, 95% CI: 1.01</w:t>
      </w:r>
      <w:r>
        <w:rPr>
          <w:rFonts w:cs="Calibri"/>
        </w:rPr>
        <w:t xml:space="preserve"> to</w:t>
      </w:r>
      <w:r w:rsidRPr="008A07A9">
        <w:rPr>
          <w:rFonts w:cs="Calibri"/>
        </w:rPr>
        <w:t xml:space="preserve"> 1.03, p-value=0.003, I</w:t>
      </w:r>
      <w:r w:rsidRPr="008A07A9">
        <w:rPr>
          <w:rFonts w:cs="Calibri"/>
          <w:vertAlign w:val="superscript"/>
        </w:rPr>
        <w:t>2</w:t>
      </w:r>
      <w:r w:rsidRPr="008A07A9">
        <w:rPr>
          <w:rFonts w:cs="Calibri"/>
        </w:rPr>
        <w:t xml:space="preserve">=1%). </w:t>
      </w:r>
      <w:r>
        <w:rPr>
          <w:rFonts w:cs="Calibri"/>
        </w:rPr>
        <w:t>However, the p</w:t>
      </w:r>
      <w:r w:rsidRPr="008A07A9">
        <w:rPr>
          <w:rFonts w:cs="Calibri"/>
        </w:rPr>
        <w:t xml:space="preserve">ooled result </w:t>
      </w:r>
      <w:r>
        <w:rPr>
          <w:rFonts w:cs="Calibri"/>
        </w:rPr>
        <w:t>(</w:t>
      </w:r>
      <w:r>
        <w:rPr>
          <w:rFonts w:cs="Calibri"/>
          <w:b/>
        </w:rPr>
        <w:t>Figure 18-2</w:t>
      </w:r>
      <w:r w:rsidRPr="009267BB">
        <w:rPr>
          <w:rFonts w:cs="Calibri"/>
        </w:rPr>
        <w:t>)</w:t>
      </w:r>
      <w:r w:rsidRPr="008A07A9">
        <w:rPr>
          <w:rFonts w:cs="Calibri"/>
        </w:rPr>
        <w:t xml:space="preserve"> </w:t>
      </w:r>
      <w:r>
        <w:rPr>
          <w:rFonts w:cs="Calibri"/>
        </w:rPr>
        <w:t>from</w:t>
      </w:r>
      <w:r w:rsidRPr="008A07A9">
        <w:rPr>
          <w:rFonts w:cs="Calibri"/>
        </w:rPr>
        <w:t xml:space="preserve"> studies measuring ever quit attempts</w:t>
      </w:r>
      <w:r>
        <w:rPr>
          <w:rFonts w:cs="Calibri"/>
        </w:rPr>
        <w:t xml:space="preserve"> </w:t>
      </w:r>
      <w:r w:rsidRPr="008A07A9">
        <w:rPr>
          <w:rFonts w:cs="Calibri"/>
        </w:rPr>
        <w:t>(AOR=0.98, 95% CI: 0.83</w:t>
      </w:r>
      <w:r>
        <w:rPr>
          <w:rFonts w:cs="Calibri"/>
        </w:rPr>
        <w:t xml:space="preserve"> to</w:t>
      </w:r>
      <w:r w:rsidRPr="008A07A9">
        <w:rPr>
          <w:rFonts w:cs="Calibri"/>
        </w:rPr>
        <w:t xml:space="preserve"> 1.15)</w:t>
      </w:r>
      <w:r>
        <w:rPr>
          <w:rFonts w:cs="Calibri"/>
        </w:rPr>
        <w:t xml:space="preserve"> </w:t>
      </w:r>
      <w:r>
        <w:rPr>
          <w:rFonts w:cs="Calibri"/>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Calibri"/>
        </w:rPr>
        <w:instrText xml:space="preserve"> ADDIN EN.CITE </w:instrText>
      </w:r>
      <w:r>
        <w:rPr>
          <w:rFonts w:cs="Calibri"/>
        </w:rPr>
        <w:fldChar w:fldCharType="begin">
          <w:fldData xml:space="preserve">PEVuZE5vdGU+PENpdGU+PEF1dGhvcj5BbGV4YW5kZXI8L0F1dGhvcj48WWVhcj4yMDEwPC9ZZWFy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4" w:tooltip="Alexander, 2010 #59" w:history="1">
        <w:r>
          <w:rPr>
            <w:rFonts w:cs="Calibri"/>
            <w:noProof/>
          </w:rPr>
          <w:t>14</w:t>
        </w:r>
      </w:hyperlink>
      <w:r>
        <w:rPr>
          <w:rFonts w:cs="Calibri"/>
          <w:noProof/>
        </w:rPr>
        <w:t>)</w:t>
      </w:r>
      <w:r>
        <w:rPr>
          <w:rFonts w:cs="Calibri"/>
        </w:rPr>
        <w:fldChar w:fldCharType="end"/>
      </w:r>
      <w:r w:rsidRPr="008A07A9">
        <w:rPr>
          <w:rFonts w:cs="Calibri"/>
        </w:rPr>
        <w:t>, any quit attempts between 2001 to 2005 (AOR=0.91, 95% CI: 0.72</w:t>
      </w:r>
      <w:r>
        <w:rPr>
          <w:rFonts w:cs="Calibri"/>
        </w:rPr>
        <w:t xml:space="preserve"> to</w:t>
      </w:r>
      <w:r w:rsidRPr="008A07A9">
        <w:rPr>
          <w:rFonts w:cs="Calibri"/>
        </w:rPr>
        <w:t xml:space="preserve"> 1.15)</w:t>
      </w:r>
      <w:r>
        <w:rPr>
          <w:rFonts w:cs="Calibri"/>
        </w:rPr>
        <w:t xml:space="preserve"> </w:t>
      </w:r>
      <w:r>
        <w:rPr>
          <w:rFonts w:cs="Calibri"/>
        </w:rPr>
        <w:fldChar w:fldCharType="begin"/>
      </w:r>
      <w:r>
        <w:rPr>
          <w:rFonts w:cs="Calibri"/>
        </w:rPr>
        <w:instrText xml:space="preserve"> ADDIN EN.CITE &lt;EndNote&gt;&lt;Cite&gt;&lt;Author&gt;Hyland&lt;/Author&gt;&lt;Year&gt;2010&lt;/Year&gt;&lt;RecNum&gt;100&lt;/RecNum&gt;&lt;DisplayText&gt;(46)&lt;/DisplayText&gt;&lt;record&gt;&lt;rec-number&gt;100&lt;/rec-number&gt;&lt;foreign-keys&gt;&lt;key app="EN" db-id="a2vz2dfp8xrad6exes75zwpiw5rxwa0vwapv" timestamp="0"&gt;100&lt;/key&gt;&lt;/foreign-keys&gt;&lt;ref-type name="Report"&gt;27&lt;/ref-type&gt;&lt;contributors&gt;&lt;authors&gt;&lt;author&gt;Hyland, A.&lt;/author&gt;&lt;author&gt;Rivard, C.&lt;/author&gt;&lt;/authors&gt;&lt;/contributors&gt;&lt;titles&gt;&lt;title&gt;Analysis of mentholated cigarettes using the COMMIT data -- summary&lt;/title&gt;&lt;/titles&gt;&lt;dates&gt;&lt;year&gt;2010&lt;/year&gt;&lt;/dates&gt;&lt;publisher&gt;Department of Health Behavior, Roswell Park Cancer Institute&lt;/publisher&gt;&lt;urls&gt;&lt;/urls&gt;&lt;research-notes&gt;#818&lt;/research-notes&gt;&lt;/record&gt;&lt;/Cite&gt;&lt;/EndNote&gt;</w:instrText>
      </w:r>
      <w:r>
        <w:rPr>
          <w:rFonts w:cs="Calibri"/>
        </w:rPr>
        <w:fldChar w:fldCharType="separate"/>
      </w:r>
      <w:r>
        <w:rPr>
          <w:rFonts w:cs="Calibri"/>
          <w:noProof/>
        </w:rPr>
        <w:t>(</w:t>
      </w:r>
      <w:hyperlink w:anchor="_ENREF_46" w:tooltip="Hyland, 2010 #100" w:history="1">
        <w:r>
          <w:rPr>
            <w:rFonts w:cs="Calibri"/>
            <w:noProof/>
          </w:rPr>
          <w:t>46</w:t>
        </w:r>
      </w:hyperlink>
      <w:r>
        <w:rPr>
          <w:rFonts w:cs="Calibri"/>
          <w:noProof/>
        </w:rPr>
        <w:t>)</w:t>
      </w:r>
      <w:r>
        <w:rPr>
          <w:rFonts w:cs="Calibri"/>
        </w:rPr>
        <w:fldChar w:fldCharType="end"/>
      </w:r>
      <w:r w:rsidRPr="008A07A9">
        <w:rPr>
          <w:rFonts w:cs="Calibri"/>
        </w:rPr>
        <w:t>, and any quit attempt in the past 2, 3, or 5 years (</w:t>
      </w:r>
      <w:r>
        <w:rPr>
          <w:rFonts w:cs="Calibri"/>
        </w:rPr>
        <w:t>AOR=</w:t>
      </w:r>
      <w:r w:rsidRPr="008A07A9">
        <w:rPr>
          <w:rFonts w:cs="Calibri"/>
        </w:rPr>
        <w:t>0.77, 95% CI: 0.57</w:t>
      </w:r>
      <w:r>
        <w:rPr>
          <w:rFonts w:cs="Calibri"/>
        </w:rPr>
        <w:t xml:space="preserve"> to</w:t>
      </w:r>
      <w:r w:rsidRPr="008A07A9">
        <w:rPr>
          <w:rFonts w:cs="Calibri"/>
        </w:rPr>
        <w:t xml:space="preserve"> 1.06)</w:t>
      </w:r>
      <w:r>
        <w:rPr>
          <w:rFonts w:cs="Calibri"/>
        </w:rPr>
        <w:t xml:space="preserve"> </w:t>
      </w:r>
      <w:r>
        <w:rPr>
          <w:rFonts w:cs="Calibri"/>
        </w:rPr>
        <w:fldChar w:fldCharType="begin"/>
      </w:r>
      <w:r>
        <w:rPr>
          <w:rFonts w:cs="Calibri"/>
        </w:rPr>
        <w:instrText xml:space="preserve"> ADDIN EN.CITE &lt;EndNote&gt;&lt;Cite&gt;&lt;Author&gt;Pletcher&lt;/Author&gt;&lt;Year&gt;2006&lt;/Year&gt;&lt;RecNum&gt;78&lt;/RecNum&gt;&lt;DisplayText&gt;(41)&lt;/DisplayText&gt;&lt;record&gt;&lt;rec-number&gt;78&lt;/rec-number&gt;&lt;foreign-keys&gt;&lt;key app="EN" db-id="a2vz2dfp8xrad6exes75zwpiw5rxwa0vwapv" timestamp="0"&gt;78&lt;/key&gt;&lt;/foreign-keys&gt;&lt;ref-type name="Journal Article"&gt;17&lt;/ref-type&gt;&lt;contributors&gt;&lt;authors&gt;&lt;author&gt;Pletcher, M. J. &lt;/author&gt;&lt;author&gt;Hulley, B. J.&lt;/author&gt;&lt;author&gt;Houston, T.&lt;/author&gt;&lt;author&gt;Kiefe, C. I.&lt;/author&gt;&lt;author&gt;Benowitz, N. &lt;/author&gt;&lt;author&gt;Sidney, S.&lt;/author&gt;&lt;/authors&gt;&lt;/contributors&gt;&lt;titles&gt;&lt;title&gt;Menthol cigarettes, smoking cessation, atherosclerosis, and pulmonary function&lt;/title&gt;&lt;secondary-title&gt;Arch Intern Med&lt;/secondary-title&gt;&lt;/titles&gt;&lt;pages&gt;1915-1922&lt;/pages&gt;&lt;volume&gt;166&lt;/volume&gt;&lt;section&gt;1915&lt;/section&gt;&lt;dates&gt;&lt;year&gt;2006&lt;/year&gt;&lt;/dates&gt;&lt;urls&gt;&lt;/urls&gt;&lt;research-notes&gt;#385&lt;/research-notes&gt;&lt;/record&gt;&lt;/Cite&gt;&lt;/EndNote&gt;</w:instrText>
      </w:r>
      <w:r>
        <w:rPr>
          <w:rFonts w:cs="Calibri"/>
        </w:rPr>
        <w:fldChar w:fldCharType="separate"/>
      </w:r>
      <w:r>
        <w:rPr>
          <w:rFonts w:cs="Calibri"/>
          <w:noProof/>
        </w:rPr>
        <w:t>(</w:t>
      </w:r>
      <w:hyperlink w:anchor="_ENREF_41" w:tooltip="Pletcher, 2006 #78" w:history="1">
        <w:r>
          <w:rPr>
            <w:rFonts w:cs="Calibri"/>
            <w:noProof/>
          </w:rPr>
          <w:t>41</w:t>
        </w:r>
      </w:hyperlink>
      <w:r>
        <w:rPr>
          <w:rFonts w:cs="Calibri"/>
          <w:noProof/>
        </w:rPr>
        <w:t>)</w:t>
      </w:r>
      <w:r>
        <w:rPr>
          <w:rFonts w:cs="Calibri"/>
        </w:rPr>
        <w:fldChar w:fldCharType="end"/>
      </w:r>
      <w:r w:rsidRPr="008A07A9">
        <w:rPr>
          <w:rFonts w:cs="Calibri"/>
        </w:rPr>
        <w:t xml:space="preserve">, </w:t>
      </w:r>
      <w:r>
        <w:rPr>
          <w:rFonts w:cs="Calibri"/>
        </w:rPr>
        <w:t>found</w:t>
      </w:r>
      <w:r w:rsidRPr="008A07A9">
        <w:rPr>
          <w:rFonts w:cs="Calibri"/>
        </w:rPr>
        <w:t xml:space="preserve"> no significant difference in the odds of making a quit attempt </w:t>
      </w:r>
      <w:r>
        <w:rPr>
          <w:rFonts w:cs="Calibri"/>
        </w:rPr>
        <w:t>when comparing</w:t>
      </w:r>
      <w:r w:rsidRPr="008A07A9">
        <w:rPr>
          <w:rFonts w:cs="Calibri"/>
        </w:rPr>
        <w:t xml:space="preserve"> menthol</w:t>
      </w:r>
      <w:r>
        <w:rPr>
          <w:rFonts w:cs="Calibri"/>
        </w:rPr>
        <w:t xml:space="preserve"> and</w:t>
      </w:r>
      <w:r w:rsidRPr="008A07A9">
        <w:rPr>
          <w:rFonts w:cs="Calibri"/>
        </w:rPr>
        <w:t xml:space="preserve"> non-menthol smokers (</w:t>
      </w:r>
      <w:r>
        <w:rPr>
          <w:rFonts w:cs="Calibri"/>
        </w:rPr>
        <w:t>OR</w:t>
      </w:r>
      <w:r w:rsidRPr="008A07A9">
        <w:rPr>
          <w:rFonts w:cs="Calibri"/>
        </w:rPr>
        <w:t>=0.93, 95% CI, 0.82</w:t>
      </w:r>
      <w:r>
        <w:rPr>
          <w:rFonts w:cs="Calibri"/>
        </w:rPr>
        <w:t xml:space="preserve"> to</w:t>
      </w:r>
      <w:r w:rsidRPr="008A07A9">
        <w:rPr>
          <w:rFonts w:cs="Calibri"/>
        </w:rPr>
        <w:t xml:space="preserve"> 1.05, p=0.23, I</w:t>
      </w:r>
      <w:r w:rsidRPr="008A07A9">
        <w:rPr>
          <w:rFonts w:cs="Calibri"/>
          <w:vertAlign w:val="superscript"/>
        </w:rPr>
        <w:t>2</w:t>
      </w:r>
      <w:r w:rsidRPr="008A07A9">
        <w:rPr>
          <w:rFonts w:cs="Calibri"/>
        </w:rPr>
        <w:t>=0%)</w:t>
      </w:r>
      <w:r>
        <w:rPr>
          <w:rFonts w:cs="Calibri"/>
        </w:rPr>
        <w:t xml:space="preserve"> </w:t>
      </w:r>
      <w:r>
        <w:rPr>
          <w:rFonts w:cs="Calibri"/>
        </w:rPr>
        <w:fldChar w:fldCharType="begin">
          <w:fldData xml:space="preserve">PEVuZE5vdGU+PENpdGU+PEF1dGhvcj5BbGV4YW5kZXI8L0F1dGhvcj48WWVhcj4yMDEwPC9ZZWFy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</w:fldData>
        </w:fldChar>
      </w:r>
      <w:r>
        <w:rPr>
          <w:rFonts w:cs="Calibri"/>
        </w:rPr>
        <w:instrText xml:space="preserve"> ADDIN EN.CITE </w:instrText>
      </w:r>
      <w:r>
        <w:rPr>
          <w:rFonts w:cs="Calibri"/>
        </w:rPr>
        <w:fldChar w:fldCharType="begin">
          <w:fldData xml:space="preserve">PEVuZE5vdGU+PENpdGU+PEF1dGhvcj5BbGV4YW5kZXI8L0F1dGhvcj48WWVhcj4yMDEwPC9ZZWFy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14" w:tooltip="Alexander, 2010 #59" w:history="1">
        <w:r>
          <w:rPr>
            <w:rFonts w:cs="Calibri"/>
            <w:noProof/>
          </w:rPr>
          <w:t>14</w:t>
        </w:r>
      </w:hyperlink>
      <w:r>
        <w:rPr>
          <w:rFonts w:cs="Calibri"/>
          <w:noProof/>
        </w:rPr>
        <w:t xml:space="preserve">, </w:t>
      </w:r>
      <w:hyperlink w:anchor="_ENREF_41" w:tooltip="Pletcher, 2006 #78" w:history="1">
        <w:r>
          <w:rPr>
            <w:rFonts w:cs="Calibri"/>
            <w:noProof/>
          </w:rPr>
          <w:t>41</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sidRPr="008A07A9">
        <w:rPr>
          <w:rFonts w:cs="Calibri"/>
        </w:rPr>
        <w:t xml:space="preserve">. In a subgroup analysis </w:t>
      </w:r>
      <w:r>
        <w:rPr>
          <w:rFonts w:cs="Calibri"/>
        </w:rPr>
        <w:t>(</w:t>
      </w:r>
      <w:r>
        <w:rPr>
          <w:rFonts w:cs="Calibri"/>
          <w:b/>
        </w:rPr>
        <w:t>Figure 18-3</w:t>
      </w:r>
      <w:r w:rsidRPr="00063761">
        <w:rPr>
          <w:rFonts w:cs="Calibri"/>
        </w:rPr>
        <w:t>)</w:t>
      </w:r>
      <w:r>
        <w:rPr>
          <w:rFonts w:cs="Calibri"/>
        </w:rPr>
        <w:t xml:space="preserve"> </w:t>
      </w:r>
      <w:r w:rsidRPr="008A07A9">
        <w:rPr>
          <w:rFonts w:cs="Calibri"/>
        </w:rPr>
        <w:t>of the five studies with past year quit attempts as one group, and the three studies measuring ever quit attempts, any quit attempts between 2001 to 2005, and any quit attempt in the past 2, 3, or 5 years, results remained non-</w:t>
      </w:r>
      <w:r>
        <w:rPr>
          <w:rFonts w:cs="Calibri"/>
        </w:rPr>
        <w:t xml:space="preserve">statistically </w:t>
      </w:r>
      <w:r w:rsidRPr="008A07A9">
        <w:rPr>
          <w:rFonts w:cs="Calibri"/>
        </w:rPr>
        <w:t>significant (</w:t>
      </w:r>
      <w:r>
        <w:rPr>
          <w:rFonts w:cs="Calibri"/>
        </w:rPr>
        <w:t>OR</w:t>
      </w:r>
      <w:r w:rsidRPr="008A07A9">
        <w:rPr>
          <w:rFonts w:cs="Calibri"/>
        </w:rPr>
        <w:t>=1.01, 95% CI: 0.98</w:t>
      </w:r>
      <w:r>
        <w:rPr>
          <w:rFonts w:cs="Calibri"/>
        </w:rPr>
        <w:t xml:space="preserve"> to</w:t>
      </w:r>
      <w:r w:rsidRPr="008A07A9">
        <w:rPr>
          <w:rFonts w:cs="Calibri"/>
        </w:rPr>
        <w:t xml:space="preserve"> 1.04, p=0.49, I</w:t>
      </w:r>
      <w:r w:rsidRPr="008A07A9">
        <w:rPr>
          <w:rFonts w:cs="Calibri"/>
          <w:vertAlign w:val="superscript"/>
        </w:rPr>
        <w:t>2</w:t>
      </w:r>
      <w:r w:rsidRPr="008A07A9">
        <w:rPr>
          <w:rFonts w:cs="Calibri"/>
        </w:rPr>
        <w:t>=14%). Test for subgroup difference showed moderate heterogeneity (I</w:t>
      </w:r>
      <w:r w:rsidRPr="008A07A9">
        <w:rPr>
          <w:rFonts w:cs="Calibri"/>
          <w:vertAlign w:val="superscript"/>
        </w:rPr>
        <w:t>2</w:t>
      </w:r>
      <w:r>
        <w:rPr>
          <w:rFonts w:cs="Calibri"/>
        </w:rPr>
        <w:t xml:space="preserve">=55.4%). These pooled results suggest potential differences related to the reporting of past year quit attempts, versus a specified duration of time during which quit attempts were made or “ever” quitting. </w:t>
      </w:r>
    </w:p>
    <w:p w14:paraId="7CC4FCA8" w14:textId="77777777" w:rsidR="007F0AE0" w:rsidRPr="00D203D4" w:rsidRDefault="007F0AE0" w:rsidP="007F0AE0">
      <w:pPr>
        <w:spacing w:after="120" w:line="240" w:lineRule="auto"/>
        <w:jc w:val="both"/>
        <w:rPr>
          <w:rFonts w:eastAsia="Calibri" w:cstheme="minorHAnsi"/>
          <w:color w:val="000000"/>
        </w:rPr>
      </w:pPr>
      <w:r>
        <w:rPr>
          <w:rFonts w:cs="Calibri"/>
        </w:rPr>
        <w:t>Results from t</w:t>
      </w:r>
      <w:r w:rsidRPr="008A07A9">
        <w:rPr>
          <w:rFonts w:cs="Calibri"/>
        </w:rPr>
        <w:t xml:space="preserve">wo studies </w:t>
      </w:r>
      <w:r>
        <w:rPr>
          <w:rFonts w:cs="Calibri"/>
        </w:rPr>
        <w:t>were pooled to measure</w:t>
      </w:r>
      <w:r w:rsidRPr="008A07A9">
        <w:rPr>
          <w:rFonts w:cs="Calibri"/>
        </w:rPr>
        <w:t xml:space="preserve"> for the association of menthol use and quit attempts (past year and quit attempt</w:t>
      </w:r>
      <w:r>
        <w:rPr>
          <w:rFonts w:cs="Calibri"/>
        </w:rPr>
        <w:t>s</w:t>
      </w:r>
      <w:r w:rsidRPr="008A07A9">
        <w:rPr>
          <w:rFonts w:cs="Calibri"/>
        </w:rPr>
        <w:t xml:space="preserve"> between 2001 </w:t>
      </w:r>
      <w:r>
        <w:rPr>
          <w:rFonts w:cs="Calibri"/>
        </w:rPr>
        <w:t>and</w:t>
      </w:r>
      <w:r w:rsidRPr="008A07A9">
        <w:rPr>
          <w:rFonts w:cs="Calibri"/>
        </w:rPr>
        <w:t xml:space="preserve"> 2005) among Black participants</w:t>
      </w:r>
      <w:r>
        <w:rPr>
          <w:rFonts w:cs="Calibri"/>
        </w:rPr>
        <w:t xml:space="preserve"> </w:t>
      </w:r>
      <w:r>
        <w:rPr>
          <w:rFonts w:cs="Calibri"/>
        </w:rPr>
        <w:fldChar w:fldCharType="begin">
          <w:fldData xml:space="preserve">PEVuZE5vdGU+PENpdGU+PEF1dGhvcj5IeWxhbmQ8L0F1dGhvcj48WWVhcj4yMDEwPC9ZZWFyPjxS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Pmh0dHBzOi8vZHguZG9pLm9yZy8xMC4xMDkzL250ci9udHcyMTU8L2VsZWN0cm9uaWMtcmVzb3Vy
Y2UtbnVtPjwvcmVjb3JkPjwvQ2l0ZT48L0VuZE5vdGU+AG==
</w:fldData>
        </w:fldChar>
      </w:r>
      <w:r>
        <w:rPr>
          <w:rFonts w:cs="Calibri"/>
        </w:rPr>
        <w:instrText xml:space="preserve"> ADDIN EN.CITE </w:instrText>
      </w:r>
      <w:r>
        <w:rPr>
          <w:rFonts w:cs="Calibri"/>
        </w:rPr>
        <w:fldChar w:fldCharType="begin">
          <w:fldData xml:space="preserve">PEVuZE5vdGU+PENpdGU+PEF1dGhvcj5IeWxhbmQ8L0F1dGhvcj48WWVhcj4yMDEwPC9ZZWFyPjxS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29" w:tooltip="Keeler, 2017 #660" w:history="1">
        <w:r>
          <w:rPr>
            <w:rFonts w:cs="Calibri"/>
            <w:noProof/>
          </w:rPr>
          <w:t>29</w:t>
        </w:r>
      </w:hyperlink>
      <w:r>
        <w:rPr>
          <w:rFonts w:cs="Calibri"/>
          <w:noProof/>
        </w:rPr>
        <w:t xml:space="preserve">, </w:t>
      </w:r>
      <w:hyperlink w:anchor="_ENREF_46" w:tooltip="Hyland, 2010 #100" w:history="1">
        <w:r>
          <w:rPr>
            <w:rFonts w:cs="Calibri"/>
            <w:noProof/>
          </w:rPr>
          <w:t>46</w:t>
        </w:r>
      </w:hyperlink>
      <w:r>
        <w:rPr>
          <w:rFonts w:cs="Calibri"/>
          <w:noProof/>
        </w:rPr>
        <w:t>)</w:t>
      </w:r>
      <w:r>
        <w:rPr>
          <w:rFonts w:cs="Calibri"/>
        </w:rPr>
        <w:fldChar w:fldCharType="end"/>
      </w:r>
      <w:r w:rsidRPr="008A07A9">
        <w:rPr>
          <w:rFonts w:cs="Calibri"/>
        </w:rPr>
        <w:t xml:space="preserve">. Pooled results </w:t>
      </w:r>
      <w:r>
        <w:rPr>
          <w:rFonts w:cs="Calibri"/>
        </w:rPr>
        <w:t>(</w:t>
      </w:r>
      <w:r>
        <w:rPr>
          <w:rFonts w:cs="Calibri"/>
          <w:b/>
        </w:rPr>
        <w:t>Figure 18-4</w:t>
      </w:r>
      <w:r w:rsidRPr="00147014">
        <w:rPr>
          <w:rFonts w:cs="Calibri"/>
        </w:rPr>
        <w:t>)</w:t>
      </w:r>
      <w:r>
        <w:rPr>
          <w:rFonts w:cs="Calibri"/>
          <w:b/>
        </w:rPr>
        <w:t xml:space="preserve"> </w:t>
      </w:r>
      <w:r w:rsidRPr="008A07A9">
        <w:rPr>
          <w:rFonts w:cs="Calibri"/>
        </w:rPr>
        <w:t>showed</w:t>
      </w:r>
      <w:r>
        <w:rPr>
          <w:rFonts w:cs="Calibri"/>
        </w:rPr>
        <w:t xml:space="preserve"> a</w:t>
      </w:r>
      <w:r w:rsidRPr="008A07A9">
        <w:rPr>
          <w:rFonts w:cs="Calibri"/>
        </w:rPr>
        <w:t xml:space="preserve"> signi</w:t>
      </w:r>
      <w:r w:rsidRPr="00C2799D">
        <w:rPr>
          <w:rFonts w:cs="Calibri"/>
        </w:rPr>
        <w:t>f</w:t>
      </w:r>
      <w:r w:rsidRPr="008A07A9">
        <w:rPr>
          <w:rFonts w:cs="Calibri"/>
        </w:rPr>
        <w:t xml:space="preserve">icant </w:t>
      </w:r>
      <w:r>
        <w:rPr>
          <w:rFonts w:cs="Calibri"/>
        </w:rPr>
        <w:t xml:space="preserve">increase in the odds of </w:t>
      </w:r>
      <w:r w:rsidRPr="008A07A9">
        <w:rPr>
          <w:rFonts w:cs="Calibri"/>
        </w:rPr>
        <w:t>Black menthol</w:t>
      </w:r>
      <w:r>
        <w:rPr>
          <w:rFonts w:cs="Calibri"/>
        </w:rPr>
        <w:t>, versus non-menthol,</w:t>
      </w:r>
      <w:r w:rsidRPr="008A07A9">
        <w:rPr>
          <w:rFonts w:cs="Calibri"/>
        </w:rPr>
        <w:t xml:space="preserve"> smokers </w:t>
      </w:r>
      <w:r>
        <w:rPr>
          <w:rFonts w:cs="Calibri"/>
        </w:rPr>
        <w:t>reporting</w:t>
      </w:r>
      <w:r w:rsidRPr="008A07A9">
        <w:rPr>
          <w:rFonts w:cs="Calibri"/>
        </w:rPr>
        <w:t xml:space="preserve"> quit attempts </w:t>
      </w:r>
      <w:r w:rsidRPr="00D203D4">
        <w:rPr>
          <w:rFonts w:eastAsia="Calibri" w:cstheme="minorHAnsi"/>
          <w:color w:val="000000"/>
        </w:rPr>
        <w:t>(</w:t>
      </w:r>
      <w:r>
        <w:rPr>
          <w:rFonts w:eastAsia="Calibri" w:cstheme="minorHAnsi"/>
          <w:color w:val="000000"/>
        </w:rPr>
        <w:t>OR</w:t>
      </w:r>
      <w:r w:rsidRPr="00D203D4">
        <w:rPr>
          <w:rFonts w:eastAsia="Calibri" w:cstheme="minorHAnsi"/>
          <w:color w:val="000000"/>
        </w:rPr>
        <w:t>=1.37, 95% CI: 1.17</w:t>
      </w:r>
      <w:r>
        <w:rPr>
          <w:rFonts w:eastAsia="Calibri" w:cstheme="minorHAnsi"/>
          <w:color w:val="000000"/>
        </w:rPr>
        <w:t xml:space="preserve"> to </w:t>
      </w:r>
      <w:r w:rsidRPr="00D203D4">
        <w:rPr>
          <w:rFonts w:eastAsia="Calibri" w:cstheme="minorHAnsi"/>
          <w:color w:val="000000"/>
        </w:rPr>
        <w:t xml:space="preserve">1.61, p=0.00001, </w:t>
      </w:r>
      <w:r w:rsidRPr="008A07A9">
        <w:rPr>
          <w:rFonts w:cs="Calibri"/>
        </w:rPr>
        <w:t>I</w:t>
      </w:r>
      <w:r w:rsidRPr="00EB6324">
        <w:rPr>
          <w:rFonts w:cs="Calibri"/>
          <w:vertAlign w:val="superscript"/>
        </w:rPr>
        <w:t>2</w:t>
      </w:r>
      <w:r w:rsidRPr="00D203D4">
        <w:rPr>
          <w:rFonts w:eastAsia="Calibri" w:cstheme="minorHAnsi"/>
          <w:color w:val="000000"/>
        </w:rPr>
        <w:t>=14%).</w:t>
      </w:r>
      <w:r>
        <w:rPr>
          <w:rFonts w:eastAsia="Calibri" w:cstheme="minorHAnsi"/>
          <w:color w:val="000000"/>
        </w:rPr>
        <w:t xml:space="preserve"> </w:t>
      </w:r>
      <w:r w:rsidRPr="00D203D4">
        <w:rPr>
          <w:rFonts w:eastAsia="Calibri" w:cstheme="minorHAnsi"/>
          <w:color w:val="000000"/>
        </w:rPr>
        <w:t xml:space="preserve"> In contrast, a</w:t>
      </w:r>
      <w:r>
        <w:rPr>
          <w:rFonts w:eastAsia="Calibri" w:cstheme="minorHAnsi"/>
          <w:color w:val="000000"/>
        </w:rPr>
        <w:t>m</w:t>
      </w:r>
      <w:r w:rsidRPr="00D203D4">
        <w:rPr>
          <w:rFonts w:eastAsia="Calibri" w:cstheme="minorHAnsi"/>
          <w:color w:val="000000"/>
        </w:rPr>
        <w:t>ong White</w:t>
      </w:r>
      <w:r>
        <w:rPr>
          <w:rFonts w:eastAsia="Calibri" w:cstheme="minorHAnsi"/>
          <w:color w:val="000000"/>
        </w:rPr>
        <w:t xml:space="preserve"> menthol</w:t>
      </w:r>
      <w:r w:rsidRPr="00D203D4">
        <w:rPr>
          <w:rFonts w:eastAsia="Calibri" w:cstheme="minorHAnsi"/>
          <w:color w:val="000000"/>
        </w:rPr>
        <w:t xml:space="preserve"> respondents in three studies</w:t>
      </w:r>
      <w:r>
        <w:rPr>
          <w:rFonts w:eastAsia="Calibri" w:cstheme="minorHAnsi"/>
          <w:color w:val="000000"/>
        </w:rPr>
        <w:t xml:space="preserve"> (</w:t>
      </w:r>
      <w:r>
        <w:rPr>
          <w:rFonts w:eastAsia="Calibri" w:cstheme="minorHAnsi"/>
          <w:b/>
          <w:color w:val="000000"/>
        </w:rPr>
        <w:t>Figure 18-5</w:t>
      </w:r>
      <w:r w:rsidRPr="00147014">
        <w:rPr>
          <w:rFonts w:eastAsia="Calibri" w:cstheme="minorHAnsi"/>
          <w:color w:val="000000"/>
        </w:rPr>
        <w:t>)</w:t>
      </w:r>
      <w:r w:rsidRPr="00D203D4">
        <w:rPr>
          <w:rFonts w:eastAsia="Calibri" w:cstheme="minorHAnsi"/>
          <w:color w:val="000000"/>
        </w:rPr>
        <w:t>,</w:t>
      </w:r>
      <w:r>
        <w:rPr>
          <w:rFonts w:eastAsia="Calibri" w:cstheme="minorHAnsi"/>
          <w:color w:val="000000"/>
        </w:rPr>
        <w:t xml:space="preserve"> the odds of </w:t>
      </w:r>
      <w:r w:rsidRPr="00D203D4">
        <w:rPr>
          <w:rFonts w:eastAsia="Calibri" w:cstheme="minorHAnsi"/>
          <w:color w:val="000000"/>
        </w:rPr>
        <w:t>making</w:t>
      </w:r>
      <w:r>
        <w:rPr>
          <w:rFonts w:eastAsia="Calibri" w:cstheme="minorHAnsi"/>
          <w:color w:val="000000"/>
        </w:rPr>
        <w:t xml:space="preserve"> a</w:t>
      </w:r>
      <w:r w:rsidRPr="00D203D4">
        <w:rPr>
          <w:rFonts w:eastAsia="Calibri" w:cstheme="minorHAnsi"/>
          <w:color w:val="000000"/>
        </w:rPr>
        <w:t xml:space="preserve"> quit attempt</w:t>
      </w:r>
      <w:r>
        <w:rPr>
          <w:rFonts w:eastAsia="Calibri" w:cstheme="minorHAnsi"/>
          <w:color w:val="000000"/>
        </w:rPr>
        <w:t xml:space="preserve"> were statistically significantly lower for menthol compared to non-menthol smokers</w:t>
      </w:r>
      <w:r w:rsidRPr="00D203D4">
        <w:rPr>
          <w:rFonts w:eastAsia="Calibri" w:cstheme="minorHAnsi"/>
          <w:color w:val="000000"/>
        </w:rPr>
        <w:t xml:space="preserve"> (</w:t>
      </w:r>
      <w:r>
        <w:rPr>
          <w:rFonts w:eastAsia="Calibri" w:cstheme="minorHAnsi"/>
          <w:color w:val="000000"/>
        </w:rPr>
        <w:t>OR</w:t>
      </w:r>
      <w:r w:rsidRPr="00D203D4">
        <w:rPr>
          <w:rFonts w:eastAsia="Calibri" w:cstheme="minorHAnsi"/>
          <w:color w:val="000000"/>
        </w:rPr>
        <w:t>=0.95, 95% CI: 0.91</w:t>
      </w:r>
      <w:r>
        <w:rPr>
          <w:rFonts w:eastAsia="Calibri" w:cstheme="minorHAnsi"/>
          <w:color w:val="000000"/>
        </w:rPr>
        <w:t xml:space="preserve"> to</w:t>
      </w:r>
      <w:r w:rsidRPr="00D203D4">
        <w:rPr>
          <w:rFonts w:eastAsia="Calibri" w:cstheme="minorHAnsi"/>
          <w:color w:val="000000"/>
        </w:rPr>
        <w:t xml:space="preserve"> 0.99, </w:t>
      </w:r>
      <w:r w:rsidRPr="008A07A9">
        <w:rPr>
          <w:rFonts w:cs="Calibri"/>
        </w:rPr>
        <w:t>I</w:t>
      </w:r>
      <w:r w:rsidRPr="00EB6324">
        <w:rPr>
          <w:rFonts w:cs="Calibri"/>
          <w:vertAlign w:val="superscript"/>
        </w:rPr>
        <w:t>2</w:t>
      </w:r>
      <w:r w:rsidRPr="00D203D4">
        <w:rPr>
          <w:rFonts w:eastAsia="Calibri" w:cstheme="minorHAnsi"/>
          <w:color w:val="000000"/>
        </w:rPr>
        <w:t>=</w:t>
      </w:r>
      <w:r>
        <w:rPr>
          <w:rFonts w:eastAsia="Calibri" w:cstheme="minorHAnsi"/>
          <w:color w:val="000000"/>
        </w:rPr>
        <w:t>0</w:t>
      </w:r>
      <w:r w:rsidRPr="00D203D4">
        <w:rPr>
          <w:rFonts w:eastAsia="Calibri" w:cstheme="minorHAnsi"/>
          <w:color w:val="000000"/>
        </w:rPr>
        <w:t xml:space="preserve">%) </w:t>
      </w:r>
      <w:r w:rsidRPr="00D203D4">
        <w:rPr>
          <w:rFonts w:eastAsia="Calibri" w:cstheme="minorHAnsi"/>
          <w:color w:val="000000"/>
        </w:rPr>
        <w:fldChar w:fldCharType="begin">
          <w:fldData xml:space="preserve">PEVuZE5vdGU+PENpdGU+PEF1dGhvcj5IeWxhbmQ8L0F1dGhvcj48WWVhcj4yMDEwPC9ZZWFyPjxS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=
</w:fldData>
        </w:fldChar>
      </w:r>
      <w:r>
        <w:rPr>
          <w:rFonts w:eastAsia="Calibri" w:cstheme="minorHAnsi"/>
          <w:color w:val="000000"/>
        </w:rPr>
        <w:instrText xml:space="preserve"> ADDIN EN.CITE </w:instrText>
      </w:r>
      <w:r>
        <w:rPr>
          <w:rFonts w:eastAsia="Calibri" w:cstheme="minorHAnsi"/>
          <w:color w:val="000000"/>
        </w:rPr>
        <w:fldChar w:fldCharType="begin">
          <w:fldData xml:space="preserve">PEVuZE5vdGU+PENpdGU+PEF1dGhvcj5IeWxhbmQ8L0F1dGhvcj48WWVhcj4yMDEwPC9ZZWFyPjxS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=
</w:fldData>
        </w:fldChar>
      </w:r>
      <w:r>
        <w:rPr>
          <w:rFonts w:eastAsia="Calibri" w:cstheme="minorHAnsi"/>
          <w:color w:val="000000"/>
        </w:rPr>
        <w:instrText xml:space="preserve"> ADDIN EN.CITE.DATA </w:instrText>
      </w:r>
      <w:r>
        <w:rPr>
          <w:rFonts w:eastAsia="Calibri" w:cstheme="minorHAnsi"/>
          <w:color w:val="000000"/>
        </w:rPr>
      </w:r>
      <w:r>
        <w:rPr>
          <w:rFonts w:eastAsia="Calibri" w:cstheme="minorHAnsi"/>
          <w:color w:val="000000"/>
        </w:rPr>
        <w:fldChar w:fldCharType="end"/>
      </w:r>
      <w:r w:rsidRPr="00D203D4">
        <w:rPr>
          <w:rFonts w:eastAsia="Calibri" w:cstheme="minorHAnsi"/>
          <w:color w:val="000000"/>
        </w:rPr>
        <w:fldChar w:fldCharType="separate"/>
      </w:r>
      <w:r>
        <w:rPr>
          <w:rFonts w:eastAsia="Calibri" w:cstheme="minorHAnsi"/>
          <w:noProof/>
          <w:color w:val="000000"/>
        </w:rPr>
        <w:t>(</w:t>
      </w:r>
      <w:hyperlink w:anchor="_ENREF_29" w:tooltip="Keeler, 2017 #660" w:history="1">
        <w:r>
          <w:rPr>
            <w:rFonts w:eastAsia="Calibri" w:cstheme="minorHAnsi"/>
            <w:noProof/>
            <w:color w:val="000000"/>
          </w:rPr>
          <w:t>29</w:t>
        </w:r>
      </w:hyperlink>
      <w:r>
        <w:rPr>
          <w:rFonts w:eastAsia="Calibri" w:cstheme="minorHAnsi"/>
          <w:noProof/>
          <w:color w:val="000000"/>
        </w:rPr>
        <w:t xml:space="preserve">, </w:t>
      </w:r>
      <w:hyperlink w:anchor="_ENREF_34" w:tooltip="Kahende, 2011 #43" w:history="1">
        <w:r>
          <w:rPr>
            <w:rFonts w:eastAsia="Calibri" w:cstheme="minorHAnsi"/>
            <w:noProof/>
            <w:color w:val="000000"/>
          </w:rPr>
          <w:t>34</w:t>
        </w:r>
      </w:hyperlink>
      <w:r>
        <w:rPr>
          <w:rFonts w:eastAsia="Calibri" w:cstheme="minorHAnsi"/>
          <w:noProof/>
          <w:color w:val="000000"/>
        </w:rPr>
        <w:t xml:space="preserve">, </w:t>
      </w:r>
      <w:hyperlink w:anchor="_ENREF_46" w:tooltip="Hyland, 2010 #100" w:history="1">
        <w:r>
          <w:rPr>
            <w:rFonts w:eastAsia="Calibri" w:cstheme="minorHAnsi"/>
            <w:noProof/>
            <w:color w:val="000000"/>
          </w:rPr>
          <w:t>46</w:t>
        </w:r>
      </w:hyperlink>
      <w:r>
        <w:rPr>
          <w:rFonts w:eastAsia="Calibri" w:cstheme="minorHAnsi"/>
          <w:noProof/>
          <w:color w:val="000000"/>
        </w:rPr>
        <w:t>)</w:t>
      </w:r>
      <w:r w:rsidRPr="00D203D4">
        <w:rPr>
          <w:rFonts w:eastAsia="Calibri" w:cstheme="minorHAnsi"/>
          <w:color w:val="000000"/>
        </w:rPr>
        <w:fldChar w:fldCharType="end"/>
      </w:r>
      <w:r w:rsidRPr="00D203D4">
        <w:rPr>
          <w:rFonts w:eastAsia="Calibri" w:cstheme="minorHAnsi"/>
          <w:color w:val="000000"/>
        </w:rPr>
        <w:t>.</w:t>
      </w:r>
      <w:r>
        <w:rPr>
          <w:rFonts w:eastAsia="Calibri" w:cstheme="minorHAnsi"/>
          <w:color w:val="000000"/>
        </w:rPr>
        <w:t xml:space="preserve"> These results suggest the importance of racial/ethnic differences in the association of menthol use and smoking cessation. </w:t>
      </w:r>
    </w:p>
    <w:p w14:paraId="2C1DBC3B" w14:textId="77777777" w:rsidR="007F0AE0" w:rsidRPr="00D203D4" w:rsidRDefault="007F0AE0" w:rsidP="007F0AE0">
      <w:pPr>
        <w:spacing w:after="120" w:line="240" w:lineRule="auto"/>
        <w:jc w:val="both"/>
        <w:outlineLvl w:val="1"/>
        <w:rPr>
          <w:rFonts w:cs="Calibri"/>
          <w:i/>
          <w:u w:val="single"/>
        </w:rPr>
      </w:pPr>
      <w:r w:rsidRPr="00D203D4">
        <w:rPr>
          <w:rFonts w:cs="Calibri"/>
          <w:i/>
          <w:u w:val="single"/>
        </w:rPr>
        <w:t>Adjusted Odds of Abstinence (No definition and 7-day PPA)</w:t>
      </w:r>
    </w:p>
    <w:p w14:paraId="0BCAFF60" w14:textId="77777777" w:rsidR="007F0AE0" w:rsidRDefault="007F0AE0" w:rsidP="007F0AE0">
      <w:pPr>
        <w:spacing w:after="120" w:line="240" w:lineRule="auto"/>
        <w:jc w:val="both"/>
        <w:rPr>
          <w:rFonts w:cs="Calibri"/>
        </w:rPr>
      </w:pPr>
      <w:r>
        <w:rPr>
          <w:rFonts w:cs="Calibri"/>
        </w:rPr>
        <w:t>Data from f</w:t>
      </w:r>
      <w:r w:rsidRPr="008A07A9">
        <w:rPr>
          <w:rFonts w:cs="Calibri"/>
        </w:rPr>
        <w:t xml:space="preserve">our studies </w:t>
      </w:r>
      <w:r>
        <w:rPr>
          <w:rFonts w:cs="Calibri"/>
        </w:rPr>
        <w:t>were pooled to measure</w:t>
      </w:r>
      <w:r w:rsidRPr="008A07A9">
        <w:rPr>
          <w:rFonts w:cs="Calibri"/>
        </w:rPr>
        <w:t xml:space="preserve"> the association of menthol use and abstinence</w:t>
      </w:r>
      <w:r>
        <w:rPr>
          <w:rFonts w:cs="Calibri"/>
        </w:rPr>
        <w:t xml:space="preserve"> (self-reported)</w:t>
      </w:r>
      <w:r w:rsidRPr="008A07A9">
        <w:rPr>
          <w:rFonts w:cs="Calibri"/>
        </w:rPr>
        <w:t xml:space="preserve"> with no specified duration of abstinence</w:t>
      </w:r>
      <w:r>
        <w:rPr>
          <w:rFonts w:cs="Calibri"/>
        </w:rPr>
        <w:t xml:space="preserve"> </w:t>
      </w:r>
      <w:r>
        <w:rPr>
          <w:rFonts w:cs="Calibri"/>
        </w:rPr>
        <w:fldChar w:fldCharType="begin">
          <w:fldData xml:space="preserve">PEVuZE5vdGU+PENpdGU+PEF1dGhvcj5EZWxuZXZvPC9BdXRob3I+PFllYXI+MjAxMTwvWWVhcj48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==
</w:fldData>
        </w:fldChar>
      </w:r>
      <w:r>
        <w:rPr>
          <w:rFonts w:cs="Calibri"/>
        </w:rPr>
        <w:instrText xml:space="preserve"> ADDIN EN.CITE </w:instrText>
      </w:r>
      <w:r>
        <w:rPr>
          <w:rFonts w:cs="Calibri"/>
        </w:rPr>
        <w:fldChar w:fldCharType="begin">
          <w:fldData xml:space="preserve">PEVuZE5vdGU+PENpdGU+PEF1dGhvcj5EZWxuZXZvPC9BdXRob3I+PFllYXI+MjAxMTwvWWVhcj48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==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41" w:tooltip="Pletcher, 2006 #78" w:history="1">
        <w:r>
          <w:rPr>
            <w:rFonts w:cs="Calibri"/>
            <w:noProof/>
          </w:rPr>
          <w:t>41</w:t>
        </w:r>
      </w:hyperlink>
      <w:r>
        <w:rPr>
          <w:rFonts w:cs="Calibri"/>
          <w:noProof/>
        </w:rPr>
        <w:t xml:space="preserve">, </w:t>
      </w:r>
      <w:hyperlink w:anchor="_ENREF_56" w:tooltip="Blot, 2011 #48" w:history="1">
        <w:r>
          <w:rPr>
            <w:rFonts w:cs="Calibri"/>
            <w:noProof/>
          </w:rPr>
          <w:t>56</w:t>
        </w:r>
      </w:hyperlink>
      <w:r>
        <w:rPr>
          <w:rFonts w:cs="Calibri"/>
          <w:noProof/>
        </w:rPr>
        <w:t xml:space="preserve">, </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w:t>
      </w:r>
      <w:r>
        <w:rPr>
          <w:rFonts w:cs="Calibri"/>
        </w:rPr>
        <w:fldChar w:fldCharType="end"/>
      </w:r>
      <w:r w:rsidRPr="008A07A9">
        <w:rPr>
          <w:rFonts w:cs="Calibri"/>
        </w:rPr>
        <w:t xml:space="preserve">. </w:t>
      </w:r>
      <w:r>
        <w:rPr>
          <w:rFonts w:cs="Calibri"/>
        </w:rPr>
        <w:t>Recognizing high heterogeneity balanced by the narrow confidence intervals, the p</w:t>
      </w:r>
      <w:r w:rsidRPr="008A07A9">
        <w:rPr>
          <w:rFonts w:cs="Calibri"/>
        </w:rPr>
        <w:t xml:space="preserve">ooled results </w:t>
      </w:r>
      <w:r>
        <w:rPr>
          <w:rFonts w:cs="Calibri"/>
        </w:rPr>
        <w:t>from</w:t>
      </w:r>
      <w:r w:rsidRPr="008A07A9">
        <w:rPr>
          <w:rFonts w:cs="Calibri"/>
        </w:rPr>
        <w:t xml:space="preserve"> </w:t>
      </w:r>
      <w:r>
        <w:rPr>
          <w:rFonts w:cs="Calibri"/>
        </w:rPr>
        <w:t xml:space="preserve">two </w:t>
      </w:r>
      <w:r w:rsidRPr="008A07A9">
        <w:rPr>
          <w:rFonts w:cs="Calibri"/>
        </w:rPr>
        <w:t xml:space="preserve">cross-sectional studies </w:t>
      </w:r>
      <w:r w:rsidRPr="00AF3FC1">
        <w:rPr>
          <w:rFonts w:cs="Calibri"/>
        </w:rPr>
        <w:t>(</w:t>
      </w:r>
      <w:r>
        <w:rPr>
          <w:rFonts w:cs="Calibri"/>
          <w:b/>
        </w:rPr>
        <w:t>Figure 18-6</w:t>
      </w:r>
      <w:r w:rsidRPr="00AF3FC1">
        <w:rPr>
          <w:rFonts w:cs="Calibri"/>
        </w:rPr>
        <w:t xml:space="preserve">) showed </w:t>
      </w:r>
      <w:r>
        <w:rPr>
          <w:rFonts w:cs="Calibri"/>
        </w:rPr>
        <w:t xml:space="preserve">no difference in the </w:t>
      </w:r>
      <w:r w:rsidRPr="008A07A9">
        <w:rPr>
          <w:rFonts w:cs="Calibri"/>
        </w:rPr>
        <w:t>odds of abstinence with no defined duration among menthol compared to non-menthol smokers (</w:t>
      </w:r>
      <w:r>
        <w:rPr>
          <w:rFonts w:cs="Calibri"/>
        </w:rPr>
        <w:t>OR</w:t>
      </w:r>
      <w:r w:rsidRPr="008A07A9">
        <w:rPr>
          <w:rFonts w:cs="Calibri"/>
        </w:rPr>
        <w:t>=0.96, 95% CI: 0.84</w:t>
      </w:r>
      <w:r>
        <w:rPr>
          <w:rFonts w:cs="Calibri"/>
        </w:rPr>
        <w:t xml:space="preserve"> to</w:t>
      </w:r>
      <w:r w:rsidRPr="008A07A9">
        <w:rPr>
          <w:rFonts w:cs="Calibri"/>
        </w:rPr>
        <w:t xml:space="preserve"> 1.10, p=0.58, I</w:t>
      </w:r>
      <w:r w:rsidRPr="008A07A9">
        <w:rPr>
          <w:rFonts w:cs="Calibri"/>
          <w:vertAlign w:val="superscript"/>
        </w:rPr>
        <w:t>2</w:t>
      </w:r>
      <w:r w:rsidRPr="008A07A9">
        <w:rPr>
          <w:rFonts w:cs="Calibri"/>
        </w:rPr>
        <w:t>=71%)</w:t>
      </w:r>
      <w:r>
        <w:rPr>
          <w:rFonts w:cs="Calibri"/>
        </w:rPr>
        <w:t xml:space="preserve"> </w:t>
      </w:r>
      <w:r>
        <w:rPr>
          <w:rFonts w:cs="Calibri"/>
        </w:rPr>
        <w:fldChar w:fldCharType="begin">
          <w:fldData xml:space="preserve">PEVuZE5vdGU+PENpdGU+PEF1dGhvcj5EZWxuZXZvPC9BdXRob3I+PFllYXI+MjAxMTwvWWVhcj48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</w:fldData>
        </w:fldChar>
      </w:r>
      <w:r>
        <w:rPr>
          <w:rFonts w:cs="Calibri"/>
        </w:rPr>
        <w:instrText xml:space="preserve"> ADDIN EN.CITE </w:instrText>
      </w:r>
      <w:r>
        <w:rPr>
          <w:rFonts w:cs="Calibri"/>
        </w:rPr>
        <w:fldChar w:fldCharType="begin">
          <w:fldData xml:space="preserve">PEVuZE5vdGU+PENpdGU+PEF1dGhvcj5EZWxuZXZvPC9BdXRob3I+PFllYXI+MjAxMTwvWWVhcj48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w:t>
      </w:r>
      <w:r>
        <w:rPr>
          <w:rFonts w:cs="Calibri"/>
        </w:rPr>
        <w:fldChar w:fldCharType="end"/>
      </w:r>
      <w:r>
        <w:rPr>
          <w:rFonts w:cs="Calibri"/>
        </w:rPr>
        <w:t>. Similarly, pooling results of the four studies</w:t>
      </w:r>
      <w:r w:rsidRPr="008A07A9">
        <w:rPr>
          <w:rFonts w:cs="Calibri"/>
        </w:rPr>
        <w:t xml:space="preserve"> </w:t>
      </w:r>
      <w:r>
        <w:rPr>
          <w:rFonts w:cs="Calibri"/>
        </w:rPr>
        <w:t>(</w:t>
      </w:r>
      <w:r>
        <w:rPr>
          <w:rFonts w:cs="Calibri"/>
          <w:b/>
        </w:rPr>
        <w:t>Figure 18-6</w:t>
      </w:r>
      <w:r w:rsidRPr="00793839">
        <w:rPr>
          <w:rFonts w:cs="Calibri"/>
        </w:rPr>
        <w:t>)</w:t>
      </w:r>
      <w:r>
        <w:rPr>
          <w:rFonts w:cs="Calibri"/>
          <w:b/>
        </w:rPr>
        <w:t xml:space="preserve"> </w:t>
      </w:r>
      <w:r>
        <w:rPr>
          <w:rFonts w:cs="Calibri"/>
        </w:rPr>
        <w:fldChar w:fldCharType="begin">
          <w:fldData xml:space="preserve">PEVuZE5vdGU+PENpdGU+PEF1dGhvcj5CbG90PC9BdXRob3I+PFllYXI+MjAxMTwvWWVhcj48UmVj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==
</w:fldData>
        </w:fldChar>
      </w:r>
      <w:r>
        <w:rPr>
          <w:rFonts w:cs="Calibri"/>
        </w:rPr>
        <w:instrText xml:space="preserve"> ADDIN EN.CITE </w:instrText>
      </w:r>
      <w:r>
        <w:rPr>
          <w:rFonts w:cs="Calibri"/>
        </w:rPr>
        <w:fldChar w:fldCharType="begin">
          <w:fldData xml:space="preserve">PEVuZE5vdGU+PENpdGU+PEF1dGhvcj5CbG90PC9BdXRob3I+PFllYXI+MjAxMTwvWWVhcj48UmVj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==
</w:fldData>
        </w:fldChar>
      </w:r>
      <w:r>
        <w:rPr>
          <w:rFonts w:cs="Calibri"/>
        </w:rPr>
        <w:instrText xml:space="preserve"> ADDIN EN.CITE.DATA </w:instrText>
      </w:r>
      <w:r>
        <w:rPr>
          <w:rFonts w:cs="Calibri"/>
        </w:rPr>
      </w:r>
      <w:r>
        <w:rPr>
          <w:rFonts w:cs="Calibri"/>
        </w:rPr>
        <w:fldChar w:fldCharType="end"/>
      </w:r>
      <w:r>
        <w:rPr>
          <w:rFonts w:cs="Calibri"/>
        </w:rPr>
        <w:fldChar w:fldCharType="separate"/>
      </w:r>
      <w:r>
        <w:rPr>
          <w:rFonts w:cs="Calibri"/>
          <w:noProof/>
        </w:rPr>
        <w:t>(</w:t>
      </w:r>
      <w:hyperlink w:anchor="_ENREF_41" w:tooltip="Pletcher, 2006 #78" w:history="1">
        <w:r>
          <w:rPr>
            <w:rFonts w:cs="Calibri"/>
            <w:noProof/>
          </w:rPr>
          <w:t>41</w:t>
        </w:r>
      </w:hyperlink>
      <w:r>
        <w:rPr>
          <w:rFonts w:cs="Calibri"/>
          <w:noProof/>
        </w:rPr>
        <w:t xml:space="preserve">, </w:t>
      </w:r>
      <w:hyperlink w:anchor="_ENREF_56" w:tooltip="Blot, 2011 #48" w:history="1">
        <w:r>
          <w:rPr>
            <w:rFonts w:cs="Calibri"/>
            <w:noProof/>
          </w:rPr>
          <w:t>56</w:t>
        </w:r>
      </w:hyperlink>
      <w:r>
        <w:rPr>
          <w:rFonts w:cs="Calibri"/>
          <w:noProof/>
        </w:rPr>
        <w:t xml:space="preserve">, </w:t>
      </w:r>
      <w:hyperlink w:anchor="_ENREF_57" w:tooltip="Delnevo, 2011 #42" w:history="1">
        <w:r>
          <w:rPr>
            <w:rFonts w:cs="Calibri"/>
            <w:noProof/>
          </w:rPr>
          <w:t>57</w:t>
        </w:r>
      </w:hyperlink>
      <w:r>
        <w:rPr>
          <w:rFonts w:cs="Calibri"/>
          <w:noProof/>
        </w:rPr>
        <w:t xml:space="preserve">, </w:t>
      </w:r>
      <w:hyperlink w:anchor="_ENREF_59" w:tooltip="Gundersen, 2009 #65" w:history="1">
        <w:r>
          <w:rPr>
            <w:rFonts w:cs="Calibri"/>
            <w:noProof/>
          </w:rPr>
          <w:t>59</w:t>
        </w:r>
      </w:hyperlink>
      <w:r>
        <w:rPr>
          <w:rFonts w:cs="Calibri"/>
          <w:noProof/>
        </w:rPr>
        <w:t>)</w:t>
      </w:r>
      <w:r>
        <w:rPr>
          <w:rFonts w:cs="Calibri"/>
        </w:rPr>
        <w:fldChar w:fldCharType="end"/>
      </w:r>
      <w:r>
        <w:rPr>
          <w:rFonts w:cs="Calibri"/>
        </w:rPr>
        <w:t xml:space="preserve"> also </w:t>
      </w:r>
      <w:r w:rsidRPr="008A07A9">
        <w:rPr>
          <w:rFonts w:cs="Calibri"/>
        </w:rPr>
        <w:t xml:space="preserve">showed </w:t>
      </w:r>
      <w:r>
        <w:rPr>
          <w:rFonts w:cs="Calibri"/>
        </w:rPr>
        <w:t xml:space="preserve">no difference between menthol, versus non-menthol smokers, and </w:t>
      </w:r>
      <w:r w:rsidRPr="008A07A9">
        <w:rPr>
          <w:rFonts w:cs="Calibri"/>
        </w:rPr>
        <w:t>abstinence with no defined duration (</w:t>
      </w:r>
      <w:r>
        <w:rPr>
          <w:rFonts w:cs="Calibri"/>
        </w:rPr>
        <w:t>OR</w:t>
      </w:r>
      <w:r w:rsidRPr="008A07A9">
        <w:rPr>
          <w:rFonts w:cs="Calibri"/>
        </w:rPr>
        <w:t>=0.96, 95% CI: 0.86</w:t>
      </w:r>
      <w:r>
        <w:rPr>
          <w:rFonts w:cs="Calibri"/>
        </w:rPr>
        <w:t xml:space="preserve"> to</w:t>
      </w:r>
      <w:r w:rsidRPr="008A07A9">
        <w:rPr>
          <w:rFonts w:cs="Calibri"/>
        </w:rPr>
        <w:t xml:space="preserve"> 1.06, p=0.41, I</w:t>
      </w:r>
      <w:r w:rsidRPr="008A07A9">
        <w:rPr>
          <w:rFonts w:cs="Calibri"/>
          <w:vertAlign w:val="superscript"/>
        </w:rPr>
        <w:t>2</w:t>
      </w:r>
      <w:r w:rsidRPr="008A07A9">
        <w:rPr>
          <w:rFonts w:cs="Calibri"/>
        </w:rPr>
        <w:t xml:space="preserve">=60%). </w:t>
      </w:r>
      <w:r>
        <w:rPr>
          <w:rFonts w:cs="Calibri"/>
        </w:rPr>
        <w:t xml:space="preserve">Generally, these pooled results suggest no difference in the association between menthol, versus non-menthol, smokers and abstinence (no defined duration) when stratifying by study design. </w:t>
      </w:r>
    </w:p>
    <w:p w14:paraId="05B3B47C" w14:textId="77777777" w:rsidR="007F0AE0" w:rsidRDefault="007F0AE0" w:rsidP="007F0AE0">
      <w:pPr>
        <w:spacing w:after="120" w:line="240" w:lineRule="auto"/>
        <w:jc w:val="both"/>
        <w:rPr>
          <w:rFonts w:cs="Calibri"/>
        </w:rPr>
      </w:pPr>
      <w:r>
        <w:rPr>
          <w:rFonts w:ascii="Calibri" w:hAnsi="Calibri" w:cs="Calibri"/>
        </w:rPr>
        <w:t>Pooled data from t</w:t>
      </w:r>
      <w:r w:rsidRPr="008A07A9">
        <w:rPr>
          <w:rFonts w:ascii="Calibri" w:hAnsi="Calibri" w:cs="Calibri"/>
        </w:rPr>
        <w:t xml:space="preserve">hree studies </w:t>
      </w:r>
      <w:r>
        <w:rPr>
          <w:rFonts w:ascii="Calibri" w:hAnsi="Calibri" w:cs="Calibri"/>
        </w:rPr>
        <w:t>measured</w:t>
      </w:r>
      <w:r w:rsidRPr="008A07A9">
        <w:rPr>
          <w:rFonts w:ascii="Calibri" w:hAnsi="Calibri" w:cs="Calibri"/>
        </w:rPr>
        <w:t xml:space="preserve"> the association of menthol use and abstinence with no specified duration of abstinence for Black participants</w:t>
      </w:r>
      <w:r>
        <w:rPr>
          <w:rFonts w:ascii="Calibri" w:hAnsi="Calibri" w:cs="Calibri"/>
        </w:rPr>
        <w:t xml:space="preserve"> </w: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56" w:tooltip="Blot, 2011 #48" w:history="1">
        <w:r>
          <w:rPr>
            <w:rFonts w:ascii="Calibri" w:hAnsi="Calibri" w:cs="Calibri"/>
            <w:noProof/>
          </w:rPr>
          <w:t>56</w:t>
        </w:r>
      </w:hyperlink>
      <w:r>
        <w:rPr>
          <w:rFonts w:ascii="Calibri" w:hAnsi="Calibri" w:cs="Calibri"/>
          <w:noProof/>
        </w:rPr>
        <w:t xml:space="preserve">, </w:t>
      </w:r>
      <w:hyperlink w:anchor="_ENREF_57" w:tooltip="Delnevo, 2011 #42" w:history="1">
        <w:r>
          <w:rPr>
            <w:rFonts w:ascii="Calibri" w:hAnsi="Calibri" w:cs="Calibri"/>
            <w:noProof/>
          </w:rPr>
          <w:t>57</w:t>
        </w:r>
      </w:hyperlink>
      <w:r>
        <w:rPr>
          <w:rFonts w:ascii="Calibri" w:hAnsi="Calibri" w:cs="Calibri"/>
          <w:noProof/>
        </w:rPr>
        <w:t xml:space="preserve">, </w:t>
      </w:r>
      <w:hyperlink w:anchor="_ENREF_59" w:tooltip="Gundersen, 2009 #65" w:history="1">
        <w:r>
          <w:rPr>
            <w:rFonts w:ascii="Calibri" w:hAnsi="Calibri" w:cs="Calibri"/>
            <w:noProof/>
          </w:rPr>
          <w:t>59</w:t>
        </w:r>
      </w:hyperlink>
      <w:r>
        <w:rPr>
          <w:rFonts w:ascii="Calibri" w:hAnsi="Calibri" w:cs="Calibri"/>
          <w:noProof/>
        </w:rPr>
        <w:t>)</w:t>
      </w:r>
      <w:r>
        <w:rPr>
          <w:rFonts w:ascii="Calibri" w:hAnsi="Calibri" w:cs="Calibri"/>
        </w:rPr>
        <w:fldChar w:fldCharType="end"/>
      </w:r>
      <w:r w:rsidRPr="008A07A9">
        <w:rPr>
          <w:rFonts w:ascii="Calibri" w:hAnsi="Calibri" w:cs="Calibri"/>
        </w:rPr>
        <w:t xml:space="preserve">. Pooled results </w:t>
      </w:r>
      <w:r>
        <w:rPr>
          <w:rFonts w:ascii="Calibri" w:hAnsi="Calibri" w:cs="Calibri"/>
        </w:rPr>
        <w:t xml:space="preserve">indicated no difference between menthol and non-menthol smokers in their </w:t>
      </w:r>
      <w:r w:rsidRPr="008A07A9">
        <w:rPr>
          <w:rFonts w:ascii="Calibri" w:hAnsi="Calibri" w:cs="Calibri"/>
        </w:rPr>
        <w:t xml:space="preserve">association </w:t>
      </w:r>
      <w:r>
        <w:rPr>
          <w:rFonts w:ascii="Calibri" w:hAnsi="Calibri" w:cs="Calibri"/>
        </w:rPr>
        <w:t>with</w:t>
      </w:r>
      <w:r w:rsidRPr="008A07A9">
        <w:rPr>
          <w:rFonts w:ascii="Calibri" w:hAnsi="Calibri" w:cs="Calibri"/>
        </w:rPr>
        <w:t xml:space="preserve"> abstinence </w:t>
      </w:r>
      <w:r>
        <w:rPr>
          <w:rFonts w:ascii="Calibri" w:hAnsi="Calibri" w:cs="Calibri"/>
        </w:rPr>
        <w:t>wi</w:t>
      </w:r>
      <w:r w:rsidRPr="008A07A9">
        <w:rPr>
          <w:rFonts w:ascii="Calibri" w:hAnsi="Calibri" w:cs="Calibri"/>
        </w:rPr>
        <w:t xml:space="preserve">th no defined duration </w:t>
      </w:r>
      <w:r>
        <w:rPr>
          <w:rFonts w:ascii="Calibri" w:hAnsi="Calibri" w:cs="Calibri"/>
        </w:rPr>
        <w:t>(</w:t>
      </w:r>
      <w:r>
        <w:rPr>
          <w:rFonts w:ascii="Calibri" w:hAnsi="Calibri" w:cs="Calibri"/>
          <w:b/>
        </w:rPr>
        <w:t>Figure 18-7</w:t>
      </w:r>
      <w:r w:rsidRPr="00783C05">
        <w:rPr>
          <w:rFonts w:ascii="Calibri" w:hAnsi="Calibri" w:cs="Calibri"/>
        </w:rPr>
        <w:t>)</w:t>
      </w:r>
      <w:r>
        <w:rPr>
          <w:rFonts w:ascii="Calibri" w:hAnsi="Calibri" w:cs="Calibri"/>
          <w:b/>
        </w:rPr>
        <w:t xml:space="preserve"> </w:t>
      </w:r>
      <w:r w:rsidRPr="008A07A9">
        <w:rPr>
          <w:rFonts w:ascii="Calibri" w:hAnsi="Calibri" w:cs="Calibri"/>
        </w:rPr>
        <w:t>(</w:t>
      </w:r>
      <w:r>
        <w:rPr>
          <w:rFonts w:ascii="Calibri" w:hAnsi="Calibri" w:cs="Calibri"/>
        </w:rPr>
        <w:t>OR</w:t>
      </w:r>
      <w:r w:rsidRPr="008A07A9">
        <w:rPr>
          <w:rFonts w:ascii="Calibri" w:hAnsi="Calibri" w:cs="Calibri"/>
        </w:rPr>
        <w:t>=0.90, 95% CI: 0.73</w:t>
      </w:r>
      <w:r>
        <w:rPr>
          <w:rFonts w:ascii="Calibri" w:hAnsi="Calibri" w:cs="Calibri"/>
        </w:rPr>
        <w:t xml:space="preserve"> to</w:t>
      </w:r>
      <w:r w:rsidRPr="008A07A9">
        <w:rPr>
          <w:rFonts w:ascii="Calibri" w:hAnsi="Calibri" w:cs="Calibri"/>
        </w:rPr>
        <w:t xml:space="preserve"> 1.10, p=0.29, I</w:t>
      </w:r>
      <w:r w:rsidRPr="008A07A9">
        <w:rPr>
          <w:rFonts w:ascii="Calibri" w:hAnsi="Calibri" w:cs="Calibri"/>
          <w:vertAlign w:val="superscript"/>
        </w:rPr>
        <w:t>2</w:t>
      </w:r>
      <w:r w:rsidRPr="008A07A9">
        <w:rPr>
          <w:rFonts w:ascii="Calibri" w:hAnsi="Calibri" w:cs="Calibri"/>
        </w:rPr>
        <w:t>=7</w:t>
      </w:r>
      <w:r>
        <w:rPr>
          <w:rFonts w:ascii="Calibri" w:hAnsi="Calibri" w:cs="Calibri"/>
        </w:rPr>
        <w:t>3</w:t>
      </w:r>
      <w:r w:rsidRPr="008A07A9">
        <w:rPr>
          <w:rFonts w:ascii="Calibri" w:hAnsi="Calibri" w:cs="Calibri"/>
        </w:rPr>
        <w:t xml:space="preserve">%). </w:t>
      </w:r>
      <w:r>
        <w:rPr>
          <w:rFonts w:ascii="Calibri" w:hAnsi="Calibri" w:cs="Calibri"/>
        </w:rPr>
        <w:t>Similarly, pooled data on White study participants (</w:t>
      </w:r>
      <w:r>
        <w:rPr>
          <w:rFonts w:ascii="Calibri" w:hAnsi="Calibri" w:cs="Calibri"/>
          <w:b/>
        </w:rPr>
        <w:t>Figure 18-8</w:t>
      </w:r>
      <w:r w:rsidRPr="00766FD0">
        <w:rPr>
          <w:rFonts w:ascii="Calibri" w:hAnsi="Calibri" w:cs="Calibri"/>
        </w:rPr>
        <w:t>)</w:t>
      </w:r>
      <w:r>
        <w:rPr>
          <w:rFonts w:ascii="Calibri" w:hAnsi="Calibri" w:cs="Calibri"/>
          <w:b/>
        </w:rPr>
        <w:t xml:space="preserve"> </w:t>
      </w:r>
      <w:r>
        <w:rPr>
          <w:rFonts w:ascii="Calibri" w:hAnsi="Calibri" w:cs="Calibri"/>
        </w:rPr>
        <w:t xml:space="preserve">found no difference between menthol, versus non-menthol, use and abstinence with no defined duration </w:t>
      </w:r>
      <w:r w:rsidRPr="008A07A9">
        <w:rPr>
          <w:rFonts w:ascii="Calibri" w:hAnsi="Calibri" w:cs="Calibri"/>
        </w:rPr>
        <w:t>(</w:t>
      </w:r>
      <w:r>
        <w:rPr>
          <w:rFonts w:ascii="Calibri" w:hAnsi="Calibri" w:cs="Calibri"/>
        </w:rPr>
        <w:t>OR</w:t>
      </w:r>
      <w:r w:rsidRPr="008A07A9">
        <w:rPr>
          <w:rFonts w:ascii="Calibri" w:hAnsi="Calibri" w:cs="Calibri"/>
        </w:rPr>
        <w:t>=1.19, 95% CI: 0.83</w:t>
      </w:r>
      <w:r>
        <w:rPr>
          <w:rFonts w:ascii="Calibri" w:hAnsi="Calibri" w:cs="Calibri"/>
        </w:rPr>
        <w:t xml:space="preserve"> to</w:t>
      </w:r>
      <w:r w:rsidRPr="008A07A9">
        <w:rPr>
          <w:rFonts w:ascii="Calibri" w:hAnsi="Calibri" w:cs="Calibri"/>
        </w:rPr>
        <w:t xml:space="preserve"> 1.69, p=0.34, I</w:t>
      </w:r>
      <w:r w:rsidRPr="008A07A9">
        <w:rPr>
          <w:rFonts w:ascii="Calibri" w:hAnsi="Calibri" w:cs="Calibri"/>
          <w:vertAlign w:val="superscript"/>
        </w:rPr>
        <w:t>2</w:t>
      </w:r>
      <w:r w:rsidRPr="008A07A9">
        <w:rPr>
          <w:rFonts w:ascii="Calibri" w:hAnsi="Calibri" w:cs="Calibri"/>
        </w:rPr>
        <w:t>=98%)</w:t>
      </w:r>
      <w:r>
        <w:rPr>
          <w:rFonts w:ascii="Calibri" w:hAnsi="Calibri" w:cs="Calibri"/>
        </w:rPr>
        <w:t xml:space="preserve"> </w: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PEVuZE5vdGU+PENpdGU+PEF1dGhvcj5CbG90PC9BdXRob3I+PFllYXI+MjAxMTwvWWVhcj48UmVj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56" w:tooltip="Blot, 2011 #48" w:history="1">
        <w:r>
          <w:rPr>
            <w:rFonts w:ascii="Calibri" w:hAnsi="Calibri" w:cs="Calibri"/>
            <w:noProof/>
          </w:rPr>
          <w:t>56</w:t>
        </w:r>
      </w:hyperlink>
      <w:r>
        <w:rPr>
          <w:rFonts w:ascii="Calibri" w:hAnsi="Calibri" w:cs="Calibri"/>
          <w:noProof/>
        </w:rPr>
        <w:t xml:space="preserve">, </w:t>
      </w:r>
      <w:hyperlink w:anchor="_ENREF_57" w:tooltip="Delnevo, 2011 #42" w:history="1">
        <w:r>
          <w:rPr>
            <w:rFonts w:ascii="Calibri" w:hAnsi="Calibri" w:cs="Calibri"/>
            <w:noProof/>
          </w:rPr>
          <w:t>57</w:t>
        </w:r>
      </w:hyperlink>
      <w:r>
        <w:rPr>
          <w:rFonts w:ascii="Calibri" w:hAnsi="Calibri" w:cs="Calibri"/>
          <w:noProof/>
        </w:rPr>
        <w:t xml:space="preserve">, </w:t>
      </w:r>
      <w:hyperlink w:anchor="_ENREF_59" w:tooltip="Gundersen, 2009 #65" w:history="1">
        <w:r>
          <w:rPr>
            <w:rFonts w:ascii="Calibri" w:hAnsi="Calibri" w:cs="Calibri"/>
            <w:noProof/>
          </w:rPr>
          <w:t>59</w:t>
        </w:r>
      </w:hyperlink>
      <w:r>
        <w:rPr>
          <w:rFonts w:ascii="Calibri" w:hAnsi="Calibri" w:cs="Calibri"/>
          <w:noProof/>
        </w:rPr>
        <w:t>)</w:t>
      </w:r>
      <w:r>
        <w:rPr>
          <w:rFonts w:ascii="Calibri" w:hAnsi="Calibri" w:cs="Calibri"/>
        </w:rPr>
        <w:fldChar w:fldCharType="end"/>
      </w:r>
      <w:r w:rsidRPr="008A07A9">
        <w:rPr>
          <w:rFonts w:ascii="Calibri" w:hAnsi="Calibri" w:cs="Calibri"/>
        </w:rPr>
        <w:t xml:space="preserve">. </w:t>
      </w:r>
      <w:r>
        <w:rPr>
          <w:rFonts w:ascii="Calibri" w:hAnsi="Calibri" w:cs="Calibri"/>
        </w:rPr>
        <w:t>The heterogeneity was noted to be high, but slightly balanced by the narrow confidence intervals, for this analysis.</w:t>
      </w:r>
    </w:p>
    <w:p w14:paraId="5A1FABC6" w14:textId="77777777" w:rsidR="007F0AE0" w:rsidRDefault="007F0AE0" w:rsidP="007F0AE0">
      <w:pPr>
        <w:spacing w:after="120" w:line="240" w:lineRule="auto"/>
        <w:jc w:val="both"/>
        <w:rPr>
          <w:rFonts w:cs="Calibri"/>
        </w:rPr>
      </w:pPr>
      <w:r>
        <w:rPr>
          <w:rFonts w:ascii="Calibri" w:hAnsi="Calibri" w:cs="Calibri"/>
        </w:rPr>
        <w:lastRenderedPageBreak/>
        <w:t>Data from f</w:t>
      </w:r>
      <w:r w:rsidRPr="008A07A9">
        <w:rPr>
          <w:rFonts w:ascii="Calibri" w:hAnsi="Calibri" w:cs="Calibri"/>
        </w:rPr>
        <w:t>our</w:t>
      </w:r>
      <w:r>
        <w:rPr>
          <w:rFonts w:ascii="Calibri" w:hAnsi="Calibri" w:cs="Calibri"/>
        </w:rPr>
        <w:t xml:space="preserve"> cohort</w:t>
      </w:r>
      <w:r w:rsidRPr="008A07A9">
        <w:rPr>
          <w:rFonts w:ascii="Calibri" w:hAnsi="Calibri" w:cs="Calibri"/>
        </w:rPr>
        <w:t xml:space="preserve"> studies presented results for the association of menthol use and abstinence from smoking measured by 7-day PPA</w:t>
      </w:r>
      <w:r>
        <w:rPr>
          <w:rFonts w:ascii="Calibri" w:hAnsi="Calibri" w:cs="Calibri"/>
        </w:rPr>
        <w:t xml:space="preserve"> (</w:t>
      </w:r>
      <w:r>
        <w:rPr>
          <w:rFonts w:ascii="Calibri" w:hAnsi="Calibri" w:cs="Calibri"/>
          <w:b/>
        </w:rPr>
        <w:t>Figure 18-9</w:t>
      </w:r>
      <w:r w:rsidRPr="00766FD0">
        <w:rPr>
          <w:rFonts w:ascii="Calibri" w:hAnsi="Calibri" w:cs="Calibri"/>
        </w:rPr>
        <w:t>)</w:t>
      </w:r>
      <w:r w:rsidRPr="008A07A9">
        <w:rPr>
          <w:rFonts w:ascii="Calibri" w:hAnsi="Calibri" w:cs="Calibri"/>
        </w:rPr>
        <w:t>.</w:t>
      </w:r>
      <w:r>
        <w:rPr>
          <w:rFonts w:ascii="Calibri" w:hAnsi="Calibri" w:cs="Calibri"/>
        </w:rPr>
        <w:t xml:space="preserve"> Meta-analyses first stratified by study design: t</w:t>
      </w:r>
      <w:r w:rsidRPr="008A07A9">
        <w:rPr>
          <w:rFonts w:ascii="Calibri" w:hAnsi="Calibri" w:cs="Calibri"/>
        </w:rPr>
        <w:t>wo RCT</w:t>
      </w:r>
      <w:r>
        <w:rPr>
          <w:rFonts w:ascii="Calibri" w:hAnsi="Calibri" w:cs="Calibri"/>
        </w:rPr>
        <w:t xml:space="preserve">s </w:t>
      </w:r>
      <w:r>
        <w:rPr>
          <w:rFonts w:ascii="Calibri" w:hAnsi="Calibri" w:cs="Calibri"/>
        </w:rPr>
        <w:fldChar w:fldCharType="begin">
          <w:fldData xml:space="preserve">PEVuZE5vdGU+PENpdGU+PEF1dGhvcj5GdTwvQXV0aG9yPjxZZWFyPjIwMDg8L1llYXI+PFJlY051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</w:fldData>
        </w:fldChar>
      </w:r>
      <w:r>
        <w:rPr>
          <w:rFonts w:ascii="Calibri" w:hAnsi="Calibri" w:cs="Calibri"/>
        </w:rPr>
        <w:instrText xml:space="preserve"> ADDIN EN.CITE </w:instrText>
      </w:r>
      <w:r>
        <w:rPr>
          <w:rFonts w:ascii="Calibri" w:hAnsi="Calibri" w:cs="Calibri"/>
        </w:rPr>
        <w:fldChar w:fldCharType="begin">
          <w:fldData xml:space="preserve">PEVuZE5vdGU+PENpdGU+PEF1dGhvcj5GdTwvQXV0aG9yPjxZZWFyPjIwMDg8L1llYXI+PFJlY051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3" w:tooltip="Fu, 2008 #72" w:history="1">
        <w:r>
          <w:rPr>
            <w:rFonts w:ascii="Calibri" w:hAnsi="Calibri" w:cs="Calibri"/>
            <w:noProof/>
          </w:rPr>
          <w:t>23</w:t>
        </w:r>
      </w:hyperlink>
      <w:r>
        <w:rPr>
          <w:rFonts w:ascii="Calibri" w:hAnsi="Calibri" w:cs="Calibri"/>
          <w:noProof/>
        </w:rPr>
        <w:t xml:space="preserve">, </w:t>
      </w:r>
      <w:hyperlink w:anchor="_ENREF_62" w:tooltip="Rojewski, 2014 #22" w:history="1">
        <w:r>
          <w:rPr>
            <w:rFonts w:ascii="Calibri" w:hAnsi="Calibri" w:cs="Calibri"/>
            <w:noProof/>
          </w:rPr>
          <w:t>62</w:t>
        </w:r>
      </w:hyperlink>
      <w:r>
        <w:rPr>
          <w:rFonts w:ascii="Calibri" w:hAnsi="Calibri" w:cs="Calibri"/>
          <w:noProof/>
        </w:rPr>
        <w:t>)</w:t>
      </w:r>
      <w:r>
        <w:rPr>
          <w:rFonts w:ascii="Calibri" w:hAnsi="Calibri" w:cs="Calibri"/>
        </w:rPr>
        <w:fldChar w:fldCharType="end"/>
      </w:r>
      <w:r w:rsidRPr="008A07A9">
        <w:rPr>
          <w:rFonts w:ascii="Calibri" w:hAnsi="Calibri" w:cs="Calibri"/>
        </w:rPr>
        <w:t xml:space="preserve"> and two cohort</w:t>
      </w:r>
      <w:r>
        <w:rPr>
          <w:rFonts w:ascii="Calibri" w:hAnsi="Calibri" w:cs="Calibri"/>
        </w:rPr>
        <w:t xml:space="preserve"> studies </w:t>
      </w:r>
      <w:r>
        <w:rPr>
          <w:rFonts w:ascii="Calibri" w:hAnsi="Calibri" w:cs="Calibri"/>
        </w:rPr>
        <w:fldChar w:fldCharType="begin">
          <w:fldData xml:space="preserve">PEVuZE5vdGU+PENpdGU+PEF1dGhvcj5Gb3VsZHM8L0F1dGhvcj48WWVhcj4yMDA2PC9ZZWFyPjxS
ZWNOdW0+OTU8L1JlY051bT48RGlzcGxheVRleHQ+KDY0LCA2Nik8L0Rpc3BsYXlUZXh0PjxyZWNv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PjxBdXRob3I+U3RlaW5iZXJnPC9BdXRob3I+PFllYXI+MjAxMTwvWWVhcj48UmVjTnVtPjUwPC9S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</w:fldData>
        </w:fldChar>
      </w:r>
      <w:r>
        <w:rPr>
          <w:rFonts w:ascii="Calibri" w:hAnsi="Calibri" w:cs="Calibri"/>
        </w:rPr>
        <w:instrText xml:space="preserve"> ADDIN EN.CITE </w:instrText>
      </w:r>
      <w:r>
        <w:rPr>
          <w:rFonts w:ascii="Calibri" w:hAnsi="Calibri" w:cs="Calibri"/>
        </w:rPr>
        <w:fldChar w:fldCharType="begin">
          <w:fldData xml:space="preserve">PEVuZE5vdGU+PENpdGU+PEF1dGhvcj5Gb3VsZHM8L0F1dGhvcj48WWVhcj4yMDA2PC9ZZWFyPjxS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64" w:tooltip="Steinberg, 2011 #50" w:history="1">
        <w:r>
          <w:rPr>
            <w:rFonts w:ascii="Calibri" w:hAnsi="Calibri" w:cs="Calibri"/>
            <w:noProof/>
          </w:rPr>
          <w:t>64</w:t>
        </w:r>
      </w:hyperlink>
      <w:r>
        <w:rPr>
          <w:rFonts w:ascii="Calibri" w:hAnsi="Calibri" w:cs="Calibri"/>
          <w:noProof/>
        </w:rPr>
        <w:t xml:space="preserve">, </w:t>
      </w:r>
      <w:hyperlink w:anchor="_ENREF_66" w:tooltip="Foulds, 2006 #95" w:history="1">
        <w:r>
          <w:rPr>
            <w:rFonts w:ascii="Calibri" w:hAnsi="Calibri" w:cs="Calibri"/>
            <w:noProof/>
          </w:rPr>
          <w:t>66</w:t>
        </w:r>
      </w:hyperlink>
      <w:r>
        <w:rPr>
          <w:rFonts w:ascii="Calibri" w:hAnsi="Calibri" w:cs="Calibri"/>
          <w:noProof/>
        </w:rPr>
        <w:t>)</w:t>
      </w:r>
      <w:r>
        <w:rPr>
          <w:rFonts w:ascii="Calibri" w:hAnsi="Calibri" w:cs="Calibri"/>
        </w:rPr>
        <w:fldChar w:fldCharType="end"/>
      </w:r>
      <w:r w:rsidRPr="008A07A9">
        <w:rPr>
          <w:rFonts w:ascii="Calibri" w:hAnsi="Calibri" w:cs="Calibri"/>
        </w:rPr>
        <w:t xml:space="preserve">. Among the cohort studies, </w:t>
      </w:r>
      <w:r>
        <w:rPr>
          <w:rFonts w:ascii="Calibri" w:hAnsi="Calibri" w:cs="Calibri"/>
        </w:rPr>
        <w:t>p</w:t>
      </w:r>
      <w:r w:rsidRPr="008A07A9">
        <w:rPr>
          <w:rFonts w:ascii="Calibri" w:hAnsi="Calibri" w:cs="Calibri"/>
        </w:rPr>
        <w:t xml:space="preserve">ooled results </w:t>
      </w:r>
      <w:r>
        <w:rPr>
          <w:rFonts w:ascii="Calibri" w:hAnsi="Calibri" w:cs="Calibri"/>
        </w:rPr>
        <w:t xml:space="preserve">from </w:t>
      </w:r>
      <w:r w:rsidRPr="008A07A9">
        <w:rPr>
          <w:rFonts w:ascii="Calibri" w:hAnsi="Calibri" w:cs="Calibri"/>
        </w:rPr>
        <w:t xml:space="preserve">all four studies </w:t>
      </w:r>
      <w:r>
        <w:rPr>
          <w:rFonts w:ascii="Calibri" w:hAnsi="Calibri" w:cs="Calibri"/>
        </w:rPr>
        <w:t>found no difference between</w:t>
      </w:r>
      <w:r w:rsidRPr="008A07A9">
        <w:rPr>
          <w:rFonts w:ascii="Calibri" w:hAnsi="Calibri" w:cs="Calibri"/>
        </w:rPr>
        <w:t xml:space="preserve"> menthol</w:t>
      </w:r>
      <w:r>
        <w:rPr>
          <w:rFonts w:ascii="Calibri" w:hAnsi="Calibri" w:cs="Calibri"/>
        </w:rPr>
        <w:t xml:space="preserve">, versus </w:t>
      </w:r>
      <w:r w:rsidRPr="008A07A9">
        <w:rPr>
          <w:rFonts w:ascii="Calibri" w:hAnsi="Calibri" w:cs="Calibri"/>
        </w:rPr>
        <w:t>non-menthol</w:t>
      </w:r>
      <w:r>
        <w:rPr>
          <w:rFonts w:ascii="Calibri" w:hAnsi="Calibri" w:cs="Calibri"/>
        </w:rPr>
        <w:t>,</w:t>
      </w:r>
      <w:r w:rsidRPr="008A07A9">
        <w:rPr>
          <w:rFonts w:ascii="Calibri" w:hAnsi="Calibri" w:cs="Calibri"/>
        </w:rPr>
        <w:t xml:space="preserve"> smokers</w:t>
      </w:r>
      <w:r>
        <w:rPr>
          <w:rFonts w:ascii="Calibri" w:hAnsi="Calibri" w:cs="Calibri"/>
        </w:rPr>
        <w:t xml:space="preserve"> and the </w:t>
      </w:r>
      <w:r w:rsidRPr="008A07A9">
        <w:rPr>
          <w:rFonts w:ascii="Calibri" w:hAnsi="Calibri" w:cs="Calibri"/>
        </w:rPr>
        <w:t>odds of 7-day PPA (</w:t>
      </w:r>
      <w:r>
        <w:rPr>
          <w:rFonts w:ascii="Calibri" w:hAnsi="Calibri" w:cs="Calibri"/>
        </w:rPr>
        <w:t>OR</w:t>
      </w:r>
      <w:r w:rsidRPr="008A07A9">
        <w:rPr>
          <w:rFonts w:ascii="Calibri" w:hAnsi="Calibri" w:cs="Calibri"/>
        </w:rPr>
        <w:t>=0.88, 95% CI: 0.59</w:t>
      </w:r>
      <w:r>
        <w:rPr>
          <w:rFonts w:ascii="Calibri" w:hAnsi="Calibri" w:cs="Calibri"/>
        </w:rPr>
        <w:t xml:space="preserve"> to</w:t>
      </w:r>
      <w:r w:rsidRPr="008A07A9">
        <w:rPr>
          <w:rFonts w:ascii="Calibri" w:hAnsi="Calibri" w:cs="Calibri"/>
        </w:rPr>
        <w:t xml:space="preserve"> 1.30, p=0.52, I</w:t>
      </w:r>
      <w:r w:rsidRPr="008A07A9">
        <w:rPr>
          <w:rFonts w:ascii="Calibri" w:hAnsi="Calibri" w:cs="Calibri"/>
          <w:vertAlign w:val="superscript"/>
        </w:rPr>
        <w:t>2</w:t>
      </w:r>
      <w:r w:rsidRPr="008A07A9">
        <w:rPr>
          <w:rFonts w:ascii="Calibri" w:hAnsi="Calibri" w:cs="Calibri"/>
        </w:rPr>
        <w:t xml:space="preserve">=70%). </w:t>
      </w:r>
      <w:r>
        <w:rPr>
          <w:rFonts w:ascii="Calibri" w:hAnsi="Calibri" w:cs="Calibri"/>
        </w:rPr>
        <w:t xml:space="preserve">Pooled </w:t>
      </w:r>
      <w:r w:rsidRPr="008A07A9">
        <w:rPr>
          <w:rFonts w:ascii="Calibri" w:hAnsi="Calibri" w:cs="Calibri"/>
        </w:rPr>
        <w:t xml:space="preserve">results </w:t>
      </w:r>
      <w:r>
        <w:rPr>
          <w:rFonts w:ascii="Calibri" w:hAnsi="Calibri" w:cs="Calibri"/>
        </w:rPr>
        <w:t>from</w:t>
      </w:r>
      <w:r w:rsidRPr="008A07A9">
        <w:rPr>
          <w:rFonts w:ascii="Calibri" w:hAnsi="Calibri" w:cs="Calibri"/>
        </w:rPr>
        <w:t xml:space="preserve"> longitudinal studies alone and RCT studies alone </w:t>
      </w:r>
      <w:r>
        <w:rPr>
          <w:rFonts w:ascii="Calibri" w:hAnsi="Calibri" w:cs="Calibri"/>
        </w:rPr>
        <w:t xml:space="preserve">also found no difference </w:t>
      </w:r>
      <w:r w:rsidRPr="008A07A9">
        <w:rPr>
          <w:rFonts w:ascii="Calibri" w:hAnsi="Calibri" w:cs="Calibri"/>
        </w:rPr>
        <w:t xml:space="preserve">(cohort: </w:t>
      </w:r>
      <w:r>
        <w:rPr>
          <w:rFonts w:ascii="Calibri" w:hAnsi="Calibri" w:cs="Calibri"/>
        </w:rPr>
        <w:t>OR</w:t>
      </w:r>
      <w:r w:rsidRPr="008A07A9">
        <w:rPr>
          <w:rFonts w:ascii="Calibri" w:hAnsi="Calibri" w:cs="Calibri"/>
        </w:rPr>
        <w:t>=0.83, 95% CI: 0.61</w:t>
      </w:r>
      <w:r>
        <w:rPr>
          <w:rFonts w:ascii="Calibri" w:hAnsi="Calibri" w:cs="Calibri"/>
        </w:rPr>
        <w:t xml:space="preserve"> to</w:t>
      </w:r>
      <w:r w:rsidRPr="008A07A9">
        <w:rPr>
          <w:rFonts w:ascii="Calibri" w:hAnsi="Calibri" w:cs="Calibri"/>
        </w:rPr>
        <w:t xml:space="preserve"> 1.14, p=0.25, I</w:t>
      </w:r>
      <w:r w:rsidRPr="008A07A9">
        <w:rPr>
          <w:rFonts w:ascii="Calibri" w:hAnsi="Calibri" w:cs="Calibri"/>
          <w:vertAlign w:val="superscript"/>
        </w:rPr>
        <w:t>2</w:t>
      </w:r>
      <w:r w:rsidRPr="008A07A9">
        <w:rPr>
          <w:rFonts w:ascii="Calibri" w:hAnsi="Calibri" w:cs="Calibri"/>
        </w:rPr>
        <w:t xml:space="preserve">=30%; RCT: </w:t>
      </w:r>
      <w:r>
        <w:rPr>
          <w:rFonts w:ascii="Calibri" w:hAnsi="Calibri" w:cs="Calibri"/>
        </w:rPr>
        <w:t>OR</w:t>
      </w:r>
      <w:r w:rsidRPr="008A07A9">
        <w:rPr>
          <w:rFonts w:ascii="Calibri" w:hAnsi="Calibri" w:cs="Calibri"/>
        </w:rPr>
        <w:t>=0.78, 95% CI: 0.25</w:t>
      </w:r>
      <w:r>
        <w:rPr>
          <w:rFonts w:ascii="Calibri" w:hAnsi="Calibri" w:cs="Calibri"/>
        </w:rPr>
        <w:t xml:space="preserve"> to</w:t>
      </w:r>
      <w:r w:rsidRPr="008A07A9">
        <w:rPr>
          <w:rFonts w:ascii="Calibri" w:hAnsi="Calibri" w:cs="Calibri"/>
        </w:rPr>
        <w:t xml:space="preserve"> 2.45, p=0.67, I</w:t>
      </w:r>
      <w:r w:rsidRPr="008A07A9">
        <w:rPr>
          <w:rFonts w:ascii="Calibri" w:hAnsi="Calibri" w:cs="Calibri"/>
          <w:vertAlign w:val="superscript"/>
        </w:rPr>
        <w:t>2</w:t>
      </w:r>
      <w:r w:rsidRPr="008A07A9">
        <w:rPr>
          <w:rFonts w:ascii="Calibri" w:hAnsi="Calibri" w:cs="Calibri"/>
        </w:rPr>
        <w:t>=84%). Test for subgroup difference showed low heterogeneity (I</w:t>
      </w:r>
      <w:r w:rsidRPr="008A07A9">
        <w:rPr>
          <w:rFonts w:ascii="Calibri" w:hAnsi="Calibri" w:cs="Calibri"/>
          <w:vertAlign w:val="superscript"/>
        </w:rPr>
        <w:t>2</w:t>
      </w:r>
      <w:r>
        <w:rPr>
          <w:rFonts w:ascii="Calibri" w:hAnsi="Calibri" w:cs="Calibri"/>
        </w:rPr>
        <w:t>=0%).</w:t>
      </w:r>
    </w:p>
    <w:p w14:paraId="0C0DA3A6" w14:textId="77777777" w:rsidR="007F0AE0" w:rsidRDefault="007F0AE0" w:rsidP="007F0AE0">
      <w:pPr>
        <w:spacing w:after="120" w:line="240" w:lineRule="auto"/>
        <w:jc w:val="both"/>
        <w:rPr>
          <w:rFonts w:cs="Calibri"/>
        </w:rPr>
      </w:pPr>
      <w:r>
        <w:rPr>
          <w:rFonts w:cs="Calibri"/>
        </w:rPr>
        <w:t>When pooling results across f</w:t>
      </w:r>
      <w:r w:rsidRPr="00D203D4">
        <w:rPr>
          <w:rFonts w:cs="Calibri"/>
        </w:rPr>
        <w:t>our</w:t>
      </w:r>
      <w:r w:rsidRPr="008A07A9">
        <w:rPr>
          <w:rFonts w:ascii="Calibri" w:hAnsi="Calibri" w:cs="Calibri"/>
        </w:rPr>
        <w:t xml:space="preserve"> studies </w:t>
      </w:r>
      <w:r>
        <w:rPr>
          <w:rFonts w:ascii="Calibri" w:hAnsi="Calibri" w:cs="Calibri"/>
        </w:rPr>
        <w:t>reporting on</w:t>
      </w:r>
      <w:r w:rsidRPr="008A07A9">
        <w:rPr>
          <w:rFonts w:ascii="Calibri" w:hAnsi="Calibri" w:cs="Calibri"/>
        </w:rPr>
        <w:t xml:space="preserve"> the association of menthol use and 7-day PPA among Black participants</w:t>
      </w:r>
      <w:r>
        <w:rPr>
          <w:rFonts w:ascii="Calibri" w:hAnsi="Calibri" w:cs="Calibri"/>
        </w:rPr>
        <w:t xml:space="preserve"> (</w:t>
      </w:r>
      <w:r>
        <w:rPr>
          <w:rFonts w:ascii="Calibri" w:hAnsi="Calibri" w:cs="Calibri"/>
          <w:b/>
        </w:rPr>
        <w:t>Figure 18-10</w:t>
      </w:r>
      <w:r w:rsidRPr="007161C0">
        <w:rPr>
          <w:rFonts w:ascii="Calibri" w:hAnsi="Calibri" w:cs="Calibri"/>
        </w:rPr>
        <w:t>)</w:t>
      </w:r>
      <w:r>
        <w:rPr>
          <w:rFonts w:ascii="Calibri" w:hAnsi="Calibri" w:cs="Calibri"/>
          <w:b/>
        </w:rPr>
        <w:t xml:space="preserve"> </w:t>
      </w:r>
      <w:r>
        <w:rPr>
          <w:rFonts w:ascii="Calibri" w:hAnsi="Calibri" w:cs="Calibri"/>
        </w:rPr>
        <w:fldChar w:fldCharType="begin">
          <w:fldData xml:space="preserve">PEVuZE5vdGU+PENpdGU+PEF1dGhvcj5GYXNlcnU8L0F1dGhvcj48WWVhcj4yMDEzPC9ZZWFyPjxS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</w:fldData>
        </w:fldChar>
      </w:r>
      <w:r>
        <w:rPr>
          <w:rFonts w:ascii="Calibri" w:hAnsi="Calibri" w:cs="Calibri"/>
        </w:rPr>
        <w:instrText xml:space="preserve"> ADDIN EN.CITE </w:instrText>
      </w:r>
      <w:r>
        <w:rPr>
          <w:rFonts w:ascii="Calibri" w:hAnsi="Calibri" w:cs="Calibri"/>
        </w:rPr>
        <w:fldChar w:fldCharType="begin">
          <w:fldData xml:space="preserve">PEVuZE5vdGU+PENpdGU+PEF1dGhvcj5GYXNlcnU8L0F1dGhvcj48WWVhcj4yMDEzPC9ZZWFyPjxS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24" w:tooltip="Okuyemi, 2007 #74" w:history="1">
        <w:r>
          <w:rPr>
            <w:rFonts w:ascii="Calibri" w:hAnsi="Calibri" w:cs="Calibri"/>
            <w:noProof/>
          </w:rPr>
          <w:t>24</w:t>
        </w:r>
      </w:hyperlink>
      <w:r>
        <w:rPr>
          <w:rFonts w:ascii="Calibri" w:hAnsi="Calibri" w:cs="Calibri"/>
          <w:noProof/>
        </w:rPr>
        <w:t xml:space="preserve">, </w:t>
      </w:r>
      <w:hyperlink w:anchor="_ENREF_27" w:tooltip="Faseru, 2013 #29" w:history="1">
        <w:r>
          <w:rPr>
            <w:rFonts w:ascii="Calibri" w:hAnsi="Calibri" w:cs="Calibri"/>
            <w:noProof/>
          </w:rPr>
          <w:t>27</w:t>
        </w:r>
      </w:hyperlink>
      <w:r>
        <w:rPr>
          <w:rFonts w:ascii="Calibri" w:hAnsi="Calibri" w:cs="Calibri"/>
          <w:noProof/>
        </w:rPr>
        <w:t xml:space="preserve">, </w:t>
      </w:r>
      <w:hyperlink w:anchor="_ENREF_47" w:tooltip="Gandhi, 2009 #67" w:history="1">
        <w:r>
          <w:rPr>
            <w:rFonts w:ascii="Calibri" w:hAnsi="Calibri" w:cs="Calibri"/>
            <w:noProof/>
          </w:rPr>
          <w:t>47</w:t>
        </w:r>
      </w:hyperlink>
      <w:r>
        <w:rPr>
          <w:rFonts w:ascii="Calibri" w:hAnsi="Calibri" w:cs="Calibri"/>
          <w:noProof/>
        </w:rPr>
        <w:t xml:space="preserve">, </w:t>
      </w:r>
      <w:hyperlink w:anchor="_ENREF_49" w:tooltip="Okuyemi, 2003 #85" w:history="1">
        <w:r>
          <w:rPr>
            <w:rFonts w:ascii="Calibri" w:hAnsi="Calibri" w:cs="Calibri"/>
            <w:noProof/>
          </w:rPr>
          <w:t>49</w:t>
        </w:r>
      </w:hyperlink>
      <w:r>
        <w:rPr>
          <w:rFonts w:ascii="Calibri" w:hAnsi="Calibri" w:cs="Calibri"/>
          <w:noProof/>
        </w:rPr>
        <w:t>)</w:t>
      </w:r>
      <w:r>
        <w:rPr>
          <w:rFonts w:ascii="Calibri" w:hAnsi="Calibri" w:cs="Calibri"/>
        </w:rPr>
        <w:fldChar w:fldCharType="end"/>
      </w:r>
      <w:r>
        <w:rPr>
          <w:rFonts w:ascii="Calibri" w:hAnsi="Calibri" w:cs="Calibri"/>
        </w:rPr>
        <w:t>, r</w:t>
      </w:r>
      <w:r w:rsidRPr="008A07A9">
        <w:rPr>
          <w:rFonts w:ascii="Calibri" w:hAnsi="Calibri" w:cs="Calibri"/>
        </w:rPr>
        <w:t xml:space="preserve">esults showed </w:t>
      </w:r>
      <w:r>
        <w:rPr>
          <w:rFonts w:ascii="Calibri" w:hAnsi="Calibri" w:cs="Calibri"/>
        </w:rPr>
        <w:t xml:space="preserve">a statistically significantly lower </w:t>
      </w:r>
      <w:r w:rsidRPr="008A07A9">
        <w:rPr>
          <w:rFonts w:ascii="Calibri" w:hAnsi="Calibri" w:cs="Calibri"/>
        </w:rPr>
        <w:t>odds for Black menthol</w:t>
      </w:r>
      <w:r>
        <w:rPr>
          <w:rFonts w:ascii="Calibri" w:hAnsi="Calibri" w:cs="Calibri"/>
        </w:rPr>
        <w:t>, versus non-menthol,</w:t>
      </w:r>
      <w:r w:rsidRPr="008A07A9">
        <w:rPr>
          <w:rFonts w:ascii="Calibri" w:hAnsi="Calibri" w:cs="Calibri"/>
        </w:rPr>
        <w:t xml:space="preserve"> smokers </w:t>
      </w:r>
      <w:r>
        <w:rPr>
          <w:rFonts w:ascii="Calibri" w:hAnsi="Calibri" w:cs="Calibri"/>
        </w:rPr>
        <w:t>to report</w:t>
      </w:r>
      <w:r w:rsidRPr="008A07A9">
        <w:rPr>
          <w:rFonts w:ascii="Calibri" w:hAnsi="Calibri" w:cs="Calibri"/>
        </w:rPr>
        <w:t xml:space="preserve"> 7-day PPA  (</w:t>
      </w:r>
      <w:r>
        <w:rPr>
          <w:rFonts w:ascii="Calibri" w:hAnsi="Calibri" w:cs="Calibri"/>
        </w:rPr>
        <w:t>OR</w:t>
      </w:r>
      <w:r w:rsidRPr="008A07A9">
        <w:rPr>
          <w:rFonts w:ascii="Calibri" w:hAnsi="Calibri" w:cs="Calibri"/>
        </w:rPr>
        <w:t>=0.52, 95% CI: 0.38</w:t>
      </w:r>
      <w:r>
        <w:rPr>
          <w:rFonts w:ascii="Calibri" w:hAnsi="Calibri" w:cs="Calibri"/>
        </w:rPr>
        <w:t xml:space="preserve"> to</w:t>
      </w:r>
      <w:r w:rsidRPr="008A07A9">
        <w:rPr>
          <w:rFonts w:ascii="Calibri" w:hAnsi="Calibri" w:cs="Calibri"/>
        </w:rPr>
        <w:t xml:space="preserve"> 0.70, p&lt;0.0001, I</w:t>
      </w:r>
      <w:r w:rsidRPr="008A07A9">
        <w:rPr>
          <w:rFonts w:ascii="Calibri" w:hAnsi="Calibri" w:cs="Calibri"/>
          <w:vertAlign w:val="superscript"/>
        </w:rPr>
        <w:t>2</w:t>
      </w:r>
      <w:r w:rsidRPr="008A07A9">
        <w:rPr>
          <w:rFonts w:ascii="Calibri" w:hAnsi="Calibri" w:cs="Calibri"/>
        </w:rPr>
        <w:t>=0).</w:t>
      </w:r>
    </w:p>
    <w:p w14:paraId="024BCD2F" w14:textId="77777777" w:rsidR="007F0AE0" w:rsidRPr="008A07A9" w:rsidRDefault="007F0AE0" w:rsidP="007F0AE0">
      <w:pPr>
        <w:spacing w:after="240" w:line="240" w:lineRule="auto"/>
        <w:jc w:val="both"/>
        <w:rPr>
          <w:rFonts w:ascii="Calibri" w:hAnsi="Calibri" w:cs="Calibri"/>
        </w:rPr>
      </w:pPr>
      <w:r w:rsidRPr="008A07A9">
        <w:rPr>
          <w:rFonts w:ascii="Calibri" w:hAnsi="Calibri" w:cs="Calibri"/>
        </w:rPr>
        <w:t>A sensitivity analysis was conducted for eCO verified 7-day PPA</w:t>
      </w:r>
      <w:r>
        <w:rPr>
          <w:rFonts w:ascii="Calibri" w:hAnsi="Calibri" w:cs="Calibri"/>
        </w:rPr>
        <w:t xml:space="preserve"> (≤10ppm)</w:t>
      </w:r>
      <w:r w:rsidRPr="008A07A9">
        <w:rPr>
          <w:rFonts w:ascii="Calibri" w:hAnsi="Calibri" w:cs="Calibri"/>
        </w:rPr>
        <w:t xml:space="preserve"> with two studies</w:t>
      </w:r>
      <w:r>
        <w:rPr>
          <w:rFonts w:ascii="Calibri" w:hAnsi="Calibri" w:cs="Calibri"/>
        </w:rPr>
        <w:t xml:space="preserve"> </w:t>
      </w:r>
      <w:r>
        <w:rPr>
          <w:rFonts w:ascii="Calibri" w:hAnsi="Calibri" w:cs="Calibri"/>
        </w:rPr>
        <w:fldChar w:fldCharType="begin">
          <w:fldData xml:space="preserve">PEVuZE5vdGU+PENpdGU+PEF1dGhvcj5Sb2pld3NraTwvQXV0aG9yPjxZZWFyPjIwMTQ8L1llYXI+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</w:fldData>
        </w:fldChar>
      </w:r>
      <w:r>
        <w:rPr>
          <w:rFonts w:ascii="Calibri" w:hAnsi="Calibri" w:cs="Calibri"/>
        </w:rPr>
        <w:instrText xml:space="preserve"> ADDIN EN.CITE </w:instrText>
      </w:r>
      <w:r>
        <w:rPr>
          <w:rFonts w:ascii="Calibri" w:hAnsi="Calibri" w:cs="Calibri"/>
        </w:rPr>
        <w:fldChar w:fldCharType="begin">
          <w:fldData xml:space="preserve">PEVuZE5vdGU+PENpdGU+PEF1dGhvcj5Sb2pld3NraTwvQXV0aG9yPjxZZWFyPjIwMTQ8L1llYXI+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fldChar w:fldCharType="separate"/>
      </w:r>
      <w:r>
        <w:rPr>
          <w:rFonts w:ascii="Calibri" w:hAnsi="Calibri" w:cs="Calibri"/>
          <w:noProof/>
        </w:rPr>
        <w:t>(</w:t>
      </w:r>
      <w:hyperlink w:anchor="_ENREF_62" w:tooltip="Rojewski, 2014 #22" w:history="1">
        <w:r>
          <w:rPr>
            <w:rFonts w:ascii="Calibri" w:hAnsi="Calibri" w:cs="Calibri"/>
            <w:noProof/>
          </w:rPr>
          <w:t>62</w:t>
        </w:r>
      </w:hyperlink>
      <w:r>
        <w:rPr>
          <w:rFonts w:ascii="Calibri" w:hAnsi="Calibri" w:cs="Calibri"/>
          <w:noProof/>
        </w:rPr>
        <w:t xml:space="preserve">, </w:t>
      </w:r>
      <w:hyperlink w:anchor="_ENREF_64" w:tooltip="Steinberg, 2011 #50" w:history="1">
        <w:r>
          <w:rPr>
            <w:rFonts w:ascii="Calibri" w:hAnsi="Calibri" w:cs="Calibri"/>
            <w:noProof/>
          </w:rPr>
          <w:t>64</w:t>
        </w:r>
      </w:hyperlink>
      <w:r>
        <w:rPr>
          <w:rFonts w:ascii="Calibri" w:hAnsi="Calibri" w:cs="Calibri"/>
          <w:noProof/>
        </w:rPr>
        <w:t>)</w:t>
      </w:r>
      <w:r>
        <w:rPr>
          <w:rFonts w:ascii="Calibri" w:hAnsi="Calibri" w:cs="Calibri"/>
        </w:rPr>
        <w:fldChar w:fldCharType="end"/>
      </w:r>
      <w:r>
        <w:rPr>
          <w:rFonts w:ascii="Calibri" w:hAnsi="Calibri" w:cs="Calibri"/>
        </w:rPr>
        <w:t xml:space="preserve"> (</w:t>
      </w:r>
      <w:r>
        <w:rPr>
          <w:rFonts w:ascii="Calibri" w:hAnsi="Calibri" w:cs="Calibri"/>
          <w:b/>
        </w:rPr>
        <w:t>Figure 18-11</w:t>
      </w:r>
      <w:r w:rsidRPr="009A4A5C">
        <w:rPr>
          <w:rFonts w:ascii="Calibri" w:hAnsi="Calibri" w:cs="Calibri"/>
        </w:rPr>
        <w:t>)</w:t>
      </w:r>
      <w:r w:rsidRPr="008A07A9">
        <w:rPr>
          <w:rFonts w:ascii="Calibri" w:hAnsi="Calibri" w:cs="Calibri"/>
        </w:rPr>
        <w:t xml:space="preserve">. Meta-analysis result showed </w:t>
      </w:r>
      <w:r>
        <w:rPr>
          <w:rFonts w:ascii="Calibri" w:hAnsi="Calibri" w:cs="Calibri"/>
        </w:rPr>
        <w:t xml:space="preserve">no difference between menthol and non-menthol smokers for </w:t>
      </w:r>
      <w:r w:rsidRPr="008A07A9">
        <w:rPr>
          <w:rFonts w:ascii="Calibri" w:hAnsi="Calibri" w:cs="Calibri"/>
        </w:rPr>
        <w:t>the odds for eCO verified 7-Day PPA (</w:t>
      </w:r>
      <w:r>
        <w:rPr>
          <w:rFonts w:ascii="Calibri" w:hAnsi="Calibri" w:cs="Calibri"/>
        </w:rPr>
        <w:t>OR</w:t>
      </w:r>
      <w:r w:rsidRPr="008A07A9">
        <w:rPr>
          <w:rFonts w:ascii="Calibri" w:hAnsi="Calibri" w:cs="Calibri"/>
        </w:rPr>
        <w:t>=0.70, 95% CI: 0.28</w:t>
      </w:r>
      <w:r>
        <w:rPr>
          <w:rFonts w:ascii="Calibri" w:hAnsi="Calibri" w:cs="Calibri"/>
        </w:rPr>
        <w:t xml:space="preserve"> to</w:t>
      </w:r>
      <w:r w:rsidRPr="008A07A9">
        <w:rPr>
          <w:rFonts w:ascii="Calibri" w:hAnsi="Calibri" w:cs="Calibri"/>
        </w:rPr>
        <w:t xml:space="preserve"> 1.70, p=0.42, I</w:t>
      </w:r>
      <w:r w:rsidRPr="008A07A9">
        <w:rPr>
          <w:rFonts w:ascii="Calibri" w:hAnsi="Calibri" w:cs="Calibri"/>
          <w:vertAlign w:val="superscript"/>
        </w:rPr>
        <w:t>2</w:t>
      </w:r>
      <w:r w:rsidRPr="008A07A9">
        <w:rPr>
          <w:rFonts w:ascii="Calibri" w:hAnsi="Calibri" w:cs="Calibri"/>
        </w:rPr>
        <w:t>=71%</w:t>
      </w:r>
      <w:r>
        <w:rPr>
          <w:rFonts w:ascii="Calibri" w:hAnsi="Calibri" w:cs="Calibri"/>
        </w:rPr>
        <w:t>)</w:t>
      </w:r>
      <w:r w:rsidRPr="008A07A9">
        <w:rPr>
          <w:rFonts w:ascii="Calibri" w:hAnsi="Calibri" w:cs="Calibri"/>
        </w:rPr>
        <w:t>.</w:t>
      </w:r>
    </w:p>
    <w:p w14:paraId="310B2831" w14:textId="77777777" w:rsidR="007F0AE0" w:rsidRDefault="007F0AE0" w:rsidP="007F0AE0">
      <w:pPr>
        <w:spacing w:after="120" w:line="240" w:lineRule="auto"/>
        <w:outlineLvl w:val="2"/>
        <w:rPr>
          <w:rFonts w:ascii="Calibri" w:hAnsi="Calibri" w:cs="Calibri"/>
          <w:b/>
        </w:rPr>
      </w:pP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w:t>
      </w:r>
      <w:r w:rsidRPr="00D0235E">
        <w:rPr>
          <w:rFonts w:ascii="Calibri" w:hAnsi="Calibri" w:cs="Calibri"/>
          <w:b/>
        </w:rPr>
        <w:t>1: Forrest plot, Past Year Quit Attempts among Menthol Smokers Compared to Non-Menthol Smokers</w:t>
      </w:r>
    </w:p>
    <w:p w14:paraId="1411A869" w14:textId="77777777" w:rsidR="007F0AE0" w:rsidRPr="008A07A9" w:rsidRDefault="007F0AE0" w:rsidP="007F0AE0">
      <w:pPr>
        <w:rPr>
          <w:rFonts w:ascii="Calibri" w:hAnsi="Calibri" w:cs="Calibri"/>
        </w:rPr>
      </w:pPr>
      <w:r w:rsidRPr="008A07A9">
        <w:rPr>
          <w:rFonts w:ascii="Calibri" w:hAnsi="Calibri" w:cs="Calibri"/>
          <w:noProof/>
          <w:lang w:val="en-GB" w:eastAsia="en-GB"/>
        </w:rPr>
        <w:drawing>
          <wp:inline distT="0" distB="0" distL="0" distR="0" wp14:anchorId="6F9DE124" wp14:editId="16D31BB1">
            <wp:extent cx="5797353" cy="1341262"/>
            <wp:effectExtent l="0" t="0" r="0" b="5080"/>
            <wp:docPr id="16" name="Picture 16" descr="cid:image001.png@01D4F9E5.D3A5E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F9E5.D3A5EA4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5811000" cy="1344419"/>
                    </a:xfrm>
                    <a:prstGeom prst="rect">
                      <a:avLst/>
                    </a:prstGeom>
                    <a:noFill/>
                    <a:ln>
                      <a:noFill/>
                    </a:ln>
                  </pic:spPr>
                </pic:pic>
              </a:graphicData>
            </a:graphic>
          </wp:inline>
        </w:drawing>
      </w:r>
    </w:p>
    <w:p w14:paraId="04768F00" w14:textId="77777777" w:rsidR="007F0AE0" w:rsidRDefault="007F0AE0" w:rsidP="007F0AE0">
      <w:pPr>
        <w:spacing w:after="120" w:line="240" w:lineRule="auto"/>
        <w:outlineLvl w:val="2"/>
        <w:rPr>
          <w:rFonts w:ascii="Calibri" w:hAnsi="Calibri" w:cs="Calibri"/>
          <w:b/>
        </w:rPr>
      </w:pPr>
      <w:bookmarkStart w:id="182" w:name="Fig15_1a"/>
      <w:bookmarkStart w:id="183" w:name="Fig15_1"/>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18-2</w:t>
      </w:r>
      <w:r w:rsidRPr="00D0235E">
        <w:rPr>
          <w:rFonts w:ascii="Calibri" w:hAnsi="Calibri" w:cs="Calibri"/>
          <w:b/>
        </w:rPr>
        <w:t xml:space="preserve">: Forrest plot, </w:t>
      </w:r>
      <w:r>
        <w:rPr>
          <w:rFonts w:ascii="Calibri" w:hAnsi="Calibri" w:cs="Calibri"/>
          <w:b/>
        </w:rPr>
        <w:t>Ever</w:t>
      </w:r>
      <w:r w:rsidRPr="00D0235E">
        <w:rPr>
          <w:rFonts w:ascii="Calibri" w:hAnsi="Calibri" w:cs="Calibri"/>
          <w:b/>
        </w:rPr>
        <w:t xml:space="preserve"> Quit Attempts among Menthol Smokers Compared to Non-Menthol Smokers</w:t>
      </w:r>
    </w:p>
    <w:bookmarkEnd w:id="182"/>
    <w:p w14:paraId="5358B815" w14:textId="77777777" w:rsidR="007F0AE0" w:rsidRDefault="007F0AE0" w:rsidP="007F0AE0">
      <w:r w:rsidRPr="005C118B">
        <w:rPr>
          <w:noProof/>
          <w:lang w:val="en-GB" w:eastAsia="en-GB"/>
        </w:rPr>
        <w:drawing>
          <wp:inline distT="0" distB="0" distL="0" distR="0" wp14:anchorId="3BDA0149" wp14:editId="357018E6">
            <wp:extent cx="6126480" cy="1011555"/>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26480" cy="1011555"/>
                    </a:xfrm>
                    <a:prstGeom prst="rect">
                      <a:avLst/>
                    </a:prstGeom>
                  </pic:spPr>
                </pic:pic>
              </a:graphicData>
            </a:graphic>
          </wp:inline>
        </w:drawing>
      </w:r>
    </w:p>
    <w:p w14:paraId="0D9AE99B" w14:textId="77777777" w:rsidR="007F0AE0" w:rsidRPr="00D0235E" w:rsidRDefault="007F0AE0" w:rsidP="007F0AE0">
      <w:pPr>
        <w:spacing w:after="120" w:line="240" w:lineRule="auto"/>
        <w:outlineLvl w:val="2"/>
        <w:rPr>
          <w:rFonts w:ascii="Calibri" w:hAnsi="Calibri" w:cs="Calibri"/>
          <w:b/>
        </w:rPr>
      </w:pPr>
      <w:bookmarkStart w:id="184" w:name="Fig15_2"/>
      <w:r w:rsidRPr="00D0235E">
        <w:rPr>
          <w:rFonts w:ascii="Calibri" w:hAnsi="Calibri" w:cs="Calibri"/>
          <w:b/>
        </w:rPr>
        <w:t xml:space="preserve">Figure </w:t>
      </w:r>
      <w:r>
        <w:rPr>
          <w:rFonts w:ascii="Calibri" w:hAnsi="Calibri" w:cs="Calibri"/>
          <w:b/>
        </w:rPr>
        <w:t>18-3</w:t>
      </w:r>
      <w:r w:rsidRPr="00D0235E">
        <w:rPr>
          <w:rFonts w:ascii="Calibri" w:hAnsi="Calibri" w:cs="Calibri"/>
          <w:b/>
        </w:rPr>
        <w:t>: Forrest plot, Sub-Group Analysis for Past Year and Ever Quit Attempts among Menthol Smokers Compared to Non-Menthol Smokers</w:t>
      </w:r>
    </w:p>
    <w:bookmarkEnd w:id="183"/>
    <w:bookmarkEnd w:id="184"/>
    <w:p w14:paraId="0B0088F9" w14:textId="77777777" w:rsidR="007F0AE0" w:rsidRPr="00D0235E" w:rsidRDefault="007F0AE0" w:rsidP="007F0AE0">
      <w:pPr>
        <w:rPr>
          <w:rFonts w:ascii="Calibri" w:hAnsi="Calibri" w:cs="Calibri"/>
          <w:sz w:val="24"/>
          <w:szCs w:val="24"/>
        </w:rPr>
      </w:pPr>
      <w:r w:rsidRPr="00D0235E">
        <w:rPr>
          <w:rFonts w:ascii="Calibri" w:hAnsi="Calibri" w:cs="Calibri"/>
          <w:noProof/>
          <w:sz w:val="24"/>
          <w:szCs w:val="24"/>
          <w:lang w:val="en-GB" w:eastAsia="en-GB"/>
        </w:rPr>
        <w:lastRenderedPageBreak/>
        <w:drawing>
          <wp:inline distT="0" distB="0" distL="0" distR="0" wp14:anchorId="2877FF0E" wp14:editId="1E808B36">
            <wp:extent cx="5943600" cy="2340384"/>
            <wp:effectExtent l="0" t="0" r="0" b="3175"/>
            <wp:docPr id="20" name="Picture 20" descr="C:\Users\User\Desktop\April 24 work\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April 24 work\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340384"/>
                    </a:xfrm>
                    <a:prstGeom prst="rect">
                      <a:avLst/>
                    </a:prstGeom>
                    <a:noFill/>
                    <a:ln>
                      <a:noFill/>
                    </a:ln>
                  </pic:spPr>
                </pic:pic>
              </a:graphicData>
            </a:graphic>
          </wp:inline>
        </w:drawing>
      </w:r>
    </w:p>
    <w:p w14:paraId="2E936BA2" w14:textId="77777777" w:rsidR="007F0AE0" w:rsidRDefault="007F0AE0" w:rsidP="007F0AE0">
      <w:pPr>
        <w:spacing w:after="120" w:line="240" w:lineRule="auto"/>
        <w:outlineLvl w:val="2"/>
        <w:rPr>
          <w:rFonts w:ascii="Calibri" w:hAnsi="Calibri" w:cs="Calibri"/>
          <w:b/>
        </w:rPr>
      </w:pPr>
      <w:bookmarkStart w:id="185" w:name="Fig15_3"/>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18-4</w:t>
      </w:r>
      <w:r w:rsidRPr="00D0235E">
        <w:rPr>
          <w:rFonts w:ascii="Calibri" w:hAnsi="Calibri" w:cs="Calibri"/>
          <w:b/>
        </w:rPr>
        <w:t>: Forrest plot, Ever Quit Attempts among Black Respondents</w:t>
      </w:r>
      <w:bookmarkEnd w:id="185"/>
    </w:p>
    <w:p w14:paraId="68950203" w14:textId="77777777" w:rsidR="007F0AE0" w:rsidRPr="00D0235E" w:rsidRDefault="007F0AE0" w:rsidP="007F0AE0">
      <w:pPr>
        <w:rPr>
          <w:rFonts w:ascii="Calibri" w:hAnsi="Calibri" w:cs="Calibri"/>
        </w:rPr>
      </w:pPr>
      <w:r w:rsidRPr="00D0235E">
        <w:rPr>
          <w:rFonts w:ascii="Calibri" w:hAnsi="Calibri" w:cs="Calibri"/>
          <w:noProof/>
          <w:lang w:val="en-GB" w:eastAsia="en-GB"/>
        </w:rPr>
        <w:drawing>
          <wp:inline distT="0" distB="0" distL="0" distR="0" wp14:anchorId="44696943" wp14:editId="1AF81698">
            <wp:extent cx="5943600" cy="923642"/>
            <wp:effectExtent l="0" t="0" r="0" b="0"/>
            <wp:docPr id="21" name="Picture 21" descr="cid:image002.png@01D4FA16.9C298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png@01D4FA16.9C298BE0"/>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5943600" cy="923642"/>
                    </a:xfrm>
                    <a:prstGeom prst="rect">
                      <a:avLst/>
                    </a:prstGeom>
                    <a:noFill/>
                    <a:ln>
                      <a:noFill/>
                    </a:ln>
                  </pic:spPr>
                </pic:pic>
              </a:graphicData>
            </a:graphic>
          </wp:inline>
        </w:drawing>
      </w:r>
    </w:p>
    <w:p w14:paraId="377B16F7" w14:textId="77777777" w:rsidR="007F0AE0" w:rsidRDefault="007F0AE0" w:rsidP="007F0AE0">
      <w:pPr>
        <w:spacing w:after="120" w:line="240" w:lineRule="auto"/>
        <w:outlineLvl w:val="2"/>
        <w:rPr>
          <w:rFonts w:ascii="Calibri" w:hAnsi="Calibri" w:cs="Calibri"/>
          <w:b/>
        </w:rPr>
      </w:pPr>
      <w:bookmarkStart w:id="186" w:name="Fig15_4"/>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18-5</w:t>
      </w:r>
      <w:r w:rsidRPr="00D0235E">
        <w:rPr>
          <w:rFonts w:ascii="Calibri" w:hAnsi="Calibri" w:cs="Calibri"/>
          <w:b/>
        </w:rPr>
        <w:t>: Forrest plot, Ever Quit Attempts among White Respondents</w:t>
      </w:r>
    </w:p>
    <w:bookmarkEnd w:id="186"/>
    <w:p w14:paraId="082CCE76" w14:textId="77777777" w:rsidR="007F0AE0" w:rsidRDefault="007F0AE0" w:rsidP="007F0AE0">
      <w:pPr>
        <w:rPr>
          <w:rFonts w:ascii="Calibri" w:hAnsi="Calibri" w:cs="Calibri"/>
        </w:rPr>
      </w:pPr>
      <w:r w:rsidRPr="00D0235E">
        <w:rPr>
          <w:rFonts w:ascii="Calibri" w:hAnsi="Calibri" w:cs="Calibri"/>
          <w:noProof/>
          <w:lang w:val="en-GB" w:eastAsia="en-GB"/>
        </w:rPr>
        <w:drawing>
          <wp:inline distT="0" distB="0" distL="0" distR="0" wp14:anchorId="3A87843C" wp14:editId="7BE8C26B">
            <wp:extent cx="5943600" cy="978568"/>
            <wp:effectExtent l="0" t="0" r="0" b="0"/>
            <wp:docPr id="22" name="Picture 22" descr="cid:image001.png@01D4FA16.9C298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4FA16.9C298BE0"/>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5943600" cy="978568"/>
                    </a:xfrm>
                    <a:prstGeom prst="rect">
                      <a:avLst/>
                    </a:prstGeom>
                    <a:noFill/>
                    <a:ln>
                      <a:noFill/>
                    </a:ln>
                  </pic:spPr>
                </pic:pic>
              </a:graphicData>
            </a:graphic>
          </wp:inline>
        </w:drawing>
      </w:r>
    </w:p>
    <w:p w14:paraId="39F93858" w14:textId="77777777" w:rsidR="007F0AE0" w:rsidRPr="00D0235E" w:rsidRDefault="007F0AE0" w:rsidP="007F0AE0">
      <w:pPr>
        <w:spacing w:after="120" w:line="240" w:lineRule="auto"/>
        <w:outlineLvl w:val="2"/>
        <w:rPr>
          <w:rFonts w:ascii="Calibri" w:hAnsi="Calibri" w:cs="Calibri"/>
          <w:b/>
        </w:rPr>
      </w:pPr>
      <w:bookmarkStart w:id="187" w:name="Fig15_5"/>
      <w:r w:rsidRPr="00D0235E">
        <w:rPr>
          <w:rFonts w:ascii="Calibri" w:hAnsi="Calibri" w:cs="Calibri"/>
          <w:b/>
        </w:rPr>
        <w:t xml:space="preserve">Figure </w:t>
      </w:r>
      <w:r>
        <w:rPr>
          <w:rFonts w:ascii="Calibri" w:hAnsi="Calibri" w:cs="Calibri"/>
          <w:b/>
        </w:rPr>
        <w:t>18-6</w:t>
      </w:r>
      <w:r w:rsidRPr="00D0235E">
        <w:rPr>
          <w:rFonts w:ascii="Calibri" w:hAnsi="Calibri" w:cs="Calibri"/>
          <w:b/>
        </w:rPr>
        <w:t>: Forrest plot, Abstinence with no Specified Duration between Study Designs and All Studies</w:t>
      </w:r>
    </w:p>
    <w:bookmarkEnd w:id="187"/>
    <w:p w14:paraId="28F359A4" w14:textId="77777777" w:rsidR="007F0AE0" w:rsidRPr="00D0235E" w:rsidRDefault="007F0AE0" w:rsidP="007F0AE0">
      <w:pPr>
        <w:rPr>
          <w:rFonts w:ascii="Calibri" w:hAnsi="Calibri" w:cs="Calibri"/>
          <w:sz w:val="24"/>
          <w:szCs w:val="24"/>
        </w:rPr>
      </w:pPr>
      <w:r w:rsidRPr="00D0235E">
        <w:rPr>
          <w:rFonts w:ascii="Calibri" w:hAnsi="Calibri" w:cs="Calibri"/>
          <w:noProof/>
          <w:sz w:val="24"/>
          <w:szCs w:val="24"/>
          <w:lang w:val="en-GB" w:eastAsia="en-GB"/>
        </w:rPr>
        <w:drawing>
          <wp:inline distT="0" distB="0" distL="0" distR="0" wp14:anchorId="2B776DCC" wp14:editId="1FBBE661">
            <wp:extent cx="5283960" cy="2086842"/>
            <wp:effectExtent l="0" t="0" r="0" b="889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April 24 work\2.jpg"/>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283960" cy="2086842"/>
                    </a:xfrm>
                    <a:prstGeom prst="rect">
                      <a:avLst/>
                    </a:prstGeom>
                    <a:noFill/>
                    <a:ln>
                      <a:noFill/>
                    </a:ln>
                  </pic:spPr>
                </pic:pic>
              </a:graphicData>
            </a:graphic>
          </wp:inline>
        </w:drawing>
      </w:r>
    </w:p>
    <w:p w14:paraId="1AC2C1F8" w14:textId="77777777" w:rsidR="007F0AE0" w:rsidRDefault="007F0AE0" w:rsidP="007F0AE0">
      <w:pPr>
        <w:rPr>
          <w:rFonts w:eastAsia="Calibri" w:cstheme="minorHAnsi"/>
          <w:b/>
          <w:color w:val="000000"/>
        </w:rPr>
      </w:pPr>
      <w:bookmarkStart w:id="188" w:name="Fig15_6"/>
      <w:r>
        <w:rPr>
          <w:rFonts w:eastAsia="Calibri" w:cstheme="minorHAnsi"/>
          <w:b/>
          <w:color w:val="000000"/>
        </w:rPr>
        <w:br w:type="page"/>
      </w:r>
    </w:p>
    <w:p w14:paraId="3C981552" w14:textId="77777777" w:rsidR="007F0AE0" w:rsidRPr="00D0235E" w:rsidRDefault="007F0AE0" w:rsidP="007F0AE0">
      <w:pPr>
        <w:spacing w:after="120" w:line="240" w:lineRule="auto"/>
        <w:outlineLvl w:val="2"/>
        <w:rPr>
          <w:rFonts w:ascii="Calibri" w:hAnsi="Calibri" w:cs="Calibri"/>
          <w:b/>
        </w:rPr>
      </w:pPr>
      <w:r w:rsidRPr="00D0235E">
        <w:rPr>
          <w:rFonts w:eastAsia="Calibri" w:cstheme="minorHAnsi"/>
          <w:b/>
          <w:color w:val="000000"/>
        </w:rPr>
        <w:lastRenderedPageBreak/>
        <w:t>Figure</w:t>
      </w:r>
      <w:r w:rsidRPr="00D0235E">
        <w:rPr>
          <w:rFonts w:ascii="Calibri" w:hAnsi="Calibri" w:cs="Calibri"/>
          <w:b/>
        </w:rPr>
        <w:t xml:space="preserve"> </w:t>
      </w:r>
      <w:r>
        <w:rPr>
          <w:rFonts w:ascii="Calibri" w:hAnsi="Calibri" w:cs="Calibri"/>
          <w:b/>
        </w:rPr>
        <w:t>18-7</w:t>
      </w:r>
      <w:r w:rsidRPr="00D0235E">
        <w:rPr>
          <w:rFonts w:ascii="Calibri" w:hAnsi="Calibri" w:cs="Calibri"/>
          <w:b/>
        </w:rPr>
        <w:t>: Forrest plot, Abstinence with no Specified Duration among Black Respondents</w:t>
      </w:r>
    </w:p>
    <w:bookmarkEnd w:id="188"/>
    <w:p w14:paraId="3176B68B" w14:textId="77777777" w:rsidR="007F0AE0" w:rsidRPr="00D0235E" w:rsidRDefault="007F0AE0" w:rsidP="007F0AE0">
      <w:pPr>
        <w:rPr>
          <w:rFonts w:ascii="Calibri" w:hAnsi="Calibri" w:cs="Calibri"/>
          <w:sz w:val="24"/>
          <w:szCs w:val="24"/>
        </w:rPr>
      </w:pPr>
      <w:r w:rsidRPr="00D0235E">
        <w:rPr>
          <w:rFonts w:ascii="Calibri" w:eastAsia="Calibri" w:hAnsi="Calibri" w:cs="Calibri"/>
          <w:b/>
          <w:noProof/>
          <w:sz w:val="24"/>
          <w:szCs w:val="24"/>
          <w:lang w:val="en-GB" w:eastAsia="en-GB"/>
        </w:rPr>
        <w:drawing>
          <wp:inline distT="0" distB="0" distL="0" distR="0" wp14:anchorId="0681E4B8" wp14:editId="40301347">
            <wp:extent cx="5943600" cy="1190921"/>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4-12 at 5.39.11 PM.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1190921"/>
                    </a:xfrm>
                    <a:prstGeom prst="rect">
                      <a:avLst/>
                    </a:prstGeom>
                  </pic:spPr>
                </pic:pic>
              </a:graphicData>
            </a:graphic>
          </wp:inline>
        </w:drawing>
      </w:r>
    </w:p>
    <w:p w14:paraId="3245BE79" w14:textId="77777777" w:rsidR="007F0AE0" w:rsidRDefault="007F0AE0" w:rsidP="007F0AE0">
      <w:pPr>
        <w:spacing w:after="120" w:line="240" w:lineRule="auto"/>
        <w:outlineLvl w:val="2"/>
        <w:rPr>
          <w:rFonts w:ascii="Calibri" w:hAnsi="Calibri" w:cs="Calibri"/>
          <w:b/>
        </w:rPr>
      </w:pPr>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18-8</w:t>
      </w:r>
      <w:r w:rsidRPr="00D0235E">
        <w:rPr>
          <w:rFonts w:ascii="Calibri" w:hAnsi="Calibri" w:cs="Calibri"/>
          <w:b/>
        </w:rPr>
        <w:t>: Forrest plot, Abstinence with no Specified Duration among White Respondents</w:t>
      </w:r>
    </w:p>
    <w:p w14:paraId="38A908D7" w14:textId="77777777" w:rsidR="007F0AE0" w:rsidRPr="00D0235E" w:rsidRDefault="007F0AE0" w:rsidP="007F0AE0">
      <w:pPr>
        <w:rPr>
          <w:rFonts w:ascii="Calibri" w:hAnsi="Calibri" w:cs="Calibri"/>
          <w:sz w:val="24"/>
          <w:szCs w:val="24"/>
        </w:rPr>
      </w:pPr>
      <w:r w:rsidRPr="00D0235E">
        <w:rPr>
          <w:rFonts w:ascii="Calibri" w:eastAsia="Calibri" w:hAnsi="Calibri" w:cs="Calibri"/>
          <w:noProof/>
          <w:sz w:val="24"/>
          <w:szCs w:val="24"/>
          <w:lang w:val="en-GB" w:eastAsia="en-GB"/>
        </w:rPr>
        <w:drawing>
          <wp:inline distT="0" distB="0" distL="0" distR="0" wp14:anchorId="0F60599F" wp14:editId="7E5ADF88">
            <wp:extent cx="5943600" cy="1161203"/>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4-12 at 5.39.41 PM.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1161203"/>
                    </a:xfrm>
                    <a:prstGeom prst="rect">
                      <a:avLst/>
                    </a:prstGeom>
                  </pic:spPr>
                </pic:pic>
              </a:graphicData>
            </a:graphic>
          </wp:inline>
        </w:drawing>
      </w:r>
    </w:p>
    <w:p w14:paraId="47C4F4A0" w14:textId="77777777" w:rsidR="007F0AE0" w:rsidRPr="00D0235E" w:rsidRDefault="007F0AE0" w:rsidP="007F0AE0">
      <w:pPr>
        <w:spacing w:after="120" w:line="240" w:lineRule="auto"/>
        <w:outlineLvl w:val="2"/>
        <w:rPr>
          <w:rFonts w:ascii="Calibri" w:hAnsi="Calibri" w:cs="Calibri"/>
          <w:b/>
        </w:rPr>
      </w:pPr>
      <w:bookmarkStart w:id="189" w:name="Fig15_7"/>
      <w:bookmarkStart w:id="190" w:name="Fig15_8"/>
      <w:r w:rsidRPr="00D0235E">
        <w:rPr>
          <w:rFonts w:eastAsia="Calibri" w:cstheme="minorHAnsi"/>
          <w:b/>
          <w:color w:val="000000"/>
        </w:rPr>
        <w:t>Figure</w:t>
      </w:r>
      <w:r w:rsidRPr="00D0235E">
        <w:rPr>
          <w:rFonts w:ascii="Calibri" w:hAnsi="Calibri" w:cs="Calibri"/>
          <w:b/>
        </w:rPr>
        <w:t xml:space="preserve"> </w:t>
      </w:r>
      <w:r>
        <w:rPr>
          <w:rFonts w:ascii="Calibri" w:hAnsi="Calibri" w:cs="Calibri"/>
          <w:b/>
        </w:rPr>
        <w:t>18-9</w:t>
      </w:r>
      <w:r w:rsidRPr="00D0235E">
        <w:rPr>
          <w:rFonts w:ascii="Calibri" w:hAnsi="Calibri" w:cs="Calibri"/>
          <w:b/>
        </w:rPr>
        <w:t>: Forrest plot, 7-Day PPA between Study Designs and All Studies</w:t>
      </w:r>
    </w:p>
    <w:bookmarkEnd w:id="189"/>
    <w:bookmarkEnd w:id="190"/>
    <w:p w14:paraId="69E973C4" w14:textId="77777777" w:rsidR="007F0AE0" w:rsidRPr="00D0235E" w:rsidRDefault="007F0AE0" w:rsidP="007F0AE0">
      <w:pPr>
        <w:rPr>
          <w:rFonts w:ascii="Calibri" w:hAnsi="Calibri" w:cs="Calibri"/>
          <w:sz w:val="24"/>
          <w:szCs w:val="24"/>
        </w:rPr>
      </w:pPr>
      <w:r w:rsidRPr="00D0235E">
        <w:rPr>
          <w:rFonts w:ascii="Calibri" w:hAnsi="Calibri" w:cs="Calibri"/>
          <w:noProof/>
          <w:sz w:val="24"/>
          <w:szCs w:val="24"/>
          <w:lang w:val="en-GB" w:eastAsia="en-GB"/>
        </w:rPr>
        <w:drawing>
          <wp:inline distT="0" distB="0" distL="0" distR="0" wp14:anchorId="7F3E5C23" wp14:editId="1661B51C">
            <wp:extent cx="5943600" cy="1977912"/>
            <wp:effectExtent l="0" t="0" r="0" b="3810"/>
            <wp:docPr id="26" name="Picture 26" descr="C:\Users\User\Desktop\April 24 wor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April 24 work\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1977912"/>
                    </a:xfrm>
                    <a:prstGeom prst="rect">
                      <a:avLst/>
                    </a:prstGeom>
                    <a:noFill/>
                    <a:ln>
                      <a:noFill/>
                    </a:ln>
                  </pic:spPr>
                </pic:pic>
              </a:graphicData>
            </a:graphic>
          </wp:inline>
        </w:drawing>
      </w:r>
    </w:p>
    <w:p w14:paraId="3C0B17A5" w14:textId="77777777" w:rsidR="007F0AE0" w:rsidRPr="005C118B" w:rsidRDefault="007F0AE0" w:rsidP="007F0AE0">
      <w:pPr>
        <w:spacing w:after="120" w:line="240" w:lineRule="auto"/>
        <w:outlineLvl w:val="2"/>
        <w:rPr>
          <w:rFonts w:ascii="Calibri" w:hAnsi="Calibri" w:cs="Calibri"/>
          <w:b/>
        </w:rPr>
      </w:pPr>
      <w:bookmarkStart w:id="191" w:name="Fig15_9"/>
      <w:r w:rsidRPr="00D0235E">
        <w:rPr>
          <w:rFonts w:ascii="Calibri" w:hAnsi="Calibri" w:cs="Calibri"/>
          <w:b/>
        </w:rPr>
        <w:t xml:space="preserve">Figure </w:t>
      </w:r>
      <w:r>
        <w:rPr>
          <w:rFonts w:ascii="Calibri" w:hAnsi="Calibri" w:cs="Calibri"/>
          <w:b/>
        </w:rPr>
        <w:t>18-10</w:t>
      </w:r>
      <w:r w:rsidRPr="00D0235E">
        <w:rPr>
          <w:rFonts w:ascii="Calibri" w:hAnsi="Calibri" w:cs="Calibri"/>
          <w:b/>
        </w:rPr>
        <w:t>: Forrest plot, 7-Day PPA among Black Respondents</w:t>
      </w:r>
      <w:bookmarkEnd w:id="191"/>
    </w:p>
    <w:p w14:paraId="1096EEEF" w14:textId="77777777" w:rsidR="007F0AE0" w:rsidRPr="00D0235E" w:rsidRDefault="007F0AE0" w:rsidP="007F0AE0">
      <w:pPr>
        <w:rPr>
          <w:rFonts w:ascii="Calibri" w:hAnsi="Calibri" w:cs="Calibri"/>
        </w:rPr>
      </w:pPr>
      <w:r w:rsidRPr="00D0235E">
        <w:rPr>
          <w:rFonts w:ascii="Calibri" w:hAnsi="Calibri" w:cs="Calibri"/>
          <w:noProof/>
          <w:lang w:val="en-GB" w:eastAsia="en-GB"/>
        </w:rPr>
        <w:drawing>
          <wp:inline distT="0" distB="0" distL="0" distR="0" wp14:anchorId="3D6DB988" wp14:editId="35735F63">
            <wp:extent cx="5943600" cy="1269141"/>
            <wp:effectExtent l="0" t="0" r="0" b="7620"/>
            <wp:docPr id="27" name="Picture 27" descr="cid:image001.png@01D4F914.2405F7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1.png@01D4F914.2405F7A0"/>
                    <pic:cNvPicPr>
                      <a:picLocks noChangeAspect="1" noChangeArrowheads="1"/>
                    </pic:cNvPicPr>
                  </pic:nvPicPr>
                  <pic:blipFill>
                    <a:blip r:embed="rId30" r:link="rId31" cstate="print">
                      <a:extLst>
                        <a:ext uri="{28A0092B-C50C-407E-A947-70E740481C1C}">
                          <a14:useLocalDpi xmlns:a14="http://schemas.microsoft.com/office/drawing/2010/main" val="0"/>
                        </a:ext>
                      </a:extLst>
                    </a:blip>
                    <a:srcRect/>
                    <a:stretch>
                      <a:fillRect/>
                    </a:stretch>
                  </pic:blipFill>
                  <pic:spPr bwMode="auto">
                    <a:xfrm>
                      <a:off x="0" y="0"/>
                      <a:ext cx="5943600" cy="1269141"/>
                    </a:xfrm>
                    <a:prstGeom prst="rect">
                      <a:avLst/>
                    </a:prstGeom>
                    <a:noFill/>
                    <a:ln>
                      <a:noFill/>
                    </a:ln>
                  </pic:spPr>
                </pic:pic>
              </a:graphicData>
            </a:graphic>
          </wp:inline>
        </w:drawing>
      </w:r>
    </w:p>
    <w:p w14:paraId="09590013" w14:textId="77777777" w:rsidR="007F0AE0" w:rsidRDefault="007F0AE0" w:rsidP="007F0AE0">
      <w:pPr>
        <w:rPr>
          <w:rFonts w:ascii="Calibri" w:hAnsi="Calibri" w:cs="Calibri"/>
          <w:b/>
        </w:rPr>
      </w:pPr>
      <w:bookmarkStart w:id="192" w:name="Fig15_10"/>
      <w:r>
        <w:rPr>
          <w:rFonts w:ascii="Calibri" w:hAnsi="Calibri" w:cs="Calibri"/>
          <w:b/>
        </w:rPr>
        <w:br w:type="page"/>
      </w:r>
    </w:p>
    <w:p w14:paraId="366483B0" w14:textId="77777777" w:rsidR="007F0AE0" w:rsidRPr="00DE2832" w:rsidRDefault="007F0AE0" w:rsidP="007F0AE0">
      <w:pPr>
        <w:spacing w:after="120" w:line="240" w:lineRule="auto"/>
        <w:outlineLvl w:val="2"/>
        <w:rPr>
          <w:rFonts w:cstheme="minorHAnsi"/>
        </w:rPr>
      </w:pPr>
      <w:r w:rsidRPr="00D0235E">
        <w:rPr>
          <w:rFonts w:ascii="Calibri" w:hAnsi="Calibri" w:cs="Calibri"/>
          <w:b/>
        </w:rPr>
        <w:lastRenderedPageBreak/>
        <w:t xml:space="preserve">Figure </w:t>
      </w:r>
      <w:r>
        <w:rPr>
          <w:rFonts w:ascii="Calibri" w:hAnsi="Calibri" w:cs="Calibri"/>
          <w:b/>
        </w:rPr>
        <w:t>18-</w:t>
      </w:r>
      <w:r w:rsidRPr="00D0235E">
        <w:rPr>
          <w:rFonts w:ascii="Calibri" w:hAnsi="Calibri" w:cs="Calibri"/>
          <w:b/>
        </w:rPr>
        <w:t>1</w:t>
      </w:r>
      <w:r>
        <w:rPr>
          <w:rFonts w:ascii="Calibri" w:hAnsi="Calibri" w:cs="Calibri"/>
          <w:b/>
        </w:rPr>
        <w:t>1</w:t>
      </w:r>
      <w:r w:rsidRPr="00D0235E">
        <w:rPr>
          <w:rFonts w:ascii="Calibri" w:hAnsi="Calibri" w:cs="Calibri"/>
          <w:b/>
        </w:rPr>
        <w:t>: Forrest plot, eCO verified 7-Day PPA</w:t>
      </w:r>
      <w:bookmarkEnd w:id="192"/>
    </w:p>
    <w:p w14:paraId="491CC5E9" w14:textId="77777777" w:rsidR="007F0AE0" w:rsidRPr="00D0235E" w:rsidRDefault="007F0AE0" w:rsidP="007F0AE0">
      <w:pPr>
        <w:rPr>
          <w:rFonts w:ascii="Calibri" w:hAnsi="Calibri" w:cs="Calibri"/>
          <w:sz w:val="24"/>
          <w:szCs w:val="24"/>
        </w:rPr>
      </w:pPr>
      <w:r w:rsidRPr="00D0235E">
        <w:rPr>
          <w:rFonts w:ascii="Calibri" w:hAnsi="Calibri" w:cs="Calibri"/>
          <w:noProof/>
          <w:lang w:val="en-GB" w:eastAsia="en-GB"/>
        </w:rPr>
        <w:drawing>
          <wp:inline distT="0" distB="0" distL="0" distR="0" wp14:anchorId="261F2FA9" wp14:editId="15741FF1">
            <wp:extent cx="5943600" cy="1038238"/>
            <wp:effectExtent l="0" t="0" r="0" b="9525"/>
            <wp:docPr id="29" name="Picture 29" descr="cid:image001.png@01D4F9F9.BB7C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4F9F9.BB7C1070"/>
                    <pic:cNvPicPr>
                      <a:picLocks noChangeAspect="1" noChangeArrowheads="1"/>
                    </pic:cNvPicPr>
                  </pic:nvPicPr>
                  <pic:blipFill>
                    <a:blip r:embed="rId32" r:link="rId33" cstate="print">
                      <a:extLst>
                        <a:ext uri="{28A0092B-C50C-407E-A947-70E740481C1C}">
                          <a14:useLocalDpi xmlns:a14="http://schemas.microsoft.com/office/drawing/2010/main" val="0"/>
                        </a:ext>
                      </a:extLst>
                    </a:blip>
                    <a:srcRect/>
                    <a:stretch>
                      <a:fillRect/>
                    </a:stretch>
                  </pic:blipFill>
                  <pic:spPr bwMode="auto">
                    <a:xfrm>
                      <a:off x="0" y="0"/>
                      <a:ext cx="5943600" cy="1038238"/>
                    </a:xfrm>
                    <a:prstGeom prst="rect">
                      <a:avLst/>
                    </a:prstGeom>
                    <a:noFill/>
                    <a:ln>
                      <a:noFill/>
                    </a:ln>
                  </pic:spPr>
                </pic:pic>
              </a:graphicData>
            </a:graphic>
          </wp:inline>
        </w:drawing>
      </w:r>
    </w:p>
    <w:p w14:paraId="6FE166B7" w14:textId="77777777" w:rsidR="007F0AE0" w:rsidRDefault="007F0AE0">
      <w:bookmarkStart w:id="193" w:name="_GoBack"/>
      <w:bookmarkEnd w:id="193"/>
    </w:p>
    <w:sectPr w:rsidR="007F0AE0" w:rsidSect="00C64BA1">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8982843"/>
      <w:docPartObj>
        <w:docPartGallery w:val="Page Numbers (Bottom of Page)"/>
        <w:docPartUnique/>
      </w:docPartObj>
    </w:sdtPr>
    <w:sdtEndPr>
      <w:rPr>
        <w:noProof/>
      </w:rPr>
    </w:sdtEndPr>
    <w:sdtContent>
      <w:p w14:paraId="22FA2736" w14:textId="77777777" w:rsidR="003D73CF" w:rsidRDefault="007F0AE0">
        <w:pPr>
          <w:pStyle w:val="Footer"/>
          <w:jc w:val="right"/>
        </w:pPr>
        <w:r>
          <w:fldChar w:fldCharType="begin"/>
        </w:r>
        <w:r>
          <w:instrText xml:space="preserve"> PAGE   \* MERGEFORMAT </w:instrText>
        </w:r>
        <w:r>
          <w:fldChar w:fldCharType="separate"/>
        </w:r>
        <w:r>
          <w:rPr>
            <w:noProof/>
          </w:rPr>
          <w:t>254</w:t>
        </w:r>
        <w:r>
          <w:rPr>
            <w:noProof/>
          </w:rPr>
          <w:fldChar w:fldCharType="end"/>
        </w:r>
      </w:p>
    </w:sdtContent>
  </w:sdt>
  <w:p w14:paraId="71BF011B" w14:textId="77777777" w:rsidR="003D73CF" w:rsidRDefault="007F0A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1934525"/>
      <w:docPartObj>
        <w:docPartGallery w:val="Page Numbers (Bottom of Page)"/>
        <w:docPartUnique/>
      </w:docPartObj>
    </w:sdtPr>
    <w:sdtEndPr>
      <w:rPr>
        <w:noProof/>
      </w:rPr>
    </w:sdtEndPr>
    <w:sdtContent>
      <w:p w14:paraId="06CA4BB9" w14:textId="77777777" w:rsidR="003D73CF" w:rsidRDefault="007F0AE0">
        <w:pPr>
          <w:pStyle w:val="Footer"/>
          <w:jc w:val="right"/>
        </w:pPr>
        <w:r>
          <w:fldChar w:fldCharType="begin"/>
        </w:r>
        <w:r>
          <w:instrText xml:space="preserve"> PAGE   \* MERGEFORMAT </w:instrText>
        </w:r>
        <w:r>
          <w:fldChar w:fldCharType="separate"/>
        </w:r>
        <w:r>
          <w:rPr>
            <w:noProof/>
          </w:rPr>
          <w:t>324</w:t>
        </w:r>
        <w:r>
          <w:rPr>
            <w:noProof/>
          </w:rPr>
          <w:fldChar w:fldCharType="end"/>
        </w:r>
      </w:p>
    </w:sdtContent>
  </w:sdt>
  <w:p w14:paraId="19C7B7C0" w14:textId="77777777" w:rsidR="003D73CF" w:rsidRDefault="007F0A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C8D533" w14:textId="77777777" w:rsidR="003D73CF" w:rsidRDefault="007F0AE0" w:rsidP="00760FEF">
    <w:pPr>
      <w:pStyle w:val="Footer"/>
      <w:framePr w:wrap="none" w:vAnchor="text" w:hAnchor="margin" w:xAlign="right" w:y="1"/>
      <w:rPr>
        <w:rStyle w:val="PageNumber0"/>
      </w:rPr>
    </w:pPr>
    <w:r>
      <w:rPr>
        <w:rStyle w:val="PageNumber0"/>
      </w:rPr>
      <w:fldChar w:fldCharType="begin"/>
    </w:r>
    <w:r>
      <w:rPr>
        <w:rStyle w:val="PageNumber0"/>
      </w:rPr>
      <w:instrText xml:space="preserve">PAGE  </w:instrText>
    </w:r>
    <w:r>
      <w:rPr>
        <w:rStyle w:val="PageNumber0"/>
      </w:rPr>
      <w:fldChar w:fldCharType="end"/>
    </w:r>
  </w:p>
  <w:p w14:paraId="28A80462" w14:textId="77777777" w:rsidR="003D73CF" w:rsidRDefault="007F0AE0" w:rsidP="00760FE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7187435"/>
      <w:docPartObj>
        <w:docPartGallery w:val="Page Numbers (Bottom of Page)"/>
        <w:docPartUnique/>
      </w:docPartObj>
    </w:sdtPr>
    <w:sdtEndPr/>
    <w:sdtContent>
      <w:sdt>
        <w:sdtPr>
          <w:id w:val="-397668977"/>
          <w:docPartObj>
            <w:docPartGallery w:val="Page Numbers (Bottom of Page)"/>
            <w:docPartUnique/>
          </w:docPartObj>
        </w:sdtPr>
        <w:sdtEndPr>
          <w:rPr>
            <w:noProof/>
          </w:rPr>
        </w:sdtEndPr>
        <w:sdtContent>
          <w:p w14:paraId="7A908989" w14:textId="77777777" w:rsidR="003D73CF" w:rsidRDefault="007F0AE0" w:rsidP="00760FEF">
            <w:pPr>
              <w:pStyle w:val="Footer"/>
              <w:jc w:val="right"/>
            </w:pPr>
            <w:r>
              <w:tab/>
            </w:r>
            <w:r>
              <w:fldChar w:fldCharType="begin"/>
            </w:r>
            <w:r>
              <w:instrText xml:space="preserve"> PAGE   \* MERGEFORMAT </w:instrText>
            </w:r>
            <w:r>
              <w:fldChar w:fldCharType="separate"/>
            </w:r>
            <w:r>
              <w:rPr>
                <w:noProof/>
              </w:rPr>
              <w:t>393</w:t>
            </w:r>
            <w:r>
              <w:rPr>
                <w:noProof/>
              </w:rPr>
              <w:fldChar w:fldCharType="end"/>
            </w:r>
          </w:p>
        </w:sdtContent>
      </w:sdt>
      <w:p w14:paraId="15F9367F" w14:textId="77777777" w:rsidR="003D73CF" w:rsidRDefault="007F0AE0" w:rsidP="00760FEF">
        <w:pPr>
          <w:pStyle w:val="Footer"/>
          <w:jc w:val="center"/>
        </w:pPr>
        <w:r>
          <w:t xml:space="preserve"> </w:t>
        </w:r>
      </w:p>
    </w:sdtContent>
  </w:sdt>
  <w:p w14:paraId="14AC6501" w14:textId="77777777" w:rsidR="003D73CF" w:rsidRDefault="007F0AE0" w:rsidP="00760FEF">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424AC" w14:textId="77777777" w:rsidR="003D73CF" w:rsidRDefault="007F0A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253FA" w14:textId="77777777" w:rsidR="003D73CF" w:rsidRDefault="007F0A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1B186" w14:textId="77777777" w:rsidR="003D73CF" w:rsidRDefault="007F0A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5525D"/>
    <w:multiLevelType w:val="hybridMultilevel"/>
    <w:tmpl w:val="7B305AC8"/>
    <w:lvl w:ilvl="0" w:tplc="A5CACD52">
      <w:start w:val="30"/>
      <w:numFmt w:val="bullet"/>
      <w:lvlText w:val=""/>
      <w:lvlJc w:val="left"/>
      <w:pPr>
        <w:ind w:left="720" w:hanging="360"/>
      </w:pPr>
      <w:rPr>
        <w:rFonts w:ascii="Symbol" w:hAnsi="Symbol" w:cs="Times New Roman"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C28D7"/>
    <w:multiLevelType w:val="hybridMultilevel"/>
    <w:tmpl w:val="86086F1A"/>
    <w:lvl w:ilvl="0" w:tplc="99B0776A">
      <w:start w:val="1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1CF7018"/>
    <w:multiLevelType w:val="hybridMultilevel"/>
    <w:tmpl w:val="3C6A0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CF3C5B"/>
    <w:multiLevelType w:val="hybridMultilevel"/>
    <w:tmpl w:val="CCE633FE"/>
    <w:lvl w:ilvl="0" w:tplc="7ABAA3B4">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04CE6"/>
    <w:multiLevelType w:val="hybridMultilevel"/>
    <w:tmpl w:val="8F426678"/>
    <w:lvl w:ilvl="0" w:tplc="A17ED9B4">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421E83"/>
    <w:multiLevelType w:val="hybridMultilevel"/>
    <w:tmpl w:val="87F89D22"/>
    <w:lvl w:ilvl="0" w:tplc="EC0642C0">
      <w:start w:val="1"/>
      <w:numFmt w:val="decimal"/>
      <w:pStyle w:val="Studies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593F14"/>
    <w:multiLevelType w:val="hybridMultilevel"/>
    <w:tmpl w:val="3F38AE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024"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0831E2"/>
    <w:multiLevelType w:val="hybridMultilevel"/>
    <w:tmpl w:val="CD862D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BD2E44"/>
    <w:multiLevelType w:val="hybridMultilevel"/>
    <w:tmpl w:val="3CF62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2D69CA"/>
    <w:multiLevelType w:val="hybridMultilevel"/>
    <w:tmpl w:val="095A2B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1B7026"/>
    <w:multiLevelType w:val="hybridMultilevel"/>
    <w:tmpl w:val="849E3896"/>
    <w:lvl w:ilvl="0" w:tplc="A17ED9B4">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E0065A"/>
    <w:multiLevelType w:val="hybridMultilevel"/>
    <w:tmpl w:val="0776730C"/>
    <w:lvl w:ilvl="0" w:tplc="EAFA30B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115E72"/>
    <w:multiLevelType w:val="hybridMultilevel"/>
    <w:tmpl w:val="0B783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6F7C7B"/>
    <w:multiLevelType w:val="hybridMultilevel"/>
    <w:tmpl w:val="BE8C975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49E774AF"/>
    <w:multiLevelType w:val="hybridMultilevel"/>
    <w:tmpl w:val="3CCE08F8"/>
    <w:lvl w:ilvl="0" w:tplc="A94652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B5133BC"/>
    <w:multiLevelType w:val="hybridMultilevel"/>
    <w:tmpl w:val="C98CBE6C"/>
    <w:lvl w:ilvl="0" w:tplc="70225F5A">
      <w:start w:val="1"/>
      <w:numFmt w:val="decimal"/>
      <w:pStyle w:val="NumberedList"/>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D011FE"/>
    <w:multiLevelType w:val="hybridMultilevel"/>
    <w:tmpl w:val="47D2BD12"/>
    <w:lvl w:ilvl="0" w:tplc="FD3EC172">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502FD0"/>
    <w:multiLevelType w:val="hybridMultilevel"/>
    <w:tmpl w:val="109808BE"/>
    <w:lvl w:ilvl="0" w:tplc="A1E8C040">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6F6083"/>
    <w:multiLevelType w:val="hybridMultilevel"/>
    <w:tmpl w:val="37B81FDE"/>
    <w:lvl w:ilvl="0" w:tplc="D99CC5EC">
      <w:start w:val="1"/>
      <w:numFmt w:val="bullet"/>
      <w:pStyle w:val="Bullet1"/>
      <w:lvlText w:val=""/>
      <w:lvlJc w:val="left"/>
      <w:pPr>
        <w:ind w:left="720" w:hanging="360"/>
      </w:pPr>
      <w:rPr>
        <w:rFonts w:ascii="Symbol" w:hAnsi="Symbol" w:hint="default"/>
      </w:rPr>
    </w:lvl>
    <w:lvl w:ilvl="1" w:tplc="E092C9C8">
      <w:start w:val="1"/>
      <w:numFmt w:val="bullet"/>
      <w:pStyle w:val="Bulle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C2661E"/>
    <w:multiLevelType w:val="hybridMultilevel"/>
    <w:tmpl w:val="C1E2A242"/>
    <w:lvl w:ilvl="0" w:tplc="7ABAA3B4">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4A2CEA"/>
    <w:multiLevelType w:val="hybridMultilevel"/>
    <w:tmpl w:val="38E65EFE"/>
    <w:lvl w:ilvl="0" w:tplc="8D1AAA7A">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5241CE"/>
    <w:multiLevelType w:val="hybridMultilevel"/>
    <w:tmpl w:val="68642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7C380A"/>
    <w:multiLevelType w:val="hybridMultilevel"/>
    <w:tmpl w:val="11AC4C12"/>
    <w:lvl w:ilvl="0" w:tplc="B972CDBC">
      <w:start w:val="1"/>
      <w:numFmt w:val="bullet"/>
      <w:pStyle w:val="TableBulletLM"/>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F4C2041"/>
    <w:multiLevelType w:val="hybridMultilevel"/>
    <w:tmpl w:val="079EA150"/>
    <w:lvl w:ilvl="0" w:tplc="0409000F">
      <w:start w:val="1"/>
      <w:numFmt w:val="decimal"/>
      <w:lvlText w:val="%1."/>
      <w:lvlJc w:val="left"/>
      <w:pPr>
        <w:ind w:left="720" w:hanging="360"/>
      </w:pPr>
      <w:rPr>
        <w:rFonts w:hint="default"/>
      </w:rPr>
    </w:lvl>
    <w:lvl w:ilvl="1" w:tplc="F6E43D60">
      <w:start w:val="1"/>
      <w:numFmt w:val="lowerLetter"/>
      <w:lvlText w:val="%2."/>
      <w:lvlJc w:val="left"/>
      <w:pPr>
        <w:ind w:left="1440" w:hanging="360"/>
      </w:pPr>
      <w:rPr>
        <w:rFonts w:ascii="Times New Roman" w:eastAsiaTheme="minorHAnsi" w:hAnsi="Times New Roman" w:cs="Times New Roman"/>
      </w:rPr>
    </w:lvl>
    <w:lvl w:ilvl="2" w:tplc="788E79E6">
      <w:start w:val="2"/>
      <w:numFmt w:val="bullet"/>
      <w:lvlText w:val="-"/>
      <w:lvlJc w:val="left"/>
      <w:pPr>
        <w:ind w:left="2340" w:hanging="360"/>
      </w:pPr>
      <w:rPr>
        <w:rFonts w:ascii="Times New Roman" w:eastAsiaTheme="minorHAnsi"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704772"/>
    <w:multiLevelType w:val="hybridMultilevel"/>
    <w:tmpl w:val="11FAFFE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DB3DD7"/>
    <w:multiLevelType w:val="hybridMultilevel"/>
    <w:tmpl w:val="40C898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8C04EE9"/>
    <w:multiLevelType w:val="hybridMultilevel"/>
    <w:tmpl w:val="95EE2F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594E03"/>
    <w:multiLevelType w:val="hybridMultilevel"/>
    <w:tmpl w:val="F1B8C3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09750A"/>
    <w:multiLevelType w:val="hybridMultilevel"/>
    <w:tmpl w:val="BF98DB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CE36471"/>
    <w:multiLevelType w:val="hybridMultilevel"/>
    <w:tmpl w:val="E5383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EE90A3E"/>
    <w:multiLevelType w:val="hybridMultilevel"/>
    <w:tmpl w:val="B84246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5"/>
  </w:num>
  <w:num w:numId="3">
    <w:abstractNumId w:val="7"/>
  </w:num>
  <w:num w:numId="4">
    <w:abstractNumId w:val="29"/>
  </w:num>
  <w:num w:numId="5">
    <w:abstractNumId w:val="2"/>
  </w:num>
  <w:num w:numId="6">
    <w:abstractNumId w:val="9"/>
  </w:num>
  <w:num w:numId="7">
    <w:abstractNumId w:val="23"/>
  </w:num>
  <w:num w:numId="8">
    <w:abstractNumId w:val="6"/>
  </w:num>
  <w:num w:numId="9">
    <w:abstractNumId w:val="14"/>
  </w:num>
  <w:num w:numId="10">
    <w:abstractNumId w:val="18"/>
  </w:num>
  <w:num w:numId="11">
    <w:abstractNumId w:val="5"/>
  </w:num>
  <w:num w:numId="12">
    <w:abstractNumId w:val="15"/>
  </w:num>
  <w:num w:numId="13">
    <w:abstractNumId w:val="22"/>
  </w:num>
  <w:num w:numId="14">
    <w:abstractNumId w:val="20"/>
  </w:num>
  <w:num w:numId="15">
    <w:abstractNumId w:val="16"/>
  </w:num>
  <w:num w:numId="16">
    <w:abstractNumId w:val="27"/>
  </w:num>
  <w:num w:numId="17">
    <w:abstractNumId w:val="11"/>
  </w:num>
  <w:num w:numId="18">
    <w:abstractNumId w:val="26"/>
  </w:num>
  <w:num w:numId="19">
    <w:abstractNumId w:val="1"/>
  </w:num>
  <w:num w:numId="20">
    <w:abstractNumId w:val="21"/>
  </w:num>
  <w:num w:numId="21">
    <w:abstractNumId w:val="8"/>
  </w:num>
  <w:num w:numId="22">
    <w:abstractNumId w:val="12"/>
  </w:num>
  <w:num w:numId="23">
    <w:abstractNumId w:val="30"/>
  </w:num>
  <w:num w:numId="24">
    <w:abstractNumId w:val="3"/>
  </w:num>
  <w:num w:numId="25">
    <w:abstractNumId w:val="10"/>
  </w:num>
  <w:num w:numId="26">
    <w:abstractNumId w:val="4"/>
  </w:num>
  <w:num w:numId="27">
    <w:abstractNumId w:val="19"/>
  </w:num>
  <w:num w:numId="28">
    <w:abstractNumId w:val="0"/>
  </w:num>
  <w:num w:numId="29">
    <w:abstractNumId w:val="28"/>
  </w:num>
  <w:num w:numId="30">
    <w:abstractNumId w:val="24"/>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AE0"/>
    <w:rsid w:val="007F0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5B0BB"/>
  <w15:chartTrackingRefBased/>
  <w15:docId w15:val="{B18B0A52-5DB6-4550-BEF4-F436B2D0E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0AE0"/>
  </w:style>
  <w:style w:type="paragraph" w:styleId="Heading1">
    <w:name w:val="heading 1"/>
    <w:basedOn w:val="Normal"/>
    <w:next w:val="Normal"/>
    <w:link w:val="Heading1Char"/>
    <w:uiPriority w:val="9"/>
    <w:unhideWhenUsed/>
    <w:qFormat/>
    <w:rsid w:val="007F0AE0"/>
    <w:pPr>
      <w:keepNext/>
      <w:spacing w:before="240" w:after="60" w:line="240" w:lineRule="auto"/>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7F0AE0"/>
    <w:pPr>
      <w:keepNext/>
      <w:spacing w:before="240" w:after="60" w:line="240" w:lineRule="auto"/>
      <w:outlineLvl w:val="1"/>
    </w:pPr>
    <w:rPr>
      <w:rFonts w:ascii="Calibri Light" w:eastAsia="Times New Roman" w:hAnsi="Calibri Light" w:cs="Times New Roman"/>
      <w:b/>
      <w:bCs/>
      <w:i/>
      <w:iCs/>
      <w:sz w:val="28"/>
      <w:szCs w:val="28"/>
    </w:rPr>
  </w:style>
  <w:style w:type="paragraph" w:styleId="Heading3">
    <w:name w:val="heading 3"/>
    <w:basedOn w:val="Normal"/>
    <w:next w:val="Normal"/>
    <w:link w:val="Heading3Char"/>
    <w:uiPriority w:val="9"/>
    <w:semiHidden/>
    <w:unhideWhenUsed/>
    <w:qFormat/>
    <w:rsid w:val="007F0AE0"/>
    <w:pPr>
      <w:keepNext/>
      <w:spacing w:before="240" w:after="60" w:line="240" w:lineRule="auto"/>
      <w:outlineLvl w:val="2"/>
    </w:pPr>
    <w:rPr>
      <w:rFonts w:ascii="Calibri Light" w:eastAsia="Times New Roman" w:hAnsi="Calibri Light" w:cs="Times New Roman"/>
      <w:b/>
      <w:bCs/>
      <w:sz w:val="26"/>
      <w:szCs w:val="26"/>
    </w:rPr>
  </w:style>
  <w:style w:type="paragraph" w:styleId="Heading4">
    <w:name w:val="heading 4"/>
    <w:basedOn w:val="Normal"/>
    <w:next w:val="Normal"/>
    <w:link w:val="Heading4Char"/>
    <w:uiPriority w:val="9"/>
    <w:semiHidden/>
    <w:unhideWhenUsed/>
    <w:qFormat/>
    <w:rsid w:val="007F0AE0"/>
    <w:pPr>
      <w:keepNext/>
      <w:keepLines/>
      <w:spacing w:before="40" w:after="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AE0"/>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7F0AE0"/>
    <w:rPr>
      <w:rFonts w:ascii="Calibri Light" w:eastAsia="Times New Roman" w:hAnsi="Calibri Light" w:cs="Times New Roman"/>
      <w:b/>
      <w:bCs/>
      <w:i/>
      <w:iCs/>
      <w:sz w:val="28"/>
      <w:szCs w:val="28"/>
    </w:rPr>
  </w:style>
  <w:style w:type="character" w:customStyle="1" w:styleId="Heading3Char">
    <w:name w:val="Heading 3 Char"/>
    <w:basedOn w:val="DefaultParagraphFont"/>
    <w:link w:val="Heading3"/>
    <w:uiPriority w:val="9"/>
    <w:semiHidden/>
    <w:rsid w:val="007F0AE0"/>
    <w:rPr>
      <w:rFonts w:ascii="Calibri Light" w:eastAsia="Times New Roman" w:hAnsi="Calibri Light" w:cs="Times New Roman"/>
      <w:b/>
      <w:bCs/>
      <w:sz w:val="26"/>
      <w:szCs w:val="26"/>
    </w:rPr>
  </w:style>
  <w:style w:type="character" w:customStyle="1" w:styleId="Heading4Char">
    <w:name w:val="Heading 4 Char"/>
    <w:basedOn w:val="DefaultParagraphFont"/>
    <w:link w:val="Heading4"/>
    <w:uiPriority w:val="9"/>
    <w:semiHidden/>
    <w:rsid w:val="007F0AE0"/>
    <w:rPr>
      <w:rFonts w:eastAsia="Times New Roman"/>
      <w:b/>
      <w:bCs/>
      <w:sz w:val="28"/>
      <w:szCs w:val="28"/>
    </w:rPr>
  </w:style>
  <w:style w:type="paragraph" w:styleId="ListParagraph">
    <w:name w:val="List Paragraph"/>
    <w:basedOn w:val="Normal"/>
    <w:link w:val="ListParagraphChar"/>
    <w:uiPriority w:val="34"/>
    <w:qFormat/>
    <w:rsid w:val="007F0AE0"/>
    <w:pPr>
      <w:ind w:left="720"/>
      <w:contextualSpacing/>
    </w:pPr>
  </w:style>
  <w:style w:type="character" w:styleId="CommentReference">
    <w:name w:val="annotation reference"/>
    <w:basedOn w:val="DefaultParagraphFont"/>
    <w:uiPriority w:val="99"/>
    <w:unhideWhenUsed/>
    <w:rsid w:val="007F0AE0"/>
    <w:rPr>
      <w:sz w:val="16"/>
      <w:szCs w:val="16"/>
    </w:rPr>
  </w:style>
  <w:style w:type="paragraph" w:styleId="CommentText">
    <w:name w:val="annotation text"/>
    <w:basedOn w:val="Normal"/>
    <w:link w:val="CommentTextChar"/>
    <w:uiPriority w:val="99"/>
    <w:unhideWhenUsed/>
    <w:rsid w:val="007F0AE0"/>
    <w:pPr>
      <w:spacing w:line="240" w:lineRule="auto"/>
    </w:pPr>
    <w:rPr>
      <w:sz w:val="20"/>
      <w:szCs w:val="20"/>
    </w:rPr>
  </w:style>
  <w:style w:type="character" w:customStyle="1" w:styleId="CommentTextChar">
    <w:name w:val="Comment Text Char"/>
    <w:basedOn w:val="DefaultParagraphFont"/>
    <w:link w:val="CommentText"/>
    <w:uiPriority w:val="99"/>
    <w:rsid w:val="007F0AE0"/>
    <w:rPr>
      <w:sz w:val="20"/>
      <w:szCs w:val="20"/>
    </w:rPr>
  </w:style>
  <w:style w:type="paragraph" w:styleId="CommentSubject">
    <w:name w:val="annotation subject"/>
    <w:basedOn w:val="CommentText"/>
    <w:next w:val="CommentText"/>
    <w:link w:val="CommentSubjectChar"/>
    <w:uiPriority w:val="99"/>
    <w:semiHidden/>
    <w:unhideWhenUsed/>
    <w:rsid w:val="007F0AE0"/>
    <w:rPr>
      <w:b/>
      <w:bCs/>
    </w:rPr>
  </w:style>
  <w:style w:type="character" w:customStyle="1" w:styleId="CommentSubjectChar">
    <w:name w:val="Comment Subject Char"/>
    <w:basedOn w:val="CommentTextChar"/>
    <w:link w:val="CommentSubject"/>
    <w:uiPriority w:val="99"/>
    <w:semiHidden/>
    <w:rsid w:val="007F0AE0"/>
    <w:rPr>
      <w:b/>
      <w:bCs/>
      <w:sz w:val="20"/>
      <w:szCs w:val="20"/>
    </w:rPr>
  </w:style>
  <w:style w:type="paragraph" w:styleId="BalloonText">
    <w:name w:val="Balloon Text"/>
    <w:basedOn w:val="Normal"/>
    <w:link w:val="BalloonTextChar"/>
    <w:uiPriority w:val="99"/>
    <w:semiHidden/>
    <w:unhideWhenUsed/>
    <w:rsid w:val="007F0A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0AE0"/>
    <w:rPr>
      <w:rFonts w:ascii="Segoe UI" w:hAnsi="Segoe UI" w:cs="Segoe UI"/>
      <w:sz w:val="18"/>
      <w:szCs w:val="18"/>
    </w:rPr>
  </w:style>
  <w:style w:type="character" w:styleId="Hyperlink">
    <w:name w:val="Hyperlink"/>
    <w:basedOn w:val="DefaultParagraphFont"/>
    <w:uiPriority w:val="99"/>
    <w:unhideWhenUsed/>
    <w:rsid w:val="007F0AE0"/>
    <w:rPr>
      <w:color w:val="0563C1" w:themeColor="hyperlink"/>
      <w:u w:val="single"/>
    </w:rPr>
  </w:style>
  <w:style w:type="paragraph" w:styleId="FootnoteText">
    <w:name w:val="footnote text"/>
    <w:basedOn w:val="Normal"/>
    <w:link w:val="FootnoteTextChar"/>
    <w:uiPriority w:val="99"/>
    <w:semiHidden/>
    <w:unhideWhenUsed/>
    <w:rsid w:val="007F0A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AE0"/>
    <w:rPr>
      <w:sz w:val="20"/>
      <w:szCs w:val="20"/>
    </w:rPr>
  </w:style>
  <w:style w:type="character" w:styleId="FootnoteReference">
    <w:name w:val="footnote reference"/>
    <w:basedOn w:val="DefaultParagraphFont"/>
    <w:uiPriority w:val="99"/>
    <w:unhideWhenUsed/>
    <w:rsid w:val="007F0AE0"/>
    <w:rPr>
      <w:vertAlign w:val="superscript"/>
    </w:rPr>
  </w:style>
  <w:style w:type="table" w:styleId="TableGrid">
    <w:name w:val="Table Grid"/>
    <w:basedOn w:val="TableNormal"/>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0A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0AE0"/>
  </w:style>
  <w:style w:type="paragraph" w:styleId="Footer">
    <w:name w:val="footer"/>
    <w:basedOn w:val="Normal"/>
    <w:link w:val="FooterChar"/>
    <w:uiPriority w:val="99"/>
    <w:unhideWhenUsed/>
    <w:rsid w:val="007F0A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0AE0"/>
  </w:style>
  <w:style w:type="paragraph" w:customStyle="1" w:styleId="EndNoteBibliographyTitle">
    <w:name w:val="EndNote Bibliography Title"/>
    <w:basedOn w:val="Normal"/>
    <w:link w:val="EndNoteBibliographyTitleChar"/>
    <w:rsid w:val="007F0AE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F0AE0"/>
    <w:rPr>
      <w:rFonts w:ascii="Calibri" w:hAnsi="Calibri" w:cs="Calibri"/>
      <w:noProof/>
    </w:rPr>
  </w:style>
  <w:style w:type="paragraph" w:customStyle="1" w:styleId="EndNoteBibliography">
    <w:name w:val="EndNote Bibliography"/>
    <w:basedOn w:val="Normal"/>
    <w:link w:val="EndNoteBibliographyChar"/>
    <w:rsid w:val="007F0AE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F0AE0"/>
    <w:rPr>
      <w:rFonts w:ascii="Calibri" w:hAnsi="Calibri" w:cs="Calibri"/>
      <w:noProof/>
    </w:rPr>
  </w:style>
  <w:style w:type="paragraph" w:customStyle="1" w:styleId="BodyText">
    <w:name w:val="BodyText"/>
    <w:basedOn w:val="Normal"/>
    <w:link w:val="BodyTextChar"/>
    <w:rsid w:val="007F0AE0"/>
    <w:pPr>
      <w:spacing w:after="120" w:line="240" w:lineRule="auto"/>
    </w:pPr>
    <w:rPr>
      <w:rFonts w:ascii="Times New Roman" w:eastAsia="Times New Roman" w:hAnsi="Times New Roman" w:cs="Times New Roman"/>
      <w:sz w:val="24"/>
      <w:szCs w:val="24"/>
    </w:rPr>
  </w:style>
  <w:style w:type="character" w:customStyle="1" w:styleId="BodyTextChar">
    <w:name w:val="BodyText Char"/>
    <w:link w:val="BodyText"/>
    <w:rsid w:val="007F0AE0"/>
    <w:rPr>
      <w:rFonts w:ascii="Times New Roman" w:eastAsia="Times New Roman" w:hAnsi="Times New Roman" w:cs="Times New Roman"/>
      <w:sz w:val="24"/>
      <w:szCs w:val="24"/>
    </w:rPr>
  </w:style>
  <w:style w:type="paragraph" w:customStyle="1" w:styleId="ChapterHeading">
    <w:name w:val="ChapterHeading"/>
    <w:link w:val="ChapterHeadingChar"/>
    <w:qFormat/>
    <w:rsid w:val="007F0AE0"/>
    <w:pPr>
      <w:keepNext/>
      <w:spacing w:after="240" w:line="240" w:lineRule="auto"/>
      <w:outlineLvl w:val="0"/>
    </w:pPr>
    <w:rPr>
      <w:rFonts w:ascii="Arial" w:eastAsia="Times New Roman" w:hAnsi="Arial" w:cs="Times New Roman"/>
      <w:b/>
      <w:bCs/>
      <w:sz w:val="36"/>
      <w:szCs w:val="24"/>
    </w:rPr>
  </w:style>
  <w:style w:type="character" w:customStyle="1" w:styleId="ChapterHeadingChar">
    <w:name w:val="ChapterHeading Char"/>
    <w:basedOn w:val="DefaultParagraphFont"/>
    <w:link w:val="ChapterHeading"/>
    <w:rsid w:val="007F0AE0"/>
    <w:rPr>
      <w:rFonts w:ascii="Arial" w:eastAsia="Times New Roman" w:hAnsi="Arial" w:cs="Times New Roman"/>
      <w:b/>
      <w:bCs/>
      <w:sz w:val="36"/>
      <w:szCs w:val="24"/>
    </w:rPr>
  </w:style>
  <w:style w:type="paragraph" w:customStyle="1" w:styleId="Level1Heading">
    <w:name w:val="Level1Heading"/>
    <w:qFormat/>
    <w:rsid w:val="007F0AE0"/>
    <w:pPr>
      <w:keepNext/>
      <w:spacing w:before="240" w:after="240" w:line="240" w:lineRule="auto"/>
      <w:jc w:val="center"/>
      <w:outlineLvl w:val="1"/>
    </w:pPr>
    <w:rPr>
      <w:rFonts w:ascii="Arial" w:eastAsia="Times New Roman" w:hAnsi="Arial" w:cs="Times New Roman"/>
      <w:b/>
      <w:bCs/>
      <w:sz w:val="32"/>
      <w:szCs w:val="24"/>
    </w:rPr>
  </w:style>
  <w:style w:type="paragraph" w:customStyle="1" w:styleId="Level3Heading">
    <w:name w:val="Level3Heading"/>
    <w:qFormat/>
    <w:rsid w:val="007F0AE0"/>
    <w:pPr>
      <w:keepNext/>
      <w:spacing w:before="240" w:after="240" w:line="240" w:lineRule="auto"/>
      <w:outlineLvl w:val="3"/>
    </w:pPr>
    <w:rPr>
      <w:rFonts w:ascii="Times New Roman" w:eastAsia="Times New Roman" w:hAnsi="Times New Roman" w:cs="Times New Roman"/>
      <w:b/>
      <w:bCs/>
      <w:sz w:val="24"/>
      <w:szCs w:val="24"/>
    </w:rPr>
  </w:style>
  <w:style w:type="paragraph" w:customStyle="1" w:styleId="text">
    <w:name w:val="text"/>
    <w:basedOn w:val="Normal"/>
    <w:link w:val="textChar"/>
    <w:qFormat/>
    <w:rsid w:val="007F0AE0"/>
    <w:pPr>
      <w:spacing w:after="0" w:line="240" w:lineRule="auto"/>
    </w:pPr>
    <w:rPr>
      <w:rFonts w:ascii="Times New Roman" w:hAnsi="Times New Roman"/>
      <w:sz w:val="24"/>
    </w:rPr>
  </w:style>
  <w:style w:type="character" w:customStyle="1" w:styleId="textChar">
    <w:name w:val="text Char"/>
    <w:basedOn w:val="DefaultParagraphFont"/>
    <w:link w:val="text"/>
    <w:rsid w:val="007F0AE0"/>
    <w:rPr>
      <w:rFonts w:ascii="Times New Roman" w:hAnsi="Times New Roman"/>
      <w:sz w:val="24"/>
    </w:rPr>
  </w:style>
  <w:style w:type="character" w:customStyle="1" w:styleId="apple-converted-space">
    <w:name w:val="apple-converted-space"/>
    <w:basedOn w:val="DefaultParagraphFont"/>
    <w:rsid w:val="007F0AE0"/>
  </w:style>
  <w:style w:type="paragraph" w:customStyle="1" w:styleId="Heading41">
    <w:name w:val="Heading 41"/>
    <w:basedOn w:val="Normal"/>
    <w:next w:val="Normal"/>
    <w:uiPriority w:val="9"/>
    <w:semiHidden/>
    <w:unhideWhenUsed/>
    <w:qFormat/>
    <w:rsid w:val="007F0AE0"/>
    <w:pPr>
      <w:keepNext/>
      <w:spacing w:before="240" w:after="60" w:line="240" w:lineRule="auto"/>
      <w:outlineLvl w:val="3"/>
    </w:pPr>
    <w:rPr>
      <w:rFonts w:eastAsia="Times New Roman"/>
      <w:b/>
      <w:bCs/>
      <w:sz w:val="28"/>
      <w:szCs w:val="28"/>
    </w:rPr>
  </w:style>
  <w:style w:type="numbering" w:customStyle="1" w:styleId="NoList1">
    <w:name w:val="No List1"/>
    <w:next w:val="NoList"/>
    <w:uiPriority w:val="99"/>
    <w:semiHidden/>
    <w:unhideWhenUsed/>
    <w:rsid w:val="007F0AE0"/>
  </w:style>
  <w:style w:type="paragraph" w:customStyle="1" w:styleId="ParagraphIndent">
    <w:name w:val="ParagraphIndent"/>
    <w:link w:val="ParagraphIndentChar"/>
    <w:qFormat/>
    <w:rsid w:val="007F0AE0"/>
    <w:pPr>
      <w:spacing w:after="0" w:line="240" w:lineRule="auto"/>
      <w:ind w:firstLine="360"/>
    </w:pPr>
    <w:rPr>
      <w:rFonts w:ascii="Times New Roman" w:eastAsia="Calibri" w:hAnsi="Times New Roman" w:cs="Times New Roman"/>
      <w:color w:val="000000"/>
      <w:sz w:val="24"/>
      <w:szCs w:val="24"/>
    </w:rPr>
  </w:style>
  <w:style w:type="character" w:customStyle="1" w:styleId="ParagraphIndentChar">
    <w:name w:val="ParagraphIndent Char"/>
    <w:link w:val="ParagraphIndent"/>
    <w:rsid w:val="007F0AE0"/>
    <w:rPr>
      <w:rFonts w:ascii="Times New Roman" w:eastAsia="Calibri" w:hAnsi="Times New Roman" w:cs="Times New Roman"/>
      <w:color w:val="000000"/>
      <w:sz w:val="24"/>
      <w:szCs w:val="24"/>
    </w:rPr>
  </w:style>
  <w:style w:type="paragraph" w:customStyle="1" w:styleId="ParagraphNoIndent">
    <w:name w:val="ParagraphNoIndent"/>
    <w:qFormat/>
    <w:rsid w:val="007F0AE0"/>
    <w:pPr>
      <w:spacing w:after="0" w:line="240" w:lineRule="auto"/>
    </w:pPr>
    <w:rPr>
      <w:rFonts w:ascii="Times New Roman" w:eastAsia="Times New Roman" w:hAnsi="Times New Roman" w:cs="Times New Roman"/>
      <w:bCs/>
      <w:sz w:val="24"/>
      <w:szCs w:val="24"/>
    </w:rPr>
  </w:style>
  <w:style w:type="paragraph" w:customStyle="1" w:styleId="ReportType">
    <w:name w:val="ReportType"/>
    <w:qFormat/>
    <w:rsid w:val="007F0AE0"/>
    <w:pPr>
      <w:spacing w:after="0" w:line="240" w:lineRule="auto"/>
    </w:pPr>
    <w:rPr>
      <w:rFonts w:ascii="Times New Roman" w:eastAsia="Times New Roman" w:hAnsi="Times New Roman" w:cs="Times New Roman"/>
      <w:b/>
      <w:bCs/>
      <w:i/>
      <w:sz w:val="36"/>
      <w:szCs w:val="36"/>
    </w:rPr>
  </w:style>
  <w:style w:type="paragraph" w:customStyle="1" w:styleId="NumberLine">
    <w:name w:val="NumberLine"/>
    <w:qFormat/>
    <w:rsid w:val="007F0AE0"/>
    <w:pPr>
      <w:spacing w:after="0" w:line="240" w:lineRule="auto"/>
    </w:pPr>
    <w:rPr>
      <w:rFonts w:ascii="Arial" w:eastAsia="Times New Roman" w:hAnsi="Arial" w:cs="Times New Roman"/>
      <w:b/>
      <w:bCs/>
      <w:sz w:val="28"/>
      <w:szCs w:val="28"/>
    </w:rPr>
  </w:style>
  <w:style w:type="paragraph" w:customStyle="1" w:styleId="ReportTitle">
    <w:name w:val="ReportTitle"/>
    <w:uiPriority w:val="99"/>
    <w:qFormat/>
    <w:rsid w:val="007F0AE0"/>
    <w:pPr>
      <w:spacing w:after="0" w:line="240" w:lineRule="auto"/>
    </w:pPr>
    <w:rPr>
      <w:rFonts w:ascii="Arial" w:eastAsia="Times New Roman" w:hAnsi="Arial" w:cs="Times New Roman"/>
      <w:b/>
      <w:bCs/>
      <w:sz w:val="36"/>
      <w:szCs w:val="36"/>
    </w:rPr>
  </w:style>
  <w:style w:type="paragraph" w:customStyle="1" w:styleId="PageNumber">
    <w:name w:val="PageNumber"/>
    <w:qFormat/>
    <w:rsid w:val="007F0AE0"/>
    <w:pPr>
      <w:spacing w:after="0" w:line="240" w:lineRule="auto"/>
      <w:jc w:val="center"/>
    </w:pPr>
    <w:rPr>
      <w:rFonts w:ascii="Times New Roman" w:eastAsia="Calibri" w:hAnsi="Times New Roman" w:cs="Times New Roman"/>
      <w:sz w:val="24"/>
      <w:szCs w:val="24"/>
    </w:rPr>
  </w:style>
  <w:style w:type="paragraph" w:customStyle="1" w:styleId="FrontMatterHead">
    <w:name w:val="FrontMatterHead"/>
    <w:qFormat/>
    <w:rsid w:val="007F0AE0"/>
    <w:pPr>
      <w:keepNext/>
      <w:spacing w:before="240" w:after="60" w:line="240" w:lineRule="auto"/>
    </w:pPr>
    <w:rPr>
      <w:rFonts w:ascii="Arial" w:eastAsia="Calibri" w:hAnsi="Arial" w:cs="Arial"/>
      <w:b/>
      <w:sz w:val="32"/>
      <w:szCs w:val="32"/>
    </w:rPr>
  </w:style>
  <w:style w:type="paragraph" w:customStyle="1" w:styleId="PreparedForText">
    <w:name w:val="PreparedForText"/>
    <w:qFormat/>
    <w:rsid w:val="007F0AE0"/>
    <w:pPr>
      <w:spacing w:after="0" w:line="240" w:lineRule="auto"/>
    </w:pPr>
    <w:rPr>
      <w:rFonts w:ascii="Times New Roman" w:eastAsia="Times New Roman" w:hAnsi="Times New Roman" w:cs="Times New Roman"/>
      <w:bCs/>
      <w:sz w:val="24"/>
      <w:szCs w:val="24"/>
    </w:rPr>
  </w:style>
  <w:style w:type="paragraph" w:customStyle="1" w:styleId="ParagraphNoIndentBold">
    <w:name w:val="ParagraphNoIndentBold"/>
    <w:qFormat/>
    <w:rsid w:val="007F0AE0"/>
    <w:pPr>
      <w:spacing w:after="0" w:line="240" w:lineRule="auto"/>
    </w:pPr>
    <w:rPr>
      <w:rFonts w:ascii="Times New Roman" w:eastAsia="Times New Roman" w:hAnsi="Times New Roman" w:cs="Times New Roman"/>
      <w:b/>
      <w:bCs/>
      <w:sz w:val="24"/>
      <w:szCs w:val="24"/>
    </w:rPr>
  </w:style>
  <w:style w:type="paragraph" w:customStyle="1" w:styleId="ContractNumber">
    <w:name w:val="ContractNumber"/>
    <w:next w:val="ParagraphNoIndent"/>
    <w:qFormat/>
    <w:rsid w:val="007F0AE0"/>
    <w:pPr>
      <w:spacing w:after="0" w:line="240" w:lineRule="auto"/>
    </w:pPr>
    <w:rPr>
      <w:rFonts w:ascii="Times New Roman" w:eastAsia="Times New Roman" w:hAnsi="Times New Roman" w:cs="Times New Roman"/>
      <w:b/>
      <w:bCs/>
      <w:sz w:val="24"/>
      <w:szCs w:val="24"/>
    </w:rPr>
  </w:style>
  <w:style w:type="paragraph" w:customStyle="1" w:styleId="Investigators">
    <w:name w:val="Investigators"/>
    <w:qFormat/>
    <w:rsid w:val="007F0AE0"/>
    <w:pPr>
      <w:spacing w:after="0" w:line="240" w:lineRule="auto"/>
    </w:pPr>
    <w:rPr>
      <w:rFonts w:ascii="Times New Roman" w:eastAsia="Times New Roman" w:hAnsi="Times New Roman" w:cs="Times New Roman"/>
      <w:bCs/>
      <w:sz w:val="24"/>
      <w:szCs w:val="24"/>
    </w:rPr>
  </w:style>
  <w:style w:type="paragraph" w:customStyle="1" w:styleId="PublicationNumberDate">
    <w:name w:val="PublicationNumberDate"/>
    <w:qFormat/>
    <w:rsid w:val="007F0AE0"/>
    <w:pPr>
      <w:spacing w:after="0" w:line="240" w:lineRule="auto"/>
    </w:pPr>
    <w:rPr>
      <w:rFonts w:ascii="Times New Roman" w:eastAsia="Times New Roman" w:hAnsi="Times New Roman" w:cs="Times New Roman"/>
      <w:b/>
      <w:bCs/>
      <w:sz w:val="24"/>
      <w:szCs w:val="24"/>
    </w:rPr>
  </w:style>
  <w:style w:type="paragraph" w:customStyle="1" w:styleId="Contents">
    <w:name w:val="Contents"/>
    <w:qFormat/>
    <w:rsid w:val="007F0AE0"/>
    <w:pPr>
      <w:keepNext/>
      <w:spacing w:after="0" w:line="240" w:lineRule="auto"/>
      <w:jc w:val="center"/>
    </w:pPr>
    <w:rPr>
      <w:rFonts w:ascii="Arial" w:eastAsia="Calibri" w:hAnsi="Arial" w:cs="Arial"/>
      <w:b/>
      <w:sz w:val="36"/>
      <w:szCs w:val="32"/>
    </w:rPr>
  </w:style>
  <w:style w:type="paragraph" w:customStyle="1" w:styleId="TitlePageReportNumber">
    <w:name w:val="Title Page Report Number"/>
    <w:basedOn w:val="Normal"/>
    <w:rsid w:val="007F0AE0"/>
    <w:pPr>
      <w:spacing w:after="0" w:line="240" w:lineRule="auto"/>
    </w:pPr>
    <w:rPr>
      <w:rFonts w:ascii="Arial" w:eastAsia="Times" w:hAnsi="Arial" w:cs="Times New Roman"/>
      <w:b/>
      <w:sz w:val="28"/>
      <w:szCs w:val="20"/>
    </w:rPr>
  </w:style>
  <w:style w:type="paragraph" w:customStyle="1" w:styleId="BodyText1">
    <w:name w:val="Body Text1"/>
    <w:basedOn w:val="Normal"/>
    <w:next w:val="BodyText0"/>
    <w:link w:val="BodyTextChar0"/>
    <w:uiPriority w:val="1"/>
    <w:qFormat/>
    <w:rsid w:val="007F0AE0"/>
    <w:pPr>
      <w:spacing w:after="240"/>
    </w:pPr>
    <w:rPr>
      <w:rFonts w:ascii="Times New Roman" w:hAnsi="Times New Roman"/>
    </w:rPr>
  </w:style>
  <w:style w:type="character" w:customStyle="1" w:styleId="BodyTextChar0">
    <w:name w:val="Body Text Char"/>
    <w:basedOn w:val="DefaultParagraphFont"/>
    <w:link w:val="BodyText1"/>
    <w:uiPriority w:val="1"/>
    <w:rsid w:val="007F0AE0"/>
    <w:rPr>
      <w:rFonts w:ascii="Times New Roman" w:hAnsi="Times New Roman"/>
    </w:rPr>
  </w:style>
  <w:style w:type="paragraph" w:customStyle="1" w:styleId="KeyQuestion">
    <w:name w:val="KeyQuestion"/>
    <w:basedOn w:val="Normal"/>
    <w:qFormat/>
    <w:rsid w:val="007F0AE0"/>
    <w:pPr>
      <w:spacing w:after="0" w:line="240" w:lineRule="auto"/>
      <w:ind w:left="720" w:hanging="720"/>
    </w:pPr>
    <w:rPr>
      <w:rFonts w:ascii="Arial" w:hAnsi="Arial"/>
    </w:rPr>
  </w:style>
  <w:style w:type="paragraph" w:customStyle="1" w:styleId="KeyQuestion2">
    <w:name w:val="KeyQuestion2"/>
    <w:link w:val="KeyQuestion2Char"/>
    <w:qFormat/>
    <w:rsid w:val="007F0AE0"/>
    <w:pPr>
      <w:spacing w:after="0" w:line="240" w:lineRule="auto"/>
      <w:ind w:left="1440" w:hanging="720"/>
    </w:pPr>
    <w:rPr>
      <w:rFonts w:ascii="Arial" w:hAnsi="Arial"/>
    </w:rPr>
  </w:style>
  <w:style w:type="character" w:customStyle="1" w:styleId="KeyQuestion2Char">
    <w:name w:val="KeyQuestion2 Char"/>
    <w:basedOn w:val="DefaultParagraphFont"/>
    <w:link w:val="KeyQuestion2"/>
    <w:rsid w:val="007F0AE0"/>
    <w:rPr>
      <w:rFonts w:ascii="Arial" w:hAnsi="Arial"/>
    </w:rPr>
  </w:style>
  <w:style w:type="paragraph" w:customStyle="1" w:styleId="Level2Heading">
    <w:name w:val="Level2Heading"/>
    <w:qFormat/>
    <w:rsid w:val="007F0AE0"/>
    <w:pPr>
      <w:keepNext/>
      <w:spacing w:before="240" w:after="240" w:line="240" w:lineRule="auto"/>
      <w:outlineLvl w:val="2"/>
    </w:pPr>
    <w:rPr>
      <w:rFonts w:ascii="Arial" w:eastAsia="Times New Roman" w:hAnsi="Arial" w:cs="Times New Roman"/>
      <w:b/>
      <w:bCs/>
      <w:sz w:val="28"/>
      <w:szCs w:val="24"/>
    </w:rPr>
  </w:style>
  <w:style w:type="table" w:customStyle="1" w:styleId="TableGrid1">
    <w:name w:val="Table Grid1"/>
    <w:basedOn w:val="TableNormal"/>
    <w:next w:val="TableGrid"/>
    <w:uiPriority w:val="59"/>
    <w:rsid w:val="007F0AE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7F0AE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HRQ1">
    <w:name w:val="AHRQ1"/>
    <w:basedOn w:val="TableGrid"/>
    <w:rsid w:val="007F0AE0"/>
    <w:rPr>
      <w:rFonts w:ascii="Arial" w:eastAsia="Times New Roman" w:hAnsi="Arial" w:cs="Times New Roman"/>
      <w:sz w:val="18"/>
      <w:szCs w:val="20"/>
      <w:lang w:val="de-AT" w:eastAsia="de-AT"/>
    </w:rPr>
    <w:tblPr>
      <w:tblBorders>
        <w:top w:val="single" w:sz="12" w:space="0" w:color="auto"/>
        <w:left w:val="none" w:sz="0" w:space="0" w:color="auto"/>
        <w:bottom w:val="single" w:sz="12" w:space="0" w:color="auto"/>
        <w:right w:val="none" w:sz="0" w:space="0" w:color="auto"/>
        <w:insideH w:val="single" w:sz="8" w:space="0" w:color="auto"/>
        <w:insideV w:val="none" w:sz="0" w:space="0" w:color="auto"/>
      </w:tblBorders>
      <w:tblCellMar>
        <w:left w:w="29" w:type="dxa"/>
        <w:right w:w="29" w:type="dxa"/>
      </w:tblCellMar>
    </w:tblPr>
    <w:tblStylePr w:type="firstRow">
      <w:pPr>
        <w:wordWrap/>
        <w:ind w:leftChars="0" w:left="0" w:firstLineChars="0" w:firstLine="0"/>
      </w:pPr>
      <w:rPr>
        <w:b/>
      </w:rPr>
      <w:tblPr/>
      <w:tcPr>
        <w:vAlign w:val="center"/>
      </w:tcPr>
    </w:tblStylePr>
  </w:style>
  <w:style w:type="paragraph" w:styleId="TOC1">
    <w:name w:val="toc 1"/>
    <w:basedOn w:val="Normal"/>
    <w:next w:val="Normal"/>
    <w:autoRedefine/>
    <w:uiPriority w:val="39"/>
    <w:rsid w:val="007F0AE0"/>
    <w:pPr>
      <w:tabs>
        <w:tab w:val="right" w:leader="dot" w:pos="9350"/>
      </w:tabs>
      <w:spacing w:after="0" w:line="240" w:lineRule="auto"/>
    </w:pPr>
    <w:rPr>
      <w:rFonts w:ascii="Times New Roman" w:eastAsia="Times New Roman" w:hAnsi="Times New Roman" w:cs="Times New Roman"/>
      <w:b/>
      <w:noProof/>
      <w:sz w:val="24"/>
      <w:szCs w:val="24"/>
      <w:lang w:val="en-CA"/>
    </w:rPr>
  </w:style>
  <w:style w:type="paragraph" w:styleId="TOC2">
    <w:name w:val="toc 2"/>
    <w:basedOn w:val="Normal"/>
    <w:next w:val="Normal"/>
    <w:autoRedefine/>
    <w:uiPriority w:val="39"/>
    <w:rsid w:val="007F0AE0"/>
    <w:pPr>
      <w:spacing w:after="0" w:line="240" w:lineRule="auto"/>
      <w:ind w:left="240"/>
    </w:pPr>
    <w:rPr>
      <w:rFonts w:ascii="Times New Roman" w:eastAsia="Times New Roman" w:hAnsi="Times New Roman" w:cs="Times New Roman"/>
      <w:sz w:val="24"/>
      <w:szCs w:val="24"/>
      <w:lang w:val="en-CA"/>
    </w:rPr>
  </w:style>
  <w:style w:type="paragraph" w:customStyle="1" w:styleId="TableTitle">
    <w:name w:val="TableTitle"/>
    <w:link w:val="TableTitleChar"/>
    <w:qFormat/>
    <w:rsid w:val="007F0AE0"/>
    <w:pPr>
      <w:keepNext/>
      <w:spacing w:before="240" w:after="0" w:line="240" w:lineRule="auto"/>
    </w:pPr>
    <w:rPr>
      <w:rFonts w:ascii="Arial" w:eastAsia="Calibri" w:hAnsi="Arial" w:cs="Times New Roman"/>
      <w:b/>
      <w:color w:val="000000"/>
      <w:sz w:val="20"/>
      <w:szCs w:val="24"/>
    </w:rPr>
  </w:style>
  <w:style w:type="character" w:customStyle="1" w:styleId="TableTitleChar">
    <w:name w:val="TableTitle Char"/>
    <w:link w:val="TableTitle"/>
    <w:rsid w:val="007F0AE0"/>
    <w:rPr>
      <w:rFonts w:ascii="Arial" w:eastAsia="Calibri" w:hAnsi="Arial" w:cs="Times New Roman"/>
      <w:b/>
      <w:color w:val="000000"/>
      <w:sz w:val="20"/>
      <w:szCs w:val="24"/>
    </w:rPr>
  </w:style>
  <w:style w:type="paragraph" w:customStyle="1" w:styleId="TableNote">
    <w:name w:val="TableNote"/>
    <w:link w:val="TableNoteChar"/>
    <w:qFormat/>
    <w:rsid w:val="007F0AE0"/>
    <w:pPr>
      <w:spacing w:after="120" w:line="240" w:lineRule="auto"/>
    </w:pPr>
    <w:rPr>
      <w:rFonts w:ascii="Times New Roman" w:eastAsia="Times New Roman" w:hAnsi="Times New Roman" w:cs="Times New Roman"/>
      <w:bCs/>
      <w:sz w:val="18"/>
      <w:szCs w:val="24"/>
    </w:rPr>
  </w:style>
  <w:style w:type="character" w:customStyle="1" w:styleId="TableNoteChar">
    <w:name w:val="TableNote Char"/>
    <w:link w:val="TableNote"/>
    <w:rsid w:val="007F0AE0"/>
    <w:rPr>
      <w:rFonts w:ascii="Times New Roman" w:eastAsia="Times New Roman" w:hAnsi="Times New Roman" w:cs="Times New Roman"/>
      <w:bCs/>
      <w:sz w:val="18"/>
      <w:szCs w:val="24"/>
    </w:rPr>
  </w:style>
  <w:style w:type="paragraph" w:customStyle="1" w:styleId="Reference">
    <w:name w:val="Reference"/>
    <w:qFormat/>
    <w:rsid w:val="007F0AE0"/>
    <w:pPr>
      <w:keepLines/>
      <w:spacing w:before="120" w:after="120" w:line="240" w:lineRule="auto"/>
      <w:ind w:left="720" w:hanging="720"/>
    </w:pPr>
    <w:rPr>
      <w:rFonts w:ascii="Times New Roman" w:eastAsia="Times New Roman" w:hAnsi="Times New Roman" w:cs="Times New Roman"/>
      <w:bCs/>
      <w:sz w:val="20"/>
      <w:szCs w:val="24"/>
    </w:rPr>
  </w:style>
  <w:style w:type="paragraph" w:customStyle="1" w:styleId="Level5Heading">
    <w:name w:val="Level5Heading"/>
    <w:qFormat/>
    <w:rsid w:val="007F0AE0"/>
    <w:pPr>
      <w:keepNext/>
      <w:spacing w:before="240" w:after="0" w:line="240" w:lineRule="auto"/>
      <w:outlineLvl w:val="5"/>
    </w:pPr>
    <w:rPr>
      <w:rFonts w:ascii="Arial" w:eastAsia="Times New Roman" w:hAnsi="Arial" w:cs="Times New Roman"/>
      <w:b/>
      <w:bCs/>
      <w:sz w:val="24"/>
      <w:szCs w:val="24"/>
    </w:rPr>
  </w:style>
  <w:style w:type="paragraph" w:customStyle="1" w:styleId="PreparedByText">
    <w:name w:val="PreparedByText"/>
    <w:qFormat/>
    <w:rsid w:val="007F0AE0"/>
    <w:pPr>
      <w:spacing w:after="0" w:line="240" w:lineRule="auto"/>
    </w:pPr>
    <w:rPr>
      <w:rFonts w:ascii="Times New Roman" w:eastAsia="Times New Roman" w:hAnsi="Times New Roman" w:cs="Times New Roman"/>
      <w:bCs/>
      <w:sz w:val="24"/>
      <w:szCs w:val="24"/>
    </w:rPr>
  </w:style>
  <w:style w:type="paragraph" w:customStyle="1" w:styleId="SuggestedCitation">
    <w:name w:val="SuggestedCitation"/>
    <w:qFormat/>
    <w:rsid w:val="007F0AE0"/>
    <w:pPr>
      <w:spacing w:after="0" w:line="240" w:lineRule="auto"/>
    </w:pPr>
    <w:rPr>
      <w:rFonts w:ascii="Times New Roman" w:eastAsia="Times New Roman" w:hAnsi="Times New Roman" w:cs="Times New Roman"/>
      <w:bCs/>
      <w:sz w:val="24"/>
      <w:szCs w:val="24"/>
    </w:rPr>
  </w:style>
  <w:style w:type="paragraph" w:customStyle="1" w:styleId="ContentsSubhead">
    <w:name w:val="ContentsSubhead"/>
    <w:qFormat/>
    <w:rsid w:val="007F0AE0"/>
    <w:pPr>
      <w:keepNext/>
      <w:spacing w:before="240" w:after="0" w:line="240" w:lineRule="auto"/>
    </w:pPr>
    <w:rPr>
      <w:rFonts w:ascii="Times New Roman" w:eastAsia="Times New Roman" w:hAnsi="Times New Roman" w:cs="Times New Roman"/>
      <w:b/>
      <w:bCs/>
      <w:sz w:val="24"/>
      <w:szCs w:val="28"/>
    </w:rPr>
  </w:style>
  <w:style w:type="paragraph" w:customStyle="1" w:styleId="Level4Heading">
    <w:name w:val="Level4Heading"/>
    <w:qFormat/>
    <w:rsid w:val="007F0AE0"/>
    <w:pPr>
      <w:keepNext/>
      <w:spacing w:before="240" w:after="240" w:line="240" w:lineRule="auto"/>
      <w:outlineLvl w:val="4"/>
    </w:pPr>
    <w:rPr>
      <w:rFonts w:ascii="Times New Roman" w:eastAsia="Times New Roman" w:hAnsi="Times New Roman" w:cs="Times New Roman"/>
      <w:bCs/>
      <w:i/>
      <w:sz w:val="24"/>
      <w:szCs w:val="24"/>
    </w:rPr>
  </w:style>
  <w:style w:type="paragraph" w:customStyle="1" w:styleId="TableColumnHead">
    <w:name w:val="TableColumnHead"/>
    <w:qFormat/>
    <w:rsid w:val="007F0AE0"/>
    <w:pPr>
      <w:spacing w:after="0" w:line="240" w:lineRule="auto"/>
      <w:jc w:val="center"/>
    </w:pPr>
    <w:rPr>
      <w:rFonts w:ascii="Arial" w:eastAsia="Calibri" w:hAnsi="Arial" w:cs="Arial"/>
      <w:b/>
      <w:bCs/>
      <w:sz w:val="18"/>
      <w:szCs w:val="18"/>
    </w:rPr>
  </w:style>
  <w:style w:type="paragraph" w:customStyle="1" w:styleId="TableSubhead">
    <w:name w:val="TableSubhead"/>
    <w:qFormat/>
    <w:rsid w:val="007F0AE0"/>
    <w:pPr>
      <w:spacing w:after="0" w:line="240" w:lineRule="auto"/>
    </w:pPr>
    <w:rPr>
      <w:rFonts w:ascii="Arial" w:eastAsia="Calibri" w:hAnsi="Arial" w:cs="Arial"/>
      <w:b/>
      <w:i/>
      <w:sz w:val="18"/>
      <w:szCs w:val="18"/>
    </w:rPr>
  </w:style>
  <w:style w:type="paragraph" w:customStyle="1" w:styleId="TableText">
    <w:name w:val="TableText"/>
    <w:link w:val="TableTextChar"/>
    <w:qFormat/>
    <w:rsid w:val="007F0AE0"/>
    <w:pPr>
      <w:spacing w:after="0" w:line="240" w:lineRule="auto"/>
    </w:pPr>
    <w:rPr>
      <w:rFonts w:ascii="Arial" w:eastAsia="Calibri" w:hAnsi="Arial" w:cs="Arial"/>
      <w:sz w:val="18"/>
      <w:szCs w:val="18"/>
    </w:rPr>
  </w:style>
  <w:style w:type="character" w:customStyle="1" w:styleId="TableTextChar">
    <w:name w:val="TableText Char"/>
    <w:link w:val="TableText"/>
    <w:rsid w:val="007F0AE0"/>
    <w:rPr>
      <w:rFonts w:ascii="Arial" w:eastAsia="Calibri" w:hAnsi="Arial" w:cs="Arial"/>
      <w:sz w:val="18"/>
      <w:szCs w:val="18"/>
    </w:rPr>
  </w:style>
  <w:style w:type="paragraph" w:customStyle="1" w:styleId="Level6Heading">
    <w:name w:val="Level6Heading"/>
    <w:qFormat/>
    <w:rsid w:val="007F0AE0"/>
    <w:pPr>
      <w:keepNext/>
      <w:spacing w:before="240" w:after="0" w:line="240" w:lineRule="auto"/>
      <w:outlineLvl w:val="6"/>
    </w:pPr>
    <w:rPr>
      <w:rFonts w:ascii="Times New Roman" w:eastAsia="Times New Roman" w:hAnsi="Times New Roman" w:cs="Times New Roman"/>
      <w:b/>
      <w:bCs/>
      <w:sz w:val="24"/>
      <w:szCs w:val="24"/>
    </w:rPr>
  </w:style>
  <w:style w:type="paragraph" w:customStyle="1" w:styleId="Level7Heading">
    <w:name w:val="Level7Heading"/>
    <w:qFormat/>
    <w:rsid w:val="007F0AE0"/>
    <w:pPr>
      <w:keepNext/>
      <w:spacing w:after="0" w:line="240" w:lineRule="auto"/>
    </w:pPr>
    <w:rPr>
      <w:rFonts w:ascii="Times New Roman" w:eastAsia="Calibri" w:hAnsi="Times New Roman" w:cs="Times New Roman"/>
      <w:b/>
      <w:color w:val="000000"/>
      <w:sz w:val="24"/>
      <w:szCs w:val="24"/>
    </w:rPr>
  </w:style>
  <w:style w:type="paragraph" w:customStyle="1" w:styleId="Level8Heading">
    <w:name w:val="Level8Heading"/>
    <w:qFormat/>
    <w:rsid w:val="007F0AE0"/>
    <w:pPr>
      <w:keepNext/>
      <w:spacing w:after="0" w:line="240" w:lineRule="auto"/>
    </w:pPr>
    <w:rPr>
      <w:rFonts w:ascii="Times New Roman" w:eastAsia="Times New Roman" w:hAnsi="Times New Roman" w:cs="Times New Roman"/>
      <w:bCs/>
      <w:i/>
      <w:sz w:val="24"/>
      <w:szCs w:val="24"/>
    </w:rPr>
  </w:style>
  <w:style w:type="paragraph" w:customStyle="1" w:styleId="Bullet1">
    <w:name w:val="Bullet1"/>
    <w:qFormat/>
    <w:rsid w:val="007F0AE0"/>
    <w:pPr>
      <w:numPr>
        <w:numId w:val="10"/>
      </w:numPr>
      <w:spacing w:after="0" w:line="240" w:lineRule="auto"/>
    </w:pPr>
    <w:rPr>
      <w:rFonts w:ascii="Times New Roman" w:eastAsia="Times New Roman" w:hAnsi="Times New Roman" w:cs="Times New Roman"/>
      <w:bCs/>
      <w:sz w:val="24"/>
      <w:szCs w:val="24"/>
    </w:rPr>
  </w:style>
  <w:style w:type="paragraph" w:customStyle="1" w:styleId="Bullet2">
    <w:name w:val="Bullet2"/>
    <w:qFormat/>
    <w:rsid w:val="007F0AE0"/>
    <w:pPr>
      <w:numPr>
        <w:ilvl w:val="1"/>
        <w:numId w:val="10"/>
      </w:numPr>
      <w:spacing w:after="0" w:line="240" w:lineRule="auto"/>
      <w:ind w:left="1080"/>
    </w:pPr>
    <w:rPr>
      <w:rFonts w:ascii="Times New Roman" w:eastAsia="Times New Roman" w:hAnsi="Times New Roman" w:cs="Times New Roman"/>
      <w:bCs/>
      <w:sz w:val="24"/>
      <w:szCs w:val="24"/>
    </w:rPr>
  </w:style>
  <w:style w:type="paragraph" w:customStyle="1" w:styleId="TableCenteredText">
    <w:name w:val="TableCenteredText"/>
    <w:qFormat/>
    <w:rsid w:val="007F0AE0"/>
    <w:pPr>
      <w:spacing w:after="0" w:line="240" w:lineRule="auto"/>
      <w:jc w:val="center"/>
    </w:pPr>
    <w:rPr>
      <w:rFonts w:ascii="Arial" w:eastAsia="Calibri" w:hAnsi="Arial" w:cs="Arial"/>
      <w:sz w:val="18"/>
      <w:szCs w:val="18"/>
    </w:rPr>
  </w:style>
  <w:style w:type="paragraph" w:customStyle="1" w:styleId="TableLeftText">
    <w:name w:val="TableLeftText"/>
    <w:qFormat/>
    <w:rsid w:val="007F0AE0"/>
    <w:pPr>
      <w:spacing w:after="0" w:line="240" w:lineRule="auto"/>
    </w:pPr>
    <w:rPr>
      <w:rFonts w:ascii="Arial" w:eastAsia="Calibri" w:hAnsi="Arial" w:cs="Arial"/>
      <w:sz w:val="18"/>
      <w:szCs w:val="18"/>
    </w:rPr>
  </w:style>
  <w:style w:type="paragraph" w:customStyle="1" w:styleId="TableBoldText">
    <w:name w:val="TableBoldText"/>
    <w:qFormat/>
    <w:rsid w:val="007F0AE0"/>
    <w:pPr>
      <w:spacing w:after="0" w:line="240" w:lineRule="auto"/>
    </w:pPr>
    <w:rPr>
      <w:rFonts w:ascii="Arial" w:eastAsia="Calibri" w:hAnsi="Arial" w:cs="Arial"/>
      <w:b/>
      <w:sz w:val="18"/>
      <w:szCs w:val="18"/>
    </w:rPr>
  </w:style>
  <w:style w:type="paragraph" w:customStyle="1" w:styleId="Studies1">
    <w:name w:val="Studies1"/>
    <w:qFormat/>
    <w:rsid w:val="007F0AE0"/>
    <w:pPr>
      <w:keepLines/>
      <w:spacing w:before="120" w:after="120" w:line="240" w:lineRule="auto"/>
    </w:pPr>
    <w:rPr>
      <w:rFonts w:ascii="Times New Roman" w:eastAsia="Calibri" w:hAnsi="Times New Roman" w:cs="Arial"/>
      <w:color w:val="000000"/>
      <w:sz w:val="24"/>
      <w:szCs w:val="32"/>
    </w:rPr>
  </w:style>
  <w:style w:type="paragraph" w:customStyle="1" w:styleId="Studies2">
    <w:name w:val="Studies2"/>
    <w:qFormat/>
    <w:rsid w:val="007F0AE0"/>
    <w:pPr>
      <w:keepLines/>
      <w:numPr>
        <w:numId w:val="11"/>
      </w:numPr>
      <w:spacing w:before="120" w:after="120" w:line="240" w:lineRule="auto"/>
      <w:ind w:hanging="720"/>
    </w:pPr>
    <w:rPr>
      <w:rFonts w:ascii="Times New Roman" w:eastAsia="Times" w:hAnsi="Times New Roman" w:cs="Times New Roman"/>
      <w:color w:val="000000"/>
      <w:sz w:val="24"/>
      <w:szCs w:val="24"/>
    </w:rPr>
  </w:style>
  <w:style w:type="paragraph" w:customStyle="1" w:styleId="NumberedList">
    <w:name w:val="NumberedList"/>
    <w:basedOn w:val="Bullet1"/>
    <w:qFormat/>
    <w:rsid w:val="007F0AE0"/>
    <w:pPr>
      <w:numPr>
        <w:numId w:val="12"/>
      </w:numPr>
      <w:ind w:left="720"/>
    </w:pPr>
  </w:style>
  <w:style w:type="paragraph" w:customStyle="1" w:styleId="ReportSubtitle">
    <w:name w:val="ReportSubtitle"/>
    <w:qFormat/>
    <w:rsid w:val="007F0AE0"/>
    <w:pPr>
      <w:spacing w:after="0" w:line="240" w:lineRule="auto"/>
    </w:pPr>
    <w:rPr>
      <w:rFonts w:ascii="Arial" w:eastAsia="Times New Roman" w:hAnsi="Arial" w:cs="Times New Roman"/>
      <w:b/>
      <w:bCs/>
      <w:sz w:val="24"/>
      <w:szCs w:val="24"/>
    </w:rPr>
  </w:style>
  <w:style w:type="paragraph" w:customStyle="1" w:styleId="FrontMatterSubhead">
    <w:name w:val="FrontMatterSubhead"/>
    <w:qFormat/>
    <w:rsid w:val="007F0AE0"/>
    <w:pPr>
      <w:keepNext/>
      <w:spacing w:before="120" w:after="0" w:line="240" w:lineRule="auto"/>
    </w:pPr>
    <w:rPr>
      <w:rFonts w:ascii="Arial" w:eastAsia="Calibri" w:hAnsi="Arial" w:cs="Arial"/>
      <w:b/>
      <w:sz w:val="24"/>
      <w:szCs w:val="32"/>
    </w:rPr>
  </w:style>
  <w:style w:type="paragraph" w:customStyle="1" w:styleId="Default">
    <w:name w:val="Default"/>
    <w:rsid w:val="007F0AE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FigureTitle">
    <w:name w:val="FigureTitle"/>
    <w:basedOn w:val="TableTitle"/>
    <w:qFormat/>
    <w:rsid w:val="007F0AE0"/>
  </w:style>
  <w:style w:type="character" w:customStyle="1" w:styleId="paragraph">
    <w:name w:val="paragraph"/>
    <w:basedOn w:val="DefaultParagraphFont"/>
    <w:rsid w:val="007F0AE0"/>
  </w:style>
  <w:style w:type="character" w:styleId="Strong">
    <w:name w:val="Strong"/>
    <w:basedOn w:val="DefaultParagraphFont"/>
    <w:uiPriority w:val="22"/>
    <w:qFormat/>
    <w:rsid w:val="007F0AE0"/>
    <w:rPr>
      <w:b/>
      <w:bCs/>
    </w:rPr>
  </w:style>
  <w:style w:type="character" w:styleId="Emphasis">
    <w:name w:val="Emphasis"/>
    <w:uiPriority w:val="20"/>
    <w:qFormat/>
    <w:rsid w:val="007F0AE0"/>
    <w:rPr>
      <w:b/>
      <w:bCs/>
      <w:i w:val="0"/>
      <w:iCs w:val="0"/>
    </w:rPr>
  </w:style>
  <w:style w:type="character" w:styleId="HTMLCite">
    <w:name w:val="HTML Cite"/>
    <w:uiPriority w:val="99"/>
    <w:semiHidden/>
    <w:unhideWhenUsed/>
    <w:rsid w:val="007F0AE0"/>
    <w:rPr>
      <w:i/>
      <w:iCs/>
    </w:rPr>
  </w:style>
  <w:style w:type="character" w:customStyle="1" w:styleId="cit-source">
    <w:name w:val="cit-source"/>
    <w:rsid w:val="007F0AE0"/>
  </w:style>
  <w:style w:type="character" w:customStyle="1" w:styleId="cit-pub-date">
    <w:name w:val="cit-pub-date"/>
    <w:rsid w:val="007F0AE0"/>
  </w:style>
  <w:style w:type="character" w:customStyle="1" w:styleId="cit-vol5">
    <w:name w:val="cit-vol5"/>
    <w:rsid w:val="007F0AE0"/>
  </w:style>
  <w:style w:type="character" w:customStyle="1" w:styleId="cit-fpage">
    <w:name w:val="cit-fpage"/>
    <w:rsid w:val="007F0AE0"/>
  </w:style>
  <w:style w:type="paragraph" w:styleId="TOC5">
    <w:name w:val="toc 5"/>
    <w:basedOn w:val="Normal"/>
    <w:next w:val="Normal"/>
    <w:autoRedefine/>
    <w:uiPriority w:val="39"/>
    <w:unhideWhenUsed/>
    <w:rsid w:val="007F0AE0"/>
    <w:pPr>
      <w:tabs>
        <w:tab w:val="right" w:leader="dot" w:pos="9350"/>
      </w:tabs>
      <w:spacing w:after="0" w:line="240" w:lineRule="auto"/>
      <w:ind w:left="960" w:hanging="960"/>
    </w:pPr>
    <w:rPr>
      <w:rFonts w:ascii="Times" w:eastAsia="Times New Roman" w:hAnsi="Times" w:cs="Times New Roman"/>
      <w:noProof/>
      <w:sz w:val="24"/>
      <w:szCs w:val="20"/>
    </w:rPr>
  </w:style>
  <w:style w:type="paragraph" w:customStyle="1" w:styleId="BulletBlank">
    <w:name w:val="BulletBlank"/>
    <w:basedOn w:val="List2"/>
    <w:qFormat/>
    <w:rsid w:val="007F0AE0"/>
    <w:pPr>
      <w:spacing w:before="120"/>
      <w:contextualSpacing w:val="0"/>
    </w:pPr>
    <w:rPr>
      <w:rFonts w:ascii="Times New Roman" w:hAnsi="Times New Roman"/>
      <w:szCs w:val="24"/>
    </w:rPr>
  </w:style>
  <w:style w:type="paragraph" w:styleId="List2">
    <w:name w:val="List 2"/>
    <w:basedOn w:val="Normal"/>
    <w:uiPriority w:val="99"/>
    <w:semiHidden/>
    <w:unhideWhenUsed/>
    <w:rsid w:val="007F0AE0"/>
    <w:pPr>
      <w:spacing w:after="0" w:line="240" w:lineRule="auto"/>
      <w:ind w:left="720" w:hanging="360"/>
      <w:contextualSpacing/>
    </w:pPr>
    <w:rPr>
      <w:rFonts w:ascii="Times" w:eastAsia="Times New Roman" w:hAnsi="Times" w:cs="Times New Roman"/>
      <w:sz w:val="24"/>
      <w:szCs w:val="20"/>
    </w:rPr>
  </w:style>
  <w:style w:type="paragraph" w:styleId="Caption">
    <w:name w:val="caption"/>
    <w:basedOn w:val="Normal"/>
    <w:next w:val="Normal"/>
    <w:uiPriority w:val="35"/>
    <w:unhideWhenUsed/>
    <w:qFormat/>
    <w:rsid w:val="007F0AE0"/>
    <w:pPr>
      <w:spacing w:after="200" w:line="240" w:lineRule="auto"/>
    </w:pPr>
    <w:rPr>
      <w:rFonts w:ascii="Times" w:eastAsia="Times New Roman" w:hAnsi="Times" w:cs="Times New Roman"/>
      <w:i/>
      <w:iCs/>
      <w:color w:val="1F497D"/>
      <w:sz w:val="18"/>
      <w:szCs w:val="18"/>
    </w:rPr>
  </w:style>
  <w:style w:type="paragraph" w:customStyle="1" w:styleId="Tabletext0">
    <w:name w:val="Table text"/>
    <w:basedOn w:val="Normal"/>
    <w:qFormat/>
    <w:rsid w:val="007F0AE0"/>
    <w:pPr>
      <w:spacing w:after="0" w:line="240" w:lineRule="auto"/>
    </w:pPr>
    <w:rPr>
      <w:rFonts w:ascii="Arial" w:hAnsi="Arial" w:cs="Arial"/>
      <w:sz w:val="18"/>
      <w:szCs w:val="18"/>
    </w:rPr>
  </w:style>
  <w:style w:type="paragraph" w:customStyle="1" w:styleId="TableBulletLM">
    <w:name w:val="Table Bullet LM"/>
    <w:basedOn w:val="ListParagraph"/>
    <w:rsid w:val="007F0AE0"/>
    <w:pPr>
      <w:numPr>
        <w:numId w:val="13"/>
      </w:numPr>
      <w:tabs>
        <w:tab w:val="num" w:pos="360"/>
      </w:tabs>
      <w:ind w:left="720" w:firstLine="0"/>
    </w:pPr>
    <w:rPr>
      <w:rFonts w:ascii="Arial" w:hAnsi="Arial" w:cs="Arial"/>
      <w:color w:val="000000"/>
      <w:sz w:val="18"/>
      <w:szCs w:val="18"/>
      <w:shd w:val="clear" w:color="auto" w:fill="FFFFFF"/>
    </w:rPr>
  </w:style>
  <w:style w:type="paragraph" w:styleId="BodyTextIndent2">
    <w:name w:val="Body Text Indent 2"/>
    <w:basedOn w:val="Normal"/>
    <w:link w:val="BodyTextIndent2Char"/>
    <w:rsid w:val="007F0AE0"/>
    <w:pPr>
      <w:tabs>
        <w:tab w:val="left" w:pos="720"/>
      </w:tabs>
      <w:spacing w:after="0" w:line="240" w:lineRule="auto"/>
      <w:ind w:left="720" w:hanging="720"/>
    </w:pPr>
    <w:rPr>
      <w:rFonts w:ascii="Times New Roman" w:eastAsia="Times" w:hAnsi="Times New Roman" w:cs="Times New Roman"/>
      <w:sz w:val="24"/>
      <w:szCs w:val="20"/>
    </w:rPr>
  </w:style>
  <w:style w:type="character" w:customStyle="1" w:styleId="BodyTextIndent2Char">
    <w:name w:val="Body Text Indent 2 Char"/>
    <w:basedOn w:val="DefaultParagraphFont"/>
    <w:link w:val="BodyTextIndent2"/>
    <w:rsid w:val="007F0AE0"/>
    <w:rPr>
      <w:rFonts w:ascii="Times New Roman" w:eastAsia="Times" w:hAnsi="Times New Roman" w:cs="Times New Roman"/>
      <w:sz w:val="24"/>
      <w:szCs w:val="20"/>
    </w:rPr>
  </w:style>
  <w:style w:type="paragraph" w:customStyle="1" w:styleId="AppChapterHeading">
    <w:name w:val="AppChapterHeading"/>
    <w:basedOn w:val="ChapterHeading"/>
    <w:qFormat/>
    <w:rsid w:val="007F0AE0"/>
    <w:pPr>
      <w:spacing w:after="120"/>
    </w:pPr>
  </w:style>
  <w:style w:type="paragraph" w:customStyle="1" w:styleId="AppLevel1Heading">
    <w:name w:val="AppLevel1Heading"/>
    <w:basedOn w:val="Normal"/>
    <w:qFormat/>
    <w:rsid w:val="007F0AE0"/>
    <w:pPr>
      <w:keepNext/>
      <w:spacing w:before="240" w:after="60" w:line="240" w:lineRule="auto"/>
      <w:outlineLvl w:val="1"/>
    </w:pPr>
    <w:rPr>
      <w:rFonts w:ascii="Arial" w:eastAsia="Times New Roman" w:hAnsi="Arial" w:cs="Times New Roman"/>
      <w:b/>
      <w:bCs/>
      <w:sz w:val="32"/>
      <w:szCs w:val="24"/>
    </w:rPr>
  </w:style>
  <w:style w:type="character" w:customStyle="1" w:styleId="FollowedHyperlink1">
    <w:name w:val="FollowedHyperlink1"/>
    <w:basedOn w:val="DefaultParagraphFont"/>
    <w:uiPriority w:val="99"/>
    <w:semiHidden/>
    <w:unhideWhenUsed/>
    <w:rsid w:val="007F0AE0"/>
    <w:rPr>
      <w:color w:val="954F72"/>
      <w:u w:val="single"/>
    </w:rPr>
  </w:style>
  <w:style w:type="paragraph" w:styleId="Revision">
    <w:name w:val="Revision"/>
    <w:hidden/>
    <w:uiPriority w:val="99"/>
    <w:semiHidden/>
    <w:rsid w:val="007F0AE0"/>
    <w:pPr>
      <w:spacing w:after="0" w:line="240" w:lineRule="auto"/>
    </w:pPr>
    <w:rPr>
      <w:rFonts w:ascii="Times" w:eastAsia="Times New Roman" w:hAnsi="Times" w:cs="Times New Roman"/>
      <w:sz w:val="24"/>
      <w:szCs w:val="20"/>
    </w:rPr>
  </w:style>
  <w:style w:type="paragraph" w:customStyle="1" w:styleId="ReportText">
    <w:name w:val="Report Text"/>
    <w:basedOn w:val="Normal"/>
    <w:qFormat/>
    <w:rsid w:val="007F0AE0"/>
    <w:pPr>
      <w:spacing w:after="0" w:line="240" w:lineRule="auto"/>
      <w:ind w:firstLine="720"/>
    </w:pPr>
    <w:rPr>
      <w:rFonts w:ascii="Times New Roman" w:eastAsia="Times New Roman" w:hAnsi="Times New Roman" w:cs="Times New Roman"/>
      <w:sz w:val="24"/>
      <w:szCs w:val="24"/>
    </w:rPr>
  </w:style>
  <w:style w:type="paragraph" w:customStyle="1" w:styleId="Level2">
    <w:name w:val="Level 2"/>
    <w:basedOn w:val="Normal"/>
    <w:qFormat/>
    <w:rsid w:val="007F0AE0"/>
    <w:pPr>
      <w:spacing w:after="0" w:line="240" w:lineRule="auto"/>
    </w:pPr>
    <w:rPr>
      <w:rFonts w:ascii="Times New Roman" w:eastAsia="Times New Roman" w:hAnsi="Times New Roman" w:cs="Times New Roman"/>
      <w:b/>
      <w:bCs/>
      <w:sz w:val="28"/>
      <w:szCs w:val="28"/>
    </w:rPr>
  </w:style>
  <w:style w:type="paragraph" w:customStyle="1" w:styleId="Level4">
    <w:name w:val="Level 4"/>
    <w:basedOn w:val="ReportText"/>
    <w:qFormat/>
    <w:rsid w:val="007F0AE0"/>
    <w:rPr>
      <w:i/>
    </w:rPr>
  </w:style>
  <w:style w:type="paragraph" w:customStyle="1" w:styleId="Level1">
    <w:name w:val="Level 1"/>
    <w:basedOn w:val="Normal"/>
    <w:qFormat/>
    <w:rsid w:val="007F0AE0"/>
    <w:pPr>
      <w:spacing w:after="120" w:line="240" w:lineRule="auto"/>
    </w:pPr>
    <w:rPr>
      <w:rFonts w:ascii="Arial" w:eastAsia="Times New Roman" w:hAnsi="Arial" w:cs="Times New Roman"/>
      <w:b/>
      <w:sz w:val="32"/>
      <w:szCs w:val="32"/>
    </w:rPr>
  </w:style>
  <w:style w:type="paragraph" w:customStyle="1" w:styleId="ChapterHeading0">
    <w:name w:val="Chapter Heading"/>
    <w:basedOn w:val="Normal"/>
    <w:qFormat/>
    <w:rsid w:val="007F0AE0"/>
    <w:pPr>
      <w:spacing w:after="120" w:line="240" w:lineRule="auto"/>
      <w:jc w:val="center"/>
    </w:pPr>
    <w:rPr>
      <w:rFonts w:ascii="Arial" w:eastAsia="Times New Roman" w:hAnsi="Arial" w:cs="Times New Roman"/>
      <w:b/>
      <w:sz w:val="36"/>
      <w:szCs w:val="20"/>
    </w:rPr>
  </w:style>
  <w:style w:type="paragraph" w:customStyle="1" w:styleId="AppTableTitle">
    <w:name w:val="AppTableTitle"/>
    <w:basedOn w:val="TableTitle"/>
    <w:qFormat/>
    <w:rsid w:val="007F0AE0"/>
  </w:style>
  <w:style w:type="paragraph" w:styleId="TOC3">
    <w:name w:val="toc 3"/>
    <w:basedOn w:val="Normal"/>
    <w:next w:val="Normal"/>
    <w:autoRedefine/>
    <w:uiPriority w:val="39"/>
    <w:unhideWhenUsed/>
    <w:rsid w:val="007F0AE0"/>
    <w:pPr>
      <w:spacing w:after="0" w:line="240" w:lineRule="auto"/>
      <w:ind w:left="480"/>
    </w:pPr>
    <w:rPr>
      <w:rFonts w:ascii="Times" w:eastAsia="Times New Roman" w:hAnsi="Times" w:cs="Times New Roman"/>
      <w:sz w:val="24"/>
      <w:szCs w:val="20"/>
    </w:rPr>
  </w:style>
  <w:style w:type="paragraph" w:customStyle="1" w:styleId="KeyQuestion0">
    <w:name w:val="Key Question"/>
    <w:basedOn w:val="Normal"/>
    <w:qFormat/>
    <w:rsid w:val="007F0AE0"/>
    <w:pPr>
      <w:spacing w:after="120" w:line="240" w:lineRule="auto"/>
    </w:pPr>
    <w:rPr>
      <w:rFonts w:ascii="Arial" w:eastAsia="Times New Roman" w:hAnsi="Arial" w:cs="Times New Roman"/>
      <w:sz w:val="32"/>
      <w:szCs w:val="24"/>
    </w:rPr>
  </w:style>
  <w:style w:type="paragraph" w:customStyle="1" w:styleId="TableBullet">
    <w:name w:val="TableBullet"/>
    <w:basedOn w:val="TableText"/>
    <w:qFormat/>
    <w:rsid w:val="007F0AE0"/>
    <w:pPr>
      <w:numPr>
        <w:numId w:val="14"/>
      </w:numPr>
      <w:ind w:left="360"/>
    </w:pPr>
  </w:style>
  <w:style w:type="paragraph" w:customStyle="1" w:styleId="TableTitleContinued">
    <w:name w:val="TableTitleContinued"/>
    <w:basedOn w:val="TableTitle0"/>
    <w:qFormat/>
    <w:rsid w:val="007F0AE0"/>
  </w:style>
  <w:style w:type="paragraph" w:customStyle="1" w:styleId="TableTitle0">
    <w:name w:val="Table Title"/>
    <w:basedOn w:val="Normal"/>
    <w:qFormat/>
    <w:rsid w:val="007F0AE0"/>
    <w:pPr>
      <w:spacing w:before="120" w:after="0" w:line="240" w:lineRule="auto"/>
    </w:pPr>
    <w:rPr>
      <w:rFonts w:ascii="Arial" w:eastAsia="Times New Roman" w:hAnsi="Arial" w:cs="Times New Roman"/>
      <w:b/>
      <w:sz w:val="20"/>
      <w:szCs w:val="20"/>
    </w:rPr>
  </w:style>
  <w:style w:type="paragraph" w:customStyle="1" w:styleId="AppCTableTitle">
    <w:name w:val="AppCTableTitle"/>
    <w:basedOn w:val="Caption"/>
    <w:qFormat/>
    <w:rsid w:val="007F0AE0"/>
    <w:pPr>
      <w:spacing w:after="0"/>
    </w:pPr>
    <w:rPr>
      <w:rFonts w:ascii="Arial" w:hAnsi="Arial"/>
      <w:b/>
      <w:bCs/>
      <w:i w:val="0"/>
      <w:iCs w:val="0"/>
      <w:color w:val="auto"/>
      <w:sz w:val="20"/>
      <w:szCs w:val="20"/>
    </w:rPr>
  </w:style>
  <w:style w:type="paragraph" w:customStyle="1" w:styleId="ES-Level1Heading">
    <w:name w:val="ES-Level1Heading"/>
    <w:basedOn w:val="Level1Heading"/>
    <w:qFormat/>
    <w:rsid w:val="007F0AE0"/>
  </w:style>
  <w:style w:type="paragraph" w:customStyle="1" w:styleId="ES-Level2Heading">
    <w:name w:val="ES-Level2Heading"/>
    <w:basedOn w:val="Level2Heading"/>
    <w:qFormat/>
    <w:rsid w:val="007F0AE0"/>
  </w:style>
  <w:style w:type="paragraph" w:customStyle="1" w:styleId="ES-Level3Heading">
    <w:name w:val="ES-Level3Heading"/>
    <w:basedOn w:val="Level3Heading"/>
    <w:qFormat/>
    <w:rsid w:val="007F0AE0"/>
    <w:rPr>
      <w:rFonts w:cs="Arial"/>
    </w:rPr>
  </w:style>
  <w:style w:type="character" w:customStyle="1" w:styleId="A32">
    <w:name w:val="A3+2"/>
    <w:uiPriority w:val="99"/>
    <w:rsid w:val="007F0AE0"/>
    <w:rPr>
      <w:color w:val="000000"/>
      <w:sz w:val="21"/>
      <w:szCs w:val="21"/>
    </w:rPr>
  </w:style>
  <w:style w:type="paragraph" w:customStyle="1" w:styleId="blankbullet">
    <w:name w:val="blankbullet"/>
    <w:basedOn w:val="Normal"/>
    <w:qFormat/>
    <w:rsid w:val="007F0AE0"/>
    <w:pPr>
      <w:spacing w:after="0" w:line="240" w:lineRule="auto"/>
      <w:ind w:left="806" w:hanging="446"/>
    </w:pPr>
    <w:rPr>
      <w:rFonts w:ascii="Times New Roman" w:eastAsia="Calibri" w:hAnsi="Times New Roman" w:cs="Arial"/>
      <w:sz w:val="24"/>
    </w:rPr>
  </w:style>
  <w:style w:type="paragraph" w:customStyle="1" w:styleId="blankbullet2">
    <w:name w:val="blankbullet2"/>
    <w:basedOn w:val="Normal"/>
    <w:qFormat/>
    <w:rsid w:val="007F0AE0"/>
    <w:pPr>
      <w:spacing w:after="0" w:line="240" w:lineRule="auto"/>
      <w:ind w:left="1440" w:hanging="634"/>
    </w:pPr>
    <w:rPr>
      <w:rFonts w:ascii="Times New Roman" w:eastAsia="Calibri" w:hAnsi="Times New Roman" w:cs="Arial"/>
      <w:sz w:val="24"/>
      <w:szCs w:val="23"/>
    </w:rPr>
  </w:style>
  <w:style w:type="character" w:customStyle="1" w:styleId="st1">
    <w:name w:val="st1"/>
    <w:rsid w:val="007F0AE0"/>
  </w:style>
  <w:style w:type="character" w:styleId="PageNumber0">
    <w:name w:val="page number"/>
    <w:rsid w:val="007F0AE0"/>
    <w:rPr>
      <w:rFonts w:ascii="Verdana" w:hAnsi="Verdana"/>
      <w:b/>
      <w:sz w:val="20"/>
    </w:rPr>
  </w:style>
  <w:style w:type="paragraph" w:customStyle="1" w:styleId="AppTableTitlecontinued">
    <w:name w:val="AppTableTitle(continued)"/>
    <w:basedOn w:val="AppTableTitle"/>
    <w:qFormat/>
    <w:rsid w:val="007F0AE0"/>
  </w:style>
  <w:style w:type="paragraph" w:customStyle="1" w:styleId="AppLevel3Heading">
    <w:name w:val="AppLevel3Heading"/>
    <w:basedOn w:val="Normal"/>
    <w:qFormat/>
    <w:rsid w:val="007F0AE0"/>
    <w:pPr>
      <w:keepNext/>
      <w:spacing w:before="240" w:after="0" w:line="240" w:lineRule="auto"/>
      <w:outlineLvl w:val="3"/>
    </w:pPr>
    <w:rPr>
      <w:rFonts w:ascii="Arial" w:eastAsia="Times New Roman" w:hAnsi="Arial" w:cs="Times New Roman"/>
      <w:b/>
      <w:bCs/>
      <w:sz w:val="28"/>
      <w:szCs w:val="24"/>
    </w:rPr>
  </w:style>
  <w:style w:type="paragraph" w:customStyle="1" w:styleId="AppLevel2Heading">
    <w:name w:val="AppLevel2Heading"/>
    <w:basedOn w:val="Level2Heading"/>
    <w:qFormat/>
    <w:rsid w:val="007F0AE0"/>
  </w:style>
  <w:style w:type="paragraph" w:customStyle="1" w:styleId="ES-Level1HeadingContinued">
    <w:name w:val="ES-Level1HeadingContinued"/>
    <w:basedOn w:val="ES-Level1Heading"/>
    <w:qFormat/>
    <w:rsid w:val="007F0AE0"/>
    <w:pPr>
      <w:spacing w:before="0" w:after="0"/>
    </w:pPr>
  </w:style>
  <w:style w:type="paragraph" w:customStyle="1" w:styleId="tabletext1">
    <w:name w:val="table text"/>
    <w:basedOn w:val="Normal"/>
    <w:qFormat/>
    <w:rsid w:val="007F0AE0"/>
    <w:pPr>
      <w:spacing w:after="0" w:line="240" w:lineRule="auto"/>
    </w:pPr>
    <w:rPr>
      <w:rFonts w:ascii="Arial" w:eastAsia="Times New Roman" w:hAnsi="Arial" w:cs="Arial"/>
      <w:sz w:val="18"/>
      <w:szCs w:val="18"/>
    </w:rPr>
  </w:style>
  <w:style w:type="paragraph" w:customStyle="1" w:styleId="tableheaders">
    <w:name w:val="table headers"/>
    <w:basedOn w:val="Normal"/>
    <w:qFormat/>
    <w:rsid w:val="007F0AE0"/>
    <w:pPr>
      <w:spacing w:after="0" w:line="240" w:lineRule="auto"/>
    </w:pPr>
    <w:rPr>
      <w:rFonts w:ascii="Arial" w:eastAsia="Times New Roman" w:hAnsi="Arial" w:cs="Arial"/>
      <w:b/>
      <w:sz w:val="18"/>
      <w:szCs w:val="18"/>
    </w:rPr>
  </w:style>
  <w:style w:type="paragraph" w:customStyle="1" w:styleId="tablenote0">
    <w:name w:val="table note"/>
    <w:basedOn w:val="Normal"/>
    <w:qFormat/>
    <w:rsid w:val="007F0AE0"/>
    <w:pPr>
      <w:spacing w:before="60" w:after="60" w:line="240" w:lineRule="auto"/>
    </w:pPr>
    <w:rPr>
      <w:rFonts w:ascii="Times" w:eastAsia="Times New Roman" w:hAnsi="Times" w:cs="Times New Roman"/>
      <w:sz w:val="18"/>
      <w:szCs w:val="20"/>
    </w:rPr>
  </w:style>
  <w:style w:type="table" w:customStyle="1" w:styleId="TableGridLight1">
    <w:name w:val="Table Grid Light1"/>
    <w:basedOn w:val="TableNormal"/>
    <w:uiPriority w:val="40"/>
    <w:rsid w:val="007F0AE0"/>
    <w:pPr>
      <w:spacing w:after="0" w:line="240" w:lineRule="auto"/>
    </w:pPr>
    <w:rPr>
      <w:rFonts w:ascii="Calibri" w:eastAsia="Calibri" w:hAnsi="Calibri" w:cs="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st">
    <w:name w:val="st"/>
    <w:rsid w:val="007F0AE0"/>
  </w:style>
  <w:style w:type="character" w:styleId="PlaceholderText">
    <w:name w:val="Placeholder Text"/>
    <w:uiPriority w:val="99"/>
    <w:semiHidden/>
    <w:rsid w:val="007F0AE0"/>
    <w:rPr>
      <w:color w:val="808080"/>
    </w:rPr>
  </w:style>
  <w:style w:type="paragraph" w:styleId="EndnoteText">
    <w:name w:val="endnote text"/>
    <w:basedOn w:val="Normal"/>
    <w:link w:val="EndnoteTextChar"/>
    <w:uiPriority w:val="99"/>
    <w:semiHidden/>
    <w:unhideWhenUsed/>
    <w:rsid w:val="007F0AE0"/>
    <w:pPr>
      <w:spacing w:after="0" w:line="240" w:lineRule="auto"/>
    </w:pPr>
    <w:rPr>
      <w:rFonts w:ascii="Times" w:eastAsia="Times New Roman" w:hAnsi="Times" w:cs="Times New Roman"/>
      <w:sz w:val="20"/>
      <w:szCs w:val="20"/>
    </w:rPr>
  </w:style>
  <w:style w:type="character" w:customStyle="1" w:styleId="EndnoteTextChar">
    <w:name w:val="Endnote Text Char"/>
    <w:basedOn w:val="DefaultParagraphFont"/>
    <w:link w:val="EndnoteText"/>
    <w:uiPriority w:val="99"/>
    <w:semiHidden/>
    <w:rsid w:val="007F0AE0"/>
    <w:rPr>
      <w:rFonts w:ascii="Times" w:eastAsia="Times New Roman" w:hAnsi="Times" w:cs="Times New Roman"/>
      <w:sz w:val="20"/>
      <w:szCs w:val="20"/>
    </w:rPr>
  </w:style>
  <w:style w:type="paragraph" w:customStyle="1" w:styleId="AppTableTitleContinued0">
    <w:name w:val="AppTableTitleContinued"/>
    <w:basedOn w:val="TableTitleContinued"/>
    <w:qFormat/>
    <w:rsid w:val="007F0AE0"/>
  </w:style>
  <w:style w:type="paragraph" w:customStyle="1" w:styleId="biblio">
    <w:name w:val="biblio"/>
    <w:basedOn w:val="Normal"/>
    <w:qFormat/>
    <w:rsid w:val="007F0AE0"/>
    <w:pPr>
      <w:autoSpaceDE w:val="0"/>
      <w:autoSpaceDN w:val="0"/>
      <w:adjustRightInd w:val="0"/>
      <w:spacing w:after="0" w:line="240" w:lineRule="auto"/>
      <w:ind w:left="720" w:hanging="720"/>
    </w:pPr>
    <w:rPr>
      <w:rFonts w:ascii="Times New Roman" w:eastAsia="Calibri" w:hAnsi="Times New Roman" w:cs="Times New Roman"/>
      <w:sz w:val="20"/>
      <w:szCs w:val="20"/>
    </w:rPr>
  </w:style>
  <w:style w:type="paragraph" w:styleId="Title">
    <w:name w:val="Title"/>
    <w:basedOn w:val="Normal"/>
    <w:next w:val="Normal"/>
    <w:link w:val="TitleChar"/>
    <w:qFormat/>
    <w:rsid w:val="007F0AE0"/>
    <w:pPr>
      <w:spacing w:after="0" w:line="240" w:lineRule="auto"/>
      <w:contextualSpacing/>
    </w:pPr>
    <w:rPr>
      <w:rFonts w:ascii="Cambria" w:eastAsia="Times New Roman" w:hAnsi="Cambria" w:cs="Times New Roman"/>
      <w:spacing w:val="-10"/>
      <w:kern w:val="28"/>
      <w:sz w:val="56"/>
      <w:szCs w:val="56"/>
    </w:rPr>
  </w:style>
  <w:style w:type="character" w:customStyle="1" w:styleId="TitleChar">
    <w:name w:val="Title Char"/>
    <w:basedOn w:val="DefaultParagraphFont"/>
    <w:link w:val="Title"/>
    <w:rsid w:val="007F0AE0"/>
    <w:rPr>
      <w:rFonts w:ascii="Cambria" w:eastAsia="Times New Roman" w:hAnsi="Cambria" w:cs="Times New Roman"/>
      <w:spacing w:val="-10"/>
      <w:kern w:val="28"/>
      <w:sz w:val="56"/>
      <w:szCs w:val="56"/>
    </w:rPr>
  </w:style>
  <w:style w:type="paragraph" w:styleId="TOC6">
    <w:name w:val="toc 6"/>
    <w:basedOn w:val="Normal"/>
    <w:next w:val="Normal"/>
    <w:autoRedefine/>
    <w:uiPriority w:val="39"/>
    <w:unhideWhenUsed/>
    <w:rsid w:val="007F0AE0"/>
    <w:pPr>
      <w:tabs>
        <w:tab w:val="right" w:leader="dot" w:pos="9360"/>
      </w:tabs>
      <w:spacing w:after="0" w:line="240" w:lineRule="auto"/>
      <w:ind w:left="1200" w:hanging="1200"/>
    </w:pPr>
    <w:rPr>
      <w:rFonts w:ascii="Times" w:eastAsia="Times New Roman" w:hAnsi="Times" w:cs="Times New Roman"/>
      <w:noProof/>
      <w:sz w:val="24"/>
      <w:szCs w:val="20"/>
    </w:rPr>
  </w:style>
  <w:style w:type="paragraph" w:styleId="TOC7">
    <w:name w:val="toc 7"/>
    <w:basedOn w:val="Normal"/>
    <w:next w:val="Normal"/>
    <w:autoRedefine/>
    <w:uiPriority w:val="39"/>
    <w:unhideWhenUsed/>
    <w:rsid w:val="007F0AE0"/>
    <w:pPr>
      <w:tabs>
        <w:tab w:val="right" w:leader="dot" w:pos="9360"/>
      </w:tabs>
      <w:spacing w:after="0" w:line="240" w:lineRule="auto"/>
      <w:ind w:left="1080" w:hanging="720"/>
    </w:pPr>
    <w:rPr>
      <w:rFonts w:ascii="Times" w:eastAsia="Times New Roman" w:hAnsi="Times" w:cs="Times New Roman"/>
      <w:sz w:val="24"/>
      <w:szCs w:val="20"/>
    </w:rPr>
  </w:style>
  <w:style w:type="paragraph" w:customStyle="1" w:styleId="APPFigureTitle">
    <w:name w:val="APPFigureTitle"/>
    <w:basedOn w:val="Normal"/>
    <w:qFormat/>
    <w:rsid w:val="007F0AE0"/>
    <w:pPr>
      <w:keepNext/>
      <w:spacing w:before="240" w:after="0" w:line="240" w:lineRule="auto"/>
    </w:pPr>
    <w:rPr>
      <w:rFonts w:ascii="Arial" w:eastAsia="Calibri" w:hAnsi="Arial" w:cs="Times New Roman"/>
      <w:b/>
      <w:color w:val="000000"/>
      <w:sz w:val="20"/>
      <w:szCs w:val="24"/>
    </w:rPr>
  </w:style>
  <w:style w:type="paragraph" w:styleId="TOCHeading">
    <w:name w:val="TOC Heading"/>
    <w:basedOn w:val="Heading1"/>
    <w:next w:val="Normal"/>
    <w:uiPriority w:val="39"/>
    <w:unhideWhenUsed/>
    <w:qFormat/>
    <w:rsid w:val="007F0AE0"/>
    <w:pPr>
      <w:outlineLvl w:val="9"/>
    </w:pPr>
    <w:rPr>
      <w:rFonts w:ascii="Calibri Light" w:hAnsi="Calibri Light"/>
    </w:rPr>
  </w:style>
  <w:style w:type="paragraph" w:customStyle="1" w:styleId="APPGFigureTitle">
    <w:name w:val="APPGFigureTitle"/>
    <w:basedOn w:val="APPFigureTitle"/>
    <w:qFormat/>
    <w:rsid w:val="007F0AE0"/>
  </w:style>
  <w:style w:type="paragraph" w:customStyle="1" w:styleId="AppDTableTitle">
    <w:name w:val="AppDTableTitle"/>
    <w:basedOn w:val="AppTableTitle"/>
    <w:qFormat/>
    <w:rsid w:val="007F0AE0"/>
  </w:style>
  <w:style w:type="paragraph" w:customStyle="1" w:styleId="APPETableTitle">
    <w:name w:val="APPETableTitle"/>
    <w:basedOn w:val="AppTableTitle"/>
    <w:qFormat/>
    <w:rsid w:val="007F0AE0"/>
  </w:style>
  <w:style w:type="character" w:customStyle="1" w:styleId="xbe">
    <w:name w:val="_xbe"/>
    <w:rsid w:val="007F0AE0"/>
  </w:style>
  <w:style w:type="paragraph" w:customStyle="1" w:styleId="tabletitle1">
    <w:name w:val="tabletitle"/>
    <w:basedOn w:val="Normal"/>
    <w:uiPriority w:val="99"/>
    <w:rsid w:val="007F0AE0"/>
    <w:pPr>
      <w:keepNext/>
      <w:spacing w:before="240" w:after="0" w:line="240" w:lineRule="auto"/>
    </w:pPr>
    <w:rPr>
      <w:rFonts w:ascii="Arial" w:eastAsia="Calibri" w:hAnsi="Arial" w:cs="Arial"/>
      <w:b/>
      <w:bCs/>
      <w:color w:val="000000"/>
      <w:sz w:val="20"/>
      <w:szCs w:val="20"/>
    </w:rPr>
  </w:style>
  <w:style w:type="paragraph" w:customStyle="1" w:styleId="TableTextIndent1">
    <w:name w:val="TableTextIndent1"/>
    <w:basedOn w:val="TableText"/>
    <w:qFormat/>
    <w:rsid w:val="007F0AE0"/>
    <w:pPr>
      <w:ind w:left="187"/>
    </w:pPr>
  </w:style>
  <w:style w:type="character" w:customStyle="1" w:styleId="tgc">
    <w:name w:val="_tgc"/>
    <w:basedOn w:val="DefaultParagraphFont"/>
    <w:rsid w:val="007F0AE0"/>
  </w:style>
  <w:style w:type="character" w:customStyle="1" w:styleId="references">
    <w:name w:val="references"/>
    <w:basedOn w:val="DefaultParagraphFont"/>
    <w:rsid w:val="007F0AE0"/>
  </w:style>
  <w:style w:type="paragraph" w:customStyle="1" w:styleId="FigureKQ">
    <w:name w:val="FigureKQ"/>
    <w:basedOn w:val="TableNote"/>
    <w:qFormat/>
    <w:rsid w:val="007F0AE0"/>
    <w:pPr>
      <w:ind w:left="504" w:hanging="504"/>
      <w:contextualSpacing/>
    </w:pPr>
  </w:style>
  <w:style w:type="character" w:customStyle="1" w:styleId="search-number">
    <w:name w:val="search-number"/>
    <w:basedOn w:val="DefaultParagraphFont"/>
    <w:rsid w:val="007F0AE0"/>
  </w:style>
  <w:style w:type="character" w:customStyle="1" w:styleId="term">
    <w:name w:val="term"/>
    <w:basedOn w:val="DefaultParagraphFont"/>
    <w:rsid w:val="007F0AE0"/>
  </w:style>
  <w:style w:type="paragraph" w:customStyle="1" w:styleId="PageNumber-Left">
    <w:name w:val="PageNumber-Left"/>
    <w:basedOn w:val="PageNumber"/>
    <w:qFormat/>
    <w:rsid w:val="007F0AE0"/>
    <w:pPr>
      <w:jc w:val="left"/>
    </w:pPr>
  </w:style>
  <w:style w:type="paragraph" w:customStyle="1" w:styleId="AppFigureTitle0">
    <w:name w:val="AppFigureTitle"/>
    <w:basedOn w:val="FigureTitle"/>
    <w:qFormat/>
    <w:rsid w:val="007F0AE0"/>
  </w:style>
  <w:style w:type="paragraph" w:customStyle="1" w:styleId="AppTableText">
    <w:name w:val="AppTableText"/>
    <w:basedOn w:val="TableText"/>
    <w:qFormat/>
    <w:rsid w:val="007F0AE0"/>
  </w:style>
  <w:style w:type="paragraph" w:customStyle="1" w:styleId="AppTableNote">
    <w:name w:val="AppTableNote"/>
    <w:basedOn w:val="TableNote"/>
    <w:qFormat/>
    <w:rsid w:val="007F0AE0"/>
  </w:style>
  <w:style w:type="character" w:customStyle="1" w:styleId="highlight">
    <w:name w:val="highlight"/>
    <w:basedOn w:val="DefaultParagraphFont"/>
    <w:rsid w:val="007F0AE0"/>
  </w:style>
  <w:style w:type="paragraph" w:customStyle="1" w:styleId="TableParagraph">
    <w:name w:val="Table Paragraph"/>
    <w:basedOn w:val="Normal"/>
    <w:uiPriority w:val="1"/>
    <w:qFormat/>
    <w:rsid w:val="007F0AE0"/>
    <w:pPr>
      <w:widowControl w:val="0"/>
      <w:suppressAutoHyphens/>
      <w:autoSpaceDE w:val="0"/>
      <w:autoSpaceDN w:val="0"/>
      <w:spacing w:after="0" w:line="240" w:lineRule="auto"/>
      <w:textAlignment w:val="baseline"/>
    </w:pPr>
    <w:rPr>
      <w:rFonts w:ascii="Times New Roman" w:eastAsia="Times New Roman" w:hAnsi="Times New Roman" w:cs="Times New Roman"/>
      <w:sz w:val="24"/>
      <w:szCs w:val="24"/>
    </w:rPr>
  </w:style>
  <w:style w:type="paragraph" w:customStyle="1" w:styleId="TableNoteKQ">
    <w:name w:val="TableNoteKQ"/>
    <w:basedOn w:val="TableNote"/>
    <w:qFormat/>
    <w:rsid w:val="007F0AE0"/>
    <w:pPr>
      <w:ind w:left="360" w:hanging="360"/>
    </w:pPr>
    <w:rPr>
      <w:szCs w:val="18"/>
    </w:rPr>
  </w:style>
  <w:style w:type="paragraph" w:styleId="NoSpacing">
    <w:name w:val="No Spacing"/>
    <w:uiPriority w:val="1"/>
    <w:qFormat/>
    <w:rsid w:val="007F0AE0"/>
    <w:pPr>
      <w:spacing w:after="0" w:line="240" w:lineRule="auto"/>
    </w:pPr>
    <w:rPr>
      <w:rFonts w:ascii="Calibri" w:eastAsia="Calibri" w:hAnsi="Calibri" w:cs="Times New Roman"/>
    </w:rPr>
  </w:style>
  <w:style w:type="paragraph" w:customStyle="1" w:styleId="TableHeader">
    <w:name w:val="TableHeader"/>
    <w:basedOn w:val="TableText"/>
    <w:qFormat/>
    <w:rsid w:val="007F0AE0"/>
    <w:pPr>
      <w:jc w:val="center"/>
    </w:pPr>
    <w:rPr>
      <w:rFonts w:eastAsia="Times New Roman"/>
      <w:b/>
      <w:bCs/>
    </w:rPr>
  </w:style>
  <w:style w:type="paragraph" w:customStyle="1" w:styleId="Title1">
    <w:name w:val="Title1"/>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
    <w:name w:val="desc"/>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tails">
    <w:name w:val="details"/>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rnl">
    <w:name w:val="jrnl"/>
    <w:basedOn w:val="DefaultParagraphFont"/>
    <w:rsid w:val="007F0AE0"/>
  </w:style>
  <w:style w:type="table" w:customStyle="1" w:styleId="GridTable4-Accent31">
    <w:name w:val="Grid Table 4 - Accent 31"/>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3-Accent61">
    <w:name w:val="List Table 3 - Accent 61"/>
    <w:basedOn w:val="TableNormal"/>
    <w:uiPriority w:val="48"/>
    <w:rsid w:val="007F0AE0"/>
    <w:pPr>
      <w:spacing w:after="0" w:line="240" w:lineRule="auto"/>
    </w:p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41">
    <w:name w:val="List Table 3 - Accent 41"/>
    <w:basedOn w:val="TableNormal"/>
    <w:uiPriority w:val="48"/>
    <w:rsid w:val="007F0AE0"/>
    <w:pPr>
      <w:spacing w:after="0" w:line="240" w:lineRule="auto"/>
    </w:p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ListTable3-Accent51">
    <w:name w:val="List Table 3 - Accent 51"/>
    <w:basedOn w:val="TableNormal"/>
    <w:uiPriority w:val="48"/>
    <w:rsid w:val="007F0AE0"/>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paragraph" w:customStyle="1" w:styleId="xl65">
    <w:name w:val="xl65"/>
    <w:basedOn w:val="Normal"/>
    <w:rsid w:val="007F0A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6">
    <w:name w:val="xl66"/>
    <w:basedOn w:val="Normal"/>
    <w:rsid w:val="007F0AE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7">
    <w:name w:val="xl67"/>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4-Accent32">
    <w:name w:val="Grid Table 4 - Accent 32"/>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Grid11">
    <w:name w:val="Table Grid11"/>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qj">
    <w:name w:val="aqj"/>
    <w:basedOn w:val="DefaultParagraphFont"/>
    <w:rsid w:val="007F0AE0"/>
  </w:style>
  <w:style w:type="paragraph" w:styleId="DocumentMap">
    <w:name w:val="Document Map"/>
    <w:basedOn w:val="Normal"/>
    <w:link w:val="DocumentMapChar"/>
    <w:uiPriority w:val="99"/>
    <w:semiHidden/>
    <w:unhideWhenUsed/>
    <w:rsid w:val="007F0AE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7F0AE0"/>
    <w:rPr>
      <w:rFonts w:ascii="Tahoma" w:hAnsi="Tahoma" w:cs="Tahoma"/>
      <w:sz w:val="16"/>
      <w:szCs w:val="16"/>
    </w:rPr>
  </w:style>
  <w:style w:type="table" w:customStyle="1" w:styleId="TableGrid4">
    <w:name w:val="Table Grid4"/>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7F0AE0"/>
  </w:style>
  <w:style w:type="paragraph" w:customStyle="1" w:styleId="font5">
    <w:name w:val="font5"/>
    <w:basedOn w:val="Normal"/>
    <w:rsid w:val="007F0AE0"/>
    <w:pPr>
      <w:spacing w:before="100" w:beforeAutospacing="1" w:after="100" w:afterAutospacing="1" w:line="240" w:lineRule="auto"/>
    </w:pPr>
    <w:rPr>
      <w:rFonts w:ascii="Times New Roman" w:eastAsia="Times New Roman" w:hAnsi="Times New Roman" w:cs="Times New Roman"/>
      <w:i/>
      <w:iCs/>
      <w:color w:val="000000"/>
      <w:sz w:val="20"/>
      <w:szCs w:val="20"/>
    </w:rPr>
  </w:style>
  <w:style w:type="paragraph" w:customStyle="1" w:styleId="xl68">
    <w:name w:val="xl68"/>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9">
    <w:name w:val="xl69"/>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7F0A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2">
    <w:name w:val="xl72"/>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4">
    <w:name w:val="xl74"/>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6">
    <w:name w:val="xl76"/>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7">
    <w:name w:val="xl77"/>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8">
    <w:name w:val="xl78"/>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79">
    <w:name w:val="xl79"/>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1">
    <w:name w:val="xl81"/>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2">
    <w:name w:val="xl82"/>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83">
    <w:name w:val="xl83"/>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rPr>
  </w:style>
  <w:style w:type="paragraph" w:customStyle="1" w:styleId="xl84">
    <w:name w:val="xl84"/>
    <w:basedOn w:val="Normal"/>
    <w:rsid w:val="007F0AE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rPr>
  </w:style>
  <w:style w:type="character" w:customStyle="1" w:styleId="ref-journal">
    <w:name w:val="ref-journal"/>
    <w:basedOn w:val="DefaultParagraphFont"/>
    <w:rsid w:val="007F0AE0"/>
  </w:style>
  <w:style w:type="character" w:customStyle="1" w:styleId="ref-vol">
    <w:name w:val="ref-vol"/>
    <w:basedOn w:val="DefaultParagraphFont"/>
    <w:rsid w:val="007F0AE0"/>
  </w:style>
  <w:style w:type="paragraph" w:customStyle="1" w:styleId="Normal1">
    <w:name w:val="Normal1"/>
    <w:rsid w:val="007F0AE0"/>
    <w:rPr>
      <w:rFonts w:ascii="Calibri" w:eastAsia="Calibri" w:hAnsi="Calibri" w:cs="Calibri"/>
      <w:color w:val="000000"/>
    </w:rPr>
  </w:style>
  <w:style w:type="character" w:customStyle="1" w:styleId="ref-label">
    <w:name w:val="ref-label"/>
    <w:basedOn w:val="DefaultParagraphFont"/>
    <w:rsid w:val="007F0AE0"/>
  </w:style>
  <w:style w:type="character" w:customStyle="1" w:styleId="cit-name-surname">
    <w:name w:val="cit-name-surname"/>
    <w:basedOn w:val="DefaultParagraphFont"/>
    <w:rsid w:val="007F0AE0"/>
  </w:style>
  <w:style w:type="character" w:customStyle="1" w:styleId="cit-name-given-names">
    <w:name w:val="cit-name-given-names"/>
    <w:basedOn w:val="DefaultParagraphFont"/>
    <w:rsid w:val="007F0AE0"/>
  </w:style>
  <w:style w:type="character" w:customStyle="1" w:styleId="cit-etal">
    <w:name w:val="cit-etal"/>
    <w:basedOn w:val="DefaultParagraphFont"/>
    <w:rsid w:val="007F0AE0"/>
  </w:style>
  <w:style w:type="character" w:customStyle="1" w:styleId="cit-article-title">
    <w:name w:val="cit-article-title"/>
    <w:basedOn w:val="DefaultParagraphFont"/>
    <w:rsid w:val="007F0AE0"/>
  </w:style>
  <w:style w:type="character" w:customStyle="1" w:styleId="cit-vol">
    <w:name w:val="cit-vol"/>
    <w:basedOn w:val="DefaultParagraphFont"/>
    <w:rsid w:val="007F0AE0"/>
  </w:style>
  <w:style w:type="character" w:customStyle="1" w:styleId="cit-issue">
    <w:name w:val="cit-issue"/>
    <w:basedOn w:val="DefaultParagraphFont"/>
    <w:rsid w:val="007F0AE0"/>
  </w:style>
  <w:style w:type="character" w:customStyle="1" w:styleId="cit-lpage">
    <w:name w:val="cit-lpage"/>
    <w:basedOn w:val="DefaultParagraphFont"/>
    <w:rsid w:val="007F0AE0"/>
  </w:style>
  <w:style w:type="numbering" w:customStyle="1" w:styleId="NoList2">
    <w:name w:val="No List2"/>
    <w:next w:val="NoList"/>
    <w:uiPriority w:val="99"/>
    <w:semiHidden/>
    <w:unhideWhenUsed/>
    <w:rsid w:val="007F0AE0"/>
  </w:style>
  <w:style w:type="table" w:customStyle="1" w:styleId="TableGrid6">
    <w:name w:val="Table Grid6"/>
    <w:basedOn w:val="TableNormal"/>
    <w:next w:val="TableGrid"/>
    <w:uiPriority w:val="39"/>
    <w:rsid w:val="007F0AE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HRQ11">
    <w:name w:val="AHRQ11"/>
    <w:basedOn w:val="TableGrid"/>
    <w:rsid w:val="007F0AE0"/>
    <w:rPr>
      <w:rFonts w:ascii="Arial" w:eastAsia="Times New Roman" w:hAnsi="Arial" w:cs="Times New Roman"/>
      <w:sz w:val="18"/>
      <w:szCs w:val="20"/>
      <w:lang w:val="de-AT" w:eastAsia="de-AT"/>
    </w:rPr>
    <w:tblPr>
      <w:tblBorders>
        <w:top w:val="single" w:sz="12" w:space="0" w:color="auto"/>
        <w:left w:val="none" w:sz="0" w:space="0" w:color="auto"/>
        <w:bottom w:val="single" w:sz="12" w:space="0" w:color="auto"/>
        <w:right w:val="none" w:sz="0" w:space="0" w:color="auto"/>
        <w:insideH w:val="single" w:sz="8" w:space="0" w:color="auto"/>
        <w:insideV w:val="none" w:sz="0" w:space="0" w:color="auto"/>
      </w:tblBorders>
      <w:tblCellMar>
        <w:left w:w="29" w:type="dxa"/>
        <w:right w:w="29" w:type="dxa"/>
      </w:tblCellMar>
    </w:tblPr>
    <w:tblStylePr w:type="firstRow">
      <w:pPr>
        <w:wordWrap/>
        <w:ind w:leftChars="0" w:left="0" w:firstLineChars="0" w:firstLine="0"/>
      </w:pPr>
      <w:rPr>
        <w:b/>
      </w:rPr>
      <w:tblPr/>
      <w:tcPr>
        <w:vAlign w:val="center"/>
      </w:tcPr>
    </w:tblStylePr>
  </w:style>
  <w:style w:type="table" w:customStyle="1" w:styleId="TableGridLight11">
    <w:name w:val="Table Grid Light11"/>
    <w:basedOn w:val="TableNormal"/>
    <w:uiPriority w:val="40"/>
    <w:rsid w:val="007F0AE0"/>
    <w:pPr>
      <w:spacing w:after="0" w:line="240" w:lineRule="auto"/>
    </w:pPr>
    <w:rPr>
      <w:rFonts w:ascii="Calibri" w:eastAsia="Calibri" w:hAnsi="Calibri" w:cs="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4-Accent311">
    <w:name w:val="Grid Table 4 - Accent 311"/>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3-Accent611">
    <w:name w:val="List Table 3 - Accent 611"/>
    <w:basedOn w:val="TableNormal"/>
    <w:uiPriority w:val="48"/>
    <w:rsid w:val="007F0AE0"/>
    <w:pPr>
      <w:spacing w:after="0" w:line="240" w:lineRule="auto"/>
    </w:p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411">
    <w:name w:val="List Table 3 - Accent 411"/>
    <w:basedOn w:val="TableNormal"/>
    <w:uiPriority w:val="48"/>
    <w:rsid w:val="007F0AE0"/>
    <w:pPr>
      <w:spacing w:after="0" w:line="240" w:lineRule="auto"/>
    </w:p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ListTable3-Accent511">
    <w:name w:val="List Table 3 - Accent 511"/>
    <w:basedOn w:val="TableNormal"/>
    <w:uiPriority w:val="48"/>
    <w:rsid w:val="007F0AE0"/>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GridTable4-Accent321">
    <w:name w:val="Grid Table 4 - Accent 321"/>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Grid21">
    <w:name w:val="Table Grid21"/>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7F0AE0"/>
  </w:style>
  <w:style w:type="numbering" w:customStyle="1" w:styleId="NoList3">
    <w:name w:val="No List3"/>
    <w:next w:val="NoList"/>
    <w:uiPriority w:val="99"/>
    <w:semiHidden/>
    <w:unhideWhenUsed/>
    <w:rsid w:val="007F0AE0"/>
  </w:style>
  <w:style w:type="table" w:customStyle="1" w:styleId="TableGrid7">
    <w:name w:val="Table Grid7"/>
    <w:basedOn w:val="TableNormal"/>
    <w:next w:val="TableGrid"/>
    <w:uiPriority w:val="39"/>
    <w:rsid w:val="007F0AE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HRQ12">
    <w:name w:val="AHRQ12"/>
    <w:basedOn w:val="TableGrid"/>
    <w:rsid w:val="007F0AE0"/>
    <w:rPr>
      <w:rFonts w:ascii="Arial" w:eastAsia="Times New Roman" w:hAnsi="Arial" w:cs="Times New Roman"/>
      <w:sz w:val="18"/>
      <w:szCs w:val="20"/>
      <w:lang w:val="de-AT" w:eastAsia="de-AT"/>
    </w:rPr>
    <w:tblPr>
      <w:tblBorders>
        <w:top w:val="single" w:sz="12" w:space="0" w:color="auto"/>
        <w:left w:val="none" w:sz="0" w:space="0" w:color="auto"/>
        <w:bottom w:val="single" w:sz="12" w:space="0" w:color="auto"/>
        <w:right w:val="none" w:sz="0" w:space="0" w:color="auto"/>
        <w:insideH w:val="single" w:sz="8" w:space="0" w:color="auto"/>
        <w:insideV w:val="none" w:sz="0" w:space="0" w:color="auto"/>
      </w:tblBorders>
      <w:tblCellMar>
        <w:left w:w="29" w:type="dxa"/>
        <w:right w:w="29" w:type="dxa"/>
      </w:tblCellMar>
    </w:tblPr>
    <w:tblStylePr w:type="firstRow">
      <w:pPr>
        <w:wordWrap/>
        <w:ind w:leftChars="0" w:left="0" w:firstLineChars="0" w:firstLine="0"/>
      </w:pPr>
      <w:rPr>
        <w:b/>
      </w:rPr>
      <w:tblPr/>
      <w:tcPr>
        <w:vAlign w:val="center"/>
      </w:tcPr>
    </w:tblStylePr>
  </w:style>
  <w:style w:type="table" w:customStyle="1" w:styleId="TableGridLight12">
    <w:name w:val="Table Grid Light12"/>
    <w:basedOn w:val="TableNormal"/>
    <w:uiPriority w:val="40"/>
    <w:rsid w:val="007F0AE0"/>
    <w:pPr>
      <w:spacing w:after="0" w:line="240" w:lineRule="auto"/>
    </w:pPr>
    <w:rPr>
      <w:rFonts w:ascii="Calibri" w:eastAsia="Calibri" w:hAnsi="Calibri" w:cs="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4-Accent312">
    <w:name w:val="Grid Table 4 - Accent 312"/>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3-Accent612">
    <w:name w:val="List Table 3 - Accent 612"/>
    <w:basedOn w:val="TableNormal"/>
    <w:uiPriority w:val="48"/>
    <w:rsid w:val="007F0AE0"/>
    <w:pPr>
      <w:spacing w:after="0" w:line="240" w:lineRule="auto"/>
    </w:p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412">
    <w:name w:val="List Table 3 - Accent 412"/>
    <w:basedOn w:val="TableNormal"/>
    <w:uiPriority w:val="48"/>
    <w:rsid w:val="007F0AE0"/>
    <w:pPr>
      <w:spacing w:after="0" w:line="240" w:lineRule="auto"/>
    </w:p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ListTable3-Accent512">
    <w:name w:val="List Table 3 - Accent 512"/>
    <w:basedOn w:val="TableNormal"/>
    <w:uiPriority w:val="48"/>
    <w:rsid w:val="007F0AE0"/>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GridTable4-Accent322">
    <w:name w:val="Grid Table 4 - Accent 322"/>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Grid12">
    <w:name w:val="Table Grid1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39"/>
    <w:rsid w:val="007F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7F0AE0"/>
  </w:style>
  <w:style w:type="character" w:customStyle="1" w:styleId="Heading4Char1">
    <w:name w:val="Heading 4 Char1"/>
    <w:basedOn w:val="DefaultParagraphFont"/>
    <w:uiPriority w:val="9"/>
    <w:semiHidden/>
    <w:rsid w:val="007F0AE0"/>
    <w:rPr>
      <w:rFonts w:asciiTheme="majorHAnsi" w:eastAsiaTheme="majorEastAsia" w:hAnsiTheme="majorHAnsi" w:cstheme="majorBidi"/>
      <w:i/>
      <w:iCs/>
      <w:color w:val="2F5496" w:themeColor="accent1" w:themeShade="BF"/>
    </w:rPr>
  </w:style>
  <w:style w:type="paragraph" w:styleId="BodyText0">
    <w:name w:val="Body Text"/>
    <w:basedOn w:val="Normal"/>
    <w:link w:val="BodyTextChar1"/>
    <w:uiPriority w:val="1"/>
    <w:unhideWhenUsed/>
    <w:qFormat/>
    <w:rsid w:val="007F0AE0"/>
    <w:pPr>
      <w:spacing w:after="120"/>
    </w:pPr>
  </w:style>
  <w:style w:type="character" w:customStyle="1" w:styleId="BodyTextChar1">
    <w:name w:val="Body Text Char1"/>
    <w:basedOn w:val="DefaultParagraphFont"/>
    <w:link w:val="BodyText0"/>
    <w:uiPriority w:val="1"/>
    <w:rsid w:val="007F0AE0"/>
  </w:style>
  <w:style w:type="character" w:styleId="FollowedHyperlink">
    <w:name w:val="FollowedHyperlink"/>
    <w:basedOn w:val="DefaultParagraphFont"/>
    <w:uiPriority w:val="99"/>
    <w:semiHidden/>
    <w:unhideWhenUsed/>
    <w:rsid w:val="007F0AE0"/>
    <w:rPr>
      <w:color w:val="954F72" w:themeColor="followedHyperlink"/>
      <w:u w:val="single"/>
    </w:rPr>
  </w:style>
  <w:style w:type="table" w:customStyle="1" w:styleId="TableGrid8">
    <w:name w:val="Table Grid8"/>
    <w:basedOn w:val="TableNormal"/>
    <w:next w:val="TableGrid"/>
    <w:uiPriority w:val="39"/>
    <w:rsid w:val="007F0AE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dTable4-Accent323">
    <w:name w:val="Grid Table 4 - Accent 323"/>
    <w:basedOn w:val="TableNormal"/>
    <w:uiPriority w:val="49"/>
    <w:rsid w:val="007F0AE0"/>
    <w:pPr>
      <w:spacing w:after="0" w:line="240" w:lineRule="auto"/>
    </w:p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Grid9">
    <w:name w:val="Table Grid9"/>
    <w:basedOn w:val="TableNormal"/>
    <w:next w:val="TableGrid"/>
    <w:uiPriority w:val="39"/>
    <w:rsid w:val="007F0AE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basedOn w:val="DefaultParagraphFont"/>
    <w:uiPriority w:val="99"/>
    <w:semiHidden/>
    <w:unhideWhenUsed/>
    <w:rsid w:val="007F0AE0"/>
    <w:rPr>
      <w:color w:val="808080"/>
      <w:shd w:val="clear" w:color="auto" w:fill="E6E6E6"/>
    </w:rPr>
  </w:style>
  <w:style w:type="character" w:customStyle="1" w:styleId="ListParagraphChar">
    <w:name w:val="List Paragraph Char"/>
    <w:basedOn w:val="DefaultParagraphFont"/>
    <w:link w:val="ListParagraph"/>
    <w:uiPriority w:val="34"/>
    <w:rsid w:val="007F0AE0"/>
  </w:style>
  <w:style w:type="table" w:customStyle="1" w:styleId="PlainTable21">
    <w:name w:val="Plain Table 21"/>
    <w:basedOn w:val="TableNormal"/>
    <w:next w:val="PlainTable2"/>
    <w:uiPriority w:val="42"/>
    <w:rsid w:val="007F0AE0"/>
    <w:pPr>
      <w:spacing w:after="0" w:line="240" w:lineRule="auto"/>
    </w:pPr>
    <w:rPr>
      <w:sz w:val="24"/>
      <w:szCs w:val="24"/>
      <w:lang w:val="en-CA"/>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2">
    <w:name w:val="Plain Table 22"/>
    <w:basedOn w:val="TableNormal"/>
    <w:next w:val="PlainTable2"/>
    <w:uiPriority w:val="42"/>
    <w:rsid w:val="007F0AE0"/>
    <w:pPr>
      <w:spacing w:after="0" w:line="240" w:lineRule="auto"/>
    </w:pPr>
    <w:rPr>
      <w:sz w:val="24"/>
      <w:szCs w:val="24"/>
      <w:lang w:val="en-C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7F0AE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2">
    <w:name w:val="Unresolved Mention2"/>
    <w:basedOn w:val="DefaultParagraphFont"/>
    <w:uiPriority w:val="99"/>
    <w:semiHidden/>
    <w:unhideWhenUsed/>
    <w:rsid w:val="007F0AE0"/>
    <w:rPr>
      <w:color w:val="605E5C"/>
      <w:shd w:val="clear" w:color="auto" w:fill="E1DFDD"/>
    </w:rPr>
  </w:style>
  <w:style w:type="character" w:customStyle="1" w:styleId="UnresolvedMention3">
    <w:name w:val="Unresolved Mention3"/>
    <w:basedOn w:val="DefaultParagraphFont"/>
    <w:uiPriority w:val="99"/>
    <w:semiHidden/>
    <w:unhideWhenUsed/>
    <w:rsid w:val="007F0AE0"/>
    <w:rPr>
      <w:color w:val="605E5C"/>
      <w:shd w:val="clear" w:color="auto" w:fill="E1DFDD"/>
    </w:rPr>
  </w:style>
  <w:style w:type="character" w:customStyle="1" w:styleId="UnresolvedMention4">
    <w:name w:val="Unresolved Mention4"/>
    <w:basedOn w:val="DefaultParagraphFont"/>
    <w:uiPriority w:val="99"/>
    <w:semiHidden/>
    <w:unhideWhenUsed/>
    <w:rsid w:val="007F0AE0"/>
    <w:rPr>
      <w:color w:val="605E5C"/>
      <w:shd w:val="clear" w:color="auto" w:fill="E1DFDD"/>
    </w:rPr>
  </w:style>
  <w:style w:type="character" w:styleId="UnresolvedMention">
    <w:name w:val="Unresolved Mention"/>
    <w:basedOn w:val="DefaultParagraphFont"/>
    <w:uiPriority w:val="99"/>
    <w:semiHidden/>
    <w:unhideWhenUsed/>
    <w:rsid w:val="007F0A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image" Target="media/image1.png"/><Relationship Id="rId26"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3.jpe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hyperlink" Target="http://www.fda.gov/downloads/ScienceResearch/SpecialTopics/PeerReviewofScientificInformationandAssessments/UCM362600.pdf" TargetMode="External"/><Relationship Id="rId25" Type="http://schemas.openxmlformats.org/officeDocument/2006/relationships/image" Target="cid:image001.png@01D4FA16.9C298BE0" TargetMode="External"/><Relationship Id="rId33" Type="http://schemas.openxmlformats.org/officeDocument/2006/relationships/image" Target="cid:image001.png@01D4F9F9.BB7C1070" TargetMode="External"/><Relationship Id="rId2" Type="http://schemas.openxmlformats.org/officeDocument/2006/relationships/customXml" Target="../customXml/item2.xml"/><Relationship Id="rId16" Type="http://schemas.openxmlformats.org/officeDocument/2006/relationships/hyperlink" Target="http://www.fda.gov/downloads/ScienceResearch/SpecialTopics/PeerReviewofScientificInformationandAssessments/UCM361598.pdf" TargetMode="External"/><Relationship Id="rId20" Type="http://schemas.openxmlformats.org/officeDocument/2006/relationships/image" Target="media/image2.tiff"/><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5.png"/><Relationship Id="rId32" Type="http://schemas.openxmlformats.org/officeDocument/2006/relationships/image" Target="media/image11.png"/><Relationship Id="rId5" Type="http://schemas.openxmlformats.org/officeDocument/2006/relationships/styles" Target="styles.xml"/><Relationship Id="rId15" Type="http://schemas.openxmlformats.org/officeDocument/2006/relationships/hyperlink" Target="http://www.fda.gov/downloads/AdvisoryCommittees/CommitteesMeetingMaterials/TobaccoProductsScientificAdvisoryCommittee/UCM269697.pdf" TargetMode="External"/><Relationship Id="rId23" Type="http://schemas.openxmlformats.org/officeDocument/2006/relationships/image" Target="cid:image002.png@01D4FA16.9C298BE0" TargetMode="External"/><Relationship Id="rId28" Type="http://schemas.openxmlformats.org/officeDocument/2006/relationships/image" Target="media/image8.png"/><Relationship Id="rId10" Type="http://schemas.openxmlformats.org/officeDocument/2006/relationships/header" Target="header1.xml"/><Relationship Id="rId19" Type="http://schemas.openxmlformats.org/officeDocument/2006/relationships/image" Target="cid:image001.png@01D4F9E5.D3A5EA40" TargetMode="External"/><Relationship Id="rId31" Type="http://schemas.openxmlformats.org/officeDocument/2006/relationships/image" Target="cid:image001.png@01D4F914.2405F7A0" TargetMode="External"/><Relationship Id="rId4" Type="http://schemas.openxmlformats.org/officeDocument/2006/relationships/numbering" Target="numbering.xml"/><Relationship Id="rId9" Type="http://schemas.openxmlformats.org/officeDocument/2006/relationships/footer" Target="footer2.xml"/><Relationship Id="rId14" Type="http://schemas.openxmlformats.org/officeDocument/2006/relationships/header" Target="header3.xml"/><Relationship Id="rId22" Type="http://schemas.openxmlformats.org/officeDocument/2006/relationships/image" Target="media/image4.pn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8E0985565F4343B2685544D02FD731" ma:contentTypeVersion="13" ma:contentTypeDescription="Create a new document." ma:contentTypeScope="" ma:versionID="7e3c70980295cf80e73ef6611fb991c8">
  <xsd:schema xmlns:xsd="http://www.w3.org/2001/XMLSchema" xmlns:xs="http://www.w3.org/2001/XMLSchema" xmlns:p="http://schemas.microsoft.com/office/2006/metadata/properties" xmlns:ns3="9c0bd23c-0da7-4359-9e2c-2ea504afdae8" xmlns:ns4="50042d3a-be31-43d8-99fe-0c8c22cbe20f" targetNamespace="http://schemas.microsoft.com/office/2006/metadata/properties" ma:root="true" ma:fieldsID="4f930bf5abf498df18e17af69730ae44" ns3:_="" ns4:_="">
    <xsd:import namespace="9c0bd23c-0da7-4359-9e2c-2ea504afdae8"/>
    <xsd:import namespace="50042d3a-be31-43d8-99fe-0c8c22cbe20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0bd23c-0da7-4359-9e2c-2ea504afda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042d3a-be31-43d8-99fe-0c8c22cbe20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AFE385-AFC3-4F67-83EA-FBAA7A5F9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0bd23c-0da7-4359-9e2c-2ea504afdae8"/>
    <ds:schemaRef ds:uri="50042d3a-be31-43d8-99fe-0c8c22cbe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0FC9E0-1655-4ECE-AEB9-B79305F4AFB0}">
  <ds:schemaRefs>
    <ds:schemaRef ds:uri="http://schemas.microsoft.com/sharepoint/v3/contenttype/forms"/>
  </ds:schemaRefs>
</ds:datastoreItem>
</file>

<file path=customXml/itemProps3.xml><?xml version="1.0" encoding="utf-8"?>
<ds:datastoreItem xmlns:ds="http://schemas.openxmlformats.org/officeDocument/2006/customXml" ds:itemID="{2D97B88D-9260-4489-B3B9-C2A11CBBE902}">
  <ds:schemaRefs>
    <ds:schemaRef ds:uri="50042d3a-be31-43d8-99fe-0c8c22cbe20f"/>
    <ds:schemaRef ds:uri="http://purl.org/dc/elements/1.1/"/>
    <ds:schemaRef ds:uri="http://schemas.microsoft.com/office/2006/metadata/properties"/>
    <ds:schemaRef ds:uri="http://purl.org/dc/terms/"/>
    <ds:schemaRef ds:uri="9c0bd23c-0da7-4359-9e2c-2ea504afdae8"/>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405</Pages>
  <Words>284707</Words>
  <Characters>1622831</Characters>
  <Application>Microsoft Office Word</Application>
  <DocSecurity>0</DocSecurity>
  <Lines>13523</Lines>
  <Paragraphs>3807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Mimi M</dc:creator>
  <cp:keywords/>
  <dc:description/>
  <cp:lastModifiedBy>Kim, Mimi M</cp:lastModifiedBy>
  <cp:revision>1</cp:revision>
  <dcterms:created xsi:type="dcterms:W3CDTF">2020-01-20T19:43:00Z</dcterms:created>
  <dcterms:modified xsi:type="dcterms:W3CDTF">2020-01-20T19:44:00Z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0x010100D98E0985565F4343B2685544D02FD731</vt:lpwstr>
  </property>
</Properties>
</file>