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47CD2E9" w14:textId="77777777" w:rsidR="00506CE4" w:rsidRDefault="00506CE4" w:rsidP="00506CE4">
      <w:pPr>
        <w:pStyle w:val="SMHeading"/>
        <w:spacing w:after="0pt"/>
        <w:jc w:val="both"/>
        <w:rPr>
          <w:b w:val="0"/>
        </w:rPr>
      </w:pPr>
      <w:r w:rsidRPr="00603263">
        <w:t xml:space="preserve">Extended Data Table 1. </w:t>
      </w:r>
      <w:r w:rsidRPr="00603263">
        <w:rPr>
          <w:b w:val="0"/>
        </w:rPr>
        <w:t>A list of experiments conducted in this study by the GFDL-AM2.5 and GFDL-CM2.5-FLOR family.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916"/>
        <w:gridCol w:w="2876"/>
        <w:gridCol w:w="5568"/>
      </w:tblGrid>
      <w:tr w:rsidR="00506CE4" w:rsidRPr="00C238F4" w14:paraId="3A8E2F6F" w14:textId="77777777" w:rsidTr="00C144F9">
        <w:tc>
          <w:tcPr>
            <w:tcW w:w="45.80pt" w:type="dxa"/>
            <w:tcBorders>
              <w:top w:val="single" w:sz="6" w:space="0" w:color="auto"/>
              <w:start w:val="nil"/>
              <w:bottom w:val="single" w:sz="6" w:space="0" w:color="auto"/>
              <w:end w:val="nil"/>
            </w:tcBorders>
          </w:tcPr>
          <w:p w14:paraId="23B42471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0D230A">
              <w:rPr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43.80pt" w:type="dxa"/>
            <w:tcBorders>
              <w:top w:val="single" w:sz="6" w:space="0" w:color="auto"/>
              <w:start w:val="nil"/>
              <w:bottom w:val="single" w:sz="6" w:space="0" w:color="auto"/>
              <w:end w:val="nil"/>
            </w:tcBorders>
          </w:tcPr>
          <w:p w14:paraId="50E6B6D3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0D230A">
              <w:rPr>
                <w:b/>
                <w:bCs/>
                <w:sz w:val="24"/>
                <w:szCs w:val="24"/>
              </w:rPr>
              <w:t>Experiment name</w:t>
            </w:r>
          </w:p>
        </w:tc>
        <w:tc>
          <w:tcPr>
            <w:tcW w:w="278.40pt" w:type="dxa"/>
            <w:tcBorders>
              <w:top w:val="single" w:sz="6" w:space="0" w:color="auto"/>
              <w:start w:val="nil"/>
              <w:bottom w:val="single" w:sz="6" w:space="0" w:color="auto"/>
              <w:end w:val="nil"/>
            </w:tcBorders>
          </w:tcPr>
          <w:p w14:paraId="3E00AA33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0D230A">
              <w:rPr>
                <w:b/>
                <w:bCs/>
                <w:sz w:val="24"/>
                <w:szCs w:val="24"/>
              </w:rPr>
              <w:t>Experiment description</w:t>
            </w:r>
          </w:p>
        </w:tc>
      </w:tr>
      <w:tr w:rsidR="00506CE4" w:rsidRPr="00C238F4" w14:paraId="5B216BEB" w14:textId="77777777" w:rsidTr="00C144F9">
        <w:tc>
          <w:tcPr>
            <w:tcW w:w="45.80pt" w:type="dxa"/>
            <w:vMerge w:val="restart"/>
            <w:tcBorders>
              <w:top w:val="single" w:sz="6" w:space="0" w:color="auto"/>
              <w:start w:val="nil"/>
              <w:end w:val="nil"/>
            </w:tcBorders>
            <w:vAlign w:val="center"/>
          </w:tcPr>
          <w:p w14:paraId="7BBE850B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0D230A">
              <w:rPr>
                <w:b/>
                <w:bCs/>
                <w:sz w:val="24"/>
                <w:szCs w:val="24"/>
              </w:rPr>
              <w:t>AM2.5</w:t>
            </w:r>
          </w:p>
        </w:tc>
        <w:tc>
          <w:tcPr>
            <w:tcW w:w="143.80pt" w:type="dxa"/>
            <w:tcBorders>
              <w:top w:val="single" w:sz="6" w:space="0" w:color="auto"/>
              <w:start w:val="nil"/>
              <w:end w:val="nil"/>
            </w:tcBorders>
            <w:vAlign w:val="center"/>
          </w:tcPr>
          <w:p w14:paraId="57030163" w14:textId="77777777" w:rsidR="00506CE4" w:rsidRPr="000D230A" w:rsidRDefault="00506CE4" w:rsidP="00C144F9">
            <w:pPr>
              <w:spacing w:before="6pt" w:after="3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CTL1990s</w:t>
            </w:r>
          </w:p>
        </w:tc>
        <w:tc>
          <w:tcPr>
            <w:tcW w:w="278.40pt" w:type="dxa"/>
            <w:tcBorders>
              <w:top w:val="single" w:sz="6" w:space="0" w:color="auto"/>
              <w:start w:val="nil"/>
              <w:end w:val="nil"/>
            </w:tcBorders>
          </w:tcPr>
          <w:p w14:paraId="29591FB0" w14:textId="77777777" w:rsidR="00506CE4" w:rsidRPr="000D230A" w:rsidRDefault="00506CE4" w:rsidP="00C144F9">
            <w:pPr>
              <w:spacing w:before="6pt" w:after="3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10-year atmosphere-only integration with sea surface temperatures and sea ice concentrations fixed at the 1990s climatology as well as the forcing conditions of 1990.</w:t>
            </w:r>
          </w:p>
        </w:tc>
      </w:tr>
      <w:tr w:rsidR="00506CE4" w:rsidRPr="00C238F4" w14:paraId="50E1F423" w14:textId="77777777" w:rsidTr="00C144F9">
        <w:tc>
          <w:tcPr>
            <w:tcW w:w="45.80pt" w:type="dxa"/>
            <w:vMerge/>
            <w:tcBorders>
              <w:start w:val="nil"/>
              <w:end w:val="nil"/>
            </w:tcBorders>
            <w:vAlign w:val="center"/>
          </w:tcPr>
          <w:p w14:paraId="2C35ED11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2BD45EB9" w14:textId="77777777" w:rsidR="00506CE4" w:rsidRPr="000D230A" w:rsidRDefault="00506CE4" w:rsidP="00C144F9">
            <w:pPr>
              <w:spacing w:before="3pt" w:after="3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CTL1990s-0p5TgStratBC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0D42A5DE" w14:textId="77777777" w:rsidR="00506CE4" w:rsidRPr="000D230A" w:rsidRDefault="00506CE4" w:rsidP="00C144F9">
            <w:pPr>
              <w:spacing w:before="3pt" w:after="3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Same as CTL1990s, except that 0.5 Tg</w:t>
            </w:r>
            <w:r w:rsidRPr="000D230A">
              <w:rPr>
                <w:sz w:val="23"/>
                <w:szCs w:val="23"/>
                <w:vertAlign w:val="superscript"/>
              </w:rPr>
              <w:t>1</w:t>
            </w:r>
            <w:r w:rsidRPr="000D230A">
              <w:rPr>
                <w:sz w:val="23"/>
                <w:szCs w:val="23"/>
              </w:rPr>
              <w:t xml:space="preserve"> BC aerosols are horizontal-uniformly prescribed at each of the highest 7 sigma levels of aerosol inputs</w:t>
            </w:r>
            <w:r w:rsidRPr="000D230A">
              <w:rPr>
                <w:sz w:val="23"/>
                <w:szCs w:val="23"/>
                <w:vertAlign w:val="superscript"/>
              </w:rPr>
              <w:t>2</w:t>
            </w:r>
            <w:r w:rsidRPr="000D230A">
              <w:rPr>
                <w:sz w:val="23"/>
                <w:szCs w:val="23"/>
              </w:rPr>
              <w:t>, respectively.</w:t>
            </w:r>
          </w:p>
        </w:tc>
      </w:tr>
      <w:tr w:rsidR="00506CE4" w:rsidRPr="00C238F4" w14:paraId="0FEB2D12" w14:textId="77777777" w:rsidTr="00C144F9">
        <w:tc>
          <w:tcPr>
            <w:tcW w:w="45.80pt" w:type="dxa"/>
            <w:vMerge/>
            <w:tcBorders>
              <w:start w:val="nil"/>
              <w:end w:val="nil"/>
            </w:tcBorders>
            <w:vAlign w:val="center"/>
          </w:tcPr>
          <w:p w14:paraId="075FCF4A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01A004EE" w14:textId="77777777" w:rsidR="00506CE4" w:rsidRPr="000D230A" w:rsidRDefault="00506CE4" w:rsidP="00C144F9">
            <w:pPr>
              <w:spacing w:before="3pt" w:after="3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CTL1990s-0p5TgStratSO4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72E9D707" w14:textId="77777777" w:rsidR="00506CE4" w:rsidRPr="000D230A" w:rsidRDefault="00506CE4" w:rsidP="00C144F9">
            <w:pPr>
              <w:spacing w:before="3pt" w:after="3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Same as CTL1990s, except that 0.5 Tg SO</w:t>
            </w:r>
            <w:r w:rsidRPr="000D230A">
              <w:rPr>
                <w:sz w:val="23"/>
                <w:szCs w:val="23"/>
                <w:vertAlign w:val="subscript"/>
              </w:rPr>
              <w:t>4</w:t>
            </w:r>
            <w:r w:rsidRPr="000D230A">
              <w:rPr>
                <w:sz w:val="23"/>
                <w:szCs w:val="23"/>
              </w:rPr>
              <w:t xml:space="preserve"> aerosols are horizontal-uniformly prescribed at each of the highest 7 sigma levels of aerosol inputs, respectively.</w:t>
            </w:r>
          </w:p>
        </w:tc>
      </w:tr>
      <w:tr w:rsidR="00506CE4" w:rsidRPr="00C238F4" w14:paraId="4E319521" w14:textId="77777777" w:rsidTr="00C144F9">
        <w:tc>
          <w:tcPr>
            <w:tcW w:w="45.80pt" w:type="dxa"/>
            <w:vMerge/>
            <w:tcBorders>
              <w:start w:val="nil"/>
              <w:bottom w:val="single" w:sz="4" w:space="0" w:color="auto"/>
              <w:end w:val="nil"/>
            </w:tcBorders>
            <w:vAlign w:val="center"/>
          </w:tcPr>
          <w:p w14:paraId="4C2CBE6A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6B91CF28" w14:textId="77777777" w:rsidR="00506CE4" w:rsidRPr="000D230A" w:rsidRDefault="00506CE4" w:rsidP="00C144F9">
            <w:pPr>
              <w:spacing w:before="3pt" w:after="6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CTL1990s-5TgStratSO4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53C52BE3" w14:textId="77777777" w:rsidR="00506CE4" w:rsidRPr="000D230A" w:rsidRDefault="00506CE4" w:rsidP="00C144F9">
            <w:pPr>
              <w:spacing w:before="3pt" w:after="6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Same as CTL1990s, except that 5.0 Tg SO</w:t>
            </w:r>
            <w:r w:rsidRPr="000D230A">
              <w:rPr>
                <w:sz w:val="23"/>
                <w:szCs w:val="23"/>
                <w:vertAlign w:val="subscript"/>
              </w:rPr>
              <w:t>4</w:t>
            </w:r>
            <w:r w:rsidRPr="000D230A">
              <w:rPr>
                <w:sz w:val="23"/>
                <w:szCs w:val="23"/>
              </w:rPr>
              <w:t xml:space="preserve"> aerosols are horizontal-uniformly prescribed at each of the highest 7 sigma levels of aerosol inputs, respectively.</w:t>
            </w:r>
          </w:p>
        </w:tc>
      </w:tr>
      <w:tr w:rsidR="00506CE4" w:rsidRPr="00C238F4" w14:paraId="3CB184B8" w14:textId="77777777" w:rsidTr="00C144F9">
        <w:tc>
          <w:tcPr>
            <w:tcW w:w="45.80pt" w:type="dxa"/>
            <w:vMerge w:val="restart"/>
            <w:tcBorders>
              <w:start w:val="nil"/>
              <w:end w:val="nil"/>
            </w:tcBorders>
            <w:vAlign w:val="center"/>
          </w:tcPr>
          <w:p w14:paraId="5F3301E1" w14:textId="77777777" w:rsidR="00506CE4" w:rsidRPr="000D230A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0D230A">
              <w:rPr>
                <w:b/>
                <w:bCs/>
                <w:sz w:val="24"/>
                <w:szCs w:val="24"/>
              </w:rPr>
              <w:t>FLOR</w:t>
            </w: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42DC0E59" w14:textId="77777777" w:rsidR="00506CE4" w:rsidRPr="000D230A" w:rsidRDefault="00506CE4" w:rsidP="00C144F9">
            <w:pPr>
              <w:spacing w:before="6pt" w:after="3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CTL1860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0F1F3E9B" w14:textId="77777777" w:rsidR="00506CE4" w:rsidRPr="000D230A" w:rsidRDefault="00506CE4" w:rsidP="00C144F9">
            <w:pPr>
              <w:spacing w:before="6pt" w:after="3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Coupled simulations with non-evolving pre-industrial conditions. Conditions chosen to be representative of the period prior to the onset of large-scale industrialization, with 1860 being the reference year.</w:t>
            </w:r>
          </w:p>
        </w:tc>
      </w:tr>
      <w:tr w:rsidR="00506CE4" w:rsidRPr="00C238F4" w14:paraId="2267E1B1" w14:textId="77777777" w:rsidTr="00C144F9">
        <w:tc>
          <w:tcPr>
            <w:tcW w:w="45.80pt" w:type="dxa"/>
            <w:vMerge/>
            <w:tcBorders>
              <w:start w:val="nil"/>
              <w:end w:val="nil"/>
            </w:tcBorders>
            <w:vAlign w:val="center"/>
          </w:tcPr>
          <w:p w14:paraId="013D5A78" w14:textId="77777777" w:rsidR="00506CE4" w:rsidRPr="000D230A" w:rsidRDefault="00506CE4" w:rsidP="00C144F9">
            <w:pPr>
              <w:spacing w:before="6pt" w:after="6pt"/>
              <w:jc w:val="center"/>
              <w:rPr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bottom w:val="single" w:sz="4" w:space="0" w:color="auto"/>
              <w:end w:val="nil"/>
            </w:tcBorders>
            <w:vAlign w:val="center"/>
          </w:tcPr>
          <w:p w14:paraId="29C455FB" w14:textId="77777777" w:rsidR="00506CE4" w:rsidRPr="000D230A" w:rsidRDefault="00506CE4" w:rsidP="00C144F9">
            <w:pPr>
              <w:spacing w:before="3pt" w:after="3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CTL1860-0p5TgStratBC</w:t>
            </w:r>
          </w:p>
        </w:tc>
        <w:tc>
          <w:tcPr>
            <w:tcW w:w="278.40pt" w:type="dxa"/>
            <w:tcBorders>
              <w:start w:val="nil"/>
              <w:bottom w:val="single" w:sz="4" w:space="0" w:color="auto"/>
              <w:end w:val="nil"/>
            </w:tcBorders>
          </w:tcPr>
          <w:p w14:paraId="6C23545A" w14:textId="77777777" w:rsidR="00506CE4" w:rsidRPr="000D230A" w:rsidRDefault="00506CE4" w:rsidP="00C144F9">
            <w:pPr>
              <w:spacing w:before="3pt" w:after="3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150-year coupled integration with 0.5 Tg BC aerosols are horizontal-uniformly prescribed at the second highest sigma level of aerosol inputs.</w:t>
            </w:r>
          </w:p>
        </w:tc>
      </w:tr>
      <w:tr w:rsidR="00506CE4" w:rsidRPr="00C238F4" w14:paraId="2B9DA797" w14:textId="77777777" w:rsidTr="00C144F9">
        <w:tc>
          <w:tcPr>
            <w:tcW w:w="45.80pt" w:type="dxa"/>
            <w:vMerge/>
            <w:tcBorders>
              <w:start w:val="nil"/>
              <w:bottom w:val="single" w:sz="6" w:space="0" w:color="auto"/>
              <w:end w:val="nil"/>
            </w:tcBorders>
            <w:vAlign w:val="center"/>
          </w:tcPr>
          <w:p w14:paraId="064A0F35" w14:textId="77777777" w:rsidR="00506CE4" w:rsidRPr="000D230A" w:rsidRDefault="00506CE4" w:rsidP="00C144F9">
            <w:pPr>
              <w:spacing w:before="6pt" w:after="6pt"/>
              <w:jc w:val="center"/>
              <w:rPr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bottom w:val="single" w:sz="6" w:space="0" w:color="auto"/>
              <w:end w:val="nil"/>
            </w:tcBorders>
            <w:vAlign w:val="center"/>
          </w:tcPr>
          <w:p w14:paraId="623617CE" w14:textId="77777777" w:rsidR="00506CE4" w:rsidRPr="000D230A" w:rsidRDefault="00506CE4" w:rsidP="00C144F9">
            <w:pPr>
              <w:spacing w:before="3pt" w:after="6pt"/>
              <w:jc w:val="center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CTL1860-5TgStratSO4</w:t>
            </w:r>
          </w:p>
        </w:tc>
        <w:tc>
          <w:tcPr>
            <w:tcW w:w="278.40pt" w:type="dxa"/>
            <w:tcBorders>
              <w:start w:val="nil"/>
              <w:bottom w:val="single" w:sz="6" w:space="0" w:color="auto"/>
              <w:end w:val="nil"/>
            </w:tcBorders>
          </w:tcPr>
          <w:p w14:paraId="503C127A" w14:textId="77777777" w:rsidR="00506CE4" w:rsidRPr="000D230A" w:rsidRDefault="00506CE4" w:rsidP="00C144F9">
            <w:pPr>
              <w:spacing w:before="3pt" w:after="6pt"/>
              <w:rPr>
                <w:sz w:val="23"/>
                <w:szCs w:val="23"/>
              </w:rPr>
            </w:pPr>
            <w:r w:rsidRPr="000D230A">
              <w:rPr>
                <w:sz w:val="23"/>
                <w:szCs w:val="23"/>
              </w:rPr>
              <w:t>150-year coupled integration with 5.0 Tg SO</w:t>
            </w:r>
            <w:r w:rsidRPr="000D230A">
              <w:rPr>
                <w:sz w:val="23"/>
                <w:szCs w:val="23"/>
                <w:vertAlign w:val="subscript"/>
              </w:rPr>
              <w:t>4</w:t>
            </w:r>
            <w:r w:rsidRPr="000D230A">
              <w:rPr>
                <w:sz w:val="23"/>
                <w:szCs w:val="23"/>
              </w:rPr>
              <w:t xml:space="preserve"> aerosols are horizontal-uniformly prescribed at the second highest sigma level of aerosol inputs.</w:t>
            </w:r>
          </w:p>
        </w:tc>
      </w:tr>
    </w:tbl>
    <w:p w14:paraId="5A331A74" w14:textId="77777777" w:rsidR="00506CE4" w:rsidRPr="0095516F" w:rsidRDefault="00506CE4" w:rsidP="00506CE4">
      <w:pPr>
        <w:spacing w:before="12pt" w:after="3pt"/>
        <w:contextualSpacing/>
        <w:rPr>
          <w:sz w:val="24"/>
          <w:szCs w:val="24"/>
        </w:rPr>
      </w:pPr>
      <w:r w:rsidRPr="0095516F">
        <w:rPr>
          <w:sz w:val="24"/>
          <w:szCs w:val="24"/>
          <w:vertAlign w:val="superscript"/>
        </w:rPr>
        <w:t xml:space="preserve">1 </w:t>
      </w:r>
      <w:r w:rsidRPr="0095516F">
        <w:rPr>
          <w:sz w:val="24"/>
          <w:szCs w:val="24"/>
        </w:rPr>
        <w:t>One teragram (Tg) is equal to one million metric tons (t).</w:t>
      </w:r>
    </w:p>
    <w:p w14:paraId="758AC2BB" w14:textId="77777777" w:rsidR="00506CE4" w:rsidRPr="0095516F" w:rsidRDefault="00506CE4" w:rsidP="00506CE4">
      <w:pPr>
        <w:spacing w:before="12pt" w:after="3pt"/>
        <w:contextualSpacing/>
        <w:rPr>
          <w:sz w:val="24"/>
          <w:szCs w:val="24"/>
        </w:rPr>
      </w:pPr>
      <w:r w:rsidRPr="0095516F">
        <w:rPr>
          <w:sz w:val="24"/>
          <w:szCs w:val="24"/>
          <w:vertAlign w:val="superscript"/>
        </w:rPr>
        <w:t xml:space="preserve">2 </w:t>
      </w:r>
      <w:r w:rsidRPr="0095516F">
        <w:rPr>
          <w:sz w:val="24"/>
          <w:szCs w:val="24"/>
        </w:rPr>
        <w:t>Identical aerosol inputs are used for the two model families.</w:t>
      </w:r>
    </w:p>
    <w:p w14:paraId="675D8408" w14:textId="77777777" w:rsidR="00506CE4" w:rsidRPr="00C238F4" w:rsidRDefault="00506CE4" w:rsidP="00506CE4">
      <w:pPr>
        <w:pStyle w:val="SMHeading"/>
        <w:rPr>
          <w:b w:val="0"/>
          <w:bCs w:val="0"/>
          <w:kern w:val="0"/>
          <w:sz w:val="20"/>
          <w:szCs w:val="20"/>
        </w:rPr>
      </w:pPr>
      <w:r w:rsidRPr="00C238F4">
        <w:rPr>
          <w:b w:val="0"/>
          <w:bCs w:val="0"/>
          <w:kern w:val="0"/>
          <w:sz w:val="20"/>
          <w:szCs w:val="20"/>
        </w:rPr>
        <w:br w:type="page"/>
      </w:r>
    </w:p>
    <w:p w14:paraId="099F09BE" w14:textId="77777777" w:rsidR="00506CE4" w:rsidRPr="00603263" w:rsidRDefault="00506CE4" w:rsidP="00506CE4">
      <w:pPr>
        <w:pStyle w:val="SMHeading"/>
        <w:spacing w:after="0pt"/>
        <w:jc w:val="both"/>
        <w:rPr>
          <w:b w:val="0"/>
        </w:rPr>
      </w:pPr>
      <w:r w:rsidRPr="00603263">
        <w:lastRenderedPageBreak/>
        <w:t xml:space="preserve">Extended Data Table 2. </w:t>
      </w:r>
      <w:r w:rsidRPr="00603263">
        <w:rPr>
          <w:b w:val="0"/>
        </w:rPr>
        <w:t>An identical list of experiments conducted in this study by the GFDL-AM2.1 and GFDL-CM2.1 family.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916"/>
        <w:gridCol w:w="2876"/>
        <w:gridCol w:w="5568"/>
      </w:tblGrid>
      <w:tr w:rsidR="00506CE4" w:rsidRPr="00C238F4" w14:paraId="6F35B7E9" w14:textId="77777777" w:rsidTr="00C144F9">
        <w:tc>
          <w:tcPr>
            <w:tcW w:w="45.80pt" w:type="dxa"/>
            <w:tcBorders>
              <w:top w:val="single" w:sz="6" w:space="0" w:color="auto"/>
              <w:start w:val="nil"/>
              <w:bottom w:val="single" w:sz="6" w:space="0" w:color="auto"/>
              <w:end w:val="nil"/>
            </w:tcBorders>
          </w:tcPr>
          <w:p w14:paraId="3545618A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A93E54">
              <w:rPr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43.80pt" w:type="dxa"/>
            <w:tcBorders>
              <w:top w:val="single" w:sz="6" w:space="0" w:color="auto"/>
              <w:start w:val="nil"/>
              <w:bottom w:val="single" w:sz="6" w:space="0" w:color="auto"/>
              <w:end w:val="nil"/>
            </w:tcBorders>
          </w:tcPr>
          <w:p w14:paraId="41BBC8B8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A93E54">
              <w:rPr>
                <w:b/>
                <w:bCs/>
                <w:sz w:val="24"/>
                <w:szCs w:val="24"/>
              </w:rPr>
              <w:t>Experiment name</w:t>
            </w:r>
          </w:p>
        </w:tc>
        <w:tc>
          <w:tcPr>
            <w:tcW w:w="278.40pt" w:type="dxa"/>
            <w:tcBorders>
              <w:top w:val="single" w:sz="6" w:space="0" w:color="auto"/>
              <w:start w:val="nil"/>
              <w:bottom w:val="single" w:sz="6" w:space="0" w:color="auto"/>
              <w:end w:val="nil"/>
            </w:tcBorders>
          </w:tcPr>
          <w:p w14:paraId="5C100FA9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A93E54">
              <w:rPr>
                <w:b/>
                <w:bCs/>
                <w:sz w:val="24"/>
                <w:szCs w:val="24"/>
              </w:rPr>
              <w:t>Experiment description</w:t>
            </w:r>
          </w:p>
        </w:tc>
      </w:tr>
      <w:tr w:rsidR="00506CE4" w:rsidRPr="00C238F4" w14:paraId="4F2DCFF0" w14:textId="77777777" w:rsidTr="00C144F9">
        <w:tc>
          <w:tcPr>
            <w:tcW w:w="45.80pt" w:type="dxa"/>
            <w:vMerge w:val="restart"/>
            <w:tcBorders>
              <w:top w:val="single" w:sz="6" w:space="0" w:color="auto"/>
              <w:start w:val="nil"/>
              <w:end w:val="nil"/>
            </w:tcBorders>
            <w:vAlign w:val="center"/>
          </w:tcPr>
          <w:p w14:paraId="7ADD4699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A93E54">
              <w:rPr>
                <w:b/>
                <w:bCs/>
                <w:sz w:val="24"/>
                <w:szCs w:val="24"/>
              </w:rPr>
              <w:t>AM2.1</w:t>
            </w:r>
          </w:p>
        </w:tc>
        <w:tc>
          <w:tcPr>
            <w:tcW w:w="143.80pt" w:type="dxa"/>
            <w:tcBorders>
              <w:top w:val="single" w:sz="6" w:space="0" w:color="auto"/>
              <w:start w:val="nil"/>
              <w:end w:val="nil"/>
            </w:tcBorders>
            <w:vAlign w:val="center"/>
          </w:tcPr>
          <w:p w14:paraId="15EA5D96" w14:textId="77777777" w:rsidR="00506CE4" w:rsidRPr="00A93E54" w:rsidRDefault="00506CE4" w:rsidP="00C144F9">
            <w:pPr>
              <w:spacing w:before="6pt" w:after="3pt"/>
              <w:jc w:val="center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CTL1990s</w:t>
            </w:r>
          </w:p>
        </w:tc>
        <w:tc>
          <w:tcPr>
            <w:tcW w:w="278.40pt" w:type="dxa"/>
            <w:tcBorders>
              <w:top w:val="single" w:sz="6" w:space="0" w:color="auto"/>
              <w:start w:val="nil"/>
              <w:end w:val="nil"/>
            </w:tcBorders>
          </w:tcPr>
          <w:p w14:paraId="5B14FCA9" w14:textId="77777777" w:rsidR="00506CE4" w:rsidRPr="00A93E54" w:rsidRDefault="00506CE4" w:rsidP="00C144F9">
            <w:pPr>
              <w:spacing w:before="6pt" w:after="3pt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 xml:space="preserve">Same as the CTL1990s of AM2.5 in </w:t>
            </w:r>
            <w:r w:rsidRPr="009F78AA">
              <w:rPr>
                <w:sz w:val="23"/>
                <w:szCs w:val="23"/>
              </w:rPr>
              <w:t xml:space="preserve">Extended Data Table </w:t>
            </w:r>
            <w:r w:rsidRPr="00A93E54">
              <w:rPr>
                <w:sz w:val="23"/>
                <w:szCs w:val="23"/>
              </w:rPr>
              <w:t>1, except for 30-year integration.</w:t>
            </w:r>
          </w:p>
        </w:tc>
      </w:tr>
      <w:tr w:rsidR="00506CE4" w:rsidRPr="00C238F4" w14:paraId="680E957C" w14:textId="77777777" w:rsidTr="00C144F9">
        <w:tc>
          <w:tcPr>
            <w:tcW w:w="45.80pt" w:type="dxa"/>
            <w:vMerge/>
            <w:tcBorders>
              <w:start w:val="nil"/>
              <w:end w:val="nil"/>
            </w:tcBorders>
            <w:vAlign w:val="center"/>
          </w:tcPr>
          <w:p w14:paraId="2B8EFD49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27979DDB" w14:textId="77777777" w:rsidR="00506CE4" w:rsidRPr="00A93E54" w:rsidRDefault="00506CE4" w:rsidP="00C144F9">
            <w:pPr>
              <w:spacing w:before="3pt" w:after="3pt"/>
              <w:jc w:val="center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CTL1990s-0p5TgStratBC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7E8FA735" w14:textId="77777777" w:rsidR="00506CE4" w:rsidRPr="00A93E54" w:rsidRDefault="00506CE4" w:rsidP="00C144F9">
            <w:pPr>
              <w:spacing w:before="3pt" w:after="3pt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Same as the CTL1990s-0p5TgStratBC of AM2.5, except for 30-year integrations.</w:t>
            </w:r>
          </w:p>
        </w:tc>
      </w:tr>
      <w:tr w:rsidR="00506CE4" w:rsidRPr="00C238F4" w14:paraId="547F804E" w14:textId="77777777" w:rsidTr="00C144F9">
        <w:tc>
          <w:tcPr>
            <w:tcW w:w="45.80pt" w:type="dxa"/>
            <w:vMerge/>
            <w:tcBorders>
              <w:start w:val="nil"/>
              <w:bottom w:val="single" w:sz="4" w:space="0" w:color="auto"/>
              <w:end w:val="nil"/>
            </w:tcBorders>
            <w:vAlign w:val="center"/>
          </w:tcPr>
          <w:p w14:paraId="1289B25B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478C0DA6" w14:textId="77777777" w:rsidR="00506CE4" w:rsidRPr="00A93E54" w:rsidRDefault="00506CE4" w:rsidP="00C144F9">
            <w:pPr>
              <w:spacing w:before="3pt" w:after="6pt"/>
              <w:jc w:val="center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CTL1990s-5TgStratSO4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62F462CF" w14:textId="77777777" w:rsidR="00506CE4" w:rsidRPr="00A93E54" w:rsidRDefault="00506CE4" w:rsidP="00C144F9">
            <w:pPr>
              <w:spacing w:before="3pt" w:after="6pt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Same as the CTL1990s-5TgStratSO</w:t>
            </w:r>
            <w:r w:rsidRPr="00A93E54">
              <w:rPr>
                <w:sz w:val="23"/>
                <w:szCs w:val="23"/>
                <w:vertAlign w:val="subscript"/>
              </w:rPr>
              <w:t>4</w:t>
            </w:r>
            <w:r w:rsidRPr="00A93E54">
              <w:rPr>
                <w:sz w:val="23"/>
                <w:szCs w:val="23"/>
              </w:rPr>
              <w:t xml:space="preserve"> of AM2.5, except for 30-year integrations.</w:t>
            </w:r>
          </w:p>
        </w:tc>
      </w:tr>
      <w:tr w:rsidR="00506CE4" w:rsidRPr="00C238F4" w14:paraId="7F4AC0A7" w14:textId="77777777" w:rsidTr="00C144F9">
        <w:tc>
          <w:tcPr>
            <w:tcW w:w="45.80pt" w:type="dxa"/>
            <w:vMerge w:val="restart"/>
            <w:tcBorders>
              <w:start w:val="nil"/>
              <w:bottom w:val="single" w:sz="6" w:space="0" w:color="auto"/>
              <w:end w:val="nil"/>
            </w:tcBorders>
            <w:vAlign w:val="center"/>
          </w:tcPr>
          <w:p w14:paraId="3A6A19C3" w14:textId="77777777" w:rsidR="00506CE4" w:rsidRPr="00A93E54" w:rsidRDefault="00506CE4" w:rsidP="00C144F9">
            <w:pPr>
              <w:spacing w:before="6pt" w:after="6pt"/>
              <w:jc w:val="center"/>
              <w:rPr>
                <w:b/>
                <w:bCs/>
                <w:sz w:val="24"/>
                <w:szCs w:val="24"/>
              </w:rPr>
            </w:pPr>
            <w:r w:rsidRPr="00A93E54">
              <w:rPr>
                <w:b/>
                <w:bCs/>
                <w:sz w:val="24"/>
                <w:szCs w:val="24"/>
              </w:rPr>
              <w:t>CM2.1</w:t>
            </w:r>
          </w:p>
        </w:tc>
        <w:tc>
          <w:tcPr>
            <w:tcW w:w="143.80pt" w:type="dxa"/>
            <w:tcBorders>
              <w:start w:val="nil"/>
              <w:end w:val="nil"/>
            </w:tcBorders>
            <w:vAlign w:val="center"/>
          </w:tcPr>
          <w:p w14:paraId="136B171F" w14:textId="77777777" w:rsidR="00506CE4" w:rsidRPr="00A93E54" w:rsidRDefault="00506CE4" w:rsidP="00C144F9">
            <w:pPr>
              <w:spacing w:before="6pt" w:after="3pt"/>
              <w:jc w:val="center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CTL1860</w:t>
            </w:r>
          </w:p>
        </w:tc>
        <w:tc>
          <w:tcPr>
            <w:tcW w:w="278.40pt" w:type="dxa"/>
            <w:tcBorders>
              <w:start w:val="nil"/>
              <w:end w:val="nil"/>
            </w:tcBorders>
          </w:tcPr>
          <w:p w14:paraId="0E62CC78" w14:textId="77777777" w:rsidR="00506CE4" w:rsidRPr="00A93E54" w:rsidRDefault="00506CE4" w:rsidP="00C144F9">
            <w:pPr>
              <w:spacing w:before="6pt" w:after="3pt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 xml:space="preserve">Same as the CTL1860 of FLOR in </w:t>
            </w:r>
            <w:r w:rsidRPr="00D4135D">
              <w:rPr>
                <w:sz w:val="23"/>
                <w:szCs w:val="23"/>
              </w:rPr>
              <w:t xml:space="preserve">Extended Data Table </w:t>
            </w:r>
            <w:r w:rsidRPr="00A93E54">
              <w:rPr>
                <w:sz w:val="23"/>
                <w:szCs w:val="23"/>
              </w:rPr>
              <w:t>1.</w:t>
            </w:r>
          </w:p>
        </w:tc>
      </w:tr>
      <w:tr w:rsidR="00506CE4" w:rsidRPr="00C238F4" w14:paraId="144CAFF1" w14:textId="77777777" w:rsidTr="00C144F9">
        <w:tc>
          <w:tcPr>
            <w:tcW w:w="45.80pt" w:type="dxa"/>
            <w:vMerge/>
            <w:tcBorders>
              <w:top w:val="single" w:sz="8" w:space="0" w:color="auto"/>
              <w:start w:val="nil"/>
              <w:bottom w:val="single" w:sz="6" w:space="0" w:color="auto"/>
              <w:end w:val="nil"/>
            </w:tcBorders>
            <w:vAlign w:val="center"/>
          </w:tcPr>
          <w:p w14:paraId="71CDB52F" w14:textId="77777777" w:rsidR="00506CE4" w:rsidRPr="00A93E54" w:rsidRDefault="00506CE4" w:rsidP="00C144F9">
            <w:pPr>
              <w:spacing w:before="6pt" w:after="6pt"/>
              <w:jc w:val="center"/>
              <w:rPr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bottom w:val="single" w:sz="4" w:space="0" w:color="auto"/>
              <w:end w:val="nil"/>
            </w:tcBorders>
            <w:vAlign w:val="center"/>
          </w:tcPr>
          <w:p w14:paraId="7BACC947" w14:textId="77777777" w:rsidR="00506CE4" w:rsidRPr="00A93E54" w:rsidRDefault="00506CE4" w:rsidP="00C144F9">
            <w:pPr>
              <w:spacing w:before="6pt" w:after="6pt"/>
              <w:jc w:val="center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CTL1860-0p5TgStratBC</w:t>
            </w:r>
          </w:p>
        </w:tc>
        <w:tc>
          <w:tcPr>
            <w:tcW w:w="278.40pt" w:type="dxa"/>
            <w:tcBorders>
              <w:start w:val="nil"/>
              <w:bottom w:val="single" w:sz="4" w:space="0" w:color="auto"/>
              <w:end w:val="nil"/>
            </w:tcBorders>
          </w:tcPr>
          <w:p w14:paraId="2EB296B7" w14:textId="77777777" w:rsidR="00506CE4" w:rsidRPr="00A93E54" w:rsidRDefault="00506CE4" w:rsidP="00C144F9">
            <w:pPr>
              <w:spacing w:before="3pt" w:after="3pt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Same as the CTL1860-0p5TgStratBC of FLOR, except there are 3 ensemble members branching from year 1, 101, 201 of the CTL1860 simulation.</w:t>
            </w:r>
          </w:p>
        </w:tc>
      </w:tr>
      <w:tr w:rsidR="00506CE4" w:rsidRPr="00C238F4" w14:paraId="6E58BF46" w14:textId="77777777" w:rsidTr="00C144F9">
        <w:tc>
          <w:tcPr>
            <w:tcW w:w="45.80pt" w:type="dxa"/>
            <w:vMerge/>
            <w:tcBorders>
              <w:top w:val="single" w:sz="8" w:space="0" w:color="auto"/>
              <w:start w:val="nil"/>
              <w:bottom w:val="single" w:sz="6" w:space="0" w:color="auto"/>
              <w:end w:val="nil"/>
            </w:tcBorders>
            <w:vAlign w:val="center"/>
          </w:tcPr>
          <w:p w14:paraId="5D0672A3" w14:textId="77777777" w:rsidR="00506CE4" w:rsidRPr="00A93E54" w:rsidRDefault="00506CE4" w:rsidP="00C144F9">
            <w:pPr>
              <w:spacing w:before="6pt" w:after="6pt"/>
              <w:jc w:val="center"/>
              <w:rPr>
                <w:sz w:val="24"/>
                <w:szCs w:val="24"/>
              </w:rPr>
            </w:pPr>
          </w:p>
        </w:tc>
        <w:tc>
          <w:tcPr>
            <w:tcW w:w="143.80pt" w:type="dxa"/>
            <w:tcBorders>
              <w:start w:val="nil"/>
              <w:bottom w:val="single" w:sz="6" w:space="0" w:color="auto"/>
              <w:end w:val="nil"/>
            </w:tcBorders>
            <w:vAlign w:val="center"/>
          </w:tcPr>
          <w:p w14:paraId="5B68B8FF" w14:textId="77777777" w:rsidR="00506CE4" w:rsidRPr="00A93E54" w:rsidRDefault="00506CE4" w:rsidP="00C144F9">
            <w:pPr>
              <w:spacing w:before="3pt" w:after="6pt"/>
              <w:jc w:val="center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CTL1860-5TgStratSO4</w:t>
            </w:r>
          </w:p>
        </w:tc>
        <w:tc>
          <w:tcPr>
            <w:tcW w:w="278.40pt" w:type="dxa"/>
            <w:tcBorders>
              <w:start w:val="nil"/>
              <w:bottom w:val="single" w:sz="6" w:space="0" w:color="auto"/>
              <w:end w:val="nil"/>
            </w:tcBorders>
          </w:tcPr>
          <w:p w14:paraId="5B8DEA0C" w14:textId="77777777" w:rsidR="00506CE4" w:rsidRPr="00A93E54" w:rsidRDefault="00506CE4" w:rsidP="00C144F9">
            <w:pPr>
              <w:spacing w:before="3pt" w:after="6pt"/>
              <w:rPr>
                <w:sz w:val="23"/>
                <w:szCs w:val="23"/>
              </w:rPr>
            </w:pPr>
            <w:r w:rsidRPr="00A93E54">
              <w:rPr>
                <w:sz w:val="23"/>
                <w:szCs w:val="23"/>
              </w:rPr>
              <w:t>Same as the CTL1860-5TgStratSO</w:t>
            </w:r>
            <w:r w:rsidRPr="00A93E54">
              <w:rPr>
                <w:sz w:val="23"/>
                <w:szCs w:val="23"/>
                <w:vertAlign w:val="subscript"/>
              </w:rPr>
              <w:t>4</w:t>
            </w:r>
            <w:r w:rsidRPr="00A93E54">
              <w:rPr>
                <w:sz w:val="23"/>
                <w:szCs w:val="23"/>
              </w:rPr>
              <w:t xml:space="preserve"> of FLOR, except there are 3 ensemble members branching from year 1, 101, 201 of the CTL1860 simulation.</w:t>
            </w:r>
          </w:p>
        </w:tc>
      </w:tr>
    </w:tbl>
    <w:p w14:paraId="5DAED65E" w14:textId="77777777" w:rsidR="00506CE4" w:rsidRPr="00C238F4" w:rsidRDefault="00506CE4" w:rsidP="00506CE4">
      <w:pPr>
        <w:pStyle w:val="SMHeading"/>
        <w:rPr>
          <w:b w:val="0"/>
          <w:bCs w:val="0"/>
          <w:kern w:val="0"/>
          <w:sz w:val="20"/>
          <w:szCs w:val="20"/>
        </w:rPr>
      </w:pPr>
      <w:r w:rsidRPr="00C238F4">
        <w:rPr>
          <w:b w:val="0"/>
          <w:bCs w:val="0"/>
          <w:kern w:val="0"/>
          <w:sz w:val="20"/>
          <w:szCs w:val="20"/>
        </w:rPr>
        <w:br w:type="page"/>
      </w:r>
    </w:p>
    <w:p w14:paraId="1762AA65" w14:textId="77777777" w:rsidR="00506CE4" w:rsidRPr="00603263" w:rsidRDefault="00506CE4" w:rsidP="00506CE4">
      <w:pPr>
        <w:pStyle w:val="SMHeading"/>
        <w:spacing w:after="0pt"/>
        <w:contextualSpacing/>
        <w:jc w:val="center"/>
      </w:pPr>
      <w:r w:rsidRPr="00603263">
        <w:rPr>
          <w:noProof/>
        </w:rPr>
        <w:lastRenderedPageBreak/>
        <w:drawing>
          <wp:inline distT="0" distB="0" distL="0" distR="0" wp14:anchorId="12D126CC" wp14:editId="7CCA1B73">
            <wp:extent cx="5486400" cy="2478405"/>
            <wp:effectExtent l="0" t="0" r="0" b="0"/>
            <wp:docPr id="179989265" name="Graphic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79989265" name="Graphic 17998926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F9ACA" w14:textId="77777777" w:rsidR="00506CE4" w:rsidRPr="00603263" w:rsidRDefault="00506CE4" w:rsidP="00506CE4">
      <w:pPr>
        <w:pStyle w:val="SMcaption"/>
        <w:spacing w:before="12pt"/>
        <w:contextualSpacing/>
        <w:jc w:val="both"/>
        <w:rPr>
          <w:szCs w:val="24"/>
        </w:rPr>
      </w:pPr>
      <w:r w:rsidRPr="00603263">
        <w:rPr>
          <w:b/>
          <w:bCs/>
          <w:kern w:val="32"/>
          <w:szCs w:val="24"/>
        </w:rPr>
        <w:t>Extended Data Fig. 1.</w:t>
      </w:r>
      <w:r w:rsidRPr="00603263">
        <w:rPr>
          <w:szCs w:val="24"/>
        </w:rPr>
        <w:t xml:space="preserve"> Same as Fig. 2, except for the GFDL-AM2.1 model and without the effective radiative forcing results from 0.5 Tg SO</w:t>
      </w:r>
      <w:r w:rsidRPr="00603263">
        <w:rPr>
          <w:szCs w:val="24"/>
          <w:vertAlign w:val="subscript"/>
        </w:rPr>
        <w:t>4</w:t>
      </w:r>
      <w:r w:rsidRPr="00603263">
        <w:rPr>
          <w:szCs w:val="24"/>
        </w:rPr>
        <w:t xml:space="preserve"> aerosols in (</w:t>
      </w:r>
      <w:r w:rsidRPr="00603263">
        <w:rPr>
          <w:b/>
          <w:bCs/>
          <w:szCs w:val="24"/>
        </w:rPr>
        <w:t>b</w:t>
      </w:r>
      <w:r w:rsidRPr="00603263">
        <w:rPr>
          <w:szCs w:val="24"/>
        </w:rPr>
        <w:t>).</w:t>
      </w:r>
    </w:p>
    <w:p w14:paraId="205216C5" w14:textId="77777777" w:rsidR="00506CE4" w:rsidRPr="00603263" w:rsidRDefault="00506CE4" w:rsidP="00506CE4">
      <w:pPr>
        <w:pStyle w:val="SMHeading"/>
        <w:spacing w:after="0pt"/>
        <w:contextualSpacing/>
        <w:rPr>
          <w:b w:val="0"/>
          <w:bCs w:val="0"/>
          <w:kern w:val="0"/>
        </w:rPr>
      </w:pPr>
      <w:r w:rsidRPr="00603263">
        <w:rPr>
          <w:b w:val="0"/>
          <w:bCs w:val="0"/>
          <w:kern w:val="0"/>
        </w:rPr>
        <w:br w:type="page"/>
      </w:r>
    </w:p>
    <w:p w14:paraId="08403FD0" w14:textId="77777777" w:rsidR="00506CE4" w:rsidRPr="00603263" w:rsidRDefault="00506CE4" w:rsidP="00506CE4">
      <w:pPr>
        <w:pStyle w:val="SMHeading"/>
        <w:spacing w:after="0pt"/>
        <w:contextualSpacing/>
        <w:jc w:val="center"/>
      </w:pPr>
      <w:r w:rsidRPr="00603263">
        <w:rPr>
          <w:noProof/>
        </w:rPr>
        <w:lastRenderedPageBreak/>
        <w:drawing>
          <wp:inline distT="0" distB="0" distL="0" distR="0" wp14:anchorId="708C0595" wp14:editId="46BF1A3E">
            <wp:extent cx="5486400" cy="2522220"/>
            <wp:effectExtent l="0" t="0" r="0" b="0"/>
            <wp:docPr id="37834431" name="Graphic 2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7834431" name="Graphic 3783443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CC38A" w14:textId="77777777" w:rsidR="00506CE4" w:rsidRPr="00603263" w:rsidRDefault="00506CE4" w:rsidP="00506CE4">
      <w:pPr>
        <w:pStyle w:val="SMcaption"/>
        <w:spacing w:before="12pt"/>
        <w:contextualSpacing/>
        <w:jc w:val="both"/>
        <w:rPr>
          <w:szCs w:val="24"/>
        </w:rPr>
      </w:pPr>
      <w:r w:rsidRPr="00603263">
        <w:rPr>
          <w:b/>
          <w:bCs/>
          <w:szCs w:val="24"/>
        </w:rPr>
        <w:t>Extended Data Fig. 2.</w:t>
      </w:r>
      <w:r w:rsidRPr="00603263">
        <w:rPr>
          <w:szCs w:val="24"/>
        </w:rPr>
        <w:t xml:space="preserve"> Decompositions of effective radiative forcing of horizontal-uniformly prescribed (</w:t>
      </w:r>
      <w:r w:rsidRPr="00603263">
        <w:rPr>
          <w:b/>
          <w:bCs/>
          <w:szCs w:val="24"/>
        </w:rPr>
        <w:t>a</w:t>
      </w:r>
      <w:r w:rsidRPr="00603263">
        <w:rPr>
          <w:szCs w:val="24"/>
        </w:rPr>
        <w:t>) 0.5 Tg BC aerosols and (</w:t>
      </w:r>
      <w:r w:rsidRPr="00603263">
        <w:rPr>
          <w:b/>
          <w:bCs/>
          <w:szCs w:val="24"/>
        </w:rPr>
        <w:t>b</w:t>
      </w:r>
      <w:r w:rsidRPr="00603263">
        <w:rPr>
          <w:szCs w:val="24"/>
        </w:rPr>
        <w:t>) 5.0 Tg SO</w:t>
      </w:r>
      <w:r w:rsidRPr="00603263">
        <w:rPr>
          <w:szCs w:val="24"/>
          <w:vertAlign w:val="subscript"/>
        </w:rPr>
        <w:t>4</w:t>
      </w:r>
      <w:r w:rsidRPr="00603263">
        <w:rPr>
          <w:szCs w:val="24"/>
        </w:rPr>
        <w:t xml:space="preserve"> aerosols at each of the highest 7 sigma levels of aerosol inputs, respectively, simulated by GFDL-AM2.5 model, into the shortwave and longwave components. The vertical lines represent the corresponding flipped components of doubling CO</w:t>
      </w:r>
      <w:r w:rsidRPr="00603263">
        <w:rPr>
          <w:szCs w:val="24"/>
          <w:vertAlign w:val="subscript"/>
        </w:rPr>
        <w:t>2</w:t>
      </w:r>
      <w:r w:rsidRPr="00603263">
        <w:rPr>
          <w:szCs w:val="24"/>
        </w:rPr>
        <w:t>.</w:t>
      </w:r>
    </w:p>
    <w:p w14:paraId="674648B7" w14:textId="77777777" w:rsidR="00506CE4" w:rsidRPr="00603263" w:rsidRDefault="00506CE4" w:rsidP="00506CE4">
      <w:pPr>
        <w:pStyle w:val="SMcaption"/>
        <w:spacing w:before="12pt"/>
        <w:contextualSpacing/>
        <w:rPr>
          <w:szCs w:val="24"/>
        </w:rPr>
      </w:pPr>
      <w:r w:rsidRPr="00603263">
        <w:rPr>
          <w:szCs w:val="24"/>
        </w:rPr>
        <w:br w:type="page"/>
      </w:r>
    </w:p>
    <w:p w14:paraId="0E608E8B" w14:textId="77777777" w:rsidR="00506CE4" w:rsidRPr="00603263" w:rsidRDefault="00506CE4" w:rsidP="00506CE4">
      <w:pPr>
        <w:pStyle w:val="SMHeading"/>
        <w:spacing w:after="0pt"/>
        <w:contextualSpacing/>
        <w:jc w:val="center"/>
      </w:pPr>
      <w:r w:rsidRPr="00603263">
        <w:rPr>
          <w:noProof/>
        </w:rPr>
        <w:lastRenderedPageBreak/>
        <w:drawing>
          <wp:inline distT="0" distB="0" distL="0" distR="0" wp14:anchorId="2C5E92C4" wp14:editId="433145AA">
            <wp:extent cx="5486400" cy="2545715"/>
            <wp:effectExtent l="0" t="0" r="0" b="0"/>
            <wp:docPr id="2050050003" name="Graphic 3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050050003" name="Graphic 205005000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4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919DA" w14:textId="77777777" w:rsidR="00506CE4" w:rsidRPr="00603263" w:rsidRDefault="00506CE4" w:rsidP="00506CE4">
      <w:pPr>
        <w:pStyle w:val="SMcaption"/>
        <w:spacing w:before="12pt"/>
        <w:contextualSpacing/>
        <w:jc w:val="both"/>
        <w:rPr>
          <w:szCs w:val="24"/>
        </w:rPr>
      </w:pPr>
      <w:r w:rsidRPr="00603263">
        <w:rPr>
          <w:b/>
          <w:bCs/>
          <w:szCs w:val="24"/>
        </w:rPr>
        <w:t>Extended Data Fig. 3.</w:t>
      </w:r>
      <w:r w:rsidRPr="00603263">
        <w:rPr>
          <w:szCs w:val="24"/>
        </w:rPr>
        <w:t xml:space="preserve"> Decomposition of (</w:t>
      </w:r>
      <w:r w:rsidRPr="00603263">
        <w:rPr>
          <w:b/>
          <w:bCs/>
          <w:szCs w:val="24"/>
        </w:rPr>
        <w:t>a</w:t>
      </w:r>
      <w:r w:rsidRPr="00603263">
        <w:rPr>
          <w:szCs w:val="24"/>
        </w:rPr>
        <w:t>) longwave and (</w:t>
      </w:r>
      <w:r w:rsidRPr="00603263">
        <w:rPr>
          <w:b/>
          <w:bCs/>
          <w:szCs w:val="24"/>
        </w:rPr>
        <w:t>b</w:t>
      </w:r>
      <w:r w:rsidRPr="00603263">
        <w:rPr>
          <w:szCs w:val="24"/>
        </w:rPr>
        <w:t>) shortwave effective radiative forcing of horizontal-uniformly prescribed 0.5 Tg BC aerosols at each of the highest 7 sigma levels of aerosol inputs, respectively, simulated by GFDL-AM2.5 model, into the instantaneous radiative forcing</w:t>
      </w:r>
      <w:r>
        <w:rPr>
          <w:szCs w:val="24"/>
          <w:lang w:eastAsia="zh-CN"/>
        </w:rPr>
        <w:t xml:space="preserve"> (IRF)</w:t>
      </w:r>
      <w:r w:rsidRPr="00603263">
        <w:rPr>
          <w:szCs w:val="24"/>
        </w:rPr>
        <w:t xml:space="preserve"> and individual rapid adjustment components. The solid vertical lines represent the corresponding flipped components of doubling CO</w:t>
      </w:r>
      <w:r w:rsidRPr="00603263">
        <w:rPr>
          <w:szCs w:val="24"/>
          <w:vertAlign w:val="subscript"/>
        </w:rPr>
        <w:t>2</w:t>
      </w:r>
      <w:r w:rsidRPr="00603263">
        <w:rPr>
          <w:szCs w:val="24"/>
        </w:rPr>
        <w:t>.</w:t>
      </w:r>
    </w:p>
    <w:p w14:paraId="7471923D" w14:textId="77777777" w:rsidR="00506CE4" w:rsidRPr="00603263" w:rsidRDefault="00506CE4" w:rsidP="00506CE4">
      <w:pPr>
        <w:pStyle w:val="SMcaption"/>
        <w:spacing w:before="12pt"/>
        <w:contextualSpacing/>
        <w:rPr>
          <w:szCs w:val="24"/>
        </w:rPr>
      </w:pPr>
      <w:r w:rsidRPr="00603263">
        <w:rPr>
          <w:szCs w:val="24"/>
        </w:rPr>
        <w:br w:type="page"/>
      </w:r>
    </w:p>
    <w:p w14:paraId="44042A64" w14:textId="77777777" w:rsidR="00506CE4" w:rsidRPr="00603263" w:rsidRDefault="00506CE4" w:rsidP="00506CE4">
      <w:pPr>
        <w:pStyle w:val="SMHeading"/>
        <w:spacing w:after="0pt"/>
        <w:contextualSpacing/>
        <w:jc w:val="center"/>
      </w:pPr>
      <w:r w:rsidRPr="00603263">
        <w:rPr>
          <w:noProof/>
        </w:rPr>
        <w:lastRenderedPageBreak/>
        <w:drawing>
          <wp:inline distT="0" distB="0" distL="0" distR="0" wp14:anchorId="544A6A24" wp14:editId="45D6C9AF">
            <wp:extent cx="5486400" cy="2595880"/>
            <wp:effectExtent l="0" t="0" r="0" b="0"/>
            <wp:docPr id="789300483" name="Graphic 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89300483" name="Graphic 78930048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B1E75" w14:textId="77777777" w:rsidR="00506CE4" w:rsidRPr="00603263" w:rsidRDefault="00506CE4" w:rsidP="00506CE4">
      <w:pPr>
        <w:pStyle w:val="SMcaption"/>
        <w:spacing w:before="12pt"/>
        <w:contextualSpacing/>
        <w:jc w:val="both"/>
        <w:rPr>
          <w:szCs w:val="24"/>
        </w:rPr>
      </w:pPr>
      <w:r w:rsidRPr="00603263">
        <w:rPr>
          <w:b/>
          <w:bCs/>
          <w:szCs w:val="24"/>
        </w:rPr>
        <w:t>Extended Data Fig. 4.</w:t>
      </w:r>
      <w:r w:rsidRPr="00603263">
        <w:rPr>
          <w:szCs w:val="24"/>
        </w:rPr>
        <w:t xml:space="preserve"> Scatter plots of flipped ensemble-mean surface air temperature anomalies versus (</w:t>
      </w:r>
      <w:r w:rsidRPr="00603263">
        <w:rPr>
          <w:b/>
          <w:bCs/>
          <w:szCs w:val="24"/>
        </w:rPr>
        <w:t>a</w:t>
      </w:r>
      <w:r w:rsidRPr="00603263">
        <w:rPr>
          <w:szCs w:val="24"/>
        </w:rPr>
        <w:t>) flipped TOA energy imbalance and (</w:t>
      </w:r>
      <w:r w:rsidRPr="00603263">
        <w:rPr>
          <w:b/>
          <w:bCs/>
          <w:szCs w:val="24"/>
        </w:rPr>
        <w:t>b</w:t>
      </w:r>
      <w:r w:rsidRPr="00603263">
        <w:rPr>
          <w:szCs w:val="24"/>
        </w:rPr>
        <w:t>) flipped precipitation anomalies, for the GFDL-CM2.1 model simulations forced with 0.5 Tg BC and 5 Tg SO</w:t>
      </w:r>
      <w:r w:rsidRPr="00603263">
        <w:rPr>
          <w:szCs w:val="24"/>
          <w:vertAlign w:val="subscript"/>
        </w:rPr>
        <w:t>4</w:t>
      </w:r>
      <w:r w:rsidRPr="00603263">
        <w:rPr>
          <w:szCs w:val="24"/>
        </w:rPr>
        <w:t xml:space="preserve"> aerosols separately, by horizontal-uniformly prescribing the targeted aerosols at the second highest sigma level of aerosol inputs, beginning from the pre-industrial control runs. The individual dots represent the ensemble mean of 3 members with different conditions taken from a pre-industrial control simulation by the GFDL-CM2.1 model. The anomalies are flipped to match the conventional Gregory plots, which are designed for global warming cases. Therefore, the y-intercepts noted in the plots need to be interpreted by reversing signs.</w:t>
      </w:r>
    </w:p>
    <w:p w14:paraId="672C706D" w14:textId="77777777" w:rsidR="00506CE4" w:rsidRPr="00603263" w:rsidRDefault="00506CE4" w:rsidP="00506CE4">
      <w:pPr>
        <w:pStyle w:val="SMcaption"/>
        <w:spacing w:before="12pt"/>
        <w:contextualSpacing/>
        <w:rPr>
          <w:szCs w:val="24"/>
        </w:rPr>
      </w:pPr>
      <w:r w:rsidRPr="00603263">
        <w:rPr>
          <w:szCs w:val="24"/>
        </w:rPr>
        <w:br w:type="page"/>
      </w:r>
    </w:p>
    <w:p w14:paraId="2EE2049A" w14:textId="77777777" w:rsidR="00506CE4" w:rsidRPr="00603263" w:rsidRDefault="00506CE4" w:rsidP="00506CE4">
      <w:pPr>
        <w:pStyle w:val="SMHeading"/>
        <w:spacing w:after="0pt"/>
        <w:contextualSpacing/>
        <w:jc w:val="center"/>
      </w:pPr>
      <w:r w:rsidRPr="00603263">
        <w:rPr>
          <w:noProof/>
        </w:rPr>
        <w:lastRenderedPageBreak/>
        <w:drawing>
          <wp:inline distT="0" distB="0" distL="0" distR="0" wp14:anchorId="5C0419E9" wp14:editId="2462E998">
            <wp:extent cx="4711700" cy="2933700"/>
            <wp:effectExtent l="0" t="0" r="0" b="0"/>
            <wp:docPr id="781827536" name="Graphic 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81827536" name="Graphic 78182753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75D37" w14:textId="77777777" w:rsidR="00506CE4" w:rsidRPr="00603263" w:rsidRDefault="00506CE4" w:rsidP="00506CE4">
      <w:pPr>
        <w:pStyle w:val="SMcaption"/>
        <w:spacing w:before="12pt"/>
        <w:contextualSpacing/>
        <w:jc w:val="both"/>
        <w:rPr>
          <w:szCs w:val="24"/>
        </w:rPr>
      </w:pPr>
      <w:r w:rsidRPr="00603263">
        <w:rPr>
          <w:b/>
          <w:bCs/>
          <w:szCs w:val="24"/>
        </w:rPr>
        <w:t>Extended Data Fig. 5.</w:t>
      </w:r>
      <w:r w:rsidRPr="00603263">
        <w:rPr>
          <w:szCs w:val="24"/>
        </w:rPr>
        <w:t xml:space="preserve"> Same as Fig. 4, except for the results of the single realization of the GFDL-CM2.5-FLOR model.</w:t>
      </w:r>
    </w:p>
    <w:p w14:paraId="741FD594" w14:textId="77777777" w:rsidR="00506CE4" w:rsidRPr="00603263" w:rsidRDefault="00506CE4" w:rsidP="00506CE4">
      <w:pPr>
        <w:pStyle w:val="SMcaption"/>
        <w:spacing w:before="12pt"/>
        <w:contextualSpacing/>
        <w:rPr>
          <w:szCs w:val="24"/>
        </w:rPr>
      </w:pPr>
      <w:r w:rsidRPr="00603263">
        <w:rPr>
          <w:szCs w:val="24"/>
        </w:rPr>
        <w:br w:type="page"/>
      </w:r>
    </w:p>
    <w:p w14:paraId="04517D5D" w14:textId="77777777" w:rsidR="00506CE4" w:rsidRPr="00603263" w:rsidRDefault="00506CE4" w:rsidP="00506CE4">
      <w:pPr>
        <w:pStyle w:val="SMHeading"/>
        <w:spacing w:after="0pt"/>
        <w:contextualSpacing/>
        <w:jc w:val="center"/>
      </w:pPr>
      <w:r w:rsidRPr="00603263">
        <w:rPr>
          <w:noProof/>
        </w:rPr>
        <w:lastRenderedPageBreak/>
        <w:drawing>
          <wp:inline distT="0" distB="0" distL="0" distR="0" wp14:anchorId="01A83FEB" wp14:editId="2EA8C9BA">
            <wp:extent cx="5486400" cy="1794510"/>
            <wp:effectExtent l="0" t="0" r="0" b="0"/>
            <wp:docPr id="1859828840" name="Graphic 7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859828840" name="Graphic 185982884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31028" w14:textId="77777777" w:rsidR="00506CE4" w:rsidRPr="00603263" w:rsidRDefault="00506CE4" w:rsidP="00506CE4">
      <w:pPr>
        <w:pStyle w:val="SMcaption"/>
        <w:spacing w:before="12pt"/>
        <w:contextualSpacing/>
        <w:jc w:val="both"/>
        <w:rPr>
          <w:szCs w:val="24"/>
        </w:rPr>
      </w:pPr>
      <w:r w:rsidRPr="00603263">
        <w:rPr>
          <w:b/>
          <w:bCs/>
          <w:szCs w:val="24"/>
        </w:rPr>
        <w:t>Extended Data Fig. 6.</w:t>
      </w:r>
      <w:r w:rsidRPr="00603263">
        <w:rPr>
          <w:szCs w:val="24"/>
        </w:rPr>
        <w:t xml:space="preserve"> Profiles of GFDL-AM2.5 simulated (</w:t>
      </w:r>
      <w:r w:rsidRPr="00603263">
        <w:rPr>
          <w:b/>
          <w:bCs/>
          <w:szCs w:val="24"/>
        </w:rPr>
        <w:t>a</w:t>
      </w:r>
      <w:r w:rsidRPr="00603263">
        <w:rPr>
          <w:szCs w:val="24"/>
        </w:rPr>
        <w:t>) air temperature, (</w:t>
      </w:r>
      <w:r w:rsidRPr="00603263">
        <w:rPr>
          <w:b/>
          <w:bCs/>
          <w:szCs w:val="24"/>
        </w:rPr>
        <w:t>b</w:t>
      </w:r>
      <w:r w:rsidRPr="00603263">
        <w:rPr>
          <w:szCs w:val="24"/>
        </w:rPr>
        <w:t>) relative humidity, and (</w:t>
      </w:r>
      <w:r w:rsidRPr="00603263">
        <w:rPr>
          <w:b/>
          <w:bCs/>
          <w:szCs w:val="24"/>
        </w:rPr>
        <w:t>c</w:t>
      </w:r>
      <w:r w:rsidRPr="00603263">
        <w:rPr>
          <w:szCs w:val="24"/>
        </w:rPr>
        <w:t>) cloud fraction anomalies with horizontal-uniformly prescribed 0.5 Tg BC aerosols at each of the highest 7 sigma levels of aerosol inputs [the level number is defined with direction from top to bottom (or altitude from high to low)], respectively. Flipped profiles of air temperature, relative humidity, and cloud fraction responses to a doubling of CO</w:t>
      </w:r>
      <w:r w:rsidRPr="00603263">
        <w:rPr>
          <w:szCs w:val="24"/>
          <w:vertAlign w:val="subscript"/>
        </w:rPr>
        <w:t>2</w:t>
      </w:r>
      <w:r w:rsidRPr="00603263">
        <w:rPr>
          <w:szCs w:val="24"/>
        </w:rPr>
        <w:t xml:space="preserve"> are also provided for reference.</w:t>
      </w:r>
    </w:p>
    <w:p w14:paraId="38CFB14A" w14:textId="77777777" w:rsidR="00506CE4" w:rsidRDefault="00506CE4" w:rsidP="00506CE4"/>
    <w:p w14:paraId="2752D19B" w14:textId="77777777" w:rsidR="008C374B" w:rsidRDefault="008C374B"/>
    <w:sectPr w:rsidR="008C374B" w:rsidSect="00506CE4">
      <w:pgSz w:w="612pt" w:h="792pt"/>
      <w:pgMar w:top="72pt" w:right="72pt" w:bottom="72pt" w:left="72pt" w:header="21.60pt" w:footer="36pt" w:gutter="0pt"/>
      <w:lnNumType w:countBy="1" w:restart="continuous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1002AFF" w:usb1="C000ACFF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CE4"/>
    <w:rsid w:val="002A5090"/>
    <w:rsid w:val="003D7726"/>
    <w:rsid w:val="003F36CB"/>
    <w:rsid w:val="00506CE4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A7D23"/>
  <w15:chartTrackingRefBased/>
  <w15:docId w15:val="{ABC40653-1139-44C4-A837-715B51DC1847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CE4"/>
    <w:pPr>
      <w:spacing w:after="0pt" w:line="12pt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CE4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CE4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CE4"/>
    <w:pPr>
      <w:keepNext/>
      <w:keepLines/>
      <w:spacing w:before="8pt" w:after="4pt" w:line="12.95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CE4"/>
    <w:pPr>
      <w:keepNext/>
      <w:keepLines/>
      <w:spacing w:before="4pt" w:after="2pt" w:line="12.95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CE4"/>
    <w:pPr>
      <w:keepNext/>
      <w:keepLines/>
      <w:spacing w:before="4pt" w:after="2pt" w:line="12.95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CE4"/>
    <w:pPr>
      <w:keepNext/>
      <w:keepLines/>
      <w:spacing w:before="2pt" w:line="12.95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CE4"/>
    <w:pPr>
      <w:keepNext/>
      <w:keepLines/>
      <w:spacing w:before="2pt" w:line="12.95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CE4"/>
    <w:pPr>
      <w:keepNext/>
      <w:keepLines/>
      <w:spacing w:line="12.95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CE4"/>
    <w:pPr>
      <w:keepNext/>
      <w:keepLines/>
      <w:spacing w:line="12.95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C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C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C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C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C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C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C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C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C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CE4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6C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CE4"/>
    <w:pPr>
      <w:numPr>
        <w:ilvl w:val="1"/>
      </w:numPr>
      <w:spacing w:after="8pt" w:line="12.95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6C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CE4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6C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CE4"/>
    <w:pPr>
      <w:spacing w:after="8pt" w:line="12.95pt" w:lineRule="auto"/>
      <w:ind w:start="36pt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6C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C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C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CE4"/>
    <w:rPr>
      <w:b/>
      <w:bCs/>
      <w:smallCaps/>
      <w:color w:val="0F4761" w:themeColor="accent1" w:themeShade="BF"/>
      <w:spacing w:val="5"/>
    </w:rPr>
  </w:style>
  <w:style w:type="paragraph" w:customStyle="1" w:styleId="SMcaption">
    <w:name w:val="SM caption"/>
    <w:basedOn w:val="Normal"/>
    <w:qFormat/>
    <w:rsid w:val="00506CE4"/>
    <w:rPr>
      <w:rFonts w:eastAsia="Times New Roman"/>
      <w:sz w:val="24"/>
    </w:rPr>
  </w:style>
  <w:style w:type="paragraph" w:customStyle="1" w:styleId="SMHeading">
    <w:name w:val="SM Heading"/>
    <w:basedOn w:val="Heading1"/>
    <w:qFormat/>
    <w:rsid w:val="00506CE4"/>
    <w:pPr>
      <w:keepLines w:val="0"/>
      <w:spacing w:before="12pt" w:after="3pt" w:line="12pt" w:lineRule="auto"/>
    </w:pPr>
    <w:rPr>
      <w:rFonts w:ascii="Times New Roman" w:eastAsia="SimSun" w:hAnsi="Times New Roman" w:cs="Times New Roman"/>
      <w:b/>
      <w:bCs/>
      <w:color w:val="auto"/>
      <w:kern w:val="32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506CE4"/>
    <w:pPr>
      <w:spacing w:after="0pt" w:line="12pt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06CE4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5.png"/><Relationship Id="rId13" Type="http://purl.oclc.org/ooxml/officeDocument/relationships/image" Target="media/image10.svg"/><Relationship Id="rId3" Type="http://purl.oclc.org/ooxml/officeDocument/relationships/webSettings" Target="webSettings.xml"/><Relationship Id="rId7" Type="http://purl.oclc.org/ooxml/officeDocument/relationships/image" Target="media/image4.svg"/><Relationship Id="rId12" Type="http://purl.oclc.org/ooxml/officeDocument/relationships/image" Target="media/image9.png"/><Relationship Id="rId17" Type="http://purl.oclc.org/ooxml/officeDocument/relationships/theme" Target="theme/theme1.xml"/><Relationship Id="rId2" Type="http://purl.oclc.org/ooxml/officeDocument/relationships/settings" Target="settings.xml"/><Relationship Id="rId16" Type="http://purl.oclc.org/ooxml/officeDocument/relationships/fontTable" Target="fontTable.xml"/><Relationship Id="rId1" Type="http://purl.oclc.org/ooxml/officeDocument/relationships/styles" Target="styles.xml"/><Relationship Id="rId6" Type="http://purl.oclc.org/ooxml/officeDocument/relationships/image" Target="media/image3.png"/><Relationship Id="rId11" Type="http://purl.oclc.org/ooxml/officeDocument/relationships/image" Target="media/image8.svg"/><Relationship Id="rId5" Type="http://purl.oclc.org/ooxml/officeDocument/relationships/image" Target="media/image2.svg"/><Relationship Id="rId15" Type="http://purl.oclc.org/ooxml/officeDocument/relationships/image" Target="media/image12.svg"/><Relationship Id="rId10" Type="http://purl.oclc.org/ooxml/officeDocument/relationships/image" Target="media/image7.png"/><Relationship Id="rId4" Type="http://purl.oclc.org/ooxml/officeDocument/relationships/image" Target="media/image1.png"/><Relationship Id="rId9" Type="http://purl.oclc.org/ooxml/officeDocument/relationships/image" Target="media/image6.svg"/><Relationship Id="rId14" Type="http://purl.oclc.org/ooxml/officeDocument/relationships/image" Target="media/image1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8</Pages>
  <Words>719</Words>
  <Characters>4102</Characters>
  <Application>Microsoft Office Word</Application>
  <DocSecurity>0</DocSecurity>
  <Lines>34</Lines>
  <Paragraphs>9</Paragraphs>
  <ScaleCrop>false</ScaleCrop>
  <Company>Springer Nature</Company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2024-10-25T07:37:00Z</dcterms:created>
  <dcterms:modified xsi:type="dcterms:W3CDTF">2024-10-25T07:38:00Z</dcterms:modified>
</cp:coreProperties>
</file>