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tiff" ContentType="image/tif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snapToGrid/>
        <w:spacing w:after="313" w:afterLines="100" w:line="480" w:lineRule="auto"/>
        <w:jc w:val="both"/>
        <w:textAlignment w:val="auto"/>
        <w:rPr>
          <w:rFonts w:ascii="Times New Roman" w:hAnsi="Times New Roman"/>
          <w:b/>
          <w:bCs/>
          <w:sz w:val="28"/>
          <w:szCs w:val="36"/>
        </w:rPr>
      </w:pPr>
      <w:r>
        <w:rPr>
          <w:rFonts w:ascii="Times New Roman" w:hAnsi="Times New Roman"/>
          <w:b/>
          <w:bCs/>
          <w:sz w:val="28"/>
          <w:szCs w:val="36"/>
        </w:rPr>
        <w:t>Supplementary material</w:t>
      </w:r>
    </w:p>
    <w:p>
      <w:pPr>
        <w:keepNext w:val="0"/>
        <w:keepLines w:val="0"/>
        <w:pageBreakBefore w:val="0"/>
        <w:widowControl w:val="0"/>
        <w:suppressLineNumbers w:val="0"/>
        <w:kinsoku/>
        <w:wordWrap/>
        <w:overflowPunct/>
        <w:topLinePunct w:val="0"/>
        <w:autoSpaceDE/>
        <w:autoSpaceDN/>
        <w:bidi w:val="0"/>
        <w:adjustRightInd/>
        <w:snapToGrid/>
        <w:spacing w:after="157" w:afterLines="50" w:line="480" w:lineRule="auto"/>
        <w:jc w:val="center"/>
        <w:textAlignment w:val="auto"/>
        <w:rPr>
          <w:rFonts w:ascii="Times New Roman" w:hAnsi="Times New Roman"/>
          <w:b/>
          <w:bCs/>
          <w:sz w:val="24"/>
          <w:szCs w:val="32"/>
        </w:rPr>
      </w:pPr>
      <w:r>
        <w:rPr>
          <w:rFonts w:hint="eastAsia" w:ascii="Times New Roman" w:hAnsi="Times New Roman"/>
          <w:b/>
          <w:bCs/>
          <w:sz w:val="24"/>
          <w:szCs w:val="32"/>
          <w:lang w:val="en-US" w:eastAsia="zh-CN"/>
        </w:rPr>
        <w:t>Microbial Stimulation in Apple Orchards of Different Ages on the Loess Plateau: Poor Predictability of Increased Soil N</w:t>
      </w:r>
      <w:r>
        <w:rPr>
          <w:rFonts w:hint="eastAsia" w:ascii="Times New Roman" w:hAnsi="Times New Roman"/>
          <w:b/>
          <w:bCs/>
          <w:sz w:val="24"/>
          <w:szCs w:val="32"/>
          <w:vertAlign w:val="subscript"/>
          <w:lang w:val="en-US" w:eastAsia="zh-CN"/>
        </w:rPr>
        <w:t>2</w:t>
      </w:r>
      <w:r>
        <w:rPr>
          <w:rFonts w:hint="eastAsia" w:ascii="Times New Roman" w:hAnsi="Times New Roman"/>
          <w:b/>
          <w:bCs/>
          <w:sz w:val="24"/>
          <w:szCs w:val="32"/>
          <w:lang w:val="en-US" w:eastAsia="zh-CN"/>
        </w:rPr>
        <w:t>O Emissions</w:t>
      </w:r>
    </w:p>
    <w:p>
      <w:pPr>
        <w:pStyle w:val="13"/>
        <w:keepNext w:val="0"/>
        <w:keepLines w:val="0"/>
        <w:pageBreakBefore w:val="0"/>
        <w:widowControl w:val="0"/>
        <w:suppressLineNumbers w:val="0"/>
        <w:kinsoku/>
        <w:wordWrap/>
        <w:overflowPunct/>
        <w:topLinePunct w:val="0"/>
        <w:autoSpaceDE/>
        <w:autoSpaceDN/>
        <w:bidi w:val="0"/>
        <w:adjustRightInd/>
        <w:snapToGrid/>
        <w:spacing w:after="157" w:afterLines="50" w:line="480" w:lineRule="auto"/>
        <w:jc w:val="center"/>
        <w:textAlignment w:val="auto"/>
        <w:rPr>
          <w:rFonts w:hint="eastAsia"/>
          <w:sz w:val="21"/>
          <w:szCs w:val="20"/>
          <w:vertAlign w:val="superscript"/>
        </w:rPr>
      </w:pPr>
      <w:r>
        <w:rPr>
          <w:sz w:val="21"/>
          <w:szCs w:val="20"/>
        </w:rPr>
        <w:t>M</w:t>
      </w:r>
      <w:r>
        <w:rPr>
          <w:rFonts w:hint="eastAsia"/>
          <w:sz w:val="21"/>
          <w:szCs w:val="20"/>
        </w:rPr>
        <w:t>an</w:t>
      </w:r>
      <w:r>
        <w:rPr>
          <w:sz w:val="21"/>
          <w:szCs w:val="20"/>
        </w:rPr>
        <w:t xml:space="preserve"> Z</w:t>
      </w:r>
      <w:r>
        <w:rPr>
          <w:rFonts w:hint="eastAsia"/>
          <w:sz w:val="21"/>
          <w:szCs w:val="20"/>
        </w:rPr>
        <w:t>hang</w:t>
      </w:r>
      <w:r>
        <w:rPr>
          <w:rFonts w:hint="eastAsia"/>
          <w:sz w:val="21"/>
          <w:szCs w:val="20"/>
          <w:vertAlign w:val="superscript"/>
          <w:lang w:val="en-US" w:eastAsia="zh-CN"/>
        </w:rPr>
        <w:t>a,b</w:t>
      </w:r>
      <w:r>
        <w:rPr>
          <w:sz w:val="21"/>
          <w:szCs w:val="20"/>
          <w:vertAlign w:val="superscript"/>
        </w:rPr>
        <w:t>,</w:t>
      </w:r>
      <w:r>
        <w:rPr>
          <w:rFonts w:hint="eastAsia"/>
          <w:sz w:val="21"/>
          <w:szCs w:val="20"/>
          <w:vertAlign w:val="superscript"/>
          <w:lang w:val="en-US" w:eastAsia="zh-CN"/>
        </w:rPr>
        <w:t>c,1*</w:t>
      </w:r>
      <w:r>
        <w:rPr>
          <w:rFonts w:hint="eastAsia"/>
          <w:sz w:val="21"/>
          <w:szCs w:val="20"/>
        </w:rPr>
        <w:t>,</w:t>
      </w:r>
      <w:r>
        <w:rPr>
          <w:sz w:val="21"/>
          <w:szCs w:val="20"/>
        </w:rPr>
        <w:t xml:space="preserve"> </w:t>
      </w:r>
      <w:r>
        <w:rPr>
          <w:rFonts w:hint="eastAsia"/>
          <w:sz w:val="21"/>
          <w:szCs w:val="20"/>
          <w:lang w:val="en-US" w:eastAsia="zh-CN"/>
        </w:rPr>
        <w:t>Cui Li</w:t>
      </w:r>
      <w:r>
        <w:rPr>
          <w:rFonts w:hint="eastAsia"/>
          <w:sz w:val="21"/>
          <w:szCs w:val="20"/>
          <w:vertAlign w:val="superscript"/>
          <w:lang w:val="en-US" w:eastAsia="zh-CN"/>
        </w:rPr>
        <w:t>a,b,1</w:t>
      </w:r>
      <w:r>
        <w:rPr>
          <w:rFonts w:hint="eastAsia"/>
          <w:sz w:val="21"/>
          <w:szCs w:val="20"/>
          <w:lang w:val="en-US" w:eastAsia="zh-CN"/>
        </w:rPr>
        <w:t>, Weixin Wang</w:t>
      </w:r>
      <w:r>
        <w:rPr>
          <w:rFonts w:hint="eastAsia"/>
          <w:sz w:val="21"/>
          <w:szCs w:val="20"/>
          <w:vertAlign w:val="superscript"/>
          <w:lang w:val="en-US" w:eastAsia="zh-CN"/>
        </w:rPr>
        <w:t>a,b</w:t>
      </w:r>
      <w:r>
        <w:rPr>
          <w:rFonts w:hint="eastAsia"/>
          <w:sz w:val="21"/>
          <w:szCs w:val="20"/>
          <w:lang w:val="en-US" w:eastAsia="zh-CN"/>
        </w:rPr>
        <w:t xml:space="preserve">, </w:t>
      </w:r>
      <w:r>
        <w:rPr>
          <w:rFonts w:hint="eastAsia" w:cs="Times New Roman"/>
          <w:sz w:val="21"/>
          <w:szCs w:val="21"/>
          <w:lang w:val="en-US" w:eastAsia="zh-CN"/>
        </w:rPr>
        <w:t>Xin Tong</w:t>
      </w:r>
      <w:r>
        <w:rPr>
          <w:rFonts w:cs="Times New Roman"/>
          <w:sz w:val="21"/>
          <w:szCs w:val="21"/>
          <w:vertAlign w:val="superscript"/>
        </w:rPr>
        <w:t>a,b</w:t>
      </w:r>
      <w:r>
        <w:rPr>
          <w:rFonts w:hint="eastAsia"/>
          <w:sz w:val="21"/>
          <w:szCs w:val="20"/>
          <w:lang w:val="en-US" w:eastAsia="zh-CN"/>
        </w:rPr>
        <w:t>, Kaixuan Wang</w:t>
      </w:r>
      <w:r>
        <w:rPr>
          <w:rFonts w:hint="eastAsia"/>
          <w:sz w:val="21"/>
          <w:szCs w:val="20"/>
          <w:vertAlign w:val="superscript"/>
          <w:lang w:val="en-US" w:eastAsia="zh-CN"/>
        </w:rPr>
        <w:t>a,b</w:t>
      </w:r>
      <w:r>
        <w:rPr>
          <w:rFonts w:hint="eastAsia" w:cs="Times New Roman"/>
          <w:sz w:val="21"/>
          <w:szCs w:val="21"/>
          <w:lang w:val="en-US" w:eastAsia="zh-CN"/>
        </w:rPr>
        <w:t>,</w:t>
      </w:r>
      <w:r>
        <w:rPr>
          <w:rFonts w:hint="eastAsia"/>
          <w:sz w:val="21"/>
          <w:szCs w:val="20"/>
          <w:lang w:val="en-US" w:eastAsia="zh-CN"/>
        </w:rPr>
        <w:t xml:space="preserve"> </w:t>
      </w:r>
      <w:r>
        <w:t>M</w:t>
      </w:r>
      <w:r>
        <w:rPr>
          <w:rFonts w:hint="eastAsia"/>
        </w:rPr>
        <w:t>inmin</w:t>
      </w:r>
      <w:r>
        <w:t xml:space="preserve"> Q</w:t>
      </w:r>
      <w:r>
        <w:rPr>
          <w:rFonts w:hint="eastAsia"/>
        </w:rPr>
        <w:t>iang</w:t>
      </w:r>
      <w:r>
        <w:rPr>
          <w:sz w:val="21"/>
          <w:vertAlign w:val="superscript"/>
        </w:rPr>
        <w:t>d</w:t>
      </w:r>
      <w:r>
        <w:rPr>
          <w:rFonts w:hint="eastAsia"/>
          <w:sz w:val="21"/>
          <w:vertAlign w:val="baseline"/>
          <w:lang w:val="en-US" w:eastAsia="zh-CN"/>
        </w:rPr>
        <w:t xml:space="preserve">, </w:t>
      </w:r>
      <w:r>
        <w:rPr>
          <w:rFonts w:hint="eastAsia"/>
          <w:sz w:val="21"/>
          <w:szCs w:val="20"/>
          <w:lang w:val="en-US" w:eastAsia="zh-CN"/>
        </w:rPr>
        <w:t>Qiong Zhang</w:t>
      </w:r>
      <w:r>
        <w:rPr>
          <w:rFonts w:hint="eastAsia"/>
          <w:sz w:val="21"/>
          <w:szCs w:val="20"/>
          <w:vertAlign w:val="superscript"/>
          <w:lang w:val="en-US" w:eastAsia="zh-CN"/>
        </w:rPr>
        <w:t>a,b</w:t>
      </w:r>
    </w:p>
    <w:p>
      <w:pPr>
        <w:keepNext w:val="0"/>
        <w:keepLines w:val="0"/>
        <w:pageBreakBefore w:val="0"/>
        <w:widowControl w:val="0"/>
        <w:suppressLineNumbers w:val="0"/>
        <w:kinsoku/>
        <w:wordWrap/>
        <w:overflowPunct/>
        <w:topLinePunct w:val="0"/>
        <w:autoSpaceDE/>
        <w:autoSpaceDN/>
        <w:bidi w:val="0"/>
        <w:adjustRightInd/>
        <w:snapToGrid/>
        <w:spacing w:after="157" w:afterLines="50" w:line="480" w:lineRule="auto"/>
        <w:jc w:val="both"/>
        <w:textAlignment w:val="auto"/>
        <w:rPr>
          <w:rFonts w:ascii="Times New Roman" w:hAnsi="Times New Roman" w:eastAsia="等线" w:cs="Times New Roman"/>
          <w:i w:val="0"/>
          <w:iCs w:val="0"/>
          <w:kern w:val="2"/>
          <w:sz w:val="21"/>
          <w:szCs w:val="21"/>
        </w:rPr>
      </w:pPr>
      <w:r>
        <w:rPr>
          <w:rFonts w:hint="eastAsia" w:ascii="Times New Roman" w:hAnsi="Times New Roman" w:eastAsia="等线" w:cs="Times New Roman"/>
          <w:i w:val="0"/>
          <w:iCs w:val="0"/>
          <w:kern w:val="2"/>
          <w:sz w:val="21"/>
          <w:szCs w:val="21"/>
          <w:vertAlign w:val="superscript"/>
        </w:rPr>
        <w:t>a</w:t>
      </w:r>
      <w:r>
        <w:rPr>
          <w:rFonts w:ascii="Times New Roman" w:hAnsi="Times New Roman" w:eastAsia="等线" w:cs="Times New Roman"/>
          <w:i w:val="0"/>
          <w:iCs w:val="0"/>
          <w:kern w:val="2"/>
          <w:sz w:val="21"/>
          <w:szCs w:val="21"/>
        </w:rPr>
        <w:t xml:space="preserve"> </w:t>
      </w:r>
      <w:r>
        <w:rPr>
          <w:rFonts w:hint="eastAsia" w:ascii="Times New Roman" w:hAnsi="Times New Roman" w:eastAsia="等线" w:cs="Times New Roman"/>
          <w:i w:val="0"/>
          <w:iCs w:val="0"/>
          <w:kern w:val="2"/>
          <w:sz w:val="21"/>
          <w:szCs w:val="21"/>
        </w:rPr>
        <w:t>College of Soil and Water Conservation Science and Engineering, Northwest A&amp;F University</w:t>
      </w:r>
      <w:r>
        <w:rPr>
          <w:rFonts w:hint="eastAsia" w:ascii="Times New Roman" w:hAnsi="Times New Roman" w:eastAsia="等线" w:cs="Times New Roman"/>
          <w:i w:val="0"/>
          <w:iCs w:val="0"/>
          <w:kern w:val="2"/>
          <w:sz w:val="21"/>
          <w:szCs w:val="21"/>
          <w:lang w:val="en-US" w:eastAsia="zh-CN"/>
        </w:rPr>
        <w:t xml:space="preserve">, </w:t>
      </w:r>
      <w:r>
        <w:rPr>
          <w:rFonts w:ascii="Times New Roman" w:hAnsi="Times New Roman" w:eastAsia="等线" w:cs="Times New Roman"/>
          <w:i w:val="0"/>
          <w:iCs w:val="0"/>
          <w:kern w:val="2"/>
          <w:sz w:val="21"/>
          <w:szCs w:val="21"/>
        </w:rPr>
        <w:t>Yangling, Shaanxi 712100</w:t>
      </w:r>
      <w:r>
        <w:rPr>
          <w:rFonts w:hint="eastAsia" w:ascii="Times New Roman" w:hAnsi="Times New Roman" w:eastAsia="等线" w:cs="Times New Roman"/>
          <w:i w:val="0"/>
          <w:iCs w:val="0"/>
          <w:kern w:val="2"/>
          <w:sz w:val="21"/>
          <w:szCs w:val="21"/>
          <w:lang w:val="en-US" w:eastAsia="zh-CN"/>
        </w:rPr>
        <w:t xml:space="preserve">, </w:t>
      </w:r>
      <w:r>
        <w:rPr>
          <w:rFonts w:ascii="Times New Roman" w:hAnsi="Times New Roman" w:eastAsia="等线" w:cs="Times New Roman"/>
          <w:i w:val="0"/>
          <w:iCs w:val="0"/>
          <w:kern w:val="2"/>
          <w:sz w:val="21"/>
          <w:szCs w:val="21"/>
        </w:rPr>
        <w:t xml:space="preserve">PR </w:t>
      </w:r>
      <w:r>
        <w:rPr>
          <w:rFonts w:hint="eastAsia" w:ascii="Times New Roman" w:hAnsi="Times New Roman" w:eastAsia="等线" w:cs="Times New Roman"/>
          <w:i w:val="0"/>
          <w:iCs w:val="0"/>
          <w:kern w:val="2"/>
          <w:sz w:val="21"/>
          <w:szCs w:val="21"/>
          <w:lang w:val="en-US" w:eastAsia="zh-CN"/>
        </w:rPr>
        <w:t>China</w:t>
      </w:r>
    </w:p>
    <w:p>
      <w:pPr>
        <w:keepNext w:val="0"/>
        <w:keepLines w:val="0"/>
        <w:pageBreakBefore w:val="0"/>
        <w:widowControl w:val="0"/>
        <w:suppressLineNumbers w:val="0"/>
        <w:kinsoku/>
        <w:wordWrap/>
        <w:overflowPunct/>
        <w:topLinePunct w:val="0"/>
        <w:autoSpaceDE/>
        <w:autoSpaceDN/>
        <w:bidi w:val="0"/>
        <w:adjustRightInd/>
        <w:snapToGrid/>
        <w:spacing w:after="157" w:afterLines="50" w:line="480" w:lineRule="auto"/>
        <w:jc w:val="both"/>
        <w:textAlignment w:val="auto"/>
        <w:rPr>
          <w:rFonts w:ascii="Times New Roman" w:hAnsi="Times New Roman" w:eastAsia="等线" w:cs="Times New Roman"/>
          <w:i w:val="0"/>
          <w:iCs w:val="0"/>
          <w:kern w:val="2"/>
          <w:sz w:val="21"/>
          <w:szCs w:val="21"/>
        </w:rPr>
      </w:pPr>
      <w:r>
        <w:rPr>
          <w:rFonts w:hint="eastAsia" w:ascii="Times New Roman" w:hAnsi="Times New Roman" w:eastAsia="等线" w:cs="Times New Roman"/>
          <w:i w:val="0"/>
          <w:iCs w:val="0"/>
          <w:kern w:val="2"/>
          <w:sz w:val="21"/>
          <w:szCs w:val="21"/>
          <w:vertAlign w:val="superscript"/>
          <w:lang w:val="en-US" w:eastAsia="zh-CN"/>
        </w:rPr>
        <w:t>b</w:t>
      </w:r>
      <w:r>
        <w:rPr>
          <w:rFonts w:ascii="Times New Roman" w:hAnsi="Times New Roman" w:eastAsia="等线" w:cs="Times New Roman"/>
          <w:i w:val="0"/>
          <w:iCs w:val="0"/>
          <w:kern w:val="2"/>
          <w:sz w:val="21"/>
          <w:szCs w:val="21"/>
        </w:rPr>
        <w:t xml:space="preserve"> Institute of Soil and Water Conservation, Northwest A&amp;F University, Yangling, Shaanxi 712100, PR China</w:t>
      </w:r>
    </w:p>
    <w:p>
      <w:pPr>
        <w:keepNext w:val="0"/>
        <w:keepLines w:val="0"/>
        <w:pageBreakBefore w:val="0"/>
        <w:widowControl w:val="0"/>
        <w:suppressLineNumbers w:val="0"/>
        <w:kinsoku/>
        <w:wordWrap/>
        <w:overflowPunct/>
        <w:topLinePunct w:val="0"/>
        <w:autoSpaceDE/>
        <w:autoSpaceDN/>
        <w:bidi w:val="0"/>
        <w:adjustRightInd/>
        <w:snapToGrid/>
        <w:spacing w:after="157" w:afterLines="50" w:line="480" w:lineRule="auto"/>
        <w:jc w:val="both"/>
        <w:textAlignment w:val="auto"/>
        <w:rPr>
          <w:rFonts w:ascii="Times New Roman" w:hAnsi="Times New Roman" w:eastAsia="等线" w:cs="Times New Roman"/>
          <w:i w:val="0"/>
          <w:iCs w:val="0"/>
          <w:kern w:val="2"/>
          <w:sz w:val="21"/>
          <w:szCs w:val="21"/>
        </w:rPr>
      </w:pPr>
      <w:r>
        <w:rPr>
          <w:rFonts w:hint="eastAsia" w:ascii="Times New Roman" w:hAnsi="Times New Roman" w:eastAsia="等线" w:cs="Times New Roman"/>
          <w:i w:val="0"/>
          <w:iCs w:val="0"/>
          <w:kern w:val="2"/>
          <w:sz w:val="21"/>
          <w:szCs w:val="21"/>
          <w:vertAlign w:val="superscript"/>
          <w:lang w:val="en-US" w:eastAsia="zh-CN"/>
        </w:rPr>
        <w:t>c</w:t>
      </w:r>
      <w:r>
        <w:rPr>
          <w:rFonts w:ascii="Times New Roman" w:hAnsi="Times New Roman" w:eastAsia="等线" w:cs="Times New Roman"/>
          <w:i w:val="0"/>
          <w:iCs w:val="0"/>
          <w:kern w:val="2"/>
          <w:sz w:val="21"/>
          <w:szCs w:val="21"/>
        </w:rPr>
        <w:t xml:space="preserve"> Institute of Soil and Water Conservation, Chinese Academy of Sciences and Ministry of water Resources, Yangling, Shaanxi 712100, PR China</w:t>
      </w:r>
    </w:p>
    <w:p>
      <w:pPr>
        <w:pStyle w:val="13"/>
      </w:pPr>
      <w:r>
        <w:rPr>
          <w:rFonts w:hint="eastAsia"/>
          <w:vertAlign w:val="superscript"/>
          <w:lang w:val="en-US" w:eastAsia="zh-CN"/>
        </w:rPr>
        <w:t>d</w:t>
      </w:r>
      <w:r>
        <w:rPr>
          <w:rFonts w:hint="eastAsia"/>
          <w:lang w:val="en-US" w:eastAsia="zh-CN"/>
        </w:rPr>
        <w:t xml:space="preserve"> Northwest Engineering corporation limited, Xi</w:t>
      </w:r>
      <w:r>
        <w:rPr>
          <w:rFonts w:hint="default"/>
          <w:lang w:val="en-US" w:eastAsia="zh-CN"/>
        </w:rPr>
        <w:t>’</w:t>
      </w:r>
      <w:r>
        <w:rPr>
          <w:rFonts w:hint="eastAsia"/>
          <w:lang w:val="en-US" w:eastAsia="zh-CN"/>
        </w:rPr>
        <w:t xml:space="preserve">an, </w:t>
      </w:r>
      <w:r>
        <w:t xml:space="preserve">Shaanxi </w:t>
      </w:r>
      <w:r>
        <w:rPr>
          <w:rFonts w:hint="eastAsia"/>
          <w:lang w:eastAsia="zh-CN"/>
        </w:rPr>
        <w:t>7</w:t>
      </w:r>
      <w:r>
        <w:rPr>
          <w:lang w:eastAsia="zh-CN"/>
        </w:rPr>
        <w:t>10065</w:t>
      </w:r>
      <w:r>
        <w:rPr>
          <w:rFonts w:hint="eastAsia"/>
          <w:lang w:val="en-US" w:eastAsia="zh-CN"/>
        </w:rPr>
        <w:t xml:space="preserve">, </w:t>
      </w:r>
      <w:r>
        <w:t xml:space="preserve">PR </w:t>
      </w:r>
      <w:r>
        <w:rPr>
          <w:rFonts w:hint="eastAsia"/>
          <w:lang w:val="en-US" w:eastAsia="zh-CN"/>
        </w:rPr>
        <w:t>China</w:t>
      </w:r>
    </w:p>
    <w:p>
      <w:pPr>
        <w:keepNext w:val="0"/>
        <w:keepLines w:val="0"/>
        <w:pageBreakBefore w:val="0"/>
        <w:widowControl w:val="0"/>
        <w:suppressLineNumbers w:val="0"/>
        <w:kinsoku/>
        <w:wordWrap/>
        <w:overflowPunct/>
        <w:topLinePunct w:val="0"/>
        <w:autoSpaceDE/>
        <w:autoSpaceDN/>
        <w:bidi w:val="0"/>
        <w:adjustRightInd/>
        <w:snapToGrid/>
        <w:spacing w:after="157" w:afterLines="50" w:line="480" w:lineRule="auto"/>
        <w:jc w:val="both"/>
        <w:textAlignment w:val="auto"/>
        <w:rPr>
          <w:rFonts w:ascii="Times New Roman" w:hAnsi="Times New Roman" w:eastAsia="等线" w:cs="Times New Roman"/>
          <w:i w:val="0"/>
          <w:iCs w:val="0"/>
          <w:kern w:val="2"/>
          <w:sz w:val="21"/>
          <w:szCs w:val="21"/>
        </w:rPr>
      </w:pPr>
    </w:p>
    <w:p>
      <w:pPr>
        <w:keepNext w:val="0"/>
        <w:keepLines w:val="0"/>
        <w:pageBreakBefore w:val="0"/>
        <w:widowControl w:val="0"/>
        <w:suppressLineNumbers w:val="0"/>
        <w:kinsoku/>
        <w:wordWrap/>
        <w:overflowPunct/>
        <w:topLinePunct w:val="0"/>
        <w:autoSpaceDE/>
        <w:autoSpaceDN/>
        <w:bidi w:val="0"/>
        <w:adjustRightInd/>
        <w:snapToGrid/>
        <w:spacing w:after="157" w:afterLines="50" w:line="360" w:lineRule="auto"/>
        <w:jc w:val="both"/>
        <w:textAlignment w:val="auto"/>
        <w:rPr>
          <w:rFonts w:ascii="Times New Roman" w:hAnsi="Times New Roman" w:eastAsia="等线" w:cs="Times New Roman"/>
          <w:i w:val="0"/>
          <w:iCs w:val="0"/>
          <w:kern w:val="2"/>
          <w:sz w:val="21"/>
          <w:szCs w:val="21"/>
        </w:rPr>
      </w:pPr>
    </w:p>
    <w:p>
      <w:pPr>
        <w:keepNext w:val="0"/>
        <w:keepLines w:val="0"/>
        <w:pageBreakBefore w:val="0"/>
        <w:widowControl w:val="0"/>
        <w:suppressLineNumbers w:val="0"/>
        <w:kinsoku/>
        <w:wordWrap/>
        <w:overflowPunct/>
        <w:topLinePunct w:val="0"/>
        <w:autoSpaceDE/>
        <w:autoSpaceDN/>
        <w:bidi w:val="0"/>
        <w:adjustRightInd/>
        <w:snapToGrid/>
        <w:spacing w:after="157" w:afterLines="50" w:line="360" w:lineRule="auto"/>
        <w:jc w:val="both"/>
        <w:textAlignment w:val="auto"/>
        <w:rPr>
          <w:rFonts w:ascii="Times New Roman" w:hAnsi="Times New Roman" w:eastAsia="等线" w:cs="Times New Roman"/>
          <w:i w:val="0"/>
          <w:iCs w:val="0"/>
          <w:kern w:val="2"/>
          <w:sz w:val="21"/>
          <w:szCs w:val="21"/>
        </w:rPr>
      </w:pPr>
    </w:p>
    <w:p>
      <w:pPr>
        <w:keepNext w:val="0"/>
        <w:keepLines w:val="0"/>
        <w:pageBreakBefore w:val="0"/>
        <w:widowControl w:val="0"/>
        <w:suppressLineNumbers w:val="0"/>
        <w:kinsoku/>
        <w:wordWrap/>
        <w:overflowPunct/>
        <w:topLinePunct w:val="0"/>
        <w:autoSpaceDE/>
        <w:autoSpaceDN/>
        <w:bidi w:val="0"/>
        <w:adjustRightInd/>
        <w:snapToGrid/>
        <w:spacing w:after="157" w:afterLines="50" w:line="480" w:lineRule="auto"/>
        <w:jc w:val="both"/>
        <w:textAlignment w:val="auto"/>
        <w:rPr>
          <w:rFonts w:hint="eastAsia" w:ascii="Times New Roman" w:hAnsi="Times New Roman" w:eastAsia="等线" w:cs="Times New Roman"/>
          <w:i w:val="0"/>
          <w:iCs w:val="0"/>
          <w:kern w:val="2"/>
          <w:sz w:val="21"/>
          <w:szCs w:val="21"/>
          <w:lang w:val="en-US" w:eastAsia="zh-CN"/>
        </w:rPr>
      </w:pPr>
      <w:r>
        <w:rPr>
          <w:rFonts w:hint="eastAsia" w:ascii="Times New Roman" w:hAnsi="Times New Roman" w:eastAsia="等线" w:cs="Times New Roman"/>
          <w:i w:val="0"/>
          <w:iCs w:val="0"/>
          <w:kern w:val="2"/>
          <w:sz w:val="21"/>
          <w:szCs w:val="21"/>
          <w:vertAlign w:val="superscript"/>
          <w:lang w:val="en-US" w:eastAsia="zh-CN"/>
        </w:rPr>
        <w:t>1</w:t>
      </w:r>
      <w:r>
        <w:rPr>
          <w:rFonts w:hint="eastAsia" w:ascii="Times New Roman" w:hAnsi="Times New Roman" w:eastAsia="等线" w:cs="Times New Roman"/>
          <w:i w:val="0"/>
          <w:iCs w:val="0"/>
          <w:kern w:val="2"/>
          <w:sz w:val="21"/>
          <w:szCs w:val="21"/>
          <w:lang w:val="en-US" w:eastAsia="zh-CN"/>
        </w:rPr>
        <w:t xml:space="preserve"> These authors contributed equally to this work</w:t>
      </w:r>
    </w:p>
    <w:p>
      <w:pPr>
        <w:keepNext w:val="0"/>
        <w:keepLines w:val="0"/>
        <w:pageBreakBefore w:val="0"/>
        <w:widowControl w:val="0"/>
        <w:suppressLineNumbers w:val="0"/>
        <w:kinsoku/>
        <w:wordWrap/>
        <w:overflowPunct/>
        <w:topLinePunct w:val="0"/>
        <w:autoSpaceDE/>
        <w:autoSpaceDN/>
        <w:bidi w:val="0"/>
        <w:adjustRightInd/>
        <w:snapToGrid/>
        <w:spacing w:after="157" w:afterLines="50" w:line="480" w:lineRule="auto"/>
        <w:jc w:val="both"/>
        <w:textAlignment w:val="auto"/>
        <w:rPr>
          <w:rFonts w:hint="eastAsia" w:ascii="Times New Roman" w:hAnsi="Times New Roman" w:eastAsia="等线" w:cs="Times New Roman"/>
          <w:i w:val="0"/>
          <w:iCs w:val="0"/>
          <w:kern w:val="2"/>
          <w:sz w:val="21"/>
          <w:szCs w:val="21"/>
          <w:lang w:val="en-US" w:eastAsia="zh-CN"/>
        </w:rPr>
      </w:pPr>
      <w:r>
        <w:rPr>
          <w:rFonts w:hint="eastAsia" w:ascii="Times New Roman" w:hAnsi="Times New Roman" w:eastAsia="等线" w:cs="Times New Roman"/>
          <w:i w:val="0"/>
          <w:iCs w:val="0"/>
          <w:kern w:val="2"/>
          <w:sz w:val="21"/>
          <w:szCs w:val="21"/>
          <w:vertAlign w:val="superscript"/>
          <w:lang w:val="en-US" w:eastAsia="zh-CN"/>
        </w:rPr>
        <w:t>*</w:t>
      </w:r>
      <w:r>
        <w:rPr>
          <w:rFonts w:hint="eastAsia" w:ascii="Times New Roman" w:hAnsi="Times New Roman" w:eastAsia="等线" w:cs="Times New Roman"/>
          <w:i w:val="0"/>
          <w:iCs w:val="0"/>
          <w:kern w:val="2"/>
          <w:sz w:val="21"/>
          <w:szCs w:val="21"/>
          <w:lang w:val="en-US" w:eastAsia="zh-CN"/>
        </w:rPr>
        <w:t xml:space="preserve"> Corresponding author: Dr Man Zhang</w:t>
      </w:r>
    </w:p>
    <w:p>
      <w:pPr>
        <w:keepNext w:val="0"/>
        <w:keepLines w:val="0"/>
        <w:pageBreakBefore w:val="0"/>
        <w:widowControl w:val="0"/>
        <w:suppressLineNumbers w:val="0"/>
        <w:kinsoku/>
        <w:wordWrap/>
        <w:overflowPunct/>
        <w:topLinePunct w:val="0"/>
        <w:autoSpaceDE/>
        <w:autoSpaceDN/>
        <w:bidi w:val="0"/>
        <w:adjustRightInd/>
        <w:snapToGrid/>
        <w:spacing w:after="157" w:afterLines="50" w:line="480" w:lineRule="auto"/>
        <w:jc w:val="both"/>
        <w:textAlignment w:val="auto"/>
        <w:rPr>
          <w:rFonts w:ascii="Times New Roman" w:hAnsi="Times New Roman"/>
          <w:sz w:val="24"/>
          <w:szCs w:val="32"/>
        </w:rPr>
      </w:pPr>
      <w:r>
        <w:rPr>
          <w:rFonts w:hint="eastAsia" w:ascii="Times New Roman" w:hAnsi="Times New Roman" w:eastAsia="等线" w:cs="Times New Roman"/>
          <w:i w:val="0"/>
          <w:iCs w:val="0"/>
          <w:kern w:val="2"/>
          <w:sz w:val="21"/>
          <w:szCs w:val="21"/>
          <w:lang w:val="en-US" w:eastAsia="zh-CN"/>
        </w:rPr>
        <w:t xml:space="preserve">Email: </w:t>
      </w:r>
      <w:r>
        <w:rPr>
          <w:rFonts w:hint="eastAsia" w:ascii="Times New Roman" w:hAnsi="Times New Roman" w:eastAsia="等线" w:cs="Times New Roman"/>
          <w:i w:val="0"/>
          <w:iCs w:val="0"/>
          <w:kern w:val="2"/>
          <w:sz w:val="21"/>
          <w:szCs w:val="21"/>
          <w:lang w:val="en-US" w:eastAsia="zh-CN"/>
        </w:rPr>
        <w:fldChar w:fldCharType="begin"/>
      </w:r>
      <w:r>
        <w:rPr>
          <w:rFonts w:hint="eastAsia" w:ascii="Times New Roman" w:hAnsi="Times New Roman" w:eastAsia="等线" w:cs="Times New Roman"/>
          <w:i w:val="0"/>
          <w:iCs w:val="0"/>
          <w:kern w:val="2"/>
          <w:sz w:val="21"/>
          <w:szCs w:val="21"/>
          <w:lang w:val="en-US" w:eastAsia="zh-CN"/>
        </w:rPr>
        <w:instrText xml:space="preserve"> HYPERLINK "mailto:zmcocoo0203@nwsuaf.edu.cn" </w:instrText>
      </w:r>
      <w:r>
        <w:rPr>
          <w:rFonts w:hint="eastAsia" w:ascii="Times New Roman" w:hAnsi="Times New Roman" w:eastAsia="等线" w:cs="Times New Roman"/>
          <w:i w:val="0"/>
          <w:iCs w:val="0"/>
          <w:kern w:val="2"/>
          <w:sz w:val="21"/>
          <w:szCs w:val="21"/>
          <w:lang w:val="en-US" w:eastAsia="zh-CN"/>
        </w:rPr>
        <w:fldChar w:fldCharType="separate"/>
      </w:r>
      <w:r>
        <w:rPr>
          <w:rStyle w:val="8"/>
          <w:rFonts w:hint="eastAsia" w:ascii="Times New Roman" w:hAnsi="Times New Roman" w:eastAsia="等线" w:cs="Times New Roman"/>
          <w:i w:val="0"/>
          <w:iCs w:val="0"/>
          <w:kern w:val="2"/>
          <w:sz w:val="21"/>
          <w:szCs w:val="21"/>
          <w:lang w:val="en-US" w:eastAsia="zh-CN"/>
        </w:rPr>
        <w:t>zmcocoo0203@nwafu.edu.cn</w:t>
      </w:r>
      <w:r>
        <w:rPr>
          <w:rFonts w:hint="eastAsia" w:ascii="Times New Roman" w:hAnsi="Times New Roman" w:eastAsia="等线" w:cs="Times New Roman"/>
          <w:i w:val="0"/>
          <w:iCs w:val="0"/>
          <w:kern w:val="2"/>
          <w:sz w:val="21"/>
          <w:szCs w:val="21"/>
          <w:lang w:val="en-US" w:eastAsia="zh-CN"/>
        </w:rPr>
        <w:fldChar w:fldCharType="end"/>
      </w:r>
      <w:r>
        <w:rPr>
          <w:rFonts w:ascii="Times New Roman" w:hAnsi="Times New Roman"/>
          <w:sz w:val="24"/>
          <w:szCs w:val="32"/>
        </w:rPr>
        <w:br w:type="page"/>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b/>
          <w:bCs/>
          <w:sz w:val="24"/>
          <w:szCs w:val="32"/>
        </w:rPr>
      </w:pPr>
      <w:bookmarkStart w:id="0" w:name="OLE_LINK3"/>
      <w:r>
        <w:rPr>
          <w:rFonts w:hint="eastAsia" w:ascii="Times New Roman" w:hAnsi="Times New Roman"/>
          <w:b/>
          <w:bCs/>
          <w:sz w:val="24"/>
          <w:szCs w:val="32"/>
        </w:rPr>
        <w:t>Supplementary Methods</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80" w:lineRule="auto"/>
        <w:ind w:leftChars="0"/>
        <w:textAlignment w:val="auto"/>
        <w:rPr>
          <w:rFonts w:hint="default" w:ascii="Times New Roman" w:hAnsi="Times New Roman" w:cs="Times New Roman"/>
          <w:sz w:val="24"/>
          <w:szCs w:val="24"/>
          <w:highlight w:val="none"/>
        </w:rPr>
      </w:pPr>
      <w:r>
        <w:rPr>
          <w:rFonts w:hint="default" w:ascii="Times New Roman" w:hAnsi="Times New Roman" w:cs="Times New Roman"/>
          <w:i/>
          <w:iCs/>
          <w:sz w:val="24"/>
          <w:szCs w:val="24"/>
          <w:highlight w:val="none"/>
        </w:rPr>
        <w:t>Meta-analysis</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80" w:lineRule="auto"/>
        <w:ind w:leftChars="0"/>
        <w:textAlignment w:val="auto"/>
        <w:rPr>
          <w:rFonts w:hint="default" w:ascii="Times New Roman" w:hAnsi="Times New Roman" w:cs="Times New Roman"/>
          <w:sz w:val="24"/>
          <w:szCs w:val="24"/>
          <w:highlight w:val="none"/>
        </w:rPr>
      </w:pPr>
      <w:r>
        <w:rPr>
          <w:rFonts w:hint="default" w:ascii="Times New Roman" w:hAnsi="Times New Roman" w:cs="Times New Roman"/>
          <w:i/>
          <w:iCs/>
          <w:sz w:val="24"/>
          <w:szCs w:val="24"/>
          <w:highlight w:val="none"/>
        </w:rPr>
        <w:t>Global in situ soil-atmosphere trace gas measurements</w:t>
      </w:r>
    </w:p>
    <w:p>
      <w:pPr>
        <w:spacing w:line="480" w:lineRule="auto"/>
        <w:ind w:firstLine="480" w:firstLineChars="20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 xml:space="preserve">To provide a global context for detailed field measurements, we compiled </w:t>
      </w:r>
      <w:r>
        <w:rPr>
          <w:rFonts w:hint="eastAsia" w:ascii="Times New Roman" w:hAnsi="Times New Roman" w:cs="Times New Roman"/>
          <w:sz w:val="24"/>
          <w:szCs w:val="24"/>
          <w:highlight w:val="none"/>
          <w:lang w:val="en-US" w:eastAsia="zh-CN"/>
        </w:rPr>
        <w:t>17</w:t>
      </w:r>
      <w:r>
        <w:rPr>
          <w:rFonts w:hint="default" w:ascii="Times New Roman" w:hAnsi="Times New Roman" w:cs="Times New Roman"/>
          <w:sz w:val="24"/>
          <w:szCs w:val="24"/>
          <w:highlight w:val="none"/>
        </w:rPr>
        <w:t xml:space="preserve"> published studies that assess the impact of </w:t>
      </w:r>
      <w:r>
        <w:rPr>
          <w:rFonts w:hint="eastAsia" w:ascii="Times New Roman" w:hAnsi="Times New Roman" w:cs="Times New Roman"/>
          <w:sz w:val="24"/>
          <w:szCs w:val="24"/>
          <w:highlight w:val="none"/>
          <w:lang w:val="en-US" w:eastAsia="zh-CN"/>
        </w:rPr>
        <w:t>nitrogen (</w:t>
      </w:r>
      <w:r>
        <w:rPr>
          <w:rFonts w:hint="default" w:ascii="Times New Roman" w:hAnsi="Times New Roman" w:cs="Times New Roman"/>
          <w:sz w:val="24"/>
          <w:szCs w:val="24"/>
          <w:highlight w:val="none"/>
        </w:rPr>
        <w:t>N</w:t>
      </w: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rPr>
        <w:t xml:space="preserve"> fertilizer addition on N</w:t>
      </w:r>
      <w:r>
        <w:rPr>
          <w:rFonts w:hint="default" w:ascii="Times New Roman" w:hAnsi="Times New Roman" w:cs="Times New Roman"/>
          <w:sz w:val="24"/>
          <w:szCs w:val="24"/>
          <w:highlight w:val="none"/>
          <w:vertAlign w:val="subscript"/>
        </w:rPr>
        <w:t>2</w:t>
      </w:r>
      <w:r>
        <w:rPr>
          <w:rFonts w:hint="default" w:ascii="Times New Roman" w:hAnsi="Times New Roman" w:cs="Times New Roman"/>
          <w:sz w:val="24"/>
          <w:szCs w:val="24"/>
          <w:highlight w:val="none"/>
        </w:rPr>
        <w:t>O fluxes and mineralized N across various stages of fruit maturity (Table S2). Utilizing these datasets, we estimated the average effect size of N fertilizer addition on soil-atmosphere N</w:t>
      </w:r>
      <w:r>
        <w:rPr>
          <w:rFonts w:hint="default" w:ascii="Times New Roman" w:hAnsi="Times New Roman" w:cs="Times New Roman"/>
          <w:sz w:val="24"/>
          <w:szCs w:val="24"/>
          <w:highlight w:val="none"/>
          <w:vertAlign w:val="subscript"/>
        </w:rPr>
        <w:t>2</w:t>
      </w:r>
      <w:r>
        <w:rPr>
          <w:rFonts w:hint="default" w:ascii="Times New Roman" w:hAnsi="Times New Roman" w:cs="Times New Roman"/>
          <w:sz w:val="24"/>
          <w:szCs w:val="24"/>
          <w:highlight w:val="none"/>
        </w:rPr>
        <w:t>O fluxes at different stand ages.</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80" w:lineRule="auto"/>
        <w:ind w:leftChars="0"/>
        <w:textAlignment w:val="auto"/>
        <w:rPr>
          <w:rFonts w:hint="default" w:ascii="Times New Roman" w:hAnsi="Times New Roman" w:cs="Times New Roman"/>
          <w:sz w:val="24"/>
          <w:szCs w:val="24"/>
          <w:highlight w:val="none"/>
        </w:rPr>
      </w:pPr>
      <w:r>
        <w:rPr>
          <w:rFonts w:hint="default" w:ascii="Times New Roman" w:hAnsi="Times New Roman" w:cs="Times New Roman"/>
          <w:i/>
          <w:iCs/>
          <w:sz w:val="24"/>
          <w:szCs w:val="24"/>
          <w:highlight w:val="none"/>
        </w:rPr>
        <w:t>Criteria for data collection</w:t>
      </w:r>
    </w:p>
    <w:p>
      <w:pPr>
        <w:spacing w:line="480" w:lineRule="auto"/>
        <w:ind w:firstLine="480" w:firstLineChars="20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We conducted a screening of N adjustment experiments involving added N fertilizer to obtain in situ data on soil-atmosphere N</w:t>
      </w:r>
      <w:r>
        <w:rPr>
          <w:rFonts w:hint="default" w:ascii="Times New Roman" w:hAnsi="Times New Roman" w:cs="Times New Roman"/>
          <w:sz w:val="24"/>
          <w:szCs w:val="24"/>
          <w:highlight w:val="none"/>
          <w:vertAlign w:val="subscript"/>
        </w:rPr>
        <w:t>2</w:t>
      </w:r>
      <w:r>
        <w:rPr>
          <w:rFonts w:hint="default" w:ascii="Times New Roman" w:hAnsi="Times New Roman" w:cs="Times New Roman"/>
          <w:sz w:val="24"/>
          <w:szCs w:val="24"/>
          <w:highlight w:val="none"/>
        </w:rPr>
        <w:t>O flux in orchards of different ages. We reviewed 16 peer-reviewed journal articles published before May 2024 that met our criteria, sourced from the China National Knowledge Infrastructure (</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"https://www.cnki.net/" \t "https://8888-team.freeoai.com/c/_new" </w:instrText>
      </w:r>
      <w:r>
        <w:rPr>
          <w:rFonts w:hint="default" w:ascii="Times New Roman" w:hAnsi="Times New Roman" w:cs="Times New Roman"/>
          <w:highlight w:val="none"/>
        </w:rPr>
        <w:fldChar w:fldCharType="separate"/>
      </w:r>
      <w:r>
        <w:rPr>
          <w:rStyle w:val="8"/>
          <w:rFonts w:hint="default" w:ascii="Times New Roman" w:hAnsi="Times New Roman" w:cs="Times New Roman"/>
          <w:sz w:val="24"/>
          <w:szCs w:val="28"/>
          <w:highlight w:val="none"/>
        </w:rPr>
        <w:t>https://www.cnki.net</w:t>
      </w:r>
      <w:r>
        <w:rPr>
          <w:rStyle w:val="8"/>
          <w:rFonts w:hint="default" w:ascii="Times New Roman" w:hAnsi="Times New Roman" w:cs="Times New Roman"/>
          <w:sz w:val="24"/>
          <w:szCs w:val="28"/>
          <w:highlight w:val="none"/>
        </w:rPr>
        <w:fldChar w:fldCharType="end"/>
      </w:r>
      <w:r>
        <w:rPr>
          <w:rFonts w:hint="default" w:ascii="Times New Roman" w:hAnsi="Times New Roman" w:cs="Times New Roman"/>
          <w:sz w:val="24"/>
          <w:szCs w:val="24"/>
          <w:highlight w:val="none"/>
        </w:rPr>
        <w:t>) and Web of Science (</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"http://apps.webofknowledge.com/" \t "https://8888-team.freeoai.com/c/_new" </w:instrText>
      </w:r>
      <w:r>
        <w:rPr>
          <w:rFonts w:hint="default" w:ascii="Times New Roman" w:hAnsi="Times New Roman" w:cs="Times New Roman"/>
          <w:highlight w:val="none"/>
        </w:rPr>
        <w:fldChar w:fldCharType="separate"/>
      </w:r>
      <w:r>
        <w:rPr>
          <w:rStyle w:val="8"/>
          <w:rFonts w:hint="default" w:ascii="Times New Roman" w:hAnsi="Times New Roman" w:cs="Times New Roman"/>
          <w:sz w:val="24"/>
          <w:szCs w:val="28"/>
          <w:highlight w:val="none"/>
        </w:rPr>
        <w:t>http://apps.webofknowledge.com</w:t>
      </w:r>
      <w:r>
        <w:rPr>
          <w:rStyle w:val="8"/>
          <w:rFonts w:hint="default" w:ascii="Times New Roman" w:hAnsi="Times New Roman" w:cs="Times New Roman"/>
          <w:sz w:val="24"/>
          <w:szCs w:val="28"/>
          <w:highlight w:val="none"/>
        </w:rPr>
        <w:fldChar w:fldCharType="end"/>
      </w:r>
      <w:r>
        <w:rPr>
          <w:rFonts w:hint="default" w:ascii="Times New Roman" w:hAnsi="Times New Roman" w:cs="Times New Roman"/>
          <w:sz w:val="24"/>
          <w:szCs w:val="24"/>
          <w:highlight w:val="none"/>
        </w:rPr>
        <w:t>). The search terms employed were "nitrogen fertilizer"</w:t>
      </w:r>
      <w:r>
        <w:rPr>
          <w:rFonts w:hint="eastAsia" w:ascii="Times New Roman" w:hAnsi="Times New Roman" w:cs="Times New Roman"/>
          <w:sz w:val="24"/>
          <w:szCs w:val="24"/>
          <w:highlight w:val="none"/>
          <w:lang w:val="en-US" w:eastAsia="zh-CN"/>
        </w:rPr>
        <w:t xml:space="preserve"> or </w:t>
      </w:r>
      <w:r>
        <w:rPr>
          <w:rFonts w:hint="default" w:ascii="Times New Roman" w:hAnsi="Times New Roman" w:cs="Times New Roman"/>
          <w:sz w:val="24"/>
          <w:szCs w:val="24"/>
          <w:highlight w:val="none"/>
        </w:rPr>
        <w:t>"</w:t>
      </w:r>
      <w:r>
        <w:rPr>
          <w:rFonts w:hint="eastAsia" w:ascii="Times New Roman" w:hAnsi="Times New Roman" w:cs="Times New Roman"/>
          <w:sz w:val="24"/>
          <w:szCs w:val="24"/>
          <w:highlight w:val="none"/>
          <w:lang w:val="en-US" w:eastAsia="zh-CN"/>
        </w:rPr>
        <w:t>N</w:t>
      </w:r>
      <w:r>
        <w:rPr>
          <w:rFonts w:hint="eastAsia" w:ascii="Times New Roman" w:hAnsi="Times New Roman" w:cs="Times New Roman"/>
          <w:sz w:val="24"/>
          <w:szCs w:val="24"/>
          <w:highlight w:val="none"/>
          <w:vertAlign w:val="subscript"/>
          <w:lang w:val="en-US" w:eastAsia="zh-CN"/>
        </w:rPr>
        <w:t>2</w:t>
      </w:r>
      <w:r>
        <w:rPr>
          <w:rFonts w:hint="eastAsia" w:ascii="Times New Roman" w:hAnsi="Times New Roman" w:cs="Times New Roman"/>
          <w:sz w:val="24"/>
          <w:szCs w:val="24"/>
          <w:highlight w:val="none"/>
          <w:lang w:val="en-US" w:eastAsia="zh-CN"/>
        </w:rPr>
        <w:t>O</w:t>
      </w:r>
      <w:r>
        <w:rPr>
          <w:rFonts w:hint="default" w:ascii="Times New Roman" w:hAnsi="Times New Roman" w:cs="Times New Roman"/>
          <w:sz w:val="24"/>
          <w:szCs w:val="24"/>
          <w:highlight w:val="none"/>
        </w:rPr>
        <w:t>"</w:t>
      </w:r>
      <w:r>
        <w:rPr>
          <w:rFonts w:hint="eastAsia" w:ascii="Times New Roman" w:hAnsi="Times New Roman" w:cs="Times New Roman"/>
          <w:sz w:val="24"/>
          <w:szCs w:val="24"/>
          <w:highlight w:val="none"/>
          <w:lang w:val="en-US" w:eastAsia="zh-CN"/>
        </w:rPr>
        <w:t xml:space="preserve"> or </w:t>
      </w:r>
      <w:r>
        <w:rPr>
          <w:rFonts w:hint="default" w:ascii="Times New Roman" w:hAnsi="Times New Roman" w:cs="Times New Roman"/>
          <w:sz w:val="24"/>
          <w:szCs w:val="24"/>
          <w:highlight w:val="none"/>
        </w:rPr>
        <w:t xml:space="preserve">"ammonium </w:t>
      </w:r>
      <w:r>
        <w:rPr>
          <w:rFonts w:hint="eastAsia" w:ascii="Times New Roman" w:hAnsi="Times New Roman" w:cs="Times New Roman"/>
          <w:sz w:val="24"/>
          <w:szCs w:val="24"/>
          <w:highlight w:val="none"/>
          <w:lang w:val="en-US" w:eastAsia="zh-CN"/>
        </w:rPr>
        <w:t>nitrogen</w:t>
      </w:r>
      <w:r>
        <w:rPr>
          <w:rFonts w:hint="default" w:ascii="Times New Roman" w:hAnsi="Times New Roman" w:cs="Times New Roman"/>
          <w:sz w:val="24"/>
          <w:szCs w:val="24"/>
          <w:highlight w:val="none"/>
        </w:rPr>
        <w:t>"</w:t>
      </w:r>
      <w:r>
        <w:rPr>
          <w:rFonts w:hint="eastAsia" w:ascii="Times New Roman" w:hAnsi="Times New Roman" w:cs="Times New Roman"/>
          <w:sz w:val="24"/>
          <w:szCs w:val="24"/>
          <w:highlight w:val="none"/>
          <w:lang w:val="en-US" w:eastAsia="zh-CN"/>
        </w:rPr>
        <w:t xml:space="preserve"> or </w:t>
      </w:r>
      <w:r>
        <w:rPr>
          <w:rFonts w:hint="default" w:ascii="Times New Roman" w:hAnsi="Times New Roman" w:cs="Times New Roman"/>
          <w:sz w:val="24"/>
          <w:szCs w:val="24"/>
          <w:highlight w:val="none"/>
        </w:rPr>
        <w:t xml:space="preserve">"nitrate </w:t>
      </w:r>
      <w:r>
        <w:rPr>
          <w:rFonts w:hint="eastAsia" w:ascii="Times New Roman" w:hAnsi="Times New Roman" w:cs="Times New Roman"/>
          <w:sz w:val="24"/>
          <w:szCs w:val="24"/>
          <w:highlight w:val="none"/>
          <w:lang w:val="en-US" w:eastAsia="zh-CN"/>
        </w:rPr>
        <w:t>nitrogen</w:t>
      </w:r>
      <w:r>
        <w:rPr>
          <w:rFonts w:hint="default" w:ascii="Times New Roman" w:hAnsi="Times New Roman" w:cs="Times New Roman"/>
          <w:sz w:val="24"/>
          <w:szCs w:val="24"/>
          <w:highlight w:val="none"/>
        </w:rPr>
        <w:t>" and "orchard".</w:t>
      </w:r>
    </w:p>
    <w:p>
      <w:pPr>
        <w:spacing w:line="480" w:lineRule="auto"/>
        <w:ind w:firstLine="480" w:firstLineChars="20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To reduce publication bias, all observations met the following criteria.</w:t>
      </w:r>
    </w:p>
    <w:p>
      <w:pPr>
        <w:numPr>
          <w:ilvl w:val="0"/>
          <w:numId w:val="1"/>
        </w:numPr>
        <w:spacing w:line="480" w:lineRule="auto"/>
        <w:ind w:firstLine="480" w:firstLineChars="20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All data were collected from field measurements and laboratory culture data were deleted.</w:t>
      </w:r>
    </w:p>
    <w:p>
      <w:pPr>
        <w:numPr>
          <w:ilvl w:val="0"/>
          <w:numId w:val="1"/>
        </w:numPr>
        <w:spacing w:line="480" w:lineRule="auto"/>
        <w:ind w:firstLine="480" w:firstLineChars="20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The treatment area and the control area were studied under the same natural environmental conditions. Nitrogen fertilizer increases of different magnitude were considered independent and included in this meta-analysis.</w:t>
      </w:r>
    </w:p>
    <w:p>
      <w:pPr>
        <w:numPr>
          <w:ilvl w:val="0"/>
          <w:numId w:val="1"/>
        </w:numPr>
        <w:spacing w:line="480" w:lineRule="auto"/>
        <w:ind w:firstLine="480" w:firstLineChars="20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Only articles containing N</w:t>
      </w:r>
      <w:r>
        <w:rPr>
          <w:rFonts w:hint="default" w:ascii="Times New Roman" w:hAnsi="Times New Roman" w:cs="Times New Roman"/>
          <w:sz w:val="24"/>
          <w:szCs w:val="24"/>
          <w:highlight w:val="none"/>
          <w:vertAlign w:val="subscript"/>
        </w:rPr>
        <w:t>2</w:t>
      </w:r>
      <w:r>
        <w:rPr>
          <w:rFonts w:hint="default" w:ascii="Times New Roman" w:hAnsi="Times New Roman" w:cs="Times New Roman"/>
          <w:sz w:val="24"/>
          <w:szCs w:val="24"/>
          <w:highlight w:val="none"/>
        </w:rPr>
        <w:t>O are included.</w:t>
      </w:r>
    </w:p>
    <w:p>
      <w:pPr>
        <w:numPr>
          <w:ilvl w:val="0"/>
          <w:numId w:val="1"/>
        </w:numPr>
        <w:spacing w:line="480" w:lineRule="auto"/>
        <w:ind w:firstLine="480" w:firstLineChars="20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Sample sizes, means and standard deviations of both treatments and controls were obtained directly or were calculated from other data (standard errors, 95% bootstrap confidence interval (CI)) presented in the articles.</w:t>
      </w:r>
    </w:p>
    <w:p>
      <w:pPr>
        <w:numPr>
          <w:ilvl w:val="0"/>
          <w:numId w:val="1"/>
        </w:numPr>
        <w:spacing w:line="480" w:lineRule="auto"/>
        <w:ind w:firstLine="480" w:firstLineChars="20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When the data were presented as figures, we used ENGAUGE DIGITIZER 4.1 (Free Software Foundation Inc., Boston, MA, USA) to extract the data.</w:t>
      </w:r>
    </w:p>
    <w:p>
      <w:pPr>
        <w:spacing w:line="480" w:lineRule="auto"/>
        <w:ind w:firstLine="480" w:firstLineChars="20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Before data analysis, the validity of each group of data was tested using the Kolmogorov-Smirnov (K-S) test. The normal distribution of the data was estimated using the non-parametric method (Bootstrap) to generate combined effect values (</w:t>
      </w:r>
      <w:r>
        <w:rPr>
          <w:rFonts w:hint="default" w:ascii="Times New Roman" w:hAnsi="Times New Roman" w:cs="Times New Roman"/>
          <w:position w:val="-4"/>
          <w:sz w:val="24"/>
          <w:szCs w:val="24"/>
          <w:highlight w:val="none"/>
        </w:rPr>
        <w:object>
          <v:shape id="_x0000_i1025" o:spt="75" type="#_x0000_t75" style="height:13.1pt;width:23pt;" o:ole="t" filled="f" o:preferrelative="t" stroked="f" coordsize="21600,21600">
            <v:path/>
            <v:fill on="f" focussize="0,0"/>
            <v:stroke on="f" joinstyle="miter"/>
            <v:imagedata r:id="rId6" o:title=""/>
            <o:lock v:ext="edit" aspectratio="t"/>
            <w10:wrap type="none"/>
            <w10:anchorlock/>
          </v:shape>
          <o:OLEObject Type="Embed" ProgID="Equation.3" ShapeID="_x0000_i1025" DrawAspect="Content" ObjectID="_1468075725" r:id="rId5">
            <o:LockedField>false</o:LockedField>
          </o:OLEObject>
        </w:object>
      </w:r>
      <w:r>
        <w:rPr>
          <w:rFonts w:hint="default" w:ascii="Times New Roman" w:hAnsi="Times New Roman" w:cs="Times New Roman"/>
          <w:sz w:val="24"/>
          <w:szCs w:val="24"/>
          <w:highlight w:val="none"/>
        </w:rPr>
        <w:t xml:space="preserve">) and conduct data analysis with a 95% CI </w:t>
      </w:r>
      <w:r>
        <w:rPr>
          <w:rFonts w:hint="default" w:ascii="Times New Roman" w:hAnsi="Times New Roman" w:cs="Times New Roman"/>
          <w:sz w:val="24"/>
          <w:szCs w:val="24"/>
          <w:highlight w:val="none"/>
        </w:rPr>
        <w:fldChar w:fldCharType="begin"/>
      </w:r>
      <w:r>
        <w:rPr>
          <w:rFonts w:hint="default" w:ascii="Times New Roman" w:hAnsi="Times New Roman" w:cs="Times New Roman"/>
          <w:sz w:val="24"/>
          <w:szCs w:val="24"/>
          <w:highlight w:val="none"/>
        </w:rPr>
        <w:instrText xml:space="preserve"> ADDIN ZOTERO_ITEM CSL_CITATION {"citationID":"H3GTHIzV","properties":{"formattedCitation":"(Wang et al., 2019)","plainCitation":"(Wang et al., 2019)","noteIndex":0},"citationItems":[{"id":9,"uris":["http://zotero.org/users/11805336/items/GYVGAIIA"],"itemData":{"id":9,"type":"article-journal","abstract":"In dry environments, potato (Solanum tuberosum L.) is grown under mulching for water conservation and improving tuber yield and nitrogen use efficiency (NUE). A meta-analysis was conducted to determine how mulching improved tuber yield and NUE in potato and how yield and NUE is influenced by fertilization, tillage practices, and growing environment in China. A search of peer-reviewed publications was performed to collect data on the effects of mulching on yield and NUE in potato grown in China. The data included were from field studies with a mulching and a no mulching treatment and data on tuber yield and NUE. A total of 169 publications (17 in English and 152 in Chinese) containing 1802 observations from 105 sites were compiled into the dataset. Mulching significantly increased both tuber yield and NUE by an average of 24% compared to no mulching, respectively. Plastic film mulching was more effective in improving yield and NUE than straw mulching. The yield and NUE increase were highest under plastic film mulching on ridge-furrow plots and straw mulching on flat plots. Mulching was more effective at improving yield and NUE in the Northwest dryland region at a plant density between 55,000 and 70,000 plants ha−1 and with application of synthetic N and P2O5 at rates of 100−200 kg ha−1, K fertilization at 0−100 kg K2O ha−1, and without organic fertilization. Integrated use of organic fertilizer and mulching was found to reduce synthetic N and P fertilizer input by 50% and K fertilizer input by 100% for production without affecting yield and NUE. These results demonstrate that mulching increases yield and NUE in potato in China, but the benefits occur when the growing region, tillage, and fertilization practices are appropriately considered.","container-title":"Agronomy","DOI":"10.3390/agronomy9120793","ISSN":"2073-4395","issue":"12","language":"en","license":"http://creativecommons.org/licenses/by/3.0/","note":"number: 12\npublisher: Multidisciplinary Digital Publishing Institute","page":"793","source":"www.mdpi.com","title":"Mulching-Induced Changes in Tuber Yield and Nitrogen Use Efficiency in Potato in China: A Meta-Analysis","title-short":"Mulching-Induced Changes in Tuber Yield and Nitrogen Use Efficiency in Potato in China","volume":"9","author":[{"family":"Wang","given":"Linlin"},{"family":"Coulter","given":"Jeffrey A."},{"family":"Palta","given":"Jairo A."},{"family":"Xie","given":"Junhong"},{"family":"Luo","given":"Zhuzhu"},{"family":"Li","given":"Lingling"},{"family":"Carberry","given":"Peter"},{"family":"Li","given":"Qiang"},{"family":"Deng","given":"Xiping"}],"issued":{"date-parts":[["2019",12]]}}}],"schema":"https://github.com/citation-style-language/schema/raw/master/csl-citation.json"} </w:instrText>
      </w:r>
      <w:r>
        <w:rPr>
          <w:rFonts w:hint="default" w:ascii="Times New Roman" w:hAnsi="Times New Roman" w:cs="Times New Roman"/>
          <w:sz w:val="24"/>
          <w:szCs w:val="24"/>
          <w:highlight w:val="none"/>
        </w:rPr>
        <w:fldChar w:fldCharType="separate"/>
      </w:r>
      <w:r>
        <w:rPr>
          <w:rFonts w:hint="default" w:ascii="Times New Roman" w:hAnsi="Times New Roman" w:cs="Times New Roman"/>
          <w:sz w:val="24"/>
          <w:szCs w:val="24"/>
          <w:highlight w:val="none"/>
        </w:rPr>
        <w:t>(Wang et al., 2019)</w:t>
      </w:r>
      <w:r>
        <w:rPr>
          <w:rFonts w:hint="default" w:ascii="Times New Roman" w:hAnsi="Times New Roman" w:cs="Times New Roman"/>
          <w:sz w:val="24"/>
          <w:szCs w:val="24"/>
          <w:highlight w:val="none"/>
        </w:rPr>
        <w:fldChar w:fldCharType="end"/>
      </w:r>
      <w:r>
        <w:rPr>
          <w:rFonts w:hint="default" w:ascii="Times New Roman" w:hAnsi="Times New Roman" w:cs="Times New Roman"/>
          <w:sz w:val="24"/>
          <w:szCs w:val="24"/>
          <w:highlight w:val="none"/>
        </w:rPr>
        <w:t>. The means (</w:t>
      </w:r>
      <w:r>
        <w:rPr>
          <w:rFonts w:hint="default" w:ascii="Times New Roman" w:hAnsi="Times New Roman" w:cs="Times New Roman"/>
          <w:position w:val="-12"/>
          <w:sz w:val="24"/>
          <w:szCs w:val="24"/>
          <w:highlight w:val="none"/>
        </w:rPr>
        <w:object>
          <v:shape id="_x0000_i1026" o:spt="75" type="#_x0000_t75" style="height:20.05pt;width:17.15pt;" o:ole="t" filled="f" o:preferrelative="t" stroked="f" coordsize="21600,21600">
            <v:path/>
            <v:fill on="f" focussize="0,0"/>
            <v:stroke on="f" joinstyle="miter"/>
            <v:imagedata r:id="rId8" o:title=""/>
            <o:lock v:ext="edit" aspectratio="t"/>
            <w10:wrap type="none"/>
            <w10:anchorlock/>
          </v:shape>
          <o:OLEObject Type="Embed" ProgID="Equation.KSEE3" ShapeID="_x0000_i1026" DrawAspect="Content" ObjectID="_1468075726" r:id="rId7">
            <o:LockedField>false</o:LockedField>
          </o:OLEObject>
        </w:object>
      </w:r>
      <w:r>
        <w:rPr>
          <w:rFonts w:hint="default" w:ascii="Times New Roman" w:hAnsi="Times New Roman" w:cs="Times New Roman"/>
          <w:sz w:val="24"/>
          <w:szCs w:val="24"/>
          <w:highlight w:val="none"/>
        </w:rPr>
        <w:t xml:space="preserve"> for treatments and </w:t>
      </w:r>
      <w:r>
        <w:rPr>
          <w:rFonts w:hint="default" w:ascii="Times New Roman" w:hAnsi="Times New Roman" w:cs="Times New Roman"/>
          <w:position w:val="-12"/>
          <w:sz w:val="24"/>
          <w:szCs w:val="24"/>
          <w:highlight w:val="none"/>
        </w:rPr>
        <w:object>
          <v:shape id="_x0000_i1027" o:spt="75" type="#_x0000_t75" style="height:20.05pt;width:17.95pt;" o:ole="t" filled="f" o:preferrelative="t" stroked="f" coordsize="21600,21600">
            <v:path/>
            <v:fill on="f" focussize="0,0"/>
            <v:stroke on="f" joinstyle="miter"/>
            <v:imagedata r:id="rId10" o:title=""/>
            <o:lock v:ext="edit" aspectratio="t"/>
            <w10:wrap type="none"/>
            <w10:anchorlock/>
          </v:shape>
          <o:OLEObject Type="Embed" ProgID="Equation.KSEE3" ShapeID="_x0000_i1027" DrawAspect="Content" ObjectID="_1468075727" r:id="rId9">
            <o:LockedField>false</o:LockedField>
          </o:OLEObject>
        </w:object>
      </w:r>
      <w:r>
        <w:rPr>
          <w:rFonts w:hint="default" w:ascii="Times New Roman" w:hAnsi="Times New Roman" w:cs="Times New Roman"/>
          <w:sz w:val="24"/>
          <w:szCs w:val="24"/>
          <w:highlight w:val="none"/>
        </w:rPr>
        <w:t>for controls), sample sizes (n</w:t>
      </w:r>
      <w:r>
        <w:rPr>
          <w:rFonts w:hint="default" w:ascii="Times New Roman" w:hAnsi="Times New Roman" w:cs="Times New Roman"/>
          <w:sz w:val="24"/>
          <w:szCs w:val="24"/>
          <w:highlight w:val="none"/>
          <w:vertAlign w:val="subscript"/>
        </w:rPr>
        <w:t>t</w:t>
      </w:r>
      <w:r>
        <w:rPr>
          <w:rFonts w:hint="default" w:ascii="Times New Roman" w:hAnsi="Times New Roman" w:cs="Times New Roman"/>
          <w:sz w:val="24"/>
          <w:szCs w:val="24"/>
          <w:highlight w:val="none"/>
        </w:rPr>
        <w:t xml:space="preserve"> for treatments and n</w:t>
      </w:r>
      <w:r>
        <w:rPr>
          <w:rFonts w:hint="default" w:ascii="Times New Roman" w:hAnsi="Times New Roman" w:cs="Times New Roman"/>
          <w:sz w:val="24"/>
          <w:szCs w:val="24"/>
          <w:highlight w:val="none"/>
          <w:vertAlign w:val="subscript"/>
        </w:rPr>
        <w:t>c</w:t>
      </w:r>
      <w:r>
        <w:rPr>
          <w:rFonts w:hint="default" w:ascii="Times New Roman" w:hAnsi="Times New Roman" w:cs="Times New Roman"/>
          <w:sz w:val="24"/>
          <w:szCs w:val="24"/>
          <w:highlight w:val="none"/>
        </w:rPr>
        <w:t xml:space="preserve"> for controls) and standard deviations (s</w:t>
      </w:r>
      <w:r>
        <w:rPr>
          <w:rFonts w:hint="default" w:ascii="Times New Roman" w:hAnsi="Times New Roman" w:cs="Times New Roman"/>
          <w:sz w:val="24"/>
          <w:szCs w:val="24"/>
          <w:highlight w:val="none"/>
          <w:vertAlign w:val="subscript"/>
        </w:rPr>
        <w:t>t</w:t>
      </w:r>
      <w:r>
        <w:rPr>
          <w:rFonts w:hint="default" w:ascii="Times New Roman" w:hAnsi="Times New Roman" w:cs="Times New Roman"/>
          <w:sz w:val="24"/>
          <w:szCs w:val="24"/>
          <w:highlight w:val="none"/>
        </w:rPr>
        <w:t xml:space="preserve"> for treatments and s</w:t>
      </w:r>
      <w:r>
        <w:rPr>
          <w:rFonts w:hint="default" w:ascii="Times New Roman" w:hAnsi="Times New Roman" w:cs="Times New Roman"/>
          <w:sz w:val="24"/>
          <w:szCs w:val="24"/>
          <w:highlight w:val="none"/>
          <w:vertAlign w:val="subscript"/>
        </w:rPr>
        <w:t>c</w:t>
      </w:r>
      <w:r>
        <w:rPr>
          <w:rFonts w:hint="default" w:ascii="Times New Roman" w:hAnsi="Times New Roman" w:cs="Times New Roman"/>
          <w:sz w:val="24"/>
          <w:szCs w:val="24"/>
          <w:highlight w:val="none"/>
        </w:rPr>
        <w:t xml:space="preserve"> for controls) of both the treatment and control were provided directly or were calculated using the SE or 95% CI from the studies. These values were employed to calculate the individual effect size (lnR; Eq. 1), variance (v; Eq. 2) and weighting factor (w; Eq. 3) via meta-analysis </w:t>
      </w:r>
      <w:r>
        <w:rPr>
          <w:rFonts w:hint="default" w:ascii="Times New Roman" w:hAnsi="Times New Roman" w:cs="Times New Roman"/>
          <w:sz w:val="24"/>
          <w:szCs w:val="24"/>
          <w:highlight w:val="none"/>
        </w:rPr>
        <w:fldChar w:fldCharType="begin"/>
      </w:r>
      <w:r>
        <w:rPr>
          <w:rFonts w:hint="default" w:ascii="Times New Roman" w:hAnsi="Times New Roman" w:cs="Times New Roman"/>
          <w:sz w:val="24"/>
          <w:szCs w:val="24"/>
          <w:highlight w:val="none"/>
        </w:rPr>
        <w:instrText xml:space="preserve"> ADDIN ZOTERO_ITEM CSL_CITATION {"citationID":"i19eu8Ti","properties":{"formattedCitation":"(Hedges et al., 1999)","plainCitation":"(Hedges et al., 1999)","noteIndex":0},"citationItems":[{"id":389,"uris":["http://zotero.org/users/11805336/items/NWHMUUF6"],"itemData":{"id":389,"type":"article-journal","abstract":"Meta-analysis provides formal statistical techniques for summarizing the results of independent experiments and is increasingly being used in ecology. The response ratio (the ratio of mean outcome in the experimental group to that in the control group) and closely related measures of proportionate change are often used as measures of effect magnitude in ecology. Using these metrics for meta-analysis requires knowledge of their statistical properties, but these have not been previously derived. We give the approximate sampling distribution of the log response ratio, discuss why it is a particularly useful metric for many applications in ecology, and demonstrate how to use it in meta-analysis. The meta-analysis of response-ratio data is illustrated using experimental data on the effects of increased atmospheric CO2 on plant biomass responses.","container-title":"Ecology","DOI":"10.1890/0012-9658(1999)080[1150:TMAORR]2.0.CO;2","ISSN":"1939-9170","issue":"4","language":"en","license":"© 1999 by the Ecological Society of America","note":"_eprint: https://onlinelibrary.wiley.com/doi/pdf/10.1890/0012-9658%281999%29080%5B1150%3ATMAORR%5D2.0.CO%3B2","page":"1150-1156","source":"Wiley Online Library","title":"The Meta-Analysis of Response Ratios in Experimental Ecology","volume":"80","author":[{"family":"Hedges","given":"Larry V."},{"family":"Gurevitch","given":"Jessica"},{"family":"Curtis","given":"Peter S."}],"issued":{"date-parts":[["1999"]]}}}],"schema":"https://github.com/citation-style-language/schema/raw/master/csl-citation.json"} </w:instrText>
      </w:r>
      <w:r>
        <w:rPr>
          <w:rFonts w:hint="default" w:ascii="Times New Roman" w:hAnsi="Times New Roman" w:cs="Times New Roman"/>
          <w:sz w:val="24"/>
          <w:szCs w:val="24"/>
          <w:highlight w:val="none"/>
        </w:rPr>
        <w:fldChar w:fldCharType="separate"/>
      </w:r>
      <w:r>
        <w:rPr>
          <w:rFonts w:hint="default" w:ascii="Times New Roman" w:hAnsi="Times New Roman" w:cs="Times New Roman"/>
          <w:sz w:val="24"/>
          <w:szCs w:val="24"/>
          <w:highlight w:val="none"/>
        </w:rPr>
        <w:t>(Hedges et al., 1999)</w:t>
      </w:r>
      <w:r>
        <w:rPr>
          <w:rFonts w:hint="default" w:ascii="Times New Roman" w:hAnsi="Times New Roman" w:cs="Times New Roman"/>
          <w:sz w:val="24"/>
          <w:szCs w:val="24"/>
          <w:highlight w:val="none"/>
        </w:rPr>
        <w:fldChar w:fldCharType="end"/>
      </w:r>
      <w:r>
        <w:rPr>
          <w:rFonts w:hint="default" w:ascii="Times New Roman" w:hAnsi="Times New Roman" w:cs="Times New Roman"/>
          <w:sz w:val="24"/>
          <w:szCs w:val="24"/>
          <w:highlight w:val="none"/>
        </w:rPr>
        <w:t>.</w:t>
      </w:r>
    </w:p>
    <w:p>
      <w:pPr>
        <w:jc w:val="right"/>
        <w:rPr>
          <w:rFonts w:hint="default" w:ascii="Times New Roman" w:hAnsi="Times New Roman" w:cs="Times New Roman"/>
          <w:highlight w:val="none"/>
        </w:rPr>
      </w:pPr>
      <w:r>
        <w:rPr>
          <w:rFonts w:hint="default" w:ascii="Times New Roman" w:hAnsi="Times New Roman" w:cs="Times New Roman"/>
          <w:position w:val="-32"/>
          <w:highlight w:val="none"/>
        </w:rPr>
        <w:object>
          <v:shape id="_x0000_i1028" o:spt="75" type="#_x0000_t75" style="height:38.55pt;width:88.05pt;" o:ole="t" filled="f" o:preferrelative="t" stroked="f" coordsize="21600,21600">
            <v:path/>
            <v:fill on="f" focussize="0,0"/>
            <v:stroke on="f" joinstyle="miter"/>
            <v:imagedata r:id="rId12" o:title=""/>
            <o:lock v:ext="edit" aspectratio="t"/>
            <w10:wrap type="none"/>
            <w10:anchorlock/>
          </v:shape>
          <o:OLEObject Type="Embed" ProgID="Equation.3" ShapeID="_x0000_i1028" DrawAspect="Content" ObjectID="_1468075728" r:id="rId11">
            <o:LockedField>false</o:LockedField>
          </o:OLEObject>
        </w:object>
      </w:r>
      <w:r>
        <w:rPr>
          <w:rFonts w:hint="default" w:ascii="Times New Roman" w:hAnsi="Times New Roman" w:cs="Times New Roman"/>
          <w:highlight w:val="none"/>
        </w:rPr>
        <w:t xml:space="preserve">                              (1)</w:t>
      </w:r>
    </w:p>
    <w:p>
      <w:pPr>
        <w:jc w:val="right"/>
        <w:rPr>
          <w:rFonts w:hint="default" w:ascii="Times New Roman" w:hAnsi="Times New Roman" w:cs="Times New Roman"/>
          <w:highlight w:val="none"/>
        </w:rPr>
      </w:pPr>
      <w:r>
        <w:rPr>
          <w:rFonts w:hint="default" w:ascii="Times New Roman" w:hAnsi="Times New Roman" w:cs="Times New Roman"/>
          <w:highlight w:val="none"/>
        </w:rPr>
        <w:object>
          <v:shape id="_x0000_i1029" o:spt="75" type="#_x0000_t75" style="height:47.4pt;width:104.9pt;" o:ole="t" filled="f" o:preferrelative="t" stroked="f" coordsize="21600,21600">
            <v:path/>
            <v:fill on="f" focussize="0,0"/>
            <v:stroke on="f" joinstyle="miter"/>
            <v:imagedata r:id="rId14" o:title=""/>
            <o:lock v:ext="edit" aspectratio="t"/>
            <w10:wrap type="none"/>
            <w10:anchorlock/>
          </v:shape>
          <o:OLEObject Type="Embed" ProgID="Equation.3" ShapeID="_x0000_i1029" DrawAspect="Content" ObjectID="_1468075729" r:id="rId13">
            <o:LockedField>false</o:LockedField>
          </o:OLEObject>
        </w:object>
      </w:r>
      <w:r>
        <w:rPr>
          <w:rFonts w:hint="default" w:ascii="Times New Roman" w:hAnsi="Times New Roman" w:cs="Times New Roman"/>
          <w:highlight w:val="none"/>
        </w:rPr>
        <w:t xml:space="preserve">                           (2)</w:t>
      </w:r>
    </w:p>
    <w:p>
      <w:pPr>
        <w:jc w:val="right"/>
        <w:rPr>
          <w:rFonts w:hint="default" w:ascii="Times New Roman" w:hAnsi="Times New Roman" w:cs="Times New Roman"/>
          <w:highlight w:val="none"/>
        </w:rPr>
      </w:pPr>
      <w:r>
        <w:rPr>
          <w:rFonts w:hint="default" w:ascii="Times New Roman" w:hAnsi="Times New Roman" w:cs="Times New Roman"/>
          <w:highlight w:val="none"/>
        </w:rPr>
        <w:object>
          <v:shape id="_x0000_i1030" o:spt="75" type="#_x0000_t75" style="height:32.1pt;width:32.1pt;" o:ole="t" filled="f" o:preferrelative="t" stroked="f" coordsize="21600,21600">
            <v:path/>
            <v:fill on="f" focussize="0,0"/>
            <v:stroke on="f" joinstyle="miter"/>
            <v:imagedata r:id="rId16" o:title=""/>
            <o:lock v:ext="edit" aspectratio="t"/>
            <w10:wrap type="none"/>
            <w10:anchorlock/>
          </v:shape>
          <o:OLEObject Type="Embed" ProgID="Equation.3" ShapeID="_x0000_i1030" DrawAspect="Content" ObjectID="_1468075730" r:id="rId15">
            <o:LockedField>false</o:LockedField>
          </o:OLEObject>
        </w:object>
      </w:r>
      <w:r>
        <w:rPr>
          <w:rFonts w:hint="default" w:ascii="Times New Roman" w:hAnsi="Times New Roman" w:cs="Times New Roman"/>
          <w:highlight w:val="none"/>
        </w:rPr>
        <w:t xml:space="preserve">                                       (3)</w:t>
      </w:r>
    </w:p>
    <w:p>
      <w:pPr>
        <w:spacing w:line="480" w:lineRule="auto"/>
        <w:ind w:firstLine="480" w:firstLineChars="20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 xml:space="preserve">We calculated the weighted effect size (lnEE, Eq. 4) and the associated 95% bootstrap CI (Eq. 6 based on Eq. 5) from individual </w:t>
      </w:r>
      <w:r>
        <w:rPr>
          <w:rFonts w:hint="default" w:ascii="Times New Roman" w:hAnsi="Times New Roman" w:cs="Times New Roman"/>
          <w:position w:val="-12"/>
          <w:sz w:val="24"/>
          <w:szCs w:val="24"/>
          <w:highlight w:val="none"/>
        </w:rPr>
        <w:object>
          <v:shape id="_x0000_i1031" o:spt="75" type="#_x0000_t75" style="height:17.95pt;width:24.1pt;" o:ole="t" filled="f" o:preferrelative="t" stroked="f" coordsize="21600,21600">
            <v:path/>
            <v:fill on="f" focussize="0,0"/>
            <v:stroke on="f" joinstyle="miter"/>
            <v:imagedata r:id="rId18" o:title=""/>
            <o:lock v:ext="edit" aspectratio="t"/>
            <w10:wrap type="none"/>
            <w10:anchorlock/>
          </v:shape>
          <o:OLEObject Type="Embed" ProgID="Equation.KSEE3" ShapeID="_x0000_i1031" DrawAspect="Content" ObjectID="_1468075731" r:id="rId17">
            <o:LockedField>false</o:LockedField>
          </o:OLEObject>
        </w:object>
      </w:r>
      <w:r>
        <w:rPr>
          <w:rFonts w:hint="default" w:ascii="Times New Roman" w:hAnsi="Times New Roman" w:cs="Times New Roman"/>
          <w:sz w:val="24"/>
          <w:szCs w:val="24"/>
          <w:highlight w:val="none"/>
        </w:rPr>
        <w:t xml:space="preserve"> (i=1, 2, 3…, n) values by assigning a greater weight to the entries with a lower variance to improve the precision of our analysis as the mean effect size using a mixed model. Here, n is the number of entries in a certain category (see Categories for data collection), and i is the ith entry. If the number of entries used to calculate the weighted effect size is &lt;20, the 95% CI will be narrow </w:t>
      </w:r>
      <w:r>
        <w:rPr>
          <w:rFonts w:hint="default" w:ascii="Times New Roman" w:hAnsi="Times New Roman" w:cs="Times New Roman"/>
          <w:sz w:val="24"/>
          <w:szCs w:val="24"/>
          <w:highlight w:val="none"/>
        </w:rPr>
        <w:fldChar w:fldCharType="begin"/>
      </w:r>
      <w:r>
        <w:rPr>
          <w:rFonts w:hint="default" w:ascii="Times New Roman" w:hAnsi="Times New Roman" w:cs="Times New Roman"/>
          <w:sz w:val="24"/>
          <w:szCs w:val="24"/>
          <w:highlight w:val="none"/>
        </w:rPr>
        <w:instrText xml:space="preserve"> ADDIN ZOTERO_ITEM CSL_CITATION {"citationID":"1Dh1kQtt","properties":{"formattedCitation":"(Hedges et al., 1999)","plainCitation":"(Hedges et al., 1999)","noteIndex":0},"citationItems":[{"id":389,"uris":["http://zotero.org/users/11805336/items/NWHMUUF6"],"itemData":{"id":389,"type":"article-journal","abstract":"Meta-analysis provides formal statistical techniques for summarizing the results of independent experiments and is increasingly being used in ecology. The response ratio (the ratio of mean outcome in the experimental group to that in the control group) and closely related measures of proportionate change are often used as measures of effect magnitude in ecology. Using these metrics for meta-analysis requires knowledge of their statistical properties, but these have not been previously derived. We give the approximate sampling distribution of the log response ratio, discuss why it is a particularly useful metric for many applications in ecology, and demonstrate how to use it in meta-analysis. The meta-analysis of response-ratio data is illustrated using experimental data on the effects of increased atmospheric CO2 on plant biomass responses.","container-title":"Ecology","DOI":"10.1890/0012-9658(1999)080[1150:TMAORR]2.0.CO;2","ISSN":"1939-9170","issue":"4","language":"en","license":"© 1999 by the Ecological Society of America","note":"_eprint: https://onlinelibrary.wiley.com/doi/pdf/10.1890/0012-9658%281999%29080%5B1150%3ATMAORR%5D2.0.CO%3B2","page":"1150-1156","source":"Wiley Online Library","title":"The Meta-Analysis of Response Ratios in Experimental Ecology","volume":"80","author":[{"family":"Hedges","given":"Larry V."},{"family":"Gurevitch","given":"Jessica"},{"family":"Curtis","given":"Peter S."}],"issued":{"date-parts":[["1999"]]}}}],"schema":"https://github.com/citation-style-language/schema/raw/master/csl-citation.json"} </w:instrText>
      </w:r>
      <w:r>
        <w:rPr>
          <w:rFonts w:hint="default" w:ascii="Times New Roman" w:hAnsi="Times New Roman" w:cs="Times New Roman"/>
          <w:sz w:val="24"/>
          <w:szCs w:val="24"/>
          <w:highlight w:val="none"/>
        </w:rPr>
        <w:fldChar w:fldCharType="separate"/>
      </w:r>
      <w:r>
        <w:rPr>
          <w:rFonts w:hint="default" w:ascii="Times New Roman" w:hAnsi="Times New Roman" w:cs="Times New Roman"/>
          <w:sz w:val="24"/>
          <w:szCs w:val="24"/>
          <w:highlight w:val="none"/>
        </w:rPr>
        <w:t>(Hedges et al., 1999)</w:t>
      </w:r>
      <w:r>
        <w:rPr>
          <w:rFonts w:hint="default" w:ascii="Times New Roman" w:hAnsi="Times New Roman" w:cs="Times New Roman"/>
          <w:sz w:val="24"/>
          <w:szCs w:val="24"/>
          <w:highlight w:val="none"/>
        </w:rPr>
        <w:fldChar w:fldCharType="end"/>
      </w:r>
      <w:r>
        <w:rPr>
          <w:rFonts w:hint="default" w:ascii="Times New Roman" w:hAnsi="Times New Roman" w:cs="Times New Roman"/>
          <w:sz w:val="24"/>
          <w:szCs w:val="24"/>
          <w:highlight w:val="none"/>
        </w:rPr>
        <w:t xml:space="preserve">; we conducted a resampling test with 4999 interactions to assess the 95% bootstrap CI and statistical significance. The response of the variable to different stand ages was considered significant if the 95% CI did not overlap with zero. If the weighted effect size of a variable in response to different stand ages was greater than zero, it was identified as a “positive” effect; otherwise, it was designated “negative”. MetaWin 2.0 </w:t>
      </w:r>
      <w:r>
        <w:rPr>
          <w:rFonts w:hint="default" w:ascii="Times New Roman" w:hAnsi="Times New Roman" w:cs="Times New Roman"/>
          <w:sz w:val="24"/>
          <w:szCs w:val="24"/>
          <w:highlight w:val="none"/>
        </w:rPr>
        <w:fldChar w:fldCharType="begin"/>
      </w:r>
      <w:r>
        <w:rPr>
          <w:rFonts w:hint="default" w:ascii="Times New Roman" w:hAnsi="Times New Roman" w:cs="Times New Roman"/>
          <w:sz w:val="24"/>
          <w:szCs w:val="24"/>
          <w:highlight w:val="none"/>
        </w:rPr>
        <w:instrText xml:space="preserve"> ADDIN ZOTERO_ITEM CSL_CITATION {"citationID":"fLNkYG7B","properties":{"formattedCitation":"(Rosenberg et al., 2000)","plainCitation":"(Rosenberg et al., 2000)","noteIndex":0},"citationItems":[{"id":387,"uris":["http://zotero.org/users/11805336/items/5FYIZIHB"],"itemData":{"id":387,"type":"article-journal","container-title":"Sinauer Associates","journalAbbreviation":"Sinauer Associates","source":"ResearchGate","title":"MetaWin: Statistical software for meta-analysis. Version 2.0","title-short":"MetaWin","author":[{"family":"Rosenberg","given":"Michael"},{"family":"Adams","given":"Dean"},{"family":"Gurevitch","given":"Jessica"}],"issued":{"date-parts":[["2000",1,1]]}}}],"schema":"https://github.com/citation-style-language/schema/raw/master/csl-citation.json"} </w:instrText>
      </w:r>
      <w:r>
        <w:rPr>
          <w:rFonts w:hint="default" w:ascii="Times New Roman" w:hAnsi="Times New Roman" w:cs="Times New Roman"/>
          <w:sz w:val="24"/>
          <w:szCs w:val="24"/>
          <w:highlight w:val="none"/>
        </w:rPr>
        <w:fldChar w:fldCharType="separate"/>
      </w:r>
      <w:r>
        <w:rPr>
          <w:rFonts w:hint="default" w:ascii="Times New Roman" w:hAnsi="Times New Roman" w:cs="Times New Roman"/>
          <w:sz w:val="24"/>
          <w:highlight w:val="none"/>
        </w:rPr>
        <w:t>(Rosenberg et al., 2000)</w:t>
      </w:r>
      <w:r>
        <w:rPr>
          <w:rFonts w:hint="default" w:ascii="Times New Roman" w:hAnsi="Times New Roman" w:cs="Times New Roman"/>
          <w:sz w:val="24"/>
          <w:szCs w:val="24"/>
          <w:highlight w:val="none"/>
        </w:rPr>
        <w:fldChar w:fldCharType="end"/>
      </w:r>
      <w:r>
        <w:rPr>
          <w:rFonts w:hint="default" w:ascii="Times New Roman" w:hAnsi="Times New Roman" w:cs="Times New Roman"/>
          <w:sz w:val="24"/>
          <w:szCs w:val="24"/>
          <w:highlight w:val="none"/>
        </w:rPr>
        <w:t xml:space="preserve"> was used to calculate the weighted effect size and 95% bootstrap CI.</w:t>
      </w:r>
    </w:p>
    <w:p>
      <w:pPr>
        <w:spacing w:line="480" w:lineRule="auto"/>
        <w:jc w:val="right"/>
        <w:rPr>
          <w:rFonts w:hint="default" w:ascii="Times New Roman" w:hAnsi="Times New Roman" w:cs="Times New Roman"/>
          <w:sz w:val="24"/>
          <w:szCs w:val="24"/>
          <w:highlight w:val="none"/>
        </w:rPr>
      </w:pPr>
      <w:r>
        <w:rPr>
          <w:rFonts w:hint="default" w:ascii="Times New Roman" w:hAnsi="Times New Roman" w:cs="Times New Roman"/>
          <w:position w:val="-60"/>
          <w:sz w:val="24"/>
          <w:szCs w:val="24"/>
          <w:highlight w:val="none"/>
        </w:rPr>
        <w:object>
          <v:shape id="_x0000_i1032" o:spt="75" type="#_x0000_t75" style="height:66.9pt;width:99.55pt;" o:ole="t" filled="f" o:preferrelative="t" stroked="f" coordsize="21600,21600">
            <v:path/>
            <v:fill on="f" focussize="0,0"/>
            <v:stroke on="f" joinstyle="miter"/>
            <v:imagedata r:id="rId20" o:title=""/>
            <o:lock v:ext="edit" aspectratio="t"/>
            <w10:wrap type="none"/>
            <w10:anchorlock/>
          </v:shape>
          <o:OLEObject Type="Embed" ProgID="Equation.3" ShapeID="_x0000_i1032" DrawAspect="Content" ObjectID="_1468075732" r:id="rId19">
            <o:LockedField>false</o:LockedField>
          </o:OLEObject>
        </w:object>
      </w:r>
      <w:r>
        <w:rPr>
          <w:rFonts w:hint="default" w:ascii="Times New Roman" w:hAnsi="Times New Roman" w:cs="Times New Roman"/>
          <w:sz w:val="24"/>
          <w:szCs w:val="24"/>
          <w:highlight w:val="none"/>
        </w:rPr>
        <w:t xml:space="preserve">                              (4)</w:t>
      </w:r>
    </w:p>
    <w:p>
      <w:pPr>
        <w:spacing w:line="480" w:lineRule="auto"/>
        <w:jc w:val="right"/>
        <w:rPr>
          <w:rFonts w:hint="default" w:ascii="Times New Roman" w:hAnsi="Times New Roman" w:cs="Times New Roman"/>
          <w:sz w:val="24"/>
          <w:szCs w:val="24"/>
          <w:highlight w:val="none"/>
        </w:rPr>
      </w:pPr>
      <w:r>
        <w:rPr>
          <w:rFonts w:hint="default" w:ascii="Times New Roman" w:hAnsi="Times New Roman" w:cs="Times New Roman"/>
          <w:position w:val="-62"/>
          <w:sz w:val="24"/>
          <w:szCs w:val="24"/>
          <w:highlight w:val="none"/>
        </w:rPr>
        <w:object>
          <v:shape id="_x0000_i1033" o:spt="75" type="#_x0000_t75" style="height:53pt;width:76.55pt;" o:ole="t" filled="f" o:preferrelative="t" stroked="f" coordsize="21600,21600">
            <v:path/>
            <v:fill on="f" focussize="0,0"/>
            <v:stroke on="f" joinstyle="miter"/>
            <v:imagedata r:id="rId22" o:title=""/>
            <o:lock v:ext="edit" aspectratio="t"/>
            <w10:wrap type="none"/>
            <w10:anchorlock/>
          </v:shape>
          <o:OLEObject Type="Embed" ProgID="Equation.3" ShapeID="_x0000_i1033" DrawAspect="Content" ObjectID="_1468075733" r:id="rId21">
            <o:LockedField>false</o:LockedField>
          </o:OLEObject>
        </w:object>
      </w:r>
      <w:r>
        <w:rPr>
          <w:rFonts w:hint="default" w:ascii="Times New Roman" w:hAnsi="Times New Roman" w:cs="Times New Roman"/>
          <w:sz w:val="24"/>
          <w:szCs w:val="24"/>
          <w:highlight w:val="none"/>
        </w:rPr>
        <w:t xml:space="preserve">                               (5)</w:t>
      </w:r>
    </w:p>
    <w:p>
      <w:pPr>
        <w:spacing w:line="480" w:lineRule="auto"/>
        <w:jc w:val="right"/>
        <w:rPr>
          <w:rFonts w:hint="default" w:ascii="Times New Roman" w:hAnsi="Times New Roman" w:cs="Times New Roman"/>
          <w:sz w:val="24"/>
          <w:szCs w:val="24"/>
          <w:highlight w:val="none"/>
        </w:rPr>
      </w:pPr>
      <w:r>
        <w:rPr>
          <w:rFonts w:hint="default" w:ascii="Times New Roman" w:hAnsi="Times New Roman" w:cs="Times New Roman"/>
          <w:position w:val="-10"/>
          <w:sz w:val="24"/>
          <w:szCs w:val="24"/>
          <w:highlight w:val="none"/>
        </w:rPr>
        <w:object>
          <v:shape id="_x0000_i1034" o:spt="75" type="#_x0000_t75" style="height:17.65pt;width:136.5pt;" o:ole="t" filled="f" o:preferrelative="t" stroked="f" coordsize="21600,21600">
            <v:path/>
            <v:fill on="f" focussize="0,0"/>
            <v:stroke on="f" joinstyle="miter"/>
            <v:imagedata r:id="rId24" o:title=""/>
            <o:lock v:ext="edit" aspectratio="t"/>
            <w10:wrap type="none"/>
            <w10:anchorlock/>
          </v:shape>
          <o:OLEObject Type="Embed" ProgID="Equation.3" ShapeID="_x0000_i1034" DrawAspect="Content" ObjectID="_1468075734" r:id="rId23">
            <o:LockedField>false</o:LockedField>
          </o:OLEObject>
        </w:object>
      </w:r>
      <w:r>
        <w:rPr>
          <w:rFonts w:hint="default" w:ascii="Times New Roman" w:hAnsi="Times New Roman" w:cs="Times New Roman"/>
          <w:sz w:val="24"/>
          <w:szCs w:val="24"/>
          <w:highlight w:val="none"/>
        </w:rPr>
        <w:t xml:space="preserve">                     (6)</w:t>
      </w:r>
    </w:p>
    <w:p>
      <w:pPr>
        <w:spacing w:line="480" w:lineRule="auto"/>
        <w:ind w:firstLine="480" w:firstLineChars="20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We also calculated the percentage change (P, Eq. 7; Lu et al. 2013) of each category based on the weighted effect size.</w:t>
      </w:r>
    </w:p>
    <w:p>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ascii="Times New Roman" w:hAnsi="Times New Roman"/>
        </w:rPr>
      </w:pPr>
      <w:r>
        <w:rPr>
          <w:rFonts w:hint="default" w:ascii="Times New Roman" w:hAnsi="Times New Roman" w:cs="Times New Roman"/>
          <w:position w:val="-10"/>
          <w:sz w:val="24"/>
          <w:szCs w:val="24"/>
          <w:highlight w:val="none"/>
        </w:rPr>
        <w:object>
          <v:shape id="_x0000_i1035" o:spt="75" type="#_x0000_t75" style="height:20.9pt;width:121.5pt;" o:ole="t" filled="f" o:preferrelative="t" stroked="f" coordsize="21600,21600">
            <v:path/>
            <v:fill on="f" focussize="0,0"/>
            <v:stroke on="f" joinstyle="miter"/>
            <v:imagedata r:id="rId26" o:title=""/>
            <o:lock v:ext="edit" aspectratio="t"/>
            <w10:wrap type="none"/>
            <w10:anchorlock/>
          </v:shape>
          <o:OLEObject Type="Embed" ProgID="Equation.3" ShapeID="_x0000_i1035" DrawAspect="Content" ObjectID="_1468075735" r:id="rId25">
            <o:LockedField>false</o:LockedField>
          </o:OLEObject>
        </w:object>
      </w:r>
      <w:r>
        <w:rPr>
          <w:rFonts w:hint="default" w:ascii="Times New Roman" w:hAnsi="Times New Roman" w:cs="Times New Roman"/>
          <w:sz w:val="24"/>
          <w:szCs w:val="24"/>
          <w:highlight w:val="none"/>
        </w:rPr>
        <w:t xml:space="preserve">                         (7)</w:t>
      </w:r>
      <w:r>
        <w:rPr>
          <w:rFonts w:ascii="Times New Roman" w:hAnsi="Times New Roman"/>
        </w:rPr>
        <w:br w:type="page"/>
      </w:r>
    </w:p>
    <w:p>
      <w:pPr>
        <w:keepNext w:val="0"/>
        <w:keepLines w:val="0"/>
        <w:pageBreakBefore w:val="0"/>
        <w:widowControl w:val="0"/>
        <w:suppressLineNumbers w:val="0"/>
        <w:kinsoku/>
        <w:wordWrap/>
        <w:overflowPunct/>
        <w:topLinePunct w:val="0"/>
        <w:autoSpaceDE/>
        <w:autoSpaceDN/>
        <w:bidi w:val="0"/>
        <w:adjustRightInd/>
        <w:snapToGrid/>
        <w:spacing w:line="480" w:lineRule="auto"/>
        <w:jc w:val="center"/>
        <w:textAlignment w:val="auto"/>
        <w:rPr>
          <w:rFonts w:ascii="Times New Roman" w:hAnsi="Times New Roman"/>
          <w:sz w:val="20"/>
          <w:szCs w:val="22"/>
        </w:rPr>
      </w:pPr>
      <w:r>
        <w:rPr>
          <w:rFonts w:ascii="Times New Roman" w:hAnsi="Times New Roman"/>
          <w:sz w:val="24"/>
          <w:szCs w:val="32"/>
        </w:rPr>
        <w:t>Table S1 Time and amount of fertilizer applied.</w:t>
      </w:r>
    </w:p>
    <w:bookmarkEnd w:id="0"/>
    <w:tbl>
      <w:tblPr>
        <w:tblStyle w:val="6"/>
        <w:tblW w:w="4876" w:type="pct"/>
        <w:jc w:val="center"/>
        <w:tblBorders>
          <w:top w:val="single" w:color="auto" w:sz="4" w:space="0"/>
          <w:left w:val="none" w:color="auto" w:sz="6" w:space="0"/>
          <w:bottom w:val="single" w:color="auto" w:sz="4" w:space="0"/>
          <w:right w:val="none" w:color="auto" w:sz="6" w:space="0"/>
          <w:insideH w:val="outset" w:color="auto" w:sz="6" w:space="0"/>
          <w:insideV w:val="outset" w:color="auto" w:sz="6" w:space="0"/>
        </w:tblBorders>
        <w:tblLayout w:type="fixed"/>
        <w:tblCellMar>
          <w:top w:w="0" w:type="dxa"/>
          <w:left w:w="108" w:type="dxa"/>
          <w:bottom w:w="0" w:type="dxa"/>
          <w:right w:w="108" w:type="dxa"/>
        </w:tblCellMar>
      </w:tblPr>
      <w:tblGrid>
        <w:gridCol w:w="1266"/>
        <w:gridCol w:w="1602"/>
        <w:gridCol w:w="908"/>
        <w:gridCol w:w="876"/>
        <w:gridCol w:w="906"/>
        <w:gridCol w:w="909"/>
        <w:gridCol w:w="933"/>
        <w:gridCol w:w="911"/>
      </w:tblGrid>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151" w:hRule="atLeast"/>
          <w:jc w:val="center"/>
        </w:trPr>
        <w:tc>
          <w:tcPr>
            <w:tcW w:w="761" w:type="pct"/>
            <w:vMerge w:val="restart"/>
            <w:tcBorders>
              <w:top w:val="single" w:color="auto" w:sz="2" w:space="0"/>
              <w:left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Fertilization time</w:t>
            </w:r>
          </w:p>
        </w:tc>
        <w:tc>
          <w:tcPr>
            <w:tcW w:w="963" w:type="pct"/>
            <w:vMerge w:val="restart"/>
            <w:tcBorders>
              <w:top w:val="single" w:color="auto" w:sz="2" w:space="0"/>
              <w:left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 xml:space="preserve">Fertilizer types </w:t>
            </w:r>
          </w:p>
        </w:tc>
        <w:tc>
          <w:tcPr>
            <w:tcW w:w="1073" w:type="pct"/>
            <w:gridSpan w:val="2"/>
            <w:tcBorders>
              <w:top w:val="single" w:color="auto" w:sz="2" w:space="0"/>
              <w:left w:val="nil"/>
              <w:bottom w:val="single" w:color="auto" w:sz="4" w:space="0"/>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 xml:space="preserve">N </w:t>
            </w:r>
            <w:bookmarkStart w:id="1" w:name="OLE_LINK97"/>
            <w:bookmarkStart w:id="2" w:name="OLE_LINK98"/>
            <w:r>
              <w:rPr>
                <w:rFonts w:ascii="Times New Roman" w:hAnsi="Times New Roman" w:eastAsia="等线"/>
                <w:sz w:val="18"/>
                <w:szCs w:val="18"/>
                <w:lang w:bidi="ar"/>
              </w:rPr>
              <w:t>kg ha</w:t>
            </w:r>
            <w:r>
              <w:rPr>
                <w:rFonts w:ascii="Times New Roman" w:hAnsi="Times New Roman"/>
                <w:sz w:val="18"/>
                <w:szCs w:val="18"/>
                <w:vertAlign w:val="superscript"/>
                <w:lang w:bidi="ar"/>
              </w:rPr>
              <w:t>–1</w:t>
            </w:r>
            <w:bookmarkEnd w:id="1"/>
            <w:bookmarkEnd w:id="2"/>
          </w:p>
        </w:tc>
        <w:tc>
          <w:tcPr>
            <w:tcW w:w="1092" w:type="pct"/>
            <w:gridSpan w:val="2"/>
            <w:tcBorders>
              <w:top w:val="single" w:color="auto" w:sz="2" w:space="0"/>
              <w:left w:val="nil"/>
              <w:bottom w:val="single" w:color="auto" w:sz="4" w:space="0"/>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P</w:t>
            </w:r>
            <w:r>
              <w:rPr>
                <w:rFonts w:ascii="Times New Roman" w:hAnsi="Times New Roman" w:eastAsia="等线"/>
                <w:sz w:val="18"/>
                <w:szCs w:val="18"/>
                <w:vertAlign w:val="subscript"/>
                <w:lang w:bidi="ar"/>
              </w:rPr>
              <w:t>2</w:t>
            </w:r>
            <w:r>
              <w:rPr>
                <w:rFonts w:ascii="Times New Roman" w:hAnsi="Times New Roman" w:eastAsia="等线"/>
                <w:sz w:val="18"/>
                <w:szCs w:val="18"/>
                <w:lang w:bidi="ar"/>
              </w:rPr>
              <w:t>O</w:t>
            </w:r>
            <w:r>
              <w:rPr>
                <w:rFonts w:ascii="Times New Roman" w:hAnsi="Times New Roman" w:eastAsia="等线"/>
                <w:sz w:val="18"/>
                <w:szCs w:val="18"/>
                <w:vertAlign w:val="subscript"/>
                <w:lang w:bidi="ar"/>
              </w:rPr>
              <w:t>5</w:t>
            </w:r>
            <w:r>
              <w:rPr>
                <w:rFonts w:ascii="Times New Roman" w:hAnsi="Times New Roman" w:eastAsia="等线"/>
                <w:sz w:val="18"/>
                <w:szCs w:val="18"/>
                <w:lang w:bidi="ar"/>
              </w:rPr>
              <w:t xml:space="preserve"> kg ha</w:t>
            </w:r>
            <w:r>
              <w:rPr>
                <w:rFonts w:ascii="Times New Roman" w:hAnsi="Times New Roman"/>
                <w:sz w:val="18"/>
                <w:szCs w:val="18"/>
                <w:vertAlign w:val="superscript"/>
                <w:lang w:bidi="ar"/>
              </w:rPr>
              <w:t>–1</w:t>
            </w:r>
          </w:p>
        </w:tc>
        <w:tc>
          <w:tcPr>
            <w:tcW w:w="1109" w:type="pct"/>
            <w:gridSpan w:val="2"/>
            <w:tcBorders>
              <w:top w:val="single" w:color="auto" w:sz="2" w:space="0"/>
              <w:left w:val="nil"/>
              <w:bottom w:val="single" w:color="auto" w:sz="4" w:space="0"/>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K</w:t>
            </w:r>
            <w:r>
              <w:rPr>
                <w:rFonts w:ascii="Times New Roman" w:hAnsi="Times New Roman" w:eastAsia="等线"/>
                <w:sz w:val="18"/>
                <w:szCs w:val="18"/>
                <w:vertAlign w:val="subscript"/>
                <w:lang w:bidi="ar"/>
              </w:rPr>
              <w:t>2</w:t>
            </w:r>
            <w:r>
              <w:rPr>
                <w:rFonts w:ascii="Times New Roman" w:hAnsi="Times New Roman" w:eastAsia="等线"/>
                <w:sz w:val="18"/>
                <w:szCs w:val="18"/>
                <w:lang w:bidi="ar"/>
              </w:rPr>
              <w:t>O kg ha</w:t>
            </w:r>
            <w:r>
              <w:rPr>
                <w:rFonts w:ascii="Times New Roman" w:hAnsi="Times New Roman"/>
                <w:sz w:val="18"/>
                <w:szCs w:val="18"/>
                <w:vertAlign w:val="superscript"/>
                <w:lang w:bidi="ar"/>
              </w:rPr>
              <w:t>–1</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151" w:hRule="atLeast"/>
          <w:jc w:val="center"/>
        </w:trPr>
        <w:tc>
          <w:tcPr>
            <w:tcW w:w="761" w:type="pct"/>
            <w:vMerge w:val="continue"/>
            <w:tcBorders>
              <w:left w:val="nil"/>
              <w:bottom w:val="single" w:color="auto" w:sz="4" w:space="0"/>
              <w:right w:val="nil"/>
            </w:tcBorders>
            <w:vAlign w:val="center"/>
          </w:tcPr>
          <w:p>
            <w:pPr>
              <w:suppressLineNumbers w:val="0"/>
              <w:jc w:val="center"/>
              <w:rPr>
                <w:sz w:val="24"/>
                <w:szCs w:val="32"/>
              </w:rPr>
            </w:pPr>
          </w:p>
        </w:tc>
        <w:tc>
          <w:tcPr>
            <w:tcW w:w="963" w:type="pct"/>
            <w:vMerge w:val="continue"/>
            <w:tcBorders>
              <w:left w:val="nil"/>
              <w:bottom w:val="single" w:color="auto" w:sz="4" w:space="0"/>
              <w:right w:val="nil"/>
            </w:tcBorders>
            <w:vAlign w:val="center"/>
          </w:tcPr>
          <w:p>
            <w:pPr>
              <w:suppressLineNumbers w:val="0"/>
              <w:jc w:val="center"/>
              <w:rPr>
                <w:sz w:val="24"/>
                <w:szCs w:val="32"/>
              </w:rPr>
            </w:pPr>
          </w:p>
        </w:tc>
        <w:tc>
          <w:tcPr>
            <w:tcW w:w="546" w:type="pct"/>
            <w:tcBorders>
              <w:top w:val="single" w:color="auto" w:sz="2" w:space="0"/>
              <w:left w:val="nil"/>
              <w:bottom w:val="single" w:color="auto" w:sz="4" w:space="0"/>
              <w:right w:val="nil"/>
            </w:tcBorders>
            <w:vAlign w:val="center"/>
          </w:tcPr>
          <w:p>
            <w:pPr>
              <w:suppressLineNumbers w:val="0"/>
              <w:jc w:val="center"/>
              <w:rPr>
                <w:rFonts w:ascii="Times New Roman" w:hAnsi="Times New Roman" w:eastAsia="等线"/>
                <w:sz w:val="18"/>
                <w:szCs w:val="18"/>
                <w:lang w:bidi="ar"/>
              </w:rPr>
            </w:pPr>
            <w:r>
              <w:rPr>
                <w:rFonts w:ascii="Times New Roman" w:hAnsi="Times New Roman" w:eastAsia="等线"/>
                <w:sz w:val="18"/>
                <w:szCs w:val="18"/>
                <w:lang w:bidi="ar"/>
              </w:rPr>
              <w:t>5yr</w:t>
            </w:r>
          </w:p>
        </w:tc>
        <w:tc>
          <w:tcPr>
            <w:tcW w:w="527" w:type="pct"/>
            <w:tcBorders>
              <w:top w:val="single" w:color="auto" w:sz="2" w:space="0"/>
              <w:left w:val="nil"/>
              <w:bottom w:val="single" w:color="auto" w:sz="4" w:space="0"/>
              <w:right w:val="nil"/>
            </w:tcBorders>
            <w:vAlign w:val="center"/>
          </w:tcPr>
          <w:p>
            <w:pPr>
              <w:suppressLineNumbers w:val="0"/>
              <w:jc w:val="center"/>
              <w:rPr>
                <w:rFonts w:ascii="Times New Roman" w:hAnsi="Times New Roman" w:eastAsia="等线"/>
                <w:sz w:val="18"/>
                <w:szCs w:val="18"/>
                <w:lang w:bidi="ar"/>
              </w:rPr>
            </w:pPr>
            <w:r>
              <w:rPr>
                <w:rFonts w:ascii="Times New Roman" w:hAnsi="Times New Roman" w:eastAsia="等线"/>
                <w:sz w:val="18"/>
                <w:szCs w:val="18"/>
                <w:lang w:bidi="ar"/>
              </w:rPr>
              <w:t>25yr</w:t>
            </w:r>
          </w:p>
        </w:tc>
        <w:tc>
          <w:tcPr>
            <w:tcW w:w="545" w:type="pct"/>
            <w:tcBorders>
              <w:top w:val="single" w:color="auto" w:sz="4" w:space="0"/>
              <w:left w:val="nil"/>
              <w:bottom w:val="single" w:color="auto" w:sz="4" w:space="0"/>
              <w:right w:val="nil"/>
            </w:tcBorders>
            <w:vAlign w:val="center"/>
          </w:tcPr>
          <w:p>
            <w:pPr>
              <w:suppressLineNumbers w:val="0"/>
              <w:jc w:val="center"/>
              <w:rPr>
                <w:rFonts w:ascii="Times New Roman" w:hAnsi="Times New Roman" w:eastAsia="等线"/>
                <w:sz w:val="18"/>
                <w:szCs w:val="18"/>
                <w:lang w:bidi="ar"/>
              </w:rPr>
            </w:pPr>
            <w:r>
              <w:rPr>
                <w:rFonts w:ascii="Times New Roman" w:hAnsi="Times New Roman" w:eastAsia="等线"/>
                <w:sz w:val="18"/>
                <w:szCs w:val="18"/>
                <w:lang w:bidi="ar"/>
              </w:rPr>
              <w:t>5yr</w:t>
            </w:r>
          </w:p>
        </w:tc>
        <w:tc>
          <w:tcPr>
            <w:tcW w:w="546" w:type="pct"/>
            <w:tcBorders>
              <w:top w:val="single" w:color="auto" w:sz="4" w:space="0"/>
              <w:left w:val="nil"/>
              <w:bottom w:val="single" w:color="auto" w:sz="4" w:space="0"/>
              <w:right w:val="nil"/>
            </w:tcBorders>
            <w:vAlign w:val="center"/>
          </w:tcPr>
          <w:p>
            <w:pPr>
              <w:suppressLineNumbers w:val="0"/>
              <w:jc w:val="center"/>
              <w:rPr>
                <w:rFonts w:ascii="Times New Roman" w:hAnsi="Times New Roman" w:eastAsia="等线"/>
                <w:sz w:val="18"/>
                <w:szCs w:val="18"/>
                <w:lang w:bidi="ar"/>
              </w:rPr>
            </w:pPr>
            <w:r>
              <w:rPr>
                <w:rFonts w:ascii="Times New Roman" w:hAnsi="Times New Roman" w:eastAsia="等线"/>
                <w:sz w:val="18"/>
                <w:szCs w:val="18"/>
                <w:lang w:bidi="ar"/>
              </w:rPr>
              <w:t>25yr</w:t>
            </w:r>
          </w:p>
        </w:tc>
        <w:tc>
          <w:tcPr>
            <w:tcW w:w="561" w:type="pct"/>
            <w:tcBorders>
              <w:top w:val="single" w:color="auto" w:sz="4" w:space="0"/>
              <w:left w:val="nil"/>
              <w:bottom w:val="single" w:color="auto" w:sz="4" w:space="0"/>
              <w:right w:val="nil"/>
            </w:tcBorders>
            <w:vAlign w:val="center"/>
          </w:tcPr>
          <w:p>
            <w:pPr>
              <w:suppressLineNumbers w:val="0"/>
              <w:jc w:val="center"/>
              <w:rPr>
                <w:rFonts w:ascii="Times New Roman" w:hAnsi="Times New Roman" w:eastAsia="等线"/>
                <w:sz w:val="18"/>
                <w:szCs w:val="18"/>
                <w:lang w:bidi="ar"/>
              </w:rPr>
            </w:pPr>
            <w:r>
              <w:rPr>
                <w:rFonts w:ascii="Times New Roman" w:hAnsi="Times New Roman" w:eastAsia="等线"/>
                <w:sz w:val="18"/>
                <w:szCs w:val="18"/>
                <w:lang w:bidi="ar"/>
              </w:rPr>
              <w:t>5yr</w:t>
            </w:r>
          </w:p>
        </w:tc>
        <w:tc>
          <w:tcPr>
            <w:tcW w:w="548" w:type="pct"/>
            <w:tcBorders>
              <w:top w:val="single" w:color="auto" w:sz="4" w:space="0"/>
              <w:left w:val="nil"/>
              <w:bottom w:val="single" w:color="auto" w:sz="4" w:space="0"/>
              <w:right w:val="nil"/>
            </w:tcBorders>
            <w:vAlign w:val="center"/>
          </w:tcPr>
          <w:p>
            <w:pPr>
              <w:suppressLineNumbers w:val="0"/>
              <w:jc w:val="center"/>
              <w:rPr>
                <w:rFonts w:ascii="Times New Roman" w:hAnsi="Times New Roman" w:eastAsia="等线"/>
                <w:sz w:val="18"/>
                <w:szCs w:val="18"/>
                <w:lang w:bidi="ar"/>
              </w:rPr>
            </w:pPr>
            <w:r>
              <w:rPr>
                <w:rFonts w:ascii="Times New Roman" w:hAnsi="Times New Roman" w:eastAsia="等线"/>
                <w:sz w:val="18"/>
                <w:szCs w:val="18"/>
                <w:lang w:bidi="ar"/>
              </w:rPr>
              <w:t>25yr</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jc w:val="center"/>
        </w:trPr>
        <w:tc>
          <w:tcPr>
            <w:tcW w:w="761" w:type="pct"/>
            <w:tcBorders>
              <w:top w:val="single" w:color="auto" w:sz="4" w:space="0"/>
              <w:left w:val="nil"/>
              <w:bottom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2017.11.04</w:t>
            </w:r>
          </w:p>
        </w:tc>
        <w:tc>
          <w:tcPr>
            <w:tcW w:w="963" w:type="pct"/>
            <w:tcBorders>
              <w:top w:val="single" w:color="auto" w:sz="4" w:space="0"/>
              <w:left w:val="nil"/>
              <w:bottom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Compound fertilizer</w:t>
            </w:r>
          </w:p>
        </w:tc>
        <w:tc>
          <w:tcPr>
            <w:tcW w:w="546" w:type="pct"/>
            <w:tcBorders>
              <w:top w:val="single" w:color="auto" w:sz="4" w:space="0"/>
              <w:left w:val="nil"/>
              <w:bottom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321.78</w:t>
            </w:r>
          </w:p>
        </w:tc>
        <w:tc>
          <w:tcPr>
            <w:tcW w:w="527" w:type="pct"/>
            <w:tcBorders>
              <w:top w:val="single" w:color="auto" w:sz="4" w:space="0"/>
              <w:left w:val="nil"/>
              <w:bottom w:val="nil"/>
              <w:right w:val="nil"/>
            </w:tcBorders>
            <w:vAlign w:val="center"/>
          </w:tcPr>
          <w:p>
            <w:pPr>
              <w:suppressLineNumbers w:val="0"/>
              <w:jc w:val="center"/>
              <w:rPr>
                <w:rFonts w:ascii="Times New Roman" w:hAnsi="Times New Roman" w:eastAsia="等线"/>
                <w:sz w:val="18"/>
                <w:szCs w:val="18"/>
                <w:lang w:bidi="ar"/>
              </w:rPr>
            </w:pPr>
            <w:r>
              <w:rPr>
                <w:rFonts w:ascii="Times New Roman" w:hAnsi="Times New Roman" w:eastAsia="等线"/>
                <w:sz w:val="18"/>
                <w:szCs w:val="18"/>
                <w:lang w:bidi="ar"/>
              </w:rPr>
              <w:t>321.78</w:t>
            </w:r>
          </w:p>
        </w:tc>
        <w:tc>
          <w:tcPr>
            <w:tcW w:w="545" w:type="pct"/>
            <w:tcBorders>
              <w:top w:val="single" w:color="auto" w:sz="4" w:space="0"/>
              <w:left w:val="nil"/>
              <w:bottom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128.71</w:t>
            </w:r>
          </w:p>
        </w:tc>
        <w:tc>
          <w:tcPr>
            <w:tcW w:w="546" w:type="pct"/>
            <w:tcBorders>
              <w:top w:val="single" w:color="auto" w:sz="4" w:space="0"/>
              <w:left w:val="nil"/>
              <w:bottom w:val="nil"/>
              <w:right w:val="nil"/>
            </w:tcBorders>
            <w:vAlign w:val="center"/>
          </w:tcPr>
          <w:p>
            <w:pPr>
              <w:suppressLineNumbers w:val="0"/>
              <w:jc w:val="center"/>
              <w:rPr>
                <w:rFonts w:ascii="Times New Roman" w:hAnsi="Times New Roman" w:eastAsia="等线"/>
                <w:sz w:val="18"/>
                <w:szCs w:val="18"/>
                <w:lang w:bidi="ar"/>
              </w:rPr>
            </w:pPr>
            <w:r>
              <w:rPr>
                <w:rFonts w:ascii="Times New Roman" w:hAnsi="Times New Roman" w:eastAsia="等线"/>
                <w:sz w:val="18"/>
                <w:szCs w:val="18"/>
                <w:lang w:bidi="ar"/>
              </w:rPr>
              <w:t>128.71</w:t>
            </w:r>
          </w:p>
        </w:tc>
        <w:tc>
          <w:tcPr>
            <w:tcW w:w="561" w:type="pct"/>
            <w:tcBorders>
              <w:top w:val="single" w:color="auto" w:sz="4" w:space="0"/>
              <w:left w:val="nil"/>
              <w:bottom w:val="nil"/>
              <w:right w:val="nil"/>
            </w:tcBorders>
            <w:vAlign w:val="center"/>
          </w:tcPr>
          <w:p>
            <w:pPr>
              <w:suppressLineNumbers w:val="0"/>
              <w:jc w:val="center"/>
              <w:rPr>
                <w:rFonts w:ascii="Times New Roman" w:hAnsi="Times New Roman" w:eastAsia="等线"/>
                <w:sz w:val="18"/>
                <w:szCs w:val="18"/>
              </w:rPr>
            </w:pPr>
            <w:bookmarkStart w:id="3" w:name="OLE_LINK1"/>
            <w:r>
              <w:rPr>
                <w:rFonts w:ascii="Times New Roman" w:hAnsi="Times New Roman" w:eastAsia="等线"/>
                <w:sz w:val="18"/>
                <w:szCs w:val="18"/>
                <w:lang w:bidi="ar"/>
              </w:rPr>
              <w:t>321.78</w:t>
            </w:r>
            <w:bookmarkEnd w:id="3"/>
          </w:p>
        </w:tc>
        <w:tc>
          <w:tcPr>
            <w:tcW w:w="548" w:type="pct"/>
            <w:tcBorders>
              <w:top w:val="single" w:color="auto" w:sz="4" w:space="0"/>
              <w:left w:val="nil"/>
              <w:bottom w:val="nil"/>
              <w:right w:val="nil"/>
            </w:tcBorders>
            <w:vAlign w:val="center"/>
          </w:tcPr>
          <w:p>
            <w:pPr>
              <w:suppressLineNumbers w:val="0"/>
              <w:jc w:val="center"/>
              <w:rPr>
                <w:rFonts w:ascii="Times New Roman" w:hAnsi="Times New Roman" w:eastAsia="等线"/>
                <w:sz w:val="18"/>
                <w:szCs w:val="18"/>
                <w:lang w:bidi="ar"/>
              </w:rPr>
            </w:pPr>
            <w:r>
              <w:rPr>
                <w:rFonts w:ascii="Times New Roman" w:hAnsi="Times New Roman" w:eastAsia="等线"/>
                <w:sz w:val="18"/>
                <w:szCs w:val="18"/>
                <w:lang w:bidi="ar"/>
              </w:rPr>
              <w:t>321.78</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jc w:val="center"/>
        </w:trPr>
        <w:tc>
          <w:tcPr>
            <w:tcW w:w="761" w:type="pct"/>
            <w:tcBorders>
              <w:top w:val="nil"/>
              <w:left w:val="nil"/>
              <w:bottom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2018.04.08</w:t>
            </w:r>
          </w:p>
        </w:tc>
        <w:tc>
          <w:tcPr>
            <w:tcW w:w="963" w:type="pct"/>
            <w:tcBorders>
              <w:top w:val="nil"/>
              <w:left w:val="nil"/>
              <w:bottom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 xml:space="preserve">Urea </w:t>
            </w:r>
          </w:p>
        </w:tc>
        <w:tc>
          <w:tcPr>
            <w:tcW w:w="546" w:type="pct"/>
            <w:tcBorders>
              <w:top w:val="nil"/>
              <w:left w:val="nil"/>
              <w:bottom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172.28</w:t>
            </w:r>
          </w:p>
        </w:tc>
        <w:tc>
          <w:tcPr>
            <w:tcW w:w="527" w:type="pct"/>
            <w:tcBorders>
              <w:top w:val="nil"/>
              <w:left w:val="nil"/>
              <w:bottom w:val="nil"/>
              <w:right w:val="nil"/>
            </w:tcBorders>
            <w:vAlign w:val="center"/>
          </w:tcPr>
          <w:p>
            <w:pPr>
              <w:suppressLineNumbers w:val="0"/>
              <w:jc w:val="center"/>
              <w:rPr>
                <w:rFonts w:ascii="Times New Roman" w:hAnsi="Times New Roman" w:eastAsia="等线"/>
                <w:sz w:val="18"/>
                <w:szCs w:val="18"/>
                <w:lang w:bidi="ar"/>
              </w:rPr>
            </w:pPr>
            <w:bookmarkStart w:id="4" w:name="OLE_LINK117"/>
            <w:bookmarkStart w:id="5" w:name="OLE_LINK118"/>
            <w:r>
              <w:rPr>
                <w:rFonts w:ascii="Times New Roman" w:hAnsi="Times New Roman" w:eastAsia="等线"/>
                <w:sz w:val="18"/>
                <w:szCs w:val="18"/>
                <w:lang w:bidi="ar"/>
              </w:rPr>
              <w:t>287.13</w:t>
            </w:r>
          </w:p>
        </w:tc>
        <w:tc>
          <w:tcPr>
            <w:tcW w:w="545" w:type="pct"/>
            <w:tcBorders>
              <w:top w:val="nil"/>
              <w:left w:val="nil"/>
              <w:bottom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w:t>
            </w:r>
            <w:bookmarkEnd w:id="4"/>
            <w:bookmarkEnd w:id="5"/>
          </w:p>
        </w:tc>
        <w:tc>
          <w:tcPr>
            <w:tcW w:w="546" w:type="pct"/>
            <w:tcBorders>
              <w:top w:val="nil"/>
              <w:left w:val="nil"/>
              <w:bottom w:val="nil"/>
              <w:right w:val="nil"/>
            </w:tcBorders>
            <w:vAlign w:val="center"/>
          </w:tcPr>
          <w:p>
            <w:pPr>
              <w:suppressLineNumbers w:val="0"/>
              <w:jc w:val="center"/>
              <w:rPr>
                <w:rFonts w:ascii="Times New Roman" w:hAnsi="Times New Roman" w:eastAsia="等线"/>
                <w:sz w:val="18"/>
                <w:szCs w:val="18"/>
                <w:lang w:bidi="ar"/>
              </w:rPr>
            </w:pPr>
            <w:r>
              <w:rPr>
                <w:rFonts w:ascii="Times New Roman" w:hAnsi="Times New Roman" w:eastAsia="等线"/>
                <w:sz w:val="18"/>
                <w:szCs w:val="18"/>
                <w:lang w:bidi="ar"/>
              </w:rPr>
              <w:t>—</w:t>
            </w:r>
          </w:p>
        </w:tc>
        <w:tc>
          <w:tcPr>
            <w:tcW w:w="561" w:type="pct"/>
            <w:tcBorders>
              <w:top w:val="nil"/>
              <w:left w:val="nil"/>
              <w:bottom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w:t>
            </w:r>
          </w:p>
        </w:tc>
        <w:tc>
          <w:tcPr>
            <w:tcW w:w="548" w:type="pct"/>
            <w:tcBorders>
              <w:top w:val="nil"/>
              <w:left w:val="nil"/>
              <w:bottom w:val="nil"/>
              <w:right w:val="nil"/>
            </w:tcBorders>
            <w:vAlign w:val="center"/>
          </w:tcPr>
          <w:p>
            <w:pPr>
              <w:suppressLineNumbers w:val="0"/>
              <w:jc w:val="center"/>
              <w:rPr>
                <w:rFonts w:ascii="Times New Roman" w:hAnsi="Times New Roman" w:eastAsia="等线"/>
                <w:sz w:val="18"/>
                <w:szCs w:val="18"/>
                <w:lang w:bidi="ar"/>
              </w:rPr>
            </w:pPr>
            <w:r>
              <w:rPr>
                <w:rFonts w:ascii="Times New Roman" w:hAnsi="Times New Roman" w:eastAsia="等线"/>
                <w:sz w:val="18"/>
                <w:szCs w:val="18"/>
                <w:lang w:bidi="ar"/>
              </w:rPr>
              <w:t>—</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jc w:val="center"/>
        </w:trPr>
        <w:tc>
          <w:tcPr>
            <w:tcW w:w="761" w:type="pct"/>
            <w:tcBorders>
              <w:top w:val="nil"/>
              <w:left w:val="nil"/>
              <w:bottom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2018.07.14</w:t>
            </w:r>
          </w:p>
        </w:tc>
        <w:tc>
          <w:tcPr>
            <w:tcW w:w="963" w:type="pct"/>
            <w:tcBorders>
              <w:top w:val="nil"/>
              <w:left w:val="nil"/>
              <w:bottom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Compound fertilizer</w:t>
            </w:r>
          </w:p>
        </w:tc>
        <w:tc>
          <w:tcPr>
            <w:tcW w:w="546" w:type="pct"/>
            <w:tcBorders>
              <w:top w:val="nil"/>
              <w:left w:val="nil"/>
              <w:bottom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rPr>
              <w:t>222.77</w:t>
            </w:r>
          </w:p>
        </w:tc>
        <w:tc>
          <w:tcPr>
            <w:tcW w:w="527" w:type="pct"/>
            <w:tcBorders>
              <w:top w:val="nil"/>
              <w:left w:val="nil"/>
              <w:bottom w:val="nil"/>
              <w:right w:val="nil"/>
            </w:tcBorders>
            <w:vAlign w:val="center"/>
          </w:tcPr>
          <w:p>
            <w:pPr>
              <w:suppressLineNumbers w:val="0"/>
              <w:jc w:val="center"/>
              <w:rPr>
                <w:rFonts w:ascii="Times New Roman" w:hAnsi="Times New Roman" w:eastAsia="等线"/>
                <w:sz w:val="18"/>
                <w:szCs w:val="18"/>
                <w:lang w:bidi="ar"/>
              </w:rPr>
            </w:pPr>
            <w:r>
              <w:rPr>
                <w:rFonts w:ascii="Times New Roman" w:hAnsi="Times New Roman" w:eastAsia="等线"/>
                <w:sz w:val="18"/>
                <w:szCs w:val="18"/>
                <w:lang w:bidi="ar"/>
              </w:rPr>
              <w:t>222.77</w:t>
            </w:r>
          </w:p>
        </w:tc>
        <w:tc>
          <w:tcPr>
            <w:tcW w:w="545" w:type="pct"/>
            <w:tcBorders>
              <w:top w:val="nil"/>
              <w:left w:val="nil"/>
              <w:bottom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61.88</w:t>
            </w:r>
          </w:p>
        </w:tc>
        <w:tc>
          <w:tcPr>
            <w:tcW w:w="546" w:type="pct"/>
            <w:tcBorders>
              <w:top w:val="nil"/>
              <w:left w:val="nil"/>
              <w:bottom w:val="nil"/>
              <w:right w:val="nil"/>
            </w:tcBorders>
            <w:vAlign w:val="center"/>
          </w:tcPr>
          <w:p>
            <w:pPr>
              <w:suppressLineNumbers w:val="0"/>
              <w:jc w:val="center"/>
              <w:rPr>
                <w:rFonts w:ascii="Times New Roman" w:hAnsi="Times New Roman" w:eastAsia="等线"/>
                <w:sz w:val="18"/>
                <w:szCs w:val="18"/>
                <w:lang w:bidi="ar"/>
              </w:rPr>
            </w:pPr>
            <w:r>
              <w:rPr>
                <w:rFonts w:ascii="Times New Roman" w:hAnsi="Times New Roman" w:eastAsia="等线"/>
                <w:sz w:val="18"/>
                <w:szCs w:val="18"/>
                <w:lang w:bidi="ar"/>
              </w:rPr>
              <w:t>61.88</w:t>
            </w:r>
          </w:p>
        </w:tc>
        <w:tc>
          <w:tcPr>
            <w:tcW w:w="561" w:type="pct"/>
            <w:tcBorders>
              <w:top w:val="nil"/>
              <w:left w:val="nil"/>
              <w:bottom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272.28</w:t>
            </w:r>
          </w:p>
        </w:tc>
        <w:tc>
          <w:tcPr>
            <w:tcW w:w="548" w:type="pct"/>
            <w:tcBorders>
              <w:top w:val="nil"/>
              <w:left w:val="nil"/>
              <w:bottom w:val="nil"/>
              <w:right w:val="nil"/>
            </w:tcBorders>
            <w:vAlign w:val="center"/>
          </w:tcPr>
          <w:p>
            <w:pPr>
              <w:suppressLineNumbers w:val="0"/>
              <w:jc w:val="center"/>
              <w:rPr>
                <w:rFonts w:ascii="Times New Roman" w:hAnsi="Times New Roman" w:eastAsia="等线"/>
                <w:sz w:val="18"/>
                <w:szCs w:val="18"/>
                <w:lang w:bidi="ar"/>
              </w:rPr>
            </w:pPr>
            <w:r>
              <w:rPr>
                <w:rFonts w:ascii="Times New Roman" w:hAnsi="Times New Roman" w:eastAsia="等线"/>
                <w:sz w:val="18"/>
                <w:szCs w:val="18"/>
                <w:lang w:bidi="ar"/>
              </w:rPr>
              <w:t>272.28</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jc w:val="center"/>
        </w:trPr>
        <w:tc>
          <w:tcPr>
            <w:tcW w:w="761" w:type="pct"/>
            <w:tcBorders>
              <w:top w:val="nil"/>
              <w:left w:val="nil"/>
              <w:bottom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2018.10.01</w:t>
            </w:r>
          </w:p>
        </w:tc>
        <w:tc>
          <w:tcPr>
            <w:tcW w:w="963" w:type="pct"/>
            <w:tcBorders>
              <w:top w:val="nil"/>
              <w:left w:val="nil"/>
              <w:bottom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Compound fertilizer</w:t>
            </w:r>
          </w:p>
        </w:tc>
        <w:tc>
          <w:tcPr>
            <w:tcW w:w="546" w:type="pct"/>
            <w:tcBorders>
              <w:top w:val="nil"/>
              <w:left w:val="nil"/>
              <w:bottom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rPr>
              <w:t>346.53</w:t>
            </w:r>
          </w:p>
        </w:tc>
        <w:tc>
          <w:tcPr>
            <w:tcW w:w="527" w:type="pct"/>
            <w:tcBorders>
              <w:top w:val="nil"/>
              <w:left w:val="nil"/>
              <w:bottom w:val="nil"/>
              <w:right w:val="nil"/>
            </w:tcBorders>
            <w:vAlign w:val="center"/>
          </w:tcPr>
          <w:p>
            <w:pPr>
              <w:suppressLineNumbers w:val="0"/>
              <w:jc w:val="center"/>
              <w:rPr>
                <w:rFonts w:ascii="Times New Roman" w:hAnsi="Times New Roman" w:eastAsia="等线"/>
                <w:sz w:val="18"/>
                <w:szCs w:val="18"/>
                <w:lang w:bidi="ar"/>
              </w:rPr>
            </w:pPr>
            <w:r>
              <w:rPr>
                <w:rFonts w:ascii="Times New Roman" w:hAnsi="Times New Roman" w:eastAsia="等线"/>
                <w:sz w:val="18"/>
                <w:szCs w:val="18"/>
                <w:lang w:bidi="ar"/>
              </w:rPr>
              <w:t>346.53</w:t>
            </w:r>
          </w:p>
        </w:tc>
        <w:tc>
          <w:tcPr>
            <w:tcW w:w="545" w:type="pct"/>
            <w:tcBorders>
              <w:top w:val="nil"/>
              <w:left w:val="nil"/>
              <w:bottom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396.04</w:t>
            </w:r>
          </w:p>
        </w:tc>
        <w:tc>
          <w:tcPr>
            <w:tcW w:w="546" w:type="pct"/>
            <w:tcBorders>
              <w:top w:val="nil"/>
              <w:left w:val="nil"/>
              <w:bottom w:val="nil"/>
              <w:right w:val="nil"/>
            </w:tcBorders>
            <w:vAlign w:val="center"/>
          </w:tcPr>
          <w:p>
            <w:pPr>
              <w:suppressLineNumbers w:val="0"/>
              <w:jc w:val="center"/>
              <w:rPr>
                <w:rFonts w:ascii="Times New Roman" w:hAnsi="Times New Roman" w:eastAsia="等线"/>
                <w:sz w:val="18"/>
                <w:szCs w:val="18"/>
                <w:lang w:bidi="ar"/>
              </w:rPr>
            </w:pPr>
            <w:r>
              <w:rPr>
                <w:rFonts w:ascii="Times New Roman" w:hAnsi="Times New Roman" w:eastAsia="等线"/>
                <w:sz w:val="18"/>
                <w:szCs w:val="18"/>
                <w:lang w:bidi="ar"/>
              </w:rPr>
              <w:t>396.04</w:t>
            </w:r>
          </w:p>
        </w:tc>
        <w:tc>
          <w:tcPr>
            <w:tcW w:w="561" w:type="pct"/>
            <w:tcBorders>
              <w:top w:val="nil"/>
              <w:left w:val="nil"/>
              <w:bottom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284.65</w:t>
            </w:r>
          </w:p>
        </w:tc>
        <w:tc>
          <w:tcPr>
            <w:tcW w:w="548" w:type="pct"/>
            <w:tcBorders>
              <w:top w:val="nil"/>
              <w:left w:val="nil"/>
              <w:bottom w:val="nil"/>
              <w:right w:val="nil"/>
            </w:tcBorders>
            <w:vAlign w:val="center"/>
          </w:tcPr>
          <w:p>
            <w:pPr>
              <w:suppressLineNumbers w:val="0"/>
              <w:jc w:val="center"/>
              <w:rPr>
                <w:rFonts w:ascii="Times New Roman" w:hAnsi="Times New Roman" w:eastAsia="等线"/>
                <w:sz w:val="18"/>
                <w:szCs w:val="18"/>
                <w:lang w:bidi="ar"/>
              </w:rPr>
            </w:pPr>
            <w:r>
              <w:rPr>
                <w:rFonts w:ascii="Times New Roman" w:hAnsi="Times New Roman" w:eastAsia="等线"/>
                <w:sz w:val="18"/>
                <w:szCs w:val="18"/>
                <w:lang w:bidi="ar"/>
              </w:rPr>
              <w:t>284.65</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jc w:val="center"/>
        </w:trPr>
        <w:tc>
          <w:tcPr>
            <w:tcW w:w="761" w:type="pct"/>
            <w:tcBorders>
              <w:top w:val="nil"/>
              <w:left w:val="nil"/>
              <w:bottom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2019.04.11</w:t>
            </w:r>
          </w:p>
        </w:tc>
        <w:tc>
          <w:tcPr>
            <w:tcW w:w="963" w:type="pct"/>
            <w:tcBorders>
              <w:top w:val="nil"/>
              <w:left w:val="nil"/>
              <w:bottom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Urea</w:t>
            </w:r>
          </w:p>
        </w:tc>
        <w:tc>
          <w:tcPr>
            <w:tcW w:w="546" w:type="pct"/>
            <w:tcBorders>
              <w:top w:val="nil"/>
              <w:left w:val="nil"/>
              <w:bottom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rPr>
              <w:t>227.72</w:t>
            </w:r>
          </w:p>
        </w:tc>
        <w:tc>
          <w:tcPr>
            <w:tcW w:w="527" w:type="pct"/>
            <w:tcBorders>
              <w:top w:val="nil"/>
              <w:left w:val="nil"/>
              <w:bottom w:val="nil"/>
              <w:right w:val="nil"/>
            </w:tcBorders>
            <w:vAlign w:val="center"/>
          </w:tcPr>
          <w:p>
            <w:pPr>
              <w:suppressLineNumbers w:val="0"/>
              <w:jc w:val="center"/>
              <w:rPr>
                <w:rFonts w:ascii="Times New Roman" w:hAnsi="Times New Roman" w:eastAsia="等线"/>
                <w:sz w:val="18"/>
                <w:szCs w:val="18"/>
                <w:lang w:bidi="ar"/>
              </w:rPr>
            </w:pPr>
            <w:r>
              <w:rPr>
                <w:rFonts w:ascii="Times New Roman" w:hAnsi="Times New Roman" w:eastAsia="等线"/>
                <w:sz w:val="18"/>
                <w:szCs w:val="18"/>
                <w:lang w:bidi="ar"/>
              </w:rPr>
              <w:t>227.72</w:t>
            </w:r>
          </w:p>
        </w:tc>
        <w:tc>
          <w:tcPr>
            <w:tcW w:w="545" w:type="pct"/>
            <w:tcBorders>
              <w:top w:val="nil"/>
              <w:left w:val="nil"/>
              <w:bottom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w:t>
            </w:r>
          </w:p>
        </w:tc>
        <w:tc>
          <w:tcPr>
            <w:tcW w:w="546" w:type="pct"/>
            <w:tcBorders>
              <w:top w:val="nil"/>
              <w:left w:val="nil"/>
              <w:bottom w:val="nil"/>
              <w:right w:val="nil"/>
            </w:tcBorders>
            <w:vAlign w:val="center"/>
          </w:tcPr>
          <w:p>
            <w:pPr>
              <w:suppressLineNumbers w:val="0"/>
              <w:jc w:val="center"/>
              <w:rPr>
                <w:rFonts w:ascii="Times New Roman" w:hAnsi="Times New Roman" w:eastAsia="等线"/>
                <w:sz w:val="18"/>
                <w:szCs w:val="18"/>
                <w:lang w:bidi="ar"/>
              </w:rPr>
            </w:pPr>
            <w:r>
              <w:rPr>
                <w:rFonts w:ascii="Times New Roman" w:hAnsi="Times New Roman" w:eastAsia="等线"/>
                <w:sz w:val="18"/>
                <w:szCs w:val="18"/>
                <w:lang w:bidi="ar"/>
              </w:rPr>
              <w:t>—</w:t>
            </w:r>
          </w:p>
        </w:tc>
        <w:tc>
          <w:tcPr>
            <w:tcW w:w="561" w:type="pct"/>
            <w:tcBorders>
              <w:top w:val="nil"/>
              <w:left w:val="nil"/>
              <w:bottom w:val="nil"/>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w:t>
            </w:r>
          </w:p>
        </w:tc>
        <w:tc>
          <w:tcPr>
            <w:tcW w:w="548" w:type="pct"/>
            <w:tcBorders>
              <w:top w:val="nil"/>
              <w:left w:val="nil"/>
              <w:bottom w:val="nil"/>
              <w:right w:val="nil"/>
            </w:tcBorders>
            <w:vAlign w:val="center"/>
          </w:tcPr>
          <w:p>
            <w:pPr>
              <w:suppressLineNumbers w:val="0"/>
              <w:jc w:val="center"/>
              <w:rPr>
                <w:rFonts w:ascii="Times New Roman" w:hAnsi="Times New Roman" w:eastAsia="等线"/>
                <w:sz w:val="18"/>
                <w:szCs w:val="18"/>
                <w:lang w:bidi="ar"/>
              </w:rPr>
            </w:pPr>
            <w:r>
              <w:rPr>
                <w:rFonts w:ascii="Times New Roman" w:hAnsi="Times New Roman" w:eastAsia="等线"/>
                <w:sz w:val="18"/>
                <w:szCs w:val="18"/>
                <w:lang w:bidi="ar"/>
              </w:rPr>
              <w:t>—</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jc w:val="center"/>
        </w:trPr>
        <w:tc>
          <w:tcPr>
            <w:tcW w:w="761" w:type="pct"/>
            <w:tcBorders>
              <w:top w:val="nil"/>
              <w:left w:val="nil"/>
              <w:bottom w:val="single" w:color="auto" w:sz="2" w:space="0"/>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2019.07.21</w:t>
            </w:r>
          </w:p>
        </w:tc>
        <w:tc>
          <w:tcPr>
            <w:tcW w:w="963" w:type="pct"/>
            <w:tcBorders>
              <w:top w:val="nil"/>
              <w:left w:val="nil"/>
              <w:bottom w:val="single" w:color="auto" w:sz="2" w:space="0"/>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Compound fertilizer</w:t>
            </w:r>
          </w:p>
        </w:tc>
        <w:tc>
          <w:tcPr>
            <w:tcW w:w="546" w:type="pct"/>
            <w:tcBorders>
              <w:top w:val="nil"/>
              <w:left w:val="nil"/>
              <w:bottom w:val="single" w:color="auto" w:sz="2" w:space="0"/>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89.11</w:t>
            </w:r>
          </w:p>
        </w:tc>
        <w:tc>
          <w:tcPr>
            <w:tcW w:w="527" w:type="pct"/>
            <w:tcBorders>
              <w:top w:val="nil"/>
              <w:left w:val="nil"/>
              <w:bottom w:val="single" w:color="auto" w:sz="2" w:space="0"/>
              <w:right w:val="nil"/>
            </w:tcBorders>
            <w:vAlign w:val="center"/>
          </w:tcPr>
          <w:p>
            <w:pPr>
              <w:suppressLineNumbers w:val="0"/>
              <w:jc w:val="center"/>
              <w:rPr>
                <w:rFonts w:ascii="Times New Roman" w:hAnsi="Times New Roman" w:eastAsia="等线"/>
                <w:sz w:val="18"/>
                <w:szCs w:val="18"/>
                <w:lang w:bidi="ar"/>
              </w:rPr>
            </w:pPr>
            <w:r>
              <w:rPr>
                <w:rFonts w:ascii="Times New Roman" w:hAnsi="Times New Roman" w:eastAsia="等线"/>
                <w:sz w:val="18"/>
                <w:szCs w:val="18"/>
                <w:lang w:bidi="ar"/>
              </w:rPr>
              <w:t>89.11</w:t>
            </w:r>
          </w:p>
        </w:tc>
        <w:tc>
          <w:tcPr>
            <w:tcW w:w="545" w:type="pct"/>
            <w:tcBorders>
              <w:top w:val="nil"/>
              <w:left w:val="nil"/>
              <w:bottom w:val="single" w:color="auto" w:sz="2" w:space="0"/>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19.80</w:t>
            </w:r>
          </w:p>
        </w:tc>
        <w:tc>
          <w:tcPr>
            <w:tcW w:w="546" w:type="pct"/>
            <w:tcBorders>
              <w:top w:val="nil"/>
              <w:left w:val="nil"/>
              <w:bottom w:val="single" w:color="auto" w:sz="2" w:space="0"/>
              <w:right w:val="nil"/>
            </w:tcBorders>
            <w:vAlign w:val="center"/>
          </w:tcPr>
          <w:p>
            <w:pPr>
              <w:suppressLineNumbers w:val="0"/>
              <w:jc w:val="center"/>
              <w:rPr>
                <w:rFonts w:ascii="Times New Roman" w:hAnsi="Times New Roman" w:eastAsia="等线"/>
                <w:sz w:val="18"/>
                <w:szCs w:val="18"/>
                <w:lang w:bidi="ar"/>
              </w:rPr>
            </w:pPr>
            <w:r>
              <w:rPr>
                <w:rFonts w:ascii="Times New Roman" w:hAnsi="Times New Roman" w:eastAsia="等线"/>
                <w:sz w:val="18"/>
                <w:szCs w:val="18"/>
                <w:lang w:bidi="ar"/>
              </w:rPr>
              <w:t>19.80</w:t>
            </w:r>
          </w:p>
        </w:tc>
        <w:tc>
          <w:tcPr>
            <w:tcW w:w="561" w:type="pct"/>
            <w:tcBorders>
              <w:top w:val="nil"/>
              <w:left w:val="nil"/>
              <w:bottom w:val="single" w:color="auto" w:sz="2" w:space="0"/>
              <w:right w:val="nil"/>
            </w:tcBorders>
            <w:vAlign w:val="center"/>
          </w:tcPr>
          <w:p>
            <w:pPr>
              <w:suppressLineNumbers w:val="0"/>
              <w:jc w:val="center"/>
              <w:rPr>
                <w:rFonts w:ascii="Times New Roman" w:hAnsi="Times New Roman" w:eastAsia="等线"/>
                <w:sz w:val="18"/>
                <w:szCs w:val="18"/>
              </w:rPr>
            </w:pPr>
            <w:r>
              <w:rPr>
                <w:rFonts w:ascii="Times New Roman" w:hAnsi="Times New Roman" w:eastAsia="等线"/>
                <w:sz w:val="18"/>
                <w:szCs w:val="18"/>
                <w:lang w:bidi="ar"/>
              </w:rPr>
              <w:t>118.81</w:t>
            </w:r>
          </w:p>
        </w:tc>
        <w:tc>
          <w:tcPr>
            <w:tcW w:w="548" w:type="pct"/>
            <w:tcBorders>
              <w:top w:val="nil"/>
              <w:left w:val="nil"/>
              <w:bottom w:val="single" w:color="auto" w:sz="2" w:space="0"/>
              <w:right w:val="nil"/>
            </w:tcBorders>
            <w:vAlign w:val="center"/>
          </w:tcPr>
          <w:p>
            <w:pPr>
              <w:suppressLineNumbers w:val="0"/>
              <w:jc w:val="center"/>
              <w:rPr>
                <w:rFonts w:ascii="Times New Roman" w:hAnsi="Times New Roman" w:eastAsia="等线"/>
                <w:sz w:val="18"/>
                <w:szCs w:val="18"/>
                <w:lang w:bidi="ar"/>
              </w:rPr>
            </w:pPr>
            <w:r>
              <w:rPr>
                <w:rFonts w:ascii="Times New Roman" w:hAnsi="Times New Roman" w:eastAsia="等线"/>
                <w:sz w:val="18"/>
                <w:szCs w:val="18"/>
                <w:lang w:bidi="ar"/>
              </w:rPr>
              <w:t>118.81</w:t>
            </w:r>
          </w:p>
        </w:tc>
      </w:tr>
    </w:tbl>
    <w:p>
      <w:r>
        <w:br w:type="page"/>
      </w:r>
    </w:p>
    <w:p>
      <w:pPr>
        <w:keepNext w:val="0"/>
        <w:keepLines w:val="0"/>
        <w:pageBreakBefore w:val="0"/>
        <w:widowControl w:val="0"/>
        <w:suppressLineNumbers w:val="0"/>
        <w:kinsoku/>
        <w:wordWrap/>
        <w:overflowPunct/>
        <w:topLinePunct w:val="0"/>
        <w:autoSpaceDE/>
        <w:autoSpaceDN/>
        <w:bidi w:val="0"/>
        <w:adjustRightInd/>
        <w:snapToGrid/>
        <w:spacing w:line="480" w:lineRule="auto"/>
        <w:jc w:val="center"/>
        <w:textAlignment w:val="auto"/>
        <w:rPr>
          <w:rFonts w:hint="default" w:ascii="Times New Roman" w:hAnsi="Times New Roman"/>
          <w:sz w:val="24"/>
          <w:szCs w:val="24"/>
          <w:lang w:val="en-US"/>
        </w:rPr>
      </w:pPr>
      <w:r>
        <w:rPr>
          <w:rFonts w:ascii="Times New Roman" w:hAnsi="Times New Roman"/>
          <w:sz w:val="24"/>
          <w:szCs w:val="24"/>
        </w:rPr>
        <w:t>Table S</w:t>
      </w:r>
      <w:r>
        <w:rPr>
          <w:rFonts w:hint="eastAsia" w:ascii="Times New Roman" w:hAnsi="Times New Roman"/>
          <w:sz w:val="24"/>
          <w:szCs w:val="24"/>
          <w:lang w:val="en-US" w:eastAsia="zh-CN"/>
        </w:rPr>
        <w:t>2</w:t>
      </w:r>
      <w:r>
        <w:rPr>
          <w:rFonts w:ascii="Times New Roman" w:hAnsi="Times New Roman"/>
          <w:sz w:val="24"/>
          <w:szCs w:val="24"/>
        </w:rPr>
        <w:t xml:space="preserve"> </w:t>
      </w:r>
      <w:r>
        <w:rPr>
          <w:rFonts w:hint="default" w:ascii="Times New Roman" w:hAnsi="Times New Roman"/>
          <w:sz w:val="24"/>
          <w:szCs w:val="24"/>
          <w:lang w:val="en-GB" w:eastAsia="zh-CN"/>
        </w:rPr>
        <w:t>Data matrix used in th</w:t>
      </w:r>
      <w:r>
        <w:rPr>
          <w:rFonts w:hint="eastAsia" w:ascii="Times New Roman" w:hAnsi="Times New Roman"/>
          <w:sz w:val="24"/>
          <w:szCs w:val="24"/>
          <w:lang w:val="en-US" w:eastAsia="zh-CN"/>
        </w:rPr>
        <w:t>e</w:t>
      </w:r>
      <w:r>
        <w:rPr>
          <w:rFonts w:hint="default" w:ascii="Times New Roman" w:hAnsi="Times New Roman"/>
          <w:sz w:val="24"/>
          <w:szCs w:val="24"/>
          <w:lang w:val="en-GB" w:eastAsia="zh-CN"/>
        </w:rPr>
        <w:t xml:space="preserve"> meta-analysis</w:t>
      </w:r>
      <w:r>
        <w:rPr>
          <w:rFonts w:hint="eastAsia" w:ascii="Times New Roman" w:hAnsi="Times New Roman"/>
          <w:sz w:val="24"/>
          <w:szCs w:val="24"/>
          <w:lang w:val="en-US" w:eastAsia="zh-CN"/>
        </w:rPr>
        <w:t>.</w:t>
      </w:r>
    </w:p>
    <w:tbl>
      <w:tblPr>
        <w:tblStyle w:val="6"/>
        <w:tblW w:w="81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07"/>
        <w:gridCol w:w="1269"/>
        <w:gridCol w:w="1257"/>
        <w:gridCol w:w="1114"/>
        <w:gridCol w:w="680"/>
        <w:gridCol w:w="767"/>
        <w:gridCol w:w="1165"/>
        <w:gridCol w:w="5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5" w:hRule="atLeast"/>
          <w:jc w:val="center"/>
        </w:trPr>
        <w:tc>
          <w:tcPr>
            <w:tcW w:w="1407" w:type="dxa"/>
            <w:tcBorders>
              <w:top w:val="single" w:color="auto" w:sz="8"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Study</w:t>
            </w:r>
          </w:p>
        </w:tc>
        <w:tc>
          <w:tcPr>
            <w:tcW w:w="1269" w:type="dxa"/>
            <w:tcBorders>
              <w:top w:val="single" w:color="auto" w:sz="8"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Site name</w:t>
            </w:r>
          </w:p>
        </w:tc>
        <w:tc>
          <w:tcPr>
            <w:tcW w:w="1257" w:type="dxa"/>
            <w:tcBorders>
              <w:top w:val="single" w:color="auto" w:sz="8"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Longitude</w:t>
            </w:r>
          </w:p>
        </w:tc>
        <w:tc>
          <w:tcPr>
            <w:tcW w:w="1114" w:type="dxa"/>
            <w:tcBorders>
              <w:top w:val="single" w:color="auto" w:sz="8"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Latitude</w:t>
            </w:r>
          </w:p>
        </w:tc>
        <w:tc>
          <w:tcPr>
            <w:tcW w:w="680" w:type="dxa"/>
            <w:tcBorders>
              <w:top w:val="single" w:color="auto" w:sz="8" w:space="0"/>
              <w:left w:val="nil"/>
              <w:bottom w:val="single" w:color="auto"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MAT</w:t>
            </w:r>
          </w:p>
        </w:tc>
        <w:tc>
          <w:tcPr>
            <w:tcW w:w="767" w:type="dxa"/>
            <w:tcBorders>
              <w:top w:val="single" w:color="auto" w:sz="8" w:space="0"/>
              <w:left w:val="nil"/>
              <w:bottom w:val="single" w:color="auto"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MAP</w:t>
            </w:r>
          </w:p>
        </w:tc>
        <w:tc>
          <w:tcPr>
            <w:tcW w:w="1165" w:type="dxa"/>
            <w:tcBorders>
              <w:top w:val="single" w:color="auto" w:sz="8"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climatic zone</w:t>
            </w:r>
          </w:p>
        </w:tc>
        <w:tc>
          <w:tcPr>
            <w:tcW w:w="536" w:type="dxa"/>
            <w:tcBorders>
              <w:top w:val="single" w:color="auto" w:sz="8"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age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5" w:hRule="atLeast"/>
          <w:jc w:val="center"/>
        </w:trPr>
        <w:tc>
          <w:tcPr>
            <w:tcW w:w="1407"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fldChar w:fldCharType="begin"/>
            </w:r>
            <w:r>
              <w:rPr>
                <w:rFonts w:hint="eastAsia" w:ascii="Times New Roman" w:hAnsi="Times New Roman" w:cs="Times New Roman"/>
                <w:i w:val="0"/>
                <w:iCs w:val="0"/>
                <w:color w:val="000000"/>
                <w:kern w:val="0"/>
                <w:sz w:val="18"/>
                <w:szCs w:val="18"/>
                <w:u w:val="none"/>
                <w:lang w:val="en-US" w:eastAsia="zh-CN" w:bidi="ar"/>
              </w:rPr>
              <w:instrText xml:space="preserve"> ADDIN ZOTERO_ITEM CSL_CITATION {"citationID":"twWtDeSl","properties":{"formattedCitation":"(Liu et al., 2016)","plainCitation":"(Liu et al., 2016)","noteIndex":0},"citationItems":[{"id":1690,"uris":["http://zotero.org/users/11805336/items/VMEQC5R7"],"itemData":{"id":1690,"type":"article-journal","abstract":"Land use conversion and fertilization have been widely reported to be important managements affecting the exchanges of greenhouse gases between soil and atmosphere. For comprehensive assessment of methane (CH4) and nitrous oxide (N2O) fluxes from hilly red soil induced by land use conversion and fertilization, a 14-month continuous field measurement was conducted on the newly converted citrus orchard plots with fertilization (OF) and without fertilization (ONF) and the conventional paddy plots with fertilization (PF) and without fertilization (PNF). Our results showed that land use conversion from paddy to orchard reduced the CH4 fluxes at the expense of increasing the N2O fluxes. Furthermore, fertilization significantly decreased the CH4 fluxes from paddy soils in the second stage after conversion, but it failed to affect the CH4 fluxes from orchard soils, whereas fertilizer applied to orchard and paddy increased soil N2O emissions by 68 and 113.9 %, respectively. Thus, cumulative CH4 emissions from the OF were 100 % lower, and N2O emissions were 421 % higher than those from the PF. Although cumulative N2O emissions were stimulated in the newly converted orchard, the strong reduction of CH4 led to lower global warming potentials (GWPs) as compared to the paddy. Besides, fertilization in orchard increased GWPs but decreased GWPs of paddy soils. In addition, measurement of soil moisture, temperature, dissolved carbon contents (DOCs), and ammonia (NH4+-N) and nitrate (NO3−-N) contents indicated a significant variation in soil properties and contributed to variations in soil CH4 and N2O fluxes. Results of this study suggest that land use conversion from paddy to orchard would benefit for reconciling greenhouse gas mitigation and citrus orchard cultivation would be a better agricultural system in the hilly red soils in terms of greenhouse gas emission. Moreover, selected fertilizer rate applied to paddy would lead to lower GWPs of CH4 and N2O. Nevertheless, more field measurements from newly converted orchard are highly needed to gain an insight into national and global accounting of CH4 and N2O emissions.","container-title":"Environmental Science and Pollution Research","DOI":"10.1007/s11356-016-7239-3","ISSN":"1614-7499","issue":"20","journalAbbreviation":"Environ Sci Pollut Res","language":"en","page":"20269-20280","source":"Springer Link","title":"Effects of land use conversion and fertilization on CH4 and N2O fluxes from typical hilly red soil","volume":"23","author":[{"family":"Liu","given":"Huifeng"},{"family":"Liu","given":"Guohua"},{"family":"Li","given":"Ya"},{"family":"Wu","given":"Xing"},{"family":"Liu","given":"Dan"},{"family":"Dai","given":"Xiaoqin"},{"family":"Xu","given":"Ming"},{"family":"Yang","given":"Fengting"}],"issued":{"date-parts":[["2016",10,1]]}}}],"schema":"https://github.com/citation-style-language/schema/raw/master/csl-citation.json"} </w:instrText>
            </w:r>
            <w:r>
              <w:rPr>
                <w:rFonts w:hint="default" w:ascii="Times New Roman" w:hAnsi="Times New Roman" w:eastAsia="宋体" w:cs="Times New Roman"/>
                <w:i w:val="0"/>
                <w:iCs w:val="0"/>
                <w:color w:val="000000"/>
                <w:kern w:val="0"/>
                <w:sz w:val="18"/>
                <w:szCs w:val="18"/>
                <w:u w:val="none"/>
                <w:lang w:val="en-US" w:eastAsia="zh-CN" w:bidi="ar"/>
              </w:rPr>
              <w:fldChar w:fldCharType="separate"/>
            </w:r>
            <w:r>
              <w:rPr>
                <w:rFonts w:hint="default" w:ascii="Times New Roman" w:hAnsi="Times New Roman" w:cs="Times New Roman"/>
                <w:sz w:val="18"/>
                <w:lang w:eastAsia="zh-CN"/>
              </w:rPr>
              <w:t>(Liu et al., 2016)</w:t>
            </w:r>
            <w:r>
              <w:rPr>
                <w:rFonts w:hint="default" w:ascii="Times New Roman" w:hAnsi="Times New Roman" w:eastAsia="宋体" w:cs="Times New Roman"/>
                <w:i w:val="0"/>
                <w:iCs w:val="0"/>
                <w:color w:val="000000"/>
                <w:kern w:val="0"/>
                <w:sz w:val="18"/>
                <w:szCs w:val="18"/>
                <w:u w:val="none"/>
                <w:lang w:val="en-US" w:eastAsia="zh-CN" w:bidi="ar"/>
              </w:rPr>
              <w:fldChar w:fldCharType="end"/>
            </w:r>
          </w:p>
        </w:tc>
        <w:tc>
          <w:tcPr>
            <w:tcW w:w="1269"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Jiangxi Province</w:t>
            </w:r>
          </w:p>
        </w:tc>
        <w:tc>
          <w:tcPr>
            <w:tcW w:w="1257"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115°04′E</w:t>
            </w:r>
          </w:p>
        </w:tc>
        <w:tc>
          <w:tcPr>
            <w:tcW w:w="1114"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26°44′N</w:t>
            </w:r>
          </w:p>
        </w:tc>
        <w:tc>
          <w:tcPr>
            <w:tcW w:w="680"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w:t>
            </w:r>
          </w:p>
        </w:tc>
        <w:tc>
          <w:tcPr>
            <w:tcW w:w="767"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1509</w:t>
            </w:r>
          </w:p>
        </w:tc>
        <w:tc>
          <w:tcPr>
            <w:tcW w:w="1165"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subtropical</w:t>
            </w:r>
          </w:p>
        </w:tc>
        <w:tc>
          <w:tcPr>
            <w:tcW w:w="536"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14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fldChar w:fldCharType="begin"/>
            </w:r>
            <w:r>
              <w:rPr>
                <w:rFonts w:hint="eastAsia" w:ascii="Times New Roman" w:hAnsi="Times New Roman" w:cs="Times New Roman"/>
                <w:i w:val="0"/>
                <w:iCs w:val="0"/>
                <w:color w:val="000000"/>
                <w:kern w:val="0"/>
                <w:sz w:val="18"/>
                <w:szCs w:val="18"/>
                <w:u w:val="none"/>
                <w:lang w:val="en-US" w:eastAsia="zh-CN" w:bidi="ar"/>
              </w:rPr>
              <w:instrText xml:space="preserve"> ADDIN ZOTERO_ITEM CSL_CITATION {"citationID":"XastWjAN","properties":{"formattedCitation":"(Tu and Zhang, 2018)","plainCitation":"(Tu and Zhang, 2018)","noteIndex":0},"citationItems":[{"id":1692,"uris":["http://zotero.org/users/11805336/items/2G5RDYC7"],"itemData":{"id":1692,"type":"article-journal","abstract":"2015年7月至2016年6月,在浙江省嘉兴市南湖区凤桥镇设置试验样地,对不同样地进行了施肥对照试验,通过测定土壤温度、降水量、CO&lt;sub&gt;2&lt;/sub&gt;、N&lt;sub&gt;2&lt;/sub&gt;O、CH&lt;sub&gt;4&lt;/sub&gt;排放量,比较分析不同施肥处理对水蜜桃园温室气体排放量的影响,结果表明不同施肥处理土壤温室气体排放的综合温室效应（GWP）的大小顺序为:单施无机肥（1965.3g/m&lt;sup&gt;2&lt;/sup&gt;CO&lt;sub&gt;2&lt;/sub&gt;）&gt;有机无机肥配施（1473.1g/m&lt;sup&gt;2&lt;/sup&gt;CO&lt;sub&gt;2&lt;/sub&gt;）&gt;对照（1458.9g/m&lt;sup&gt;2&lt;/sup&gt;CO&lt;sub&gt;2&lt;/sub&gt;）&gt;单施有机肥（1269.4 g/m&lt;sup&gt;2&lt;/sup&gt;CO&lt;sub&gt;2&lt;/sub&gt;）,从本试验几个处理看,单施有机肥是固碳减排最为理想的施肥措施。","container-title":"Modern Horticulture","DOI":"10.14051/j.cnki.xdyy.2018.01.004","ISSN":"1006-4958","issue":"1","language":"zh","page":"7-9","source":"CNKI","title":"Effects of different fertilization on soil greenhouse gas emissions in peach orchard","author":[{"family":"Tu","given":"Juanli"},{"family":"Zhang","given":"Caiping"}],"issued":{"date-parts":[["2018"]]}}}],"schema":"https://github.com/citation-style-language/schema/raw/master/csl-citation.json"} </w:instrText>
            </w:r>
            <w:r>
              <w:rPr>
                <w:rFonts w:hint="default" w:ascii="Times New Roman" w:hAnsi="Times New Roman" w:eastAsia="宋体" w:cs="Times New Roman"/>
                <w:i w:val="0"/>
                <w:iCs w:val="0"/>
                <w:color w:val="000000"/>
                <w:kern w:val="0"/>
                <w:sz w:val="18"/>
                <w:szCs w:val="18"/>
                <w:u w:val="none"/>
                <w:lang w:val="en-US" w:eastAsia="zh-CN" w:bidi="ar"/>
              </w:rPr>
              <w:fldChar w:fldCharType="separate"/>
            </w:r>
            <w:r>
              <w:rPr>
                <w:rFonts w:hint="default" w:ascii="Times New Roman" w:hAnsi="Times New Roman" w:cs="Times New Roman"/>
                <w:sz w:val="18"/>
                <w:lang w:eastAsia="zh-CN"/>
              </w:rPr>
              <w:t>(Tu and Zhang, 2018)</w:t>
            </w:r>
            <w:r>
              <w:rPr>
                <w:rFonts w:hint="default" w:ascii="Times New Roman" w:hAnsi="Times New Roman" w:eastAsia="宋体" w:cs="Times New Roman"/>
                <w:i w:val="0"/>
                <w:iCs w:val="0"/>
                <w:color w:val="000000"/>
                <w:kern w:val="0"/>
                <w:sz w:val="18"/>
                <w:szCs w:val="18"/>
                <w:u w:val="none"/>
                <w:lang w:val="en-US" w:eastAsia="zh-CN" w:bidi="ar"/>
              </w:rPr>
              <w:fldChar w:fldCharType="end"/>
            </w:r>
          </w:p>
        </w:tc>
        <w:tc>
          <w:tcPr>
            <w:tcW w:w="12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Zhejiang Province</w:t>
            </w:r>
          </w:p>
        </w:tc>
        <w:tc>
          <w:tcPr>
            <w:tcW w:w="12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120°40′12″E</w:t>
            </w:r>
          </w:p>
        </w:tc>
        <w:tc>
          <w:tcPr>
            <w:tcW w:w="111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30°40′12″N</w:t>
            </w:r>
          </w:p>
        </w:tc>
        <w:tc>
          <w:tcPr>
            <w:tcW w:w="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15.9</w:t>
            </w:r>
          </w:p>
        </w:tc>
        <w:tc>
          <w:tcPr>
            <w:tcW w:w="76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1200</w:t>
            </w:r>
          </w:p>
        </w:tc>
        <w:tc>
          <w:tcPr>
            <w:tcW w:w="116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subtropical</w:t>
            </w:r>
          </w:p>
        </w:tc>
        <w:tc>
          <w:tcPr>
            <w:tcW w:w="53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14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fldChar w:fldCharType="begin"/>
            </w:r>
            <w:r>
              <w:rPr>
                <w:rFonts w:hint="eastAsia" w:ascii="Times New Roman" w:hAnsi="Times New Roman" w:cs="Times New Roman"/>
                <w:i w:val="0"/>
                <w:iCs w:val="0"/>
                <w:color w:val="000000"/>
                <w:kern w:val="0"/>
                <w:sz w:val="18"/>
                <w:szCs w:val="18"/>
                <w:u w:val="none"/>
                <w:lang w:val="en-US" w:eastAsia="zh-CN" w:bidi="ar"/>
              </w:rPr>
              <w:instrText xml:space="preserve"> ADDIN ZOTERO_ITEM CSL_CITATION {"citationID":"B61vqrt0","properties":{"formattedCitation":"(Ma, 2022)","plainCitation":"(Ma, 2022)","noteIndex":0},"citationItems":[{"id":1693,"uris":["http://zotero.org/users/11805336/items/F9C6U78V"],"itemData":{"id":1693,"type":"thesis","abstract":"渭北旱塬是苹果产业的优生区,不合理施肥和长期清耕制会使果园土壤环境恶化、产量品质下降。为了改善和解决果园目前存在的这些问题,本研究以12年长期定位试验为依托,通过设置主处理为生草和清耕,副处理分别为不施肥（CK）、单施化肥（NPK）和有机无机配施（MNPK）,分别对2019年苹果园生草覆盖和不同施肥处理的土壤肥力效应、产量效应和环境效应进行了评估,目的在于探究生草和有机无机配施两种管理措施下的几种效应,为渭北旱地苹果园土壤水肥高效管理提供理论依据和技术支撑,研究取得如下主要结论:1.有机无机配施可显著增加土壤养分含量,改善土壤孔隙状况,有效提高土壤氮肥农学效率（NAE）,增加果实产量。与NPK处理相比,MNPK处理土壤有机质、全氮、有效磷和速效钾含量随着土层的加深呈递减的趋势。在0～20 cm土层,MNPK处理的土壤有机质和土壤全氮含量分别比NPK处理增加了16.6%和33.1%,土壤有效磷和速效钾含量分别提高了63.7%和34.2%;相比于NPK处理,MNPK处理在20～40 cm土层的土壤有机质、全氮、有效磷和速效钾含量分别增加了45.5%、36.9%、23.7%和43.1%。MNPK处理相比NPK处理显著增加了土壤孔隙度和土壤大孔隙数目,在0～20 cm土层,土壤孔隙度和大孔隙数目分别增加了52.2%和27.2%,在20～40 cm土层,MNPK处理的土壤孔隙度和土壤大孔隙数目显著高于NPK处理61.3%和92.4%。此外,与NPK处理相比,MNPK处理的氮肥农学效率提高114.3%,产量增加39.7%。2.有机无机肥配施会使甲烷（CH&lt;sub&gt;4&lt;/sub&gt;）吸收量、氧化亚氮（N&lt;sub&gt;2&lt;/sub&gt;O）和二氧化碳（CO&lt;sub&gt;2&lt;/sub&gt;）排放量增加,并使综合增温潜势（TGWP）升高,但会有效降低温室气体排放强度（GHGI）。与NPK处理相比,MNPK处理的CH&lt;sub&gt;4&lt;/sub&gt;累积吸收量提高23.2%,CO&lt;sub&gt;2&lt;/sub&gt;累积排放量增加9.4%,N&lt;sub&gt;2&lt;/sub&gt;O累积排放量增加26.1%,综合增温潜势增加了26.3%,而温室气体排放强度（GHGI）降低了22.8%。有机无机配施显著增加了N&lt;sub&gt;2&lt;/sub&gt;O排放系数,与单施化肥处理相比,N&lt;sub&gt;2&lt;/sub&gt;O排放系数增加了51.5%,有机无机配施处理单位产量N&lt;sub&gt;2&lt;/sub&gt;O的排放系数为0.05kg...","genre":"Dissertation of Master  Degree","language":"zh","note":"DOI: 10.27409/d.cnki.gxbnu.2021.000951","publisher":"Northwest Agricultural &amp; Forestry University","source":"CNKI","title":"Effects of different water and fertilizer management on greenhouse gas emissions in apple orchard in Weibei dryland","URL":"https://kns.cnki.net/kcms2/article/abstract?v=cF0fONyw0YJ4ddsPeVLm8GhBTgHUdzf8r16umlyEAqfLHMhskINqC64sdWA8kANWI3Q4GPcTglWYMp-KA-fs6S1O8jj2NKktMM8cdLKsU4YouGyvvR4OCw4CnEB_m-vRXvCG6oat6G_qb0chZV_8vlJm8mYBpM7VSmpEaJxraEorMeFMZppucSblz1TY5EMF_xCI7CkAfv0=&amp;uniplatform=NZKPT&amp;language=CHS","author":[{"family":"Ma","given":"Yanting"}],"accessed":{"date-parts":[["2024",10,4]]},"issued":{"date-parts":[["2022"]]}}}],"schema":"https://github.com/citation-style-language/schema/raw/master/csl-citation.json"} </w:instrText>
            </w:r>
            <w:r>
              <w:rPr>
                <w:rFonts w:hint="default" w:ascii="Times New Roman" w:hAnsi="Times New Roman" w:eastAsia="宋体" w:cs="Times New Roman"/>
                <w:i w:val="0"/>
                <w:iCs w:val="0"/>
                <w:color w:val="000000"/>
                <w:kern w:val="0"/>
                <w:sz w:val="18"/>
                <w:szCs w:val="18"/>
                <w:u w:val="none"/>
                <w:lang w:val="en-US" w:eastAsia="zh-CN" w:bidi="ar"/>
              </w:rPr>
              <w:fldChar w:fldCharType="separate"/>
            </w:r>
            <w:r>
              <w:rPr>
                <w:rFonts w:hint="default" w:ascii="Times New Roman" w:hAnsi="Times New Roman" w:cs="Times New Roman"/>
                <w:sz w:val="18"/>
                <w:lang w:eastAsia="zh-CN"/>
              </w:rPr>
              <w:t>(Ma, 2022)</w:t>
            </w:r>
            <w:r>
              <w:rPr>
                <w:rFonts w:hint="default" w:ascii="Times New Roman" w:hAnsi="Times New Roman" w:eastAsia="宋体" w:cs="Times New Roman"/>
                <w:i w:val="0"/>
                <w:iCs w:val="0"/>
                <w:color w:val="000000"/>
                <w:kern w:val="0"/>
                <w:sz w:val="18"/>
                <w:szCs w:val="18"/>
                <w:u w:val="none"/>
                <w:lang w:val="en-US" w:eastAsia="zh-CN" w:bidi="ar"/>
              </w:rPr>
              <w:fldChar w:fldCharType="end"/>
            </w:r>
          </w:p>
        </w:tc>
        <w:tc>
          <w:tcPr>
            <w:tcW w:w="12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Shaanxi Province</w:t>
            </w:r>
          </w:p>
        </w:tc>
        <w:tc>
          <w:tcPr>
            <w:tcW w:w="12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109°35′14″W</w:t>
            </w:r>
          </w:p>
        </w:tc>
        <w:tc>
          <w:tcPr>
            <w:tcW w:w="111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35°10′37″N</w:t>
            </w:r>
          </w:p>
        </w:tc>
        <w:tc>
          <w:tcPr>
            <w:tcW w:w="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11.4</w:t>
            </w:r>
          </w:p>
        </w:tc>
        <w:tc>
          <w:tcPr>
            <w:tcW w:w="76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550</w:t>
            </w:r>
          </w:p>
        </w:tc>
        <w:tc>
          <w:tcPr>
            <w:tcW w:w="116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template</w:t>
            </w:r>
          </w:p>
        </w:tc>
        <w:tc>
          <w:tcPr>
            <w:tcW w:w="53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14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fldChar w:fldCharType="begin"/>
            </w:r>
            <w:r>
              <w:rPr>
                <w:rFonts w:hint="eastAsia" w:ascii="Times New Roman" w:hAnsi="Times New Roman" w:cs="Times New Roman"/>
                <w:i w:val="0"/>
                <w:iCs w:val="0"/>
                <w:color w:val="000000"/>
                <w:kern w:val="0"/>
                <w:sz w:val="18"/>
                <w:szCs w:val="18"/>
                <w:u w:val="none"/>
                <w:lang w:val="en-US" w:eastAsia="zh-CN" w:bidi="ar"/>
              </w:rPr>
              <w:instrText xml:space="preserve"> ADDIN ZOTERO_ITEM CSL_CITATION {"citationID":"YMwg8Z6S","properties":{"formattedCitation":"(He, 2022)","plainCitation":"(He, 2022)","noteIndex":0},"citationItems":[{"id":1694,"uris":["http://zotero.org/users/11805336/items/47HY7V3H"],"itemData":{"id":1694,"type":"thesis","abstract":"农田土壤被认为是温室气体最主要的排放源之一,当前我国在经济作物如果树等生长管理中采取的不科学的灌溉施肥方式促进了温室气体的排放,研究滴灌水肥一体化下农田温室气体排放对减缓全球气候变暖、推动农业经济绿色可持续发展具有重要意义。本研究以关中地区典型葡萄园为研究对象,设置了滴灌水肥一体化条件下N0(0 kg?hm&lt;sup&gt;-2&lt;/sup&gt;)、N155(155 kg?hm&lt;sup&gt;-2&lt;/sup&gt;)和N232(232 kg?hm&lt;sup&gt;-2&lt;/sup&gt;)处理,并以沟灌施肥方式下232 kg?hm&lt;sup&gt;-2&lt;/sup&gt;处理（CG）作为对照,于2018年8月-2020年8月两年间运用静态箱-气相色谱仪法定点观测各施肥处理土壤N&lt;sub&gt;2&lt;/sub&gt;O、CO&lt;sub&gt;2&lt;/sub&gt;及CH&lt;sub&gt;4&lt;/sub&gt;三种主要温室气体动态排放特征,比较了不同施氮量及施肥方式对土壤温室气体排放的影响,探索了葡萄园土壤温室气体减排关键时期以及满足最高综合效益的最优施氮量,分析了土壤温室气体排放与环境因子之间的关系,并利用田间观测数据对DNDC模型进行参数率定,探讨了该模型在半湿润区葡萄园的适应性,并模拟预测滴灌水肥一体化不同施氮量条件下葡萄园土壤温室气体排放。研究取得了如下主要结果:（1）葡萄园温室气体排放具有明显的季节性变化规律。N&lt;sub&gt;2&lt;/sub&gt;O气体在葡萄生育期表现为高排放,休耕期排放量较低,不同生育期不施氮处理（N0）变化幅度较小,施氮处理N&lt;sub&gt;2&lt;/sub&gt;O排放峰出现在施肥后2～7天,且各处理间排放峰值存在显著性差异（P&lt;0.01）;两年试验间不同施氮处理CO&lt;sub&gt;2&lt;/sub&gt;排放通量无显著性差异（P&lt;0.05）,均表现为先下降后上升的排放趋势,其整体排放趋势与土壤温度的变化规律相近;土壤CH&lt;sub&gt;4&lt;/sub&gt;气体春冬季变化幅度较小且整体上表现为吸收通量,夏秋季波动较大且较为频繁,多次出现排放特征。果实膨大期和着色成熟期是葡萄园温室气体减排关键时期。（2）滴灌水肥一体化方式下随着施氮量增大在葡萄主要生育时期能显著提高N&lt;sub&gt;2&lt;/sub&gt;O气体累积排放量和降低CH&lt;sub&gt;4&lt;/sub&gt;的累积吸收量,但对CO&lt;sub&gt;2&lt;/sub&gt;气体累积排放影响程度较小。以2019年为例,N232处理N&lt;sub&gt;2&lt;/sub&gt;O和CH&lt;sub&gt;4&lt;/sub&gt;周年累积排放（吸收）量分别为6.83、-2.3...","genre":"Dissertation of Master  Degree","language":"zh","note":"DOI: 10.27409/d.cnki.gxbnu.2021.000728","publisher":"Northwest Agricultural &amp; Forestry University","source":"CNKI","title":"Effect of Drip-irrigation and Fertilization on Greenhouse Gas Emission of Vineyards and its Simulation in Semi-humid Area","URL":"https://kns.cnki.net/kcms2/article/abstract?v=cF0fONyw0YKfGk1HmeTiXqIeJb6jxmMHTAJhbJHewTaJzCdQ1W5bPjJtPqR9k36z6PYcJBI-5g7D6uDt3dDeIkZJOwk3EVyc1tQsartiPaoO3ADzmXGLQnOWfWeeC6YLts7okwrOUhYTJIH-Ygee3kht-ZGkOm0NrjaL9CkWXH-Bg4LRfvzwixjTpjEa2DqRz9i8L-ZSWIo=&amp;uniplatform=NZKPT&amp;language=CHS","author":[{"family":"He","given":"Xuexia"}],"accessed":{"date-parts":[["2024",10,4]]},"issued":{"date-parts":[["2022"]]}}}],"schema":"https://github.com/citation-style-language/schema/raw/master/csl-citation.json"} </w:instrText>
            </w:r>
            <w:r>
              <w:rPr>
                <w:rFonts w:hint="default" w:ascii="Times New Roman" w:hAnsi="Times New Roman" w:eastAsia="宋体" w:cs="Times New Roman"/>
                <w:i w:val="0"/>
                <w:iCs w:val="0"/>
                <w:color w:val="000000"/>
                <w:kern w:val="0"/>
                <w:sz w:val="18"/>
                <w:szCs w:val="18"/>
                <w:u w:val="none"/>
                <w:lang w:val="en-US" w:eastAsia="zh-CN" w:bidi="ar"/>
              </w:rPr>
              <w:fldChar w:fldCharType="separate"/>
            </w:r>
            <w:r>
              <w:rPr>
                <w:rFonts w:hint="default" w:ascii="Times New Roman" w:hAnsi="Times New Roman" w:cs="Times New Roman"/>
                <w:sz w:val="18"/>
                <w:lang w:eastAsia="zh-CN"/>
              </w:rPr>
              <w:t>(He, 2022)</w:t>
            </w:r>
            <w:r>
              <w:rPr>
                <w:rFonts w:hint="default" w:ascii="Times New Roman" w:hAnsi="Times New Roman" w:eastAsia="宋体" w:cs="Times New Roman"/>
                <w:i w:val="0"/>
                <w:iCs w:val="0"/>
                <w:color w:val="000000"/>
                <w:kern w:val="0"/>
                <w:sz w:val="18"/>
                <w:szCs w:val="18"/>
                <w:u w:val="none"/>
                <w:lang w:val="en-US" w:eastAsia="zh-CN" w:bidi="ar"/>
              </w:rPr>
              <w:fldChar w:fldCharType="end"/>
            </w:r>
          </w:p>
        </w:tc>
        <w:tc>
          <w:tcPr>
            <w:tcW w:w="12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Shaanxi Province</w:t>
            </w:r>
          </w:p>
        </w:tc>
        <w:tc>
          <w:tcPr>
            <w:tcW w:w="12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108°40′E</w:t>
            </w:r>
          </w:p>
        </w:tc>
        <w:tc>
          <w:tcPr>
            <w:tcW w:w="111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34°18′N</w:t>
            </w:r>
          </w:p>
        </w:tc>
        <w:tc>
          <w:tcPr>
            <w:tcW w:w="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12.9</w:t>
            </w:r>
          </w:p>
        </w:tc>
        <w:tc>
          <w:tcPr>
            <w:tcW w:w="76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635.1</w:t>
            </w:r>
          </w:p>
        </w:tc>
        <w:tc>
          <w:tcPr>
            <w:tcW w:w="116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template</w:t>
            </w:r>
          </w:p>
        </w:tc>
        <w:tc>
          <w:tcPr>
            <w:tcW w:w="53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14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fldChar w:fldCharType="begin"/>
            </w:r>
            <w:r>
              <w:rPr>
                <w:rFonts w:hint="eastAsia" w:ascii="Times New Roman" w:hAnsi="Times New Roman" w:cs="Times New Roman"/>
                <w:i w:val="0"/>
                <w:iCs w:val="0"/>
                <w:color w:val="000000"/>
                <w:kern w:val="0"/>
                <w:sz w:val="18"/>
                <w:szCs w:val="18"/>
                <w:u w:val="none"/>
                <w:lang w:val="en-US" w:eastAsia="zh-CN" w:bidi="ar"/>
              </w:rPr>
              <w:instrText xml:space="preserve"> ADDIN ZOTERO_ITEM CSL_CITATION {"citationID":"zpf5ZHdo","properties":{"formattedCitation":"(Zhu, 2019)","plainCitation":"(Zhu, 2019)","noteIndex":0},"citationItems":[{"id":1695,"uris":["http://zotero.org/users/11805336/items/MC36HYC3"],"itemData":{"id":1695,"type":"thesis","abstract":"本研究旨在明确渭北旱塬苹果园肥料氮通过氨挥发与N&lt;sub&gt;2&lt;/sub&gt;O排放途径的氮素损失量,并且为准确估算渭北旱塬农田土壤温室气体排放源的区域排放量提供基础数据。通过设置不同施肥制度,对渭北旱塬苹果园N&lt;sub&gt;2&lt;/sub&gt;O和CO&lt;sub&gt;2&lt;/sub&gt;排放进行了监测,比较了2种不同的NH&lt;sub&gt;3&lt;/sub&gt;挥发研究方法在果园上的应用差异。主要结果为:（1）在苹果园集中条状施肥的方式下,深施的氮素几乎不通过NH&lt;sub&gt;3&lt;/sub&gt;挥发途径损失。在推荐施氮量(纯N 400 kg·hm&lt;sup&gt;-2&lt;/sup&gt;)5 cm施肥深度下NH&lt;sub&gt;3&lt;/sub&gt;挥发量达到115.9 kg N·hm&lt;sup&gt;-2&lt;/sup&gt;,氮肥损失率为29.0%。当氮肥施入土壤的深度超过10 cm时,氨挥发占比不足1%。采用密闭室间歇式抽气法和海绵吸收法测定的施肥深度为5 cm氨挥发累积总量分别为62.0 kg NH&lt;sub&gt;3&lt;/sub&gt;·hm&lt;sup&gt;-2&lt;/sup&gt;和37.7 kg NH&lt;sub&gt;3&lt;/sub&gt;·hm&lt;sup&gt;-2&lt;/sup&gt;,与密闭室间歇式抽气法相比,海绵吸收法氨挥发损失量要低39.2%。抽气法和通气法测定的氮素损失率分别为21.3%和12.9%。（2）苹果膨大期是渭北旱塬苹果园N&lt;sub&gt;2&lt;/sub&gt;O排放的主要时期。苹果成熟期和膨大期土壤N&lt;sub&gt;2&lt;/sub&gt;O排放由温度决定。不同处理N&lt;sub&gt;2&lt;/sub&gt;O年（2017年10月&lt;sup&gt;2&lt;/sup&gt;018年10月）总排放量在1.14 kg·hm&lt;sup&gt;-2&lt;/sup&gt;&lt;sup&gt;4&lt;/sup&gt;.46 kg·hm&lt;sup&gt;-2&lt;/sup&gt;之间,与常规施肥处理相比,优化减氮和有机无机配施处理N&lt;sub&gt;2&lt;/sub&gt;O排放总量分别降低了43.3%,42.6%。（3）通过NH&lt;sub&gt;3&lt;/sub&gt;和N&lt;sub&gt;2&lt;/sub&gt;O损失的氮素以N&lt;sub&gt;2&lt;/sub&gt;O为主,肥料氮NH&lt;sub&gt;3&lt;/sub&gt;挥发损失为0。常规高氮、优化减氮与有机无机配施处理N&lt;sub&gt;2&lt;/sub&gt;O损失量分别为4.46 kg·hm&lt;sup&gt;-2&lt;/sup&gt;、2.53 kg·hm&lt;sup&gt;-2&lt;/sup&gt;和2.56 kg·hm&lt;sup&gt;-2&lt;/sup&gt;。常规高氮、优化减氮与有机无机配施处理通过N&lt;sub&gt;2&lt;/sub&gt;O损失的氮素分别占0.27%、0.2...","genre":"Dissertation of Master  Degree","language":"zh","publisher":"Northwest Agricultural &amp; Forestry University","source":"CNKI","title":"Effects of Fertilization System on Ammonia Volatilization and Greenhouse Gas Emission in Weibei Apple Orchard","URL":"https://kns.cnki.net/kcms2/article/abstract?v=cF0fONyw0YIZI6hfjcOP1fSnIVWzBq20cwCxSYY8OQXwcAF1P7pVq8y3x0LEKuAo3WgVUae24Bn4oqDgHPq9dvVT2CT9OXOVJILtoGcLGLG-7k6RsWVE25OrMNUQu1S_MPVy-XyYCVDWErZ0QgFwD8nxFiIR4NWj9sK46RpX6NqjzlLxZal8HEzkflSbH2xaOoaFTxsN2bw=&amp;uniplatform=NZKPT&amp;language=CHS","author":[{"family":"Zhu","given":"Zhijun"}],"accessed":{"date-parts":[["2024",10,4]]},"issued":{"date-parts":[["2019"]]}}}],"schema":"https://github.com/citation-style-language/schema/raw/master/csl-citation.json"} </w:instrText>
            </w:r>
            <w:r>
              <w:rPr>
                <w:rFonts w:hint="default" w:ascii="Times New Roman" w:hAnsi="Times New Roman" w:eastAsia="宋体" w:cs="Times New Roman"/>
                <w:i w:val="0"/>
                <w:iCs w:val="0"/>
                <w:color w:val="000000"/>
                <w:kern w:val="0"/>
                <w:sz w:val="18"/>
                <w:szCs w:val="18"/>
                <w:u w:val="none"/>
                <w:lang w:val="en-US" w:eastAsia="zh-CN" w:bidi="ar"/>
              </w:rPr>
              <w:fldChar w:fldCharType="separate"/>
            </w:r>
            <w:r>
              <w:rPr>
                <w:rFonts w:hint="default" w:ascii="Times New Roman" w:hAnsi="Times New Roman" w:cs="Times New Roman"/>
                <w:sz w:val="18"/>
                <w:lang w:eastAsia="zh-CN"/>
              </w:rPr>
              <w:t>(Zhu, 2019)</w:t>
            </w:r>
            <w:r>
              <w:rPr>
                <w:rFonts w:hint="default" w:ascii="Times New Roman" w:hAnsi="Times New Roman" w:eastAsia="宋体" w:cs="Times New Roman"/>
                <w:i w:val="0"/>
                <w:iCs w:val="0"/>
                <w:color w:val="000000"/>
                <w:kern w:val="0"/>
                <w:sz w:val="18"/>
                <w:szCs w:val="18"/>
                <w:u w:val="none"/>
                <w:lang w:val="en-US" w:eastAsia="zh-CN" w:bidi="ar"/>
              </w:rPr>
              <w:fldChar w:fldCharType="end"/>
            </w:r>
          </w:p>
        </w:tc>
        <w:tc>
          <w:tcPr>
            <w:tcW w:w="12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Shaanxi province</w:t>
            </w:r>
          </w:p>
        </w:tc>
        <w:tc>
          <w:tcPr>
            <w:tcW w:w="12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109°21′36″E</w:t>
            </w:r>
          </w:p>
        </w:tc>
        <w:tc>
          <w:tcPr>
            <w:tcW w:w="111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35°46′48″N</w:t>
            </w:r>
          </w:p>
        </w:tc>
        <w:tc>
          <w:tcPr>
            <w:tcW w:w="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10.7</w:t>
            </w:r>
          </w:p>
        </w:tc>
        <w:tc>
          <w:tcPr>
            <w:tcW w:w="76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512</w:t>
            </w:r>
          </w:p>
        </w:tc>
        <w:tc>
          <w:tcPr>
            <w:tcW w:w="116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template</w:t>
            </w:r>
          </w:p>
        </w:tc>
        <w:tc>
          <w:tcPr>
            <w:tcW w:w="53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14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fldChar w:fldCharType="begin"/>
            </w:r>
            <w:r>
              <w:rPr>
                <w:rFonts w:hint="eastAsia" w:ascii="Times New Roman" w:hAnsi="Times New Roman" w:cs="Times New Roman"/>
                <w:i w:val="0"/>
                <w:iCs w:val="0"/>
                <w:color w:val="000000"/>
                <w:kern w:val="0"/>
                <w:sz w:val="18"/>
                <w:szCs w:val="18"/>
                <w:u w:val="none"/>
                <w:lang w:val="en-US" w:eastAsia="zh-CN" w:bidi="ar"/>
              </w:rPr>
              <w:instrText xml:space="preserve"> ADDIN ZOTERO_ITEM CSL_CITATION {"citationID":"ZQuAEBDu","properties":{"formattedCitation":"(Ma et al., 2021)","plainCitation":"(Ma et al., 2021)","noteIndex":0},"citationItems":[{"id":1696,"uris":["http://zotero.org/users/11805336/items/LCXVT6R9"],"itemData":{"id":1696,"type":"article-journal","abstract":"为研究有机肥代替化肥对苹果园温室气体排放的影响,本研究基于12 a的长期定位试验,采用静态暗箱-气象色谱法监测了果园温室气体（CH&lt;sub&gt;4&lt;/sub&gt;和N&lt;sub&gt;2&lt;/sub&gt;O）排放的动态变化。试验共设置4个处理:对照（CK）、有机肥（M）、化肥（NPK）、有机无机肥配施（MNPK）。结果表明:果园年生活周期内CH&lt;sub&gt;4&lt;/sub&gt;以吸收为主;N&lt;sub&gt;2&lt;/sub&gt;O排放的高峰均出现在施肥后。各处理温室气体累积排放量差异显著（P&lt;0.05）,其中M处理的CH&lt;sub&gt;4&lt;/sub&gt;累积吸收量最高,为9.95 kg·hm&lt;sup&gt;-2&lt;/sup&gt;;MNPK处理的N&lt;sub&gt;2&lt;/sub&gt;O累积排放量显著高于NPK处理。相关性分析结果显示,土壤含水量、气温及硝态氮、铵态氮均为影响温室气体排放的因素。与NPK处理相比,MNPK处理可显著增加苹果产量,提高氮肥农学利用效率,增加CH&lt;sub&gt;4&lt;/sub&gt;吸收量、N&lt;sub&gt;2&lt;/sub&gt;O排放量和N&lt;sub&gt;2&lt;/sub&gt;O排放系数,降低综合温室气体排放强度。MNPK处理与NPK处理下单位产量CH&lt;sub&gt;4&lt;/sub&gt;的累积吸收量分别为0.04 kg·t&lt;sup&gt;-1&lt;/sup&gt;和0.06 kg·t&lt;sup&gt;-1&lt;/sup&gt;,单位产量N&lt;sub&gt;2&lt;/sub&gt;O累积排放量分别为0.05 kg·t&lt;sup&gt;-1&lt;/sup&gt;和0.07 kg·t&lt;sup&gt;-1&lt;/sup&gt;,两处理间差异不显著。研究表明,有机无机肥配施在保证产量的前提下更有利于苹果园的可持续发展。","container-title":"Journal of Agricultural and Environmental Sciences","ISSN":"1672-2043","issue":"9","language":"zh","page":"2039-2048","source":"CNKI","title":"Effects of combined application of organic and inorganic fertilizers on greenhouse gas emissions in apple orchard","volume":"40","author":[{"family":"Ma","given":"Yanting"},{"family":"Zhao","given":"Zhiyuan"},{"family":"Feng","given":"Tianyu"},{"family":"Thongsouk","given":"SOMPOUVISET"},{"family":"Kong","given":"Xu"},{"family":"Zhai","given":"Binnian"},{"family":"Zhao","given":"Zhengyang"}],"issued":{"date-parts":[["2021"]]}}}],"schema":"https://github.com/citation-style-language/schema/raw/master/csl-citation.json"} </w:instrText>
            </w:r>
            <w:r>
              <w:rPr>
                <w:rFonts w:hint="default" w:ascii="Times New Roman" w:hAnsi="Times New Roman" w:eastAsia="宋体" w:cs="Times New Roman"/>
                <w:i w:val="0"/>
                <w:iCs w:val="0"/>
                <w:color w:val="000000"/>
                <w:kern w:val="0"/>
                <w:sz w:val="18"/>
                <w:szCs w:val="18"/>
                <w:u w:val="none"/>
                <w:lang w:val="en-US" w:eastAsia="zh-CN" w:bidi="ar"/>
              </w:rPr>
              <w:fldChar w:fldCharType="separate"/>
            </w:r>
            <w:r>
              <w:rPr>
                <w:rFonts w:hint="default" w:ascii="Times New Roman" w:hAnsi="Times New Roman" w:cs="Times New Roman"/>
                <w:sz w:val="18"/>
                <w:lang w:eastAsia="zh-CN"/>
              </w:rPr>
              <w:t>(Ma et al., 2021)</w:t>
            </w:r>
            <w:r>
              <w:rPr>
                <w:rFonts w:hint="default" w:ascii="Times New Roman" w:hAnsi="Times New Roman" w:eastAsia="宋体" w:cs="Times New Roman"/>
                <w:i w:val="0"/>
                <w:iCs w:val="0"/>
                <w:color w:val="000000"/>
                <w:kern w:val="0"/>
                <w:sz w:val="18"/>
                <w:szCs w:val="18"/>
                <w:u w:val="none"/>
                <w:lang w:val="en-US" w:eastAsia="zh-CN" w:bidi="ar"/>
              </w:rPr>
              <w:fldChar w:fldCharType="end"/>
            </w:r>
          </w:p>
        </w:tc>
        <w:tc>
          <w:tcPr>
            <w:tcW w:w="12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Shaanxi Province</w:t>
            </w:r>
          </w:p>
        </w:tc>
        <w:tc>
          <w:tcPr>
            <w:tcW w:w="12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109°34′58″E</w:t>
            </w:r>
          </w:p>
        </w:tc>
        <w:tc>
          <w:tcPr>
            <w:tcW w:w="111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35°12′15″N</w:t>
            </w:r>
          </w:p>
        </w:tc>
        <w:tc>
          <w:tcPr>
            <w:tcW w:w="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11.4</w:t>
            </w:r>
          </w:p>
        </w:tc>
        <w:tc>
          <w:tcPr>
            <w:tcW w:w="76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550</w:t>
            </w:r>
          </w:p>
        </w:tc>
        <w:tc>
          <w:tcPr>
            <w:tcW w:w="116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template</w:t>
            </w:r>
          </w:p>
        </w:tc>
        <w:tc>
          <w:tcPr>
            <w:tcW w:w="53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14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fldChar w:fldCharType="begin"/>
            </w:r>
            <w:r>
              <w:rPr>
                <w:rFonts w:hint="eastAsia" w:ascii="Times New Roman" w:hAnsi="Times New Roman" w:cs="Times New Roman"/>
                <w:i w:val="0"/>
                <w:iCs w:val="0"/>
                <w:color w:val="000000"/>
                <w:kern w:val="0"/>
                <w:sz w:val="18"/>
                <w:szCs w:val="18"/>
                <w:u w:val="none"/>
                <w:lang w:val="en-US" w:eastAsia="zh-CN" w:bidi="ar"/>
              </w:rPr>
              <w:instrText xml:space="preserve"> ADDIN ZOTERO_ITEM CSL_CITATION {"citationID":"XPYWOM7E","properties":{"formattedCitation":"(Han et al., 2019)","plainCitation":"(Han et al., 2019)","noteIndex":0},"citationItems":[{"id":1698,"uris":["http://zotero.org/users/11805336/items/XQFQCGVL"],"itemData":{"id":1698,"type":"article-journal","abstract":"为探究黄土高原地区两种不同土地利用方式下二氧化碳（CO&lt;sub&gt;2&lt;/sub&gt;）和氧化亚氮（N&lt;sub&gt;2&lt;/sub&gt;O）的排放特征,在长武黄土高原农业生态试验站,分别以15 a树龄的果园和麦田为研究对象,采用静态暗箱-气相色谱法对土壤CO&lt;sub&gt;2&lt;/sub&gt;和N&lt;sub&gt;2&lt;/sub&gt;O的排放进行了周年（2017年7月～2018年7月）田间原位观测.试验共设置果园施肥（AF）、果园对照（ACK）、小麦施肥（WF）和小麦对照（WCK）这4个处理.结果表明,土壤CO&lt;sub&gt;2&lt;/sub&gt;和N&lt;sub&gt;2&lt;/sub&gt;O排放随季节变化明显,降雨和施肥后均出现明显排放峰.AF处理的CO&lt;sub&gt;2&lt;/sub&gt;和N&lt;sub&gt;2&lt;/sub&gt;O累积排放量比WF处理高7. 14%和461. 4%.但ACK的CO&lt;sub&gt;2&lt;/sub&gt;累积排放量比WCK低10. 41%,而N&lt;sub&gt;2&lt;/sub&gt;O的累计排放量比WCK高109. 5%.果园N&lt;sub&gt;2&lt;/sub&gt;O的排放通量与表层土壤温度、水分显著正相关（P &lt;0. 01）,果园和麦田的CO&lt;sub&gt;2&lt;/sub&gt;排放通量均与表层土壤温度显著正相关（P &lt;0. 05）,而与表层土壤水分相关性不显著.因此,田间管理和环境因素综合影响土壤CO&lt;sub&gt;2&lt;/sub&gt;和N&lt;sub&gt;2&lt;/sub&gt;O排放,施肥量和土壤水热是造成两种土地利用方式CO&lt;sub&gt;2&lt;/sub&gt;和N&lt;sub&gt;2&lt;/sub&gt;O的排放特征和温室效应差异的主要因素.","container-title":"Environmental Science","DOI":"10.13227/j.hjkx.201904206","ISSN":"0250-3301","issue":"11","language":"zh","page":"5164-5172","source":"CNKI","title":"Characteristics of CO2 and N2O Emissions Under Two Land Use Types in the Loess Plateau of China","volume":"40","author":[{"family":"Han","given":"Jiale"},{"family":"Hao","given":"Shan"},{"family":"Liu","given":"Zhenjie"},{"family":"Zhang","given":"Man"},{"family":"Zhang","given":"Afeng"}],"issued":{"date-parts":[["2019"]]}}}],"schema":"https://github.com/citation-style-language/schema/raw/master/csl-citation.json"} </w:instrText>
            </w:r>
            <w:r>
              <w:rPr>
                <w:rFonts w:hint="default" w:ascii="Times New Roman" w:hAnsi="Times New Roman" w:eastAsia="宋体" w:cs="Times New Roman"/>
                <w:i w:val="0"/>
                <w:iCs w:val="0"/>
                <w:color w:val="000000"/>
                <w:kern w:val="0"/>
                <w:sz w:val="18"/>
                <w:szCs w:val="18"/>
                <w:u w:val="none"/>
                <w:lang w:val="en-US" w:eastAsia="zh-CN" w:bidi="ar"/>
              </w:rPr>
              <w:fldChar w:fldCharType="separate"/>
            </w:r>
            <w:r>
              <w:rPr>
                <w:rFonts w:hint="default" w:ascii="Times New Roman" w:hAnsi="Times New Roman" w:cs="Times New Roman"/>
                <w:sz w:val="18"/>
                <w:lang w:eastAsia="zh-CN"/>
              </w:rPr>
              <w:t>(Han et al., 2019)</w:t>
            </w:r>
            <w:r>
              <w:rPr>
                <w:rFonts w:hint="default" w:ascii="Times New Roman" w:hAnsi="Times New Roman" w:eastAsia="宋体" w:cs="Times New Roman"/>
                <w:i w:val="0"/>
                <w:iCs w:val="0"/>
                <w:color w:val="000000"/>
                <w:kern w:val="0"/>
                <w:sz w:val="18"/>
                <w:szCs w:val="18"/>
                <w:u w:val="none"/>
                <w:lang w:val="en-US" w:eastAsia="zh-CN" w:bidi="ar"/>
              </w:rPr>
              <w:fldChar w:fldCharType="end"/>
            </w:r>
          </w:p>
        </w:tc>
        <w:tc>
          <w:tcPr>
            <w:tcW w:w="12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Shaanxi Province</w:t>
            </w:r>
          </w:p>
        </w:tc>
        <w:tc>
          <w:tcPr>
            <w:tcW w:w="12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107°41'E</w:t>
            </w:r>
          </w:p>
        </w:tc>
        <w:tc>
          <w:tcPr>
            <w:tcW w:w="111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35°14'N</w:t>
            </w:r>
          </w:p>
        </w:tc>
        <w:tc>
          <w:tcPr>
            <w:tcW w:w="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9.1</w:t>
            </w:r>
          </w:p>
        </w:tc>
        <w:tc>
          <w:tcPr>
            <w:tcW w:w="76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582</w:t>
            </w:r>
          </w:p>
        </w:tc>
        <w:tc>
          <w:tcPr>
            <w:tcW w:w="116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template</w:t>
            </w:r>
          </w:p>
        </w:tc>
        <w:tc>
          <w:tcPr>
            <w:tcW w:w="53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14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fldChar w:fldCharType="begin"/>
            </w:r>
            <w:r>
              <w:rPr>
                <w:rFonts w:hint="eastAsia" w:ascii="Times New Roman" w:hAnsi="Times New Roman" w:cs="Times New Roman"/>
                <w:i w:val="0"/>
                <w:iCs w:val="0"/>
                <w:color w:val="000000"/>
                <w:kern w:val="0"/>
                <w:sz w:val="18"/>
                <w:szCs w:val="18"/>
                <w:u w:val="none"/>
                <w:lang w:val="en-US" w:eastAsia="zh-CN" w:bidi="ar"/>
              </w:rPr>
              <w:instrText xml:space="preserve"> ADDIN ZOTERO_ITEM CSL_CITATION {"citationID":"XCKXFOYK","properties":{"formattedCitation":"(Xu et al., 2024)","plainCitation":"(Xu et al., 2024)","noteIndex":0},"citationItems":[{"id":1707,"uris":["http://zotero.org/users/11805336/items/D7JDHFWL"],"itemData":{"id":1707,"type":"article-journal","abstract":"有机肥替代作为一种减肥增效和多元化肥替代技术在农业生产中被大力推广.然而，目前尚缺乏对于有机肥在果园N&lt;sub&gt;2&lt;/sub&gt;O和NO排放方面的影响综合评估.采用静态暗箱-气相色谱法，周年观测桃园种植过程中N&lt;sub&gt;2&lt;/sub&gt;O和NO的排放，比较了单施化肥和有机肥部分替代化肥处理对桃园氮氧化物排放的影响.结果表明，有机肥部分替代化肥分别降低桃园N&lt;sub&gt;2&lt;/sub&gt;O和NO排放总量15.0%和9.4%，同时N&lt;sub&gt;2&lt;/sub&gt;O和NO排放系数降低21.3%和21.1%.有机肥处理土壤的矿质氮含量低于单施化肥处理.有机肥处理提高了硝化作用中AOA的贡献，降低AOB的贡献，从而减少了硝化作用产生的N&lt;sub&gt;2&lt;/sub&gt;O.此外，双同位素混合模型[δ&lt;sup&gt;18&lt;/sup&gt;O（N&lt;sub&gt;2&lt;/sub&gt;O/H&lt;sub&gt;2&lt;/sub&gt;O） vs.δ&lt;sup&gt;15&lt;/sup&gt;N&lt;sup&gt;SP&lt;/sup&gt;]结果表明，硝化细菌反硝化/细菌反硝化（b D/n D）是桃园土壤N&lt;sub&gt;2&lt;/sub&gt;O排放的主要途径.施用有机肥增强了土壤反硝化作用，导致更多的N&lt;sub&gt;2&lt;/sub&gt;O和NO被还原.因此，有机肥部分替代可以缓解果园氮氧化物排放，是实现农业绿色低碳的可行措施.","container-title":"Environmental Science","DOI":"10.13227/j.hjkx.202306036","ISSN":"0250-3301","issue":"6","language":"zh","page":"3725-3733","source":"CNKI","title":"Effect of Partial Substitution of Chemical Fertilizers with Organic Fertilizers on N2O and NO Emissions from a Peach Orchard","volume":"45","author":[{"family":"Xu","given":"Pinshang"},{"family":"Guo","given":"Shumin"},{"family":"Zheng","given":"Haochen"},{"family":"Wang","given":"Jinyang"},{"family":"Zou","given":"Jianwen"}],"issued":{"date-parts":[["2024"]]}}}],"schema":"https://github.com/citation-style-language/schema/raw/master/csl-citation.json"} </w:instrText>
            </w:r>
            <w:r>
              <w:rPr>
                <w:rFonts w:hint="default" w:ascii="Times New Roman" w:hAnsi="Times New Roman" w:eastAsia="宋体" w:cs="Times New Roman"/>
                <w:i w:val="0"/>
                <w:iCs w:val="0"/>
                <w:color w:val="000000"/>
                <w:kern w:val="0"/>
                <w:sz w:val="18"/>
                <w:szCs w:val="18"/>
                <w:u w:val="none"/>
                <w:lang w:val="en-US" w:eastAsia="zh-CN" w:bidi="ar"/>
              </w:rPr>
              <w:fldChar w:fldCharType="separate"/>
            </w:r>
            <w:r>
              <w:rPr>
                <w:rFonts w:hint="default" w:ascii="Times New Roman" w:hAnsi="Times New Roman" w:cs="Times New Roman"/>
                <w:sz w:val="18"/>
                <w:lang w:eastAsia="zh-CN"/>
              </w:rPr>
              <w:t>(Xu et al., 2024)</w:t>
            </w:r>
            <w:r>
              <w:rPr>
                <w:rFonts w:hint="default" w:ascii="Times New Roman" w:hAnsi="Times New Roman" w:eastAsia="宋体" w:cs="Times New Roman"/>
                <w:i w:val="0"/>
                <w:iCs w:val="0"/>
                <w:color w:val="000000"/>
                <w:kern w:val="0"/>
                <w:sz w:val="18"/>
                <w:szCs w:val="18"/>
                <w:u w:val="none"/>
                <w:lang w:val="en-US" w:eastAsia="zh-CN" w:bidi="ar"/>
              </w:rPr>
              <w:fldChar w:fldCharType="end"/>
            </w:r>
          </w:p>
        </w:tc>
        <w:tc>
          <w:tcPr>
            <w:tcW w:w="12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Jiangsu Province</w:t>
            </w:r>
          </w:p>
        </w:tc>
        <w:tc>
          <w:tcPr>
            <w:tcW w:w="12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119°14′E</w:t>
            </w:r>
          </w:p>
        </w:tc>
        <w:tc>
          <w:tcPr>
            <w:tcW w:w="111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31°97′N</w:t>
            </w:r>
          </w:p>
        </w:tc>
        <w:tc>
          <w:tcPr>
            <w:tcW w:w="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16.2</w:t>
            </w:r>
          </w:p>
        </w:tc>
        <w:tc>
          <w:tcPr>
            <w:tcW w:w="76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1192</w:t>
            </w:r>
          </w:p>
        </w:tc>
        <w:tc>
          <w:tcPr>
            <w:tcW w:w="116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subtropical</w:t>
            </w:r>
          </w:p>
        </w:tc>
        <w:tc>
          <w:tcPr>
            <w:tcW w:w="53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14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fldChar w:fldCharType="begin"/>
            </w:r>
            <w:r>
              <w:rPr>
                <w:rFonts w:hint="eastAsia" w:ascii="Times New Roman" w:hAnsi="Times New Roman" w:cs="Times New Roman"/>
                <w:i w:val="0"/>
                <w:iCs w:val="0"/>
                <w:color w:val="000000"/>
                <w:kern w:val="0"/>
                <w:sz w:val="18"/>
                <w:szCs w:val="18"/>
                <w:u w:val="none"/>
                <w:lang w:val="en-US" w:eastAsia="zh-CN" w:bidi="ar"/>
              </w:rPr>
              <w:instrText xml:space="preserve"> ADDIN ZOTERO_ITEM CSL_CITATION {"citationID":"C6vGqNAs","properties":{"formattedCitation":"(Oo et al., 2018)","plainCitation":"(Oo et al., 2018)","noteIndex":0},"citationItems":[{"id":1702,"uris":["http://zotero.org/users/11805336/items/9LXETF8Q"],"itemData":{"id":1702,"type":"article-journal","abstract":"This study investigated soil N2O emissions following the application of fertilizers and pruning residue biochar on the soil surface of the Japanese pear orchard. Completely randomized design was laid out with four treatments: (1) control (unfertilized); (2) pig manure 300 kg N/ha and ammonium sulfate 200 kg N/ha with no biochar (F + BC0); (3) the same amount of manure and nitrogen (N) fertilizer with 2 t/ha biochar (F + BC2), and (4) with 10 t/ha biochar (F + BC10). The results showed that high N2O fluxes were observed after fertilization. Soil temperature and moisture were major controlling factors for N2O emission from the orchard soil. The lowest cumulative N2O emission (0.46 kg N/ha) was observed in the unfertilized control. Application of manure and N fertilizer significantly increased cumulative N2O emission compared to unfertilized control. Surface application of biochar (1.68 and 1.77 kg N/ha in F + BC2 and F + BC10, respectively) had no effect on soil N2O emission compared to F + BC0 (1.68 kg N/ha). Our results indicated that biochar pyrolyzed from orchard pruning residues can be returned to orchard soil as surface application without affecting soil N2O emissions.","container-title":"Plant, Soil and Environment","DOI":"10.17221/114/2018-PSE","journalAbbreviation":"Plant, Soil and Environment","language":"en","source":"ResearchGate","title":"Surface application of fertilizers and residue biochar on N2O emission from Japanese pear orchard soil","volume":"64","author":[{"family":"Oo","given":"Aung"},{"family":"Gonai","given":"Takeru"},{"family":"Sudo","given":"Shigeto"},{"family":"Win","given":"Khin"},{"family":"Shibata","given":"Akira"}],"issued":{"date-parts":[["2018",11,9]]}}}],"schema":"https://github.com/citation-style-language/schema/raw/master/csl-citation.json"} </w:instrText>
            </w:r>
            <w:r>
              <w:rPr>
                <w:rFonts w:hint="default" w:ascii="Times New Roman" w:hAnsi="Times New Roman" w:eastAsia="宋体" w:cs="Times New Roman"/>
                <w:i w:val="0"/>
                <w:iCs w:val="0"/>
                <w:color w:val="000000"/>
                <w:kern w:val="0"/>
                <w:sz w:val="18"/>
                <w:szCs w:val="18"/>
                <w:u w:val="none"/>
                <w:lang w:val="en-US" w:eastAsia="zh-CN" w:bidi="ar"/>
              </w:rPr>
              <w:fldChar w:fldCharType="separate"/>
            </w:r>
            <w:r>
              <w:rPr>
                <w:rFonts w:hint="default" w:ascii="Times New Roman" w:hAnsi="Times New Roman" w:cs="Times New Roman"/>
                <w:sz w:val="18"/>
                <w:lang w:eastAsia="zh-CN"/>
              </w:rPr>
              <w:t>(Oo et al., 2018)</w:t>
            </w:r>
            <w:r>
              <w:rPr>
                <w:rFonts w:hint="default" w:ascii="Times New Roman" w:hAnsi="Times New Roman" w:eastAsia="宋体" w:cs="Times New Roman"/>
                <w:i w:val="0"/>
                <w:iCs w:val="0"/>
                <w:color w:val="000000"/>
                <w:kern w:val="0"/>
                <w:sz w:val="18"/>
                <w:szCs w:val="18"/>
                <w:u w:val="none"/>
                <w:lang w:val="en-US" w:eastAsia="zh-CN" w:bidi="ar"/>
              </w:rPr>
              <w:fldChar w:fldCharType="end"/>
            </w:r>
          </w:p>
        </w:tc>
        <w:tc>
          <w:tcPr>
            <w:tcW w:w="12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Ibaraki, Japan</w:t>
            </w:r>
          </w:p>
        </w:tc>
        <w:tc>
          <w:tcPr>
            <w:tcW w:w="12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140°26′E</w:t>
            </w:r>
          </w:p>
        </w:tc>
        <w:tc>
          <w:tcPr>
            <w:tcW w:w="111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36°16′N</w:t>
            </w:r>
          </w:p>
        </w:tc>
        <w:tc>
          <w:tcPr>
            <w:tcW w:w="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13.3</w:t>
            </w:r>
          </w:p>
        </w:tc>
        <w:tc>
          <w:tcPr>
            <w:tcW w:w="76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1349</w:t>
            </w:r>
          </w:p>
        </w:tc>
        <w:tc>
          <w:tcPr>
            <w:tcW w:w="116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template</w:t>
            </w:r>
          </w:p>
        </w:tc>
        <w:tc>
          <w:tcPr>
            <w:tcW w:w="53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14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fldChar w:fldCharType="begin"/>
            </w:r>
            <w:r>
              <w:rPr>
                <w:rFonts w:hint="eastAsia" w:ascii="Times New Roman" w:hAnsi="Times New Roman" w:cs="Times New Roman"/>
                <w:i w:val="0"/>
                <w:iCs w:val="0"/>
                <w:color w:val="000000"/>
                <w:kern w:val="0"/>
                <w:sz w:val="18"/>
                <w:szCs w:val="18"/>
                <w:u w:val="none"/>
                <w:lang w:val="en-US" w:eastAsia="zh-CN" w:bidi="ar"/>
              </w:rPr>
              <w:instrText xml:space="preserve"> ADDIN ZOTERO_ITEM CSL_CITATION {"citationID":"XL1bIC91","properties":{"formattedCitation":"(Wu et al., 2017a)","plainCitation":"(Wu et al., 2017a)","noteIndex":0},"citationItems":[{"id":1708,"uris":["http://zotero.org/users/11805336/items/M4A2HUPW"],"itemData":{"id":1708,"type":"article-journal","abstract":"Nitrous oxide (N2O) and nitric oxide (NO) are generally interrelated in soil nitrogen biogeochemical cycles. However, the effects of land-use change and fertilization on N2O and NO fluxes and the underlying mechanisms are not well understood, especially in fields converted from rice paddies (RPs) to upland cultivation. This study investigated the effects of land-use change from RPs to a citrus orchard (OR) as well as fertilization on N2O and NO fluxes, and the gene abundance of nitrifying and denitrifying microbial communities by using static chamber-gas chromatography and quantitative real-time PCR (qPCR). Structural equation modeling was performed to determine whether soil properties and the abundances of nitrifiers and denitrifiers influenced in situ N2O and NO fluxes. Land-use change from RPs to an OR and fertilization significantly increased N2O and NO fluxes. Land-use change increased AOA abundance, did not affect AOB abundance, and decreased nirK, nirS, and nosZ abundances. The growth of AOA and AOB abundance in response to fertilization was generally stimulated by providing more NH4+, but sometimes was inhibited by lower pH. Fertilization did not significantly affect the abundance of denitrifiers. Soil properties and functional microbial groups were explanatory variables, while land-use change altered their role in predicting in situ N2O and NO fluxes. For N2O fluxes, dissolved organic carbon was the strongest predictor in the RPs, whereas the primary explanatory factor was nirK abundance in the OR. For NO fluxes, soil temperature was the most important explanatory variable. Our results demonstrate the need for comprehensive approaches incorporating nitrifying and denitrifying processes to improve our understanding of biogeochemical cycles.","container-title":"Applied Soil Ecology","DOI":"10.1016/j.apsoil.2017.08.004","ISSN":"0929-1393","journalAbbreviation":"Applied Soil Ecology","language":"en","page":"111-120","source":"ScienceDirect","title":"Effects of land-use change and fertilization on N2O and NO fluxes, the abundance of nitrifying and denitrifying microbial communities in a hilly red soil region of southern China","volume":"120","author":[{"family":"Wu","given":"Xing"},{"family":"Liu","given":"Huifeng"},{"family":"Fu","given":"Bojie"},{"family":"Wang","given":"Qing"},{"family":"Xu","given":"Ming"},{"family":"Wang","given":"Huiming"},{"family":"Yang","given":"Fengting"},{"family":"Liu","given":"Guohua"}],"issued":{"date-parts":[["2017",11,1]]}}}],"schema":"https://github.com/citation-style-language/schema/raw/master/csl-citation.json"} </w:instrText>
            </w:r>
            <w:r>
              <w:rPr>
                <w:rFonts w:hint="default" w:ascii="Times New Roman" w:hAnsi="Times New Roman" w:eastAsia="宋体" w:cs="Times New Roman"/>
                <w:i w:val="0"/>
                <w:iCs w:val="0"/>
                <w:color w:val="000000"/>
                <w:kern w:val="0"/>
                <w:sz w:val="18"/>
                <w:szCs w:val="18"/>
                <w:u w:val="none"/>
                <w:lang w:val="en-US" w:eastAsia="zh-CN" w:bidi="ar"/>
              </w:rPr>
              <w:fldChar w:fldCharType="separate"/>
            </w:r>
            <w:r>
              <w:rPr>
                <w:rFonts w:hint="default" w:ascii="Times New Roman" w:hAnsi="Times New Roman" w:cs="Times New Roman"/>
                <w:sz w:val="18"/>
                <w:lang w:eastAsia="zh-CN"/>
              </w:rPr>
              <w:t>(Wu et al., 2017a)</w:t>
            </w:r>
            <w:r>
              <w:rPr>
                <w:rFonts w:hint="default" w:ascii="Times New Roman" w:hAnsi="Times New Roman" w:eastAsia="宋体" w:cs="Times New Roman"/>
                <w:i w:val="0"/>
                <w:iCs w:val="0"/>
                <w:color w:val="000000"/>
                <w:kern w:val="0"/>
                <w:sz w:val="18"/>
                <w:szCs w:val="18"/>
                <w:u w:val="none"/>
                <w:lang w:val="en-US" w:eastAsia="zh-CN" w:bidi="ar"/>
              </w:rPr>
              <w:fldChar w:fldCharType="end"/>
            </w:r>
          </w:p>
        </w:tc>
        <w:tc>
          <w:tcPr>
            <w:tcW w:w="12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Jiangxi Province</w:t>
            </w:r>
          </w:p>
        </w:tc>
        <w:tc>
          <w:tcPr>
            <w:tcW w:w="12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115°04′E</w:t>
            </w:r>
          </w:p>
        </w:tc>
        <w:tc>
          <w:tcPr>
            <w:tcW w:w="111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26°44′N</w:t>
            </w:r>
          </w:p>
        </w:tc>
        <w:tc>
          <w:tcPr>
            <w:tcW w:w="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w:t>
            </w:r>
          </w:p>
        </w:tc>
        <w:tc>
          <w:tcPr>
            <w:tcW w:w="76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1509</w:t>
            </w:r>
          </w:p>
        </w:tc>
        <w:tc>
          <w:tcPr>
            <w:tcW w:w="116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subtropical</w:t>
            </w:r>
          </w:p>
        </w:tc>
        <w:tc>
          <w:tcPr>
            <w:tcW w:w="53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14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fldChar w:fldCharType="begin"/>
            </w:r>
            <w:r>
              <w:rPr>
                <w:rFonts w:hint="eastAsia" w:ascii="Times New Roman" w:hAnsi="Times New Roman" w:cs="Times New Roman"/>
                <w:i w:val="0"/>
                <w:iCs w:val="0"/>
                <w:color w:val="000000"/>
                <w:kern w:val="0"/>
                <w:sz w:val="18"/>
                <w:szCs w:val="18"/>
                <w:u w:val="none"/>
                <w:lang w:val="en-US" w:eastAsia="zh-CN" w:bidi="ar"/>
              </w:rPr>
              <w:instrText xml:space="preserve"> ADDIN ZOTERO_ITEM CSL_CITATION {"citationID":"g1Ad0KVR","properties":{"formattedCitation":"(Xie et al., 2017)","plainCitation":"(Xie et al., 2017)","noteIndex":0},"citationItems":[{"id":1710,"uris":["http://zotero.org/users/11805336/items/ZUUK8Z3Q"],"itemData":{"id":1710,"type":"article-journal","abstract":"Land use changes from cropland to orchards in Eastern China have raised serious concerns about the regional nitrogen (N) cycle and greenhouse gas balance. We measured soil nitrous oxide (N2O) emissions and methane (CH4) uptake using manual static chambers in an apple orchard. The primary aims were to assess the effect of N fertilizer application on gas fluxes and quantify the site-specific N2O emission factor (EFd). Field experiments were arranged in a randomized block design with three N input rates (0, 800 and 2600/2000 kg N ha−1 year−1). We found that orchard soils were a negligible CH4 sink (−1.1 to −0.4 kg C ha−1 year−1). Annual N2O emissions responded positively to N input rates, ranging from 34.1 to 60.3 kg N ha−1 year−1. EFd ranged from 1.00% to 1.65% with a mean of 1.34%. The extremely large background emissions of N2O (34.1–34.3 kg N ha−1 year−1) most likely originated from nitrate accumulation in the soil profile because of historical overuse of N fertilizer. We conclude that (1) site-specific EFd is suitable for assessing regional direct N2O emissions from upland orchards; and (2) conventional fertilization regimes must be avoided, and reduced N input rates are recommended in the study region.","container-title":"Atmosphere","DOI":"10.3390/atmos8100181","ISSN":"2073-4433","issue":"10","language":"en","license":"http://creativecommons.org/licenses/by/3.0/","note":"number: 10\npublisher: Multidisciplinary Digital Publishing Institute","page":"181","source":"www.mdpi.com","title":"Effects of N Fertilizer Application on Soil N2O Emissions and CH4 Uptake: A Two-Year Study in an Apple Orchard in Eastern China","title-short":"Effects of N Fertilizer Application on Soil N2O Emissions and CH4 Uptake","volume":"8","author":[{"family":"Xie","given":"Baohua"},{"family":"Gu","given":"Jiangxin"},{"family":"Yu","given":"Junbao"},{"family":"Han","given":"Guangxuan"},{"family":"Zheng","given":"Xunhua"},{"family":"Xu","given":"Yu"},{"family":"Lin","given":"Haitao"}],"issued":{"date-parts":[["2017",10]]}}}],"schema":"https://github.com/citation-style-language/schema/raw/master/csl-citation.json"} </w:instrText>
            </w:r>
            <w:r>
              <w:rPr>
                <w:rFonts w:hint="default" w:ascii="Times New Roman" w:hAnsi="Times New Roman" w:eastAsia="宋体" w:cs="Times New Roman"/>
                <w:i w:val="0"/>
                <w:iCs w:val="0"/>
                <w:color w:val="000000"/>
                <w:kern w:val="0"/>
                <w:sz w:val="18"/>
                <w:szCs w:val="18"/>
                <w:u w:val="none"/>
                <w:lang w:val="en-US" w:eastAsia="zh-CN" w:bidi="ar"/>
              </w:rPr>
              <w:fldChar w:fldCharType="separate"/>
            </w:r>
            <w:r>
              <w:rPr>
                <w:rFonts w:hint="default" w:ascii="Times New Roman" w:hAnsi="Times New Roman" w:cs="Times New Roman"/>
                <w:sz w:val="18"/>
                <w:lang w:eastAsia="zh-CN"/>
              </w:rPr>
              <w:t>(Xie et al., 2017)</w:t>
            </w:r>
            <w:r>
              <w:rPr>
                <w:rFonts w:hint="default" w:ascii="Times New Roman" w:hAnsi="Times New Roman" w:eastAsia="宋体" w:cs="Times New Roman"/>
                <w:i w:val="0"/>
                <w:iCs w:val="0"/>
                <w:color w:val="000000"/>
                <w:kern w:val="0"/>
                <w:sz w:val="18"/>
                <w:szCs w:val="18"/>
                <w:u w:val="none"/>
                <w:lang w:val="en-US" w:eastAsia="zh-CN" w:bidi="ar"/>
              </w:rPr>
              <w:fldChar w:fldCharType="end"/>
            </w:r>
          </w:p>
        </w:tc>
        <w:tc>
          <w:tcPr>
            <w:tcW w:w="12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Shandong province</w:t>
            </w:r>
          </w:p>
        </w:tc>
        <w:tc>
          <w:tcPr>
            <w:tcW w:w="12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120°45′E</w:t>
            </w:r>
          </w:p>
        </w:tc>
        <w:tc>
          <w:tcPr>
            <w:tcW w:w="111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37°490 N</w:t>
            </w:r>
          </w:p>
        </w:tc>
        <w:tc>
          <w:tcPr>
            <w:tcW w:w="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11.9</w:t>
            </w:r>
          </w:p>
        </w:tc>
        <w:tc>
          <w:tcPr>
            <w:tcW w:w="76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664</w:t>
            </w:r>
          </w:p>
        </w:tc>
        <w:tc>
          <w:tcPr>
            <w:tcW w:w="116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template</w:t>
            </w:r>
          </w:p>
        </w:tc>
        <w:tc>
          <w:tcPr>
            <w:tcW w:w="53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14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fldChar w:fldCharType="begin"/>
            </w:r>
            <w:r>
              <w:rPr>
                <w:rFonts w:hint="eastAsia" w:ascii="Times New Roman" w:hAnsi="Times New Roman" w:cs="Times New Roman"/>
                <w:i w:val="0"/>
                <w:iCs w:val="0"/>
                <w:color w:val="000000"/>
                <w:kern w:val="0"/>
                <w:sz w:val="18"/>
                <w:szCs w:val="18"/>
                <w:u w:val="none"/>
                <w:lang w:val="en-US" w:eastAsia="zh-CN" w:bidi="ar"/>
              </w:rPr>
              <w:instrText xml:space="preserve"> ADDIN ZOTERO_ITEM CSL_CITATION {"citationID":"V1h21aXB","properties":{"formattedCitation":"(Cheng et al., 2017)","plainCitation":"(Cheng et al., 2017)","noteIndex":0},"citationItems":[{"id":1711,"uris":["http://zotero.org/users/11805336/items/J7QKR2Y8"],"itemData":{"id":1711,"type":"article-journal","abstract":"In China, the rapid conversion of traditional rice-wheat rotation to orchard-induced management practices has resulted in changes in soil N2O and NO emissions. However, quantification of emissions from orchard fields characterized by a high rate of organic and chemical N fertilization application has not yet been widely carried out. In this study, we measured soil N2O and NO emissions from a typical peach orchard in the Taihu region over a 2-year period using a combination of static chamber and gas chromatography techniques. Four treatments were examined: organic manure alone (OM), chemical fertilizers alone (CF), organic manure plus chemical fertilizers (OF+CF), and no fertilizers as a control (CK). No significant effects of organic amendments×chemical fertilizer application on soil N2O and NO emissions were observed. The mean annual N2O emission over the 2-year period was 3.2kgNha−1 under CK treatment, and increased to 9.3, 10.3, and 20.1kgNha−1 under OF, CF and OF+CF treatment, respectively. In contrast, cumulative NO emissions were relatively low, ranging from 0.14 to 1.99kgNha−1yr−1. The NO emissions were enhanced by approximately eight fold following mineral fertilization application either alone or in combination with organic manure, and to a lesser extent (45%, nonsignificant) by organic manure application alone. Overall, NO accounted for approximately 14.5 and only 2.9% of the total (NO+N2O)-N emissions under CF and OF treatment, respectively. Over the 2-year observation period, the N2O emission factor averaged 1.69%, 1.32% and 1.86% and the NO emission factor averaged 0.03%, 0.27% and 0.17% under OF, CF and OF+CF treatment, respectively. Overall, our results suggest that fertilized peach orchard soil in the Taihu region is an important source of N2O emissions.","container-title":"Agriculture, Ecosystems &amp; Environment","DOI":"10.1016/j.agee.2017.06.015","ISSN":"0167-8809","journalAbbreviation":"Agriculture, Ecosystems &amp; Environment","language":"en","page":"202-209","source":"ScienceDirect","title":"Extremely high N2O but unexpectedly low NO emissions from a highly organic and chemical fertilized peach orchard system in China","volume":"246","author":[{"family":"Cheng","given":"Yi"},{"family":"Xie","given":"Wei"},{"family":"Huang","given":"Rong"},{"family":"Yan","given":"XiaoYuan"},{"family":"Wang","given":"ShenQiang"}],"issued":{"date-parts":[["2017",8,1]]}}}],"schema":"https://github.com/citation-style-language/schema/raw/master/csl-citation.json"} </w:instrText>
            </w:r>
            <w:r>
              <w:rPr>
                <w:rFonts w:hint="default" w:ascii="Times New Roman" w:hAnsi="Times New Roman" w:eastAsia="宋体" w:cs="Times New Roman"/>
                <w:i w:val="0"/>
                <w:iCs w:val="0"/>
                <w:color w:val="000000"/>
                <w:kern w:val="0"/>
                <w:sz w:val="18"/>
                <w:szCs w:val="18"/>
                <w:u w:val="none"/>
                <w:lang w:val="en-US" w:eastAsia="zh-CN" w:bidi="ar"/>
              </w:rPr>
              <w:fldChar w:fldCharType="separate"/>
            </w:r>
            <w:r>
              <w:rPr>
                <w:rFonts w:hint="default" w:ascii="Times New Roman" w:hAnsi="Times New Roman" w:cs="Times New Roman"/>
                <w:sz w:val="18"/>
                <w:lang w:eastAsia="zh-CN"/>
              </w:rPr>
              <w:t>(Cheng et al., 2017)</w:t>
            </w:r>
            <w:r>
              <w:rPr>
                <w:rFonts w:hint="default" w:ascii="Times New Roman" w:hAnsi="Times New Roman" w:eastAsia="宋体" w:cs="Times New Roman"/>
                <w:i w:val="0"/>
                <w:iCs w:val="0"/>
                <w:color w:val="000000"/>
                <w:kern w:val="0"/>
                <w:sz w:val="18"/>
                <w:szCs w:val="18"/>
                <w:u w:val="none"/>
                <w:lang w:val="en-US" w:eastAsia="zh-CN" w:bidi="ar"/>
              </w:rPr>
              <w:fldChar w:fldCharType="end"/>
            </w:r>
          </w:p>
        </w:tc>
        <w:tc>
          <w:tcPr>
            <w:tcW w:w="12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Jiangsu Province</w:t>
            </w:r>
          </w:p>
        </w:tc>
        <w:tc>
          <w:tcPr>
            <w:tcW w:w="12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119° 59′E</w:t>
            </w:r>
          </w:p>
        </w:tc>
        <w:tc>
          <w:tcPr>
            <w:tcW w:w="111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 28′N</w:t>
            </w:r>
          </w:p>
        </w:tc>
        <w:tc>
          <w:tcPr>
            <w:tcW w:w="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15.7</w:t>
            </w:r>
          </w:p>
        </w:tc>
        <w:tc>
          <w:tcPr>
            <w:tcW w:w="76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1177</w:t>
            </w:r>
          </w:p>
        </w:tc>
        <w:tc>
          <w:tcPr>
            <w:tcW w:w="116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subtropical</w:t>
            </w:r>
          </w:p>
        </w:tc>
        <w:tc>
          <w:tcPr>
            <w:tcW w:w="53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14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Marques et al., 2018</w:t>
            </w:r>
          </w:p>
        </w:tc>
        <w:tc>
          <w:tcPr>
            <w:tcW w:w="12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Nelas, Portugal</w:t>
            </w:r>
          </w:p>
        </w:tc>
        <w:tc>
          <w:tcPr>
            <w:tcW w:w="12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7°51′W</w:t>
            </w:r>
          </w:p>
        </w:tc>
        <w:tc>
          <w:tcPr>
            <w:tcW w:w="111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40°31′N</w:t>
            </w:r>
          </w:p>
        </w:tc>
        <w:tc>
          <w:tcPr>
            <w:tcW w:w="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14.15</w:t>
            </w:r>
          </w:p>
        </w:tc>
        <w:tc>
          <w:tcPr>
            <w:tcW w:w="76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1170</w:t>
            </w:r>
          </w:p>
        </w:tc>
        <w:tc>
          <w:tcPr>
            <w:tcW w:w="116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template</w:t>
            </w:r>
          </w:p>
        </w:tc>
        <w:tc>
          <w:tcPr>
            <w:tcW w:w="53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14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fldChar w:fldCharType="begin"/>
            </w:r>
            <w:r>
              <w:rPr>
                <w:rFonts w:hint="eastAsia" w:ascii="Times New Roman" w:hAnsi="Times New Roman" w:cs="Times New Roman"/>
                <w:i w:val="0"/>
                <w:iCs w:val="0"/>
                <w:color w:val="000000"/>
                <w:kern w:val="0"/>
                <w:sz w:val="18"/>
                <w:szCs w:val="18"/>
                <w:u w:val="none"/>
                <w:lang w:val="en-US" w:eastAsia="zh-CN" w:bidi="ar"/>
              </w:rPr>
              <w:instrText xml:space="preserve"> ADDIN ZOTERO_ITEM CSL_CITATION {"citationID":"oIIJKRKW","properties":{"formattedCitation":"(Rowlings et al., 2013)","plainCitation":"(Rowlings et al., 2013)","noteIndex":0},"citationItems":[{"id":1716,"uris":["http://zotero.org/users/11805336/items/6FH8RYVN"],"itemData":{"id":1716,"type":"article-journal","abstract":"Nitrous oxide emissions from intensive, fertilised agricultural systems have been identified as significant contributors to both Australia's and the global greenhouse gas (GHG) budget. This is expected to increase as rates of agriculture intensification and land use change accelerate to support population growth and food production. Limited data exists on N2O trace gas fluxes from subtropical or tropical tree cropping soils critical for the development of effective mitigation strategies. This study aimed to quantify GHG emissions over two consecutive years (March 2007 to March 2009) from a 30 year (lychee) orchard in the humid subtropical region of Australia. GHG fluxes were measured using a combination of high temporal resolution automated sampling and manually sampled chambers. No fertiliser was added to the plots during the 2007 measurement season. A split application of nitrogen fertiliser (urea) was added at the rate of 265kgNha−1 during the autumn and spring of 2008. Emissions of N2O were influenced by rainfall events and seasonal temperatures during 2007 and the fertilisation events in 2008. Annual N2O emissions from the lychee canopy increased from 1.7kgN2O–Nha−1yr−1 for 2007, to 7.6kgN2O–Nha−1yr−1 following fertiliser application in 2008. This represented an emission factor of 1.56%, corrected for background emissions. The timing of the split application was found to be critical to N2O emissions, with over twice as much lost following an application in spring (2.44%) compared to autumn (EF: 1.10%). This research suggests that avoiding fertiliser application during the hot and moist spring/summer period can reduce N2O losses without compromising yields.","container-title":"Agriculture, Ecosystems &amp; Environment","DOI":"10.1016/j.agee.2013.08.013","ISSN":"0167-8809","journalAbbreviation":"Agriculture, Ecosystems &amp; Environment","language":"en","page":"168-178","source":"ScienceDirect","title":"Influence of nitrogen fertiliser application and timing on greenhouse gas emissions from a lychee (&lt;i&gt;Litchi chinensis&lt;/i&gt;) orchard in humid subtropical Australia","volume":"179","author":[{"family":"Rowlings","given":"D. W."},{"family":"Grace","given":"P. R."},{"family":"Scheer","given":"C."},{"family":"Kiese","given":"R."}],"issued":{"date-parts":[["2013",10,1]]}}}],"schema":"https://github.com/citation-style-language/schema/raw/master/csl-citation.json"} </w:instrText>
            </w:r>
            <w:r>
              <w:rPr>
                <w:rFonts w:hint="default" w:ascii="Times New Roman" w:hAnsi="Times New Roman" w:eastAsia="宋体" w:cs="Times New Roman"/>
                <w:i w:val="0"/>
                <w:iCs w:val="0"/>
                <w:color w:val="000000"/>
                <w:kern w:val="0"/>
                <w:sz w:val="18"/>
                <w:szCs w:val="18"/>
                <w:u w:val="none"/>
                <w:lang w:val="en-US" w:eastAsia="zh-CN" w:bidi="ar"/>
              </w:rPr>
              <w:fldChar w:fldCharType="separate"/>
            </w:r>
            <w:r>
              <w:rPr>
                <w:rFonts w:hint="default" w:ascii="Times New Roman" w:hAnsi="Times New Roman" w:cs="Times New Roman"/>
                <w:sz w:val="18"/>
                <w:lang w:eastAsia="zh-CN"/>
              </w:rPr>
              <w:t>(Rowlings et al., 2013)</w:t>
            </w:r>
            <w:r>
              <w:rPr>
                <w:rFonts w:hint="default" w:ascii="Times New Roman" w:hAnsi="Times New Roman" w:eastAsia="宋体" w:cs="Times New Roman"/>
                <w:i w:val="0"/>
                <w:iCs w:val="0"/>
                <w:color w:val="000000"/>
                <w:kern w:val="0"/>
                <w:sz w:val="18"/>
                <w:szCs w:val="18"/>
                <w:u w:val="none"/>
                <w:lang w:val="en-US" w:eastAsia="zh-CN" w:bidi="ar"/>
              </w:rPr>
              <w:fldChar w:fldCharType="end"/>
            </w:r>
          </w:p>
        </w:tc>
        <w:tc>
          <w:tcPr>
            <w:tcW w:w="12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Brisbane, Australia</w:t>
            </w:r>
          </w:p>
        </w:tc>
        <w:tc>
          <w:tcPr>
            <w:tcW w:w="12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152°W</w:t>
            </w:r>
          </w:p>
        </w:tc>
        <w:tc>
          <w:tcPr>
            <w:tcW w:w="111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26°N</w:t>
            </w:r>
          </w:p>
        </w:tc>
        <w:tc>
          <w:tcPr>
            <w:tcW w:w="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19.9</w:t>
            </w:r>
          </w:p>
        </w:tc>
        <w:tc>
          <w:tcPr>
            <w:tcW w:w="76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1709</w:t>
            </w:r>
          </w:p>
        </w:tc>
        <w:tc>
          <w:tcPr>
            <w:tcW w:w="116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subtropical</w:t>
            </w:r>
          </w:p>
        </w:tc>
        <w:tc>
          <w:tcPr>
            <w:tcW w:w="53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0" w:hRule="atLeast"/>
          <w:jc w:val="center"/>
        </w:trPr>
        <w:tc>
          <w:tcPr>
            <w:tcW w:w="14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fldChar w:fldCharType="begin"/>
            </w:r>
            <w:r>
              <w:rPr>
                <w:rFonts w:hint="eastAsia" w:ascii="Times New Roman" w:hAnsi="Times New Roman" w:cs="Times New Roman"/>
                <w:i w:val="0"/>
                <w:iCs w:val="0"/>
                <w:color w:val="000000"/>
                <w:kern w:val="0"/>
                <w:sz w:val="18"/>
                <w:szCs w:val="18"/>
                <w:u w:val="none"/>
                <w:lang w:val="en-US" w:eastAsia="zh-CN" w:bidi="ar"/>
              </w:rPr>
              <w:instrText xml:space="preserve"> ADDIN ZOTERO_ITEM CSL_CITATION {"citationID":"S2u32zzi","properties":{"formattedCitation":"(Wang et al., 2018)","plainCitation":"(Wang et al., 2018)","noteIndex":0},"citationItems":[{"id":1715,"uris":["http://zotero.org/users/11805336/items/3NWYD97E"],"itemData":{"id":1715,"type":"article-journal","abstract":"【目的】探寻不同施氮处理对香梨园土壤N&lt;sub&gt;2&lt;/sub&gt;O排放的影响。【方法】在香梨年生育期内,采用静态箱-气相色谱法对6 a树龄的‘库尔勒香梨’园进行定位监测。设置5个施氮水平:不施肥（N0P0K0）、不施氮肥（N0PK）、低氮量150kg·hm&lt;sup&gt;-2&lt;/sup&gt;（N1PK）、中氮量300 kg·hm&lt;sup&gt;-2&lt;/sup&gt;（N2PK）、和高氮量450 kg·hm&lt;sup&gt;-2&lt;/sup&gt;（N3PK）。【结果】不同施氮处理N&lt;sub&gt;2&lt;/sub&gt;O排放通量在一天不同时段表现为夜间（20:00—8:00）&lt;上午（8:00—12:00）&lt;中午（12:00—16:00）&lt;下午（16:00—20:00）;N&lt;sub&gt;2&lt;/sub&gt;O排放日累积量表现为:夜间&lt;白天。不同施氮处理（N0P0K0、N0PK、N1PK、N2PK、N3PK）年生育期土壤N&lt;sub&gt;2&lt;/sub&gt;O累积量分别为341.616、346.548、437.000、459.748、531.960 g·hm&lt;sup&gt;-2&lt;/sup&gt;·a-1。施氮量在450 kg·hm&lt;sup&gt;-2&lt;/sup&gt;时,N&lt;sub&gt;2&lt;/sub&gt;O排放通量（下午）、日累积量、年生育期累积量均显著大于其他各处理。温度、灌水、施用氮肥均能影响土壤N&lt;sub&gt;2&lt;/sub&gt;O的排放,其中施用氮肥对土壤N&lt;sub&gt;2&lt;/sub&gt;O的排放影响最大,土壤N&lt;sub&gt;2&lt;/sub&gt;O的排放量随着施氮量的增加而增加。施氮量为150、300和450 kg·hm&lt;sup&gt;-2&lt;/sup&gt;时,N&lt;sub&gt;2&lt;/sub&gt;O排放系数分别为0.060%、0.038%和0.041%。【结论】随着氮肥（尿素）施用量的增加,N&lt;sub&gt;2&lt;/sub&gt;O排放系数先减小再增大,在尿素施用量为300kg·hm&lt;sup&gt;-2&lt;/sup&gt;（纯N）时,土壤N&lt;sub&gt;2&lt;/sub&gt;O排放系数最小（0.038%）。","container-title":"Journal of Fruit Science","DOI":"10.13925/j.cnki.gsxb.20180167","ISSN":"1009-9980","issue":"11","language":"zh","page":"1353-1362","source":"CNKI","title":"Effects of different nitrogen application levels on nitrous oxide emission from the soil of a‘Kuerlexiangli’ pear orchard","volume":"35","author":[{"family":"Wang","given":"Cheng"},{"family":"Chen","given":"Bolang"},{"family":"Yusufujiang","given":"Yusuyin"},{"family":"Wang","given":"Qiandeng"},{"family":"Chai","given":"Zhongping"},{"family":"Liu","given":"Xueyan"}],"issued":{"date-parts":[["2018"]]}}}],"schema":"https://github.com/citation-style-language/schema/raw/master/csl-citation.json"} </w:instrText>
            </w:r>
            <w:r>
              <w:rPr>
                <w:rFonts w:hint="default" w:ascii="Times New Roman" w:hAnsi="Times New Roman" w:eastAsia="宋体" w:cs="Times New Roman"/>
                <w:i w:val="0"/>
                <w:iCs w:val="0"/>
                <w:color w:val="000000"/>
                <w:kern w:val="0"/>
                <w:sz w:val="18"/>
                <w:szCs w:val="18"/>
                <w:u w:val="none"/>
                <w:lang w:val="en-US" w:eastAsia="zh-CN" w:bidi="ar"/>
              </w:rPr>
              <w:fldChar w:fldCharType="separate"/>
            </w:r>
            <w:r>
              <w:rPr>
                <w:rFonts w:hint="default" w:ascii="Times New Roman" w:hAnsi="Times New Roman" w:cs="Times New Roman"/>
                <w:sz w:val="18"/>
                <w:lang w:eastAsia="zh-CN"/>
              </w:rPr>
              <w:t>(Wang et al., 2018)</w:t>
            </w:r>
            <w:r>
              <w:rPr>
                <w:rFonts w:hint="default" w:ascii="Times New Roman" w:hAnsi="Times New Roman" w:eastAsia="宋体" w:cs="Times New Roman"/>
                <w:i w:val="0"/>
                <w:iCs w:val="0"/>
                <w:color w:val="000000"/>
                <w:kern w:val="0"/>
                <w:sz w:val="18"/>
                <w:szCs w:val="18"/>
                <w:u w:val="none"/>
                <w:lang w:val="en-US" w:eastAsia="zh-CN" w:bidi="ar"/>
              </w:rPr>
              <w:fldChar w:fldCharType="end"/>
            </w:r>
          </w:p>
        </w:tc>
        <w:tc>
          <w:tcPr>
            <w:tcW w:w="1269"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The Xinjiang Uygur</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Autonomous Region</w:t>
            </w:r>
          </w:p>
        </w:tc>
        <w:tc>
          <w:tcPr>
            <w:tcW w:w="12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86°04′22″ E</w:t>
            </w:r>
          </w:p>
        </w:tc>
        <w:tc>
          <w:tcPr>
            <w:tcW w:w="111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41°48′21″ N</w:t>
            </w:r>
          </w:p>
        </w:tc>
        <w:tc>
          <w:tcPr>
            <w:tcW w:w="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11.15</w:t>
            </w:r>
          </w:p>
        </w:tc>
        <w:tc>
          <w:tcPr>
            <w:tcW w:w="76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55</w:t>
            </w:r>
          </w:p>
        </w:tc>
        <w:tc>
          <w:tcPr>
            <w:tcW w:w="116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template</w:t>
            </w:r>
          </w:p>
        </w:tc>
        <w:tc>
          <w:tcPr>
            <w:tcW w:w="53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14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fldChar w:fldCharType="begin"/>
            </w:r>
            <w:r>
              <w:rPr>
                <w:rFonts w:hint="eastAsia" w:ascii="Times New Roman" w:hAnsi="Times New Roman" w:cs="Times New Roman"/>
                <w:i w:val="0"/>
                <w:iCs w:val="0"/>
                <w:color w:val="000000"/>
                <w:kern w:val="0"/>
                <w:sz w:val="18"/>
                <w:szCs w:val="18"/>
                <w:u w:val="none"/>
                <w:lang w:val="en-US" w:eastAsia="zh-CN" w:bidi="ar"/>
              </w:rPr>
              <w:instrText xml:space="preserve"> ADDIN ZOTERO_ITEM CSL_CITATION {"citationID":"NA2hgQVL","properties":{"formattedCitation":"(Zhu et al., 2015)","plainCitation":"(Zhu et al., 2015)","noteIndex":0},"citationItems":[{"id":1718,"uris":["http://zotero.org/users/11805336/items/PTVAZUVI"],"itemData":{"id":1718,"type":"article-journal","abstract":"In this study, we quantified N2O fluxes from banana plantations in China using a field experiment as well as static chamber and gas chromatography techniques. We utilized five levels of urea treatments, including CK (no urea addition); urea addition at a rate of 312 (U1), 415 (U2), 519 (U3), and 623 kg N ha−1 (U4); and a combination of urea (U3) and urease (NBPT) and nitrification (DCD) inhibitor (U3 + I) treatments. Soil temperature, moisture, and the concentrations of NH4+ and NO3− have been monitored throughout the study. Compared to CK (11.8 μg m−2 h−1 and 14.2 t ha−1, respectively), urea addition significantly increased N2O emission fluxes and banana yields (88.2–177 μg m−2 h−1 and 19.4–25.0 t ha−1, respectively). The stimulation effect of urea on N2O emissions was significantly higher than its effect on banana yield. N2O emission occurred in pulses during banana cultivation due to repeated topdressing. The cumulative N2O emissions and N2O emission factor of urea applied in banana plantations were estimated to be 6.39–12.8 kg N ha−1 and 1.46–2.31 %, respectively. Notably, N2O emissions were significantly positively correlated with urea application rate, temperature, and NH4+ levels, suggesting that temperature and NH4+ availability are the most important factors controlling N2O emissions in tropical banana plantations. Combined NBPT and DCD treatment greatly reduced N2O emissions (by 65.4 %) and increased banana yields (by 4.5 %).","container-title":"Biology and Fertility of Soils","DOI":"10.1007/s00374-015-1018-z","ISSN":"1432-0789","issue":"6","journalAbbreviation":"Biol Fertil Soils","language":"en","page":"673-683","source":"Springer Link","title":"N2O emissions from banana plantations in tropical China as affected by the application rates of urea and a urease/nitrification inhibitor","volume":"51","author":[{"family":"Zhu","given":"Tongbin"},{"family":"Zhang","given":"Junhua"},{"family":"Huang","given":"Ping"},{"family":"Suo","given":"Long"},{"family":"Wang","given":"Cong"},{"family":"Ding","given":"Weixin"},{"family":"Meng","given":"Lei"},{"family":"Zhou","given":"Kexin"},{"family":"Hu","given":"Zhewei"}],"issued":{"date-parts":[["2015",8,1]]}}}],"schema":"https://github.com/citation-style-language/schema/raw/master/csl-citation.json"} </w:instrText>
            </w:r>
            <w:r>
              <w:rPr>
                <w:rFonts w:hint="default" w:ascii="Times New Roman" w:hAnsi="Times New Roman" w:eastAsia="宋体" w:cs="Times New Roman"/>
                <w:i w:val="0"/>
                <w:iCs w:val="0"/>
                <w:color w:val="000000"/>
                <w:kern w:val="0"/>
                <w:sz w:val="18"/>
                <w:szCs w:val="18"/>
                <w:u w:val="none"/>
                <w:lang w:val="en-US" w:eastAsia="zh-CN" w:bidi="ar"/>
              </w:rPr>
              <w:fldChar w:fldCharType="separate"/>
            </w:r>
            <w:r>
              <w:rPr>
                <w:rFonts w:hint="default" w:ascii="Times New Roman" w:hAnsi="Times New Roman" w:cs="Times New Roman"/>
                <w:sz w:val="18"/>
                <w:lang w:eastAsia="zh-CN"/>
              </w:rPr>
              <w:t>(Zhu et al., 2015)</w:t>
            </w:r>
            <w:r>
              <w:rPr>
                <w:rFonts w:hint="default" w:ascii="Times New Roman" w:hAnsi="Times New Roman" w:eastAsia="宋体" w:cs="Times New Roman"/>
                <w:i w:val="0"/>
                <w:iCs w:val="0"/>
                <w:color w:val="000000"/>
                <w:kern w:val="0"/>
                <w:sz w:val="18"/>
                <w:szCs w:val="18"/>
                <w:u w:val="none"/>
                <w:lang w:val="en-US" w:eastAsia="zh-CN" w:bidi="ar"/>
              </w:rPr>
              <w:fldChar w:fldCharType="end"/>
            </w:r>
          </w:p>
        </w:tc>
        <w:tc>
          <w:tcPr>
            <w:tcW w:w="12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Hainan Province</w:t>
            </w:r>
          </w:p>
        </w:tc>
        <w:tc>
          <w:tcPr>
            <w:tcW w:w="12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109°29' E</w:t>
            </w:r>
          </w:p>
        </w:tc>
        <w:tc>
          <w:tcPr>
            <w:tcW w:w="111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19° 30′ N</w:t>
            </w:r>
          </w:p>
        </w:tc>
        <w:tc>
          <w:tcPr>
            <w:tcW w:w="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23.5</w:t>
            </w:r>
          </w:p>
        </w:tc>
        <w:tc>
          <w:tcPr>
            <w:tcW w:w="76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1815</w:t>
            </w:r>
          </w:p>
        </w:tc>
        <w:tc>
          <w:tcPr>
            <w:tcW w:w="116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tropical</w:t>
            </w:r>
          </w:p>
        </w:tc>
        <w:tc>
          <w:tcPr>
            <w:tcW w:w="53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5" w:hRule="atLeast"/>
          <w:jc w:val="center"/>
        </w:trPr>
        <w:tc>
          <w:tcPr>
            <w:tcW w:w="1407"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fldChar w:fldCharType="begin"/>
            </w:r>
            <w:r>
              <w:rPr>
                <w:rFonts w:hint="eastAsia" w:ascii="Times New Roman" w:hAnsi="Times New Roman" w:cs="Times New Roman"/>
                <w:i w:val="0"/>
                <w:iCs w:val="0"/>
                <w:color w:val="000000"/>
                <w:kern w:val="0"/>
                <w:sz w:val="18"/>
                <w:szCs w:val="18"/>
                <w:u w:val="none"/>
                <w:lang w:val="en-US" w:eastAsia="zh-CN" w:bidi="ar"/>
              </w:rPr>
              <w:instrText xml:space="preserve"> ADDIN ZOTERO_ITEM CSL_CITATION {"citationID":"qD5S6d5X","properties":{"formattedCitation":"(Wu et al., 2017b)","plainCitation":"(Wu et al., 2017b)","noteIndex":0},"citationItems":[{"id":1721,"uris":["http://zotero.org/users/11805336/items/QGPV542X"],"itemData":{"id":1721,"type":"article-journal","abstract":"Land-use conversion and fertilization have been widely reported as important management practices affecting CH4 and N2O fluxes; however, few long-term in situ measurements are available after land-use conversion from rice paddies to upland cultivation, especially those including the initial stages after conversion. A 3-year field experiment was conducted in rice paddies and a newly converted citrus orchard to measure CH4 and N2O fluxes in response to land-use conversion and fertilization in a red soil region of southern China. Annual CH4 and N2O emissions averaged 303.9 kg C ha−1 and 3.8 kg N ha−1, respectively, for the rice paddies over three cultivation years. Although annual N2O emissions increased two- to threefold after the conversion of rice paddies to citrus orchard, the substantial reduction in CH4 emissions and even shift into a sink for atmospheric CH4 led to significantly lower CO2-eq emissions of CH4 and N2O in the citrus orchard compared to the rice paddies. Moreover, distinct CH4 emissions were observed during the initial stages and sustained for several weeks after conversion. Our results indicated that the conversion of rice paddies to citrus orchards in this region for higher economic benefits may also lead to lower aggregate CH4 and N2O emissions.","container-title":"Scientific Reports","DOI":"10.1038/s41598-017-10806-z","ISSN":"2045-2322","issue":"1","journalAbbreviation":"Sci Rep","language":"en","license":"2017 The Author(s)","note":"publisher: Nature Publishing Group","page":"10571","source":"www.nature.com","title":"Responses of CH4 and N2O fluxes to land-use conversion and fertilization in a typical red soil region of southern China","volume":"7","author":[{"family":"Wu","given":"Xing"},{"family":"Liu","given":"Huifeng"},{"family":"Zheng","given":"Xunhua"},{"family":"Lu","given":"Fei"},{"family":"Wang","given":"Shuai"},{"family":"Li","given":"Zongshan"},{"family":"Liu","given":"Guohua"},{"family":"Fu","given":"Bojie"}],"issued":{"date-parts":[["2017",9,5]]}}}],"schema":"https://github.com/citation-style-language/schema/raw/master/csl-citation.json"} </w:instrText>
            </w:r>
            <w:r>
              <w:rPr>
                <w:rFonts w:hint="default" w:ascii="Times New Roman" w:hAnsi="Times New Roman" w:eastAsia="宋体" w:cs="Times New Roman"/>
                <w:i w:val="0"/>
                <w:iCs w:val="0"/>
                <w:color w:val="000000"/>
                <w:kern w:val="0"/>
                <w:sz w:val="18"/>
                <w:szCs w:val="18"/>
                <w:u w:val="none"/>
                <w:lang w:val="en-US" w:eastAsia="zh-CN" w:bidi="ar"/>
              </w:rPr>
              <w:fldChar w:fldCharType="separate"/>
            </w:r>
            <w:r>
              <w:rPr>
                <w:rFonts w:hint="default" w:ascii="Times New Roman" w:hAnsi="Times New Roman" w:cs="Times New Roman"/>
                <w:sz w:val="18"/>
                <w:lang w:eastAsia="zh-CN"/>
              </w:rPr>
              <w:t>(Wu et al., 2017b)</w:t>
            </w:r>
            <w:r>
              <w:rPr>
                <w:rFonts w:hint="default" w:ascii="Times New Roman" w:hAnsi="Times New Roman" w:eastAsia="宋体" w:cs="Times New Roman"/>
                <w:i w:val="0"/>
                <w:iCs w:val="0"/>
                <w:color w:val="000000"/>
                <w:kern w:val="0"/>
                <w:sz w:val="18"/>
                <w:szCs w:val="18"/>
                <w:u w:val="none"/>
                <w:lang w:val="en-US" w:eastAsia="zh-CN" w:bidi="ar"/>
              </w:rPr>
              <w:fldChar w:fldCharType="end"/>
            </w:r>
          </w:p>
        </w:tc>
        <w:tc>
          <w:tcPr>
            <w:tcW w:w="1269"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Jiangxi Province</w:t>
            </w:r>
          </w:p>
        </w:tc>
        <w:tc>
          <w:tcPr>
            <w:tcW w:w="1257"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115°04′E</w:t>
            </w:r>
          </w:p>
        </w:tc>
        <w:tc>
          <w:tcPr>
            <w:tcW w:w="1114"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26°44′N</w:t>
            </w:r>
          </w:p>
        </w:tc>
        <w:tc>
          <w:tcPr>
            <w:tcW w:w="680"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w:t>
            </w:r>
          </w:p>
        </w:tc>
        <w:tc>
          <w:tcPr>
            <w:tcW w:w="767"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1509</w:t>
            </w:r>
          </w:p>
        </w:tc>
        <w:tc>
          <w:tcPr>
            <w:tcW w:w="1165"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subtropical</w:t>
            </w:r>
          </w:p>
        </w:tc>
        <w:tc>
          <w:tcPr>
            <w:tcW w:w="536"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r>
    </w:tbl>
    <w:p>
      <w:r>
        <w:br w:type="page"/>
      </w:r>
    </w:p>
    <w:p>
      <w:pPr>
        <w:widowControl/>
        <w:suppressLineNumbers w:val="0"/>
        <w:jc w:val="center"/>
      </w:pPr>
      <w:r>
        <w:drawing>
          <wp:inline distT="0" distB="0" distL="0" distR="0">
            <wp:extent cx="5274310" cy="288480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274310" cy="2884805"/>
                    </a:xfrm>
                    <a:prstGeom prst="rect">
                      <a:avLst/>
                    </a:prstGeom>
                    <a:noFill/>
                    <a:ln>
                      <a:noFill/>
                    </a:ln>
                  </pic:spPr>
                </pic:pic>
              </a:graphicData>
            </a:graphic>
          </wp:inline>
        </w:drawing>
      </w:r>
    </w:p>
    <w:p>
      <w:pPr>
        <w:keepNext w:val="0"/>
        <w:keepLines w:val="0"/>
        <w:pageBreakBefore w:val="0"/>
        <w:widowControl w:val="0"/>
        <w:suppressLineNumbers w:val="0"/>
        <w:kinsoku/>
        <w:wordWrap/>
        <w:overflowPunct/>
        <w:topLinePunct w:val="0"/>
        <w:autoSpaceDE/>
        <w:autoSpaceDN/>
        <w:bidi w:val="0"/>
        <w:adjustRightInd/>
        <w:snapToGrid/>
        <w:spacing w:line="480" w:lineRule="auto"/>
        <w:jc w:val="center"/>
        <w:textAlignment w:val="auto"/>
        <w:rPr>
          <w:rFonts w:hint="eastAsia" w:eastAsia="宋体"/>
          <w:sz w:val="24"/>
          <w:szCs w:val="32"/>
          <w:lang w:eastAsia="zh-CN"/>
        </w:rPr>
      </w:pPr>
      <w:bookmarkStart w:id="6" w:name="OLE_LINK2"/>
      <w:r>
        <w:rPr>
          <w:rFonts w:ascii="Times New Roman" w:hAnsi="Times New Roman"/>
          <w:sz w:val="24"/>
          <w:szCs w:val="24"/>
        </w:rPr>
        <w:t>Fig. S1</w:t>
      </w:r>
      <w:bookmarkEnd w:id="6"/>
      <w:r>
        <w:rPr>
          <w:rFonts w:ascii="Times New Roman" w:hAnsi="Times New Roman"/>
          <w:sz w:val="24"/>
          <w:szCs w:val="24"/>
        </w:rPr>
        <w:t xml:space="preserve"> Daily precipitation, maximum temperature and minimum temperature during experiment period.</w:t>
      </w:r>
      <w:r>
        <w:rPr>
          <w:sz w:val="24"/>
          <w:szCs w:val="32"/>
        </w:rPr>
        <w:br w:type="page"/>
      </w:r>
    </w:p>
    <w:p>
      <w:pPr>
        <w:rPr>
          <w:rFonts w:hint="eastAsia" w:ascii="Times New Roman" w:hAnsi="Times New Roman" w:eastAsia="宋体"/>
          <w:lang w:eastAsia="zh-CN"/>
        </w:rPr>
      </w:pPr>
      <w:r>
        <w:rPr>
          <w:rFonts w:hint="eastAsia" w:ascii="Times New Roman" w:hAnsi="Times New Roman" w:eastAsia="宋体"/>
          <w:lang w:eastAsia="zh-CN"/>
        </w:rPr>
        <w:drawing>
          <wp:inline distT="0" distB="0" distL="114300" distR="114300">
            <wp:extent cx="5270500" cy="4031615"/>
            <wp:effectExtent l="0" t="0" r="2540" b="6985"/>
            <wp:docPr id="6" name="图片 6" descr="树龄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树龄1"/>
                    <pic:cNvPicPr>
                      <a:picLocks noChangeAspect="1"/>
                    </pic:cNvPicPr>
                  </pic:nvPicPr>
                  <pic:blipFill>
                    <a:blip r:embed="rId28"/>
                    <a:stretch>
                      <a:fillRect/>
                    </a:stretch>
                  </pic:blipFill>
                  <pic:spPr>
                    <a:xfrm>
                      <a:off x="0" y="0"/>
                      <a:ext cx="5270500" cy="403161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sz w:val="24"/>
          <w:szCs w:val="32"/>
        </w:rPr>
      </w:pPr>
      <w:r>
        <w:rPr>
          <w:rFonts w:ascii="Times New Roman" w:hAnsi="Times New Roman"/>
          <w:sz w:val="24"/>
          <w:szCs w:val="32"/>
        </w:rPr>
        <w:t>Fig. S</w:t>
      </w:r>
      <w:r>
        <w:rPr>
          <w:rFonts w:hint="eastAsia" w:ascii="Times New Roman" w:hAnsi="Times New Roman"/>
          <w:sz w:val="24"/>
          <w:szCs w:val="32"/>
          <w:lang w:val="en-US" w:eastAsia="zh-CN"/>
        </w:rPr>
        <w:t>2</w:t>
      </w:r>
      <w:r>
        <w:rPr>
          <w:rFonts w:ascii="Times New Roman" w:hAnsi="Times New Roman"/>
          <w:sz w:val="24"/>
          <w:szCs w:val="32"/>
        </w:rPr>
        <w:t xml:space="preserve"> </w:t>
      </w:r>
      <w:bookmarkStart w:id="7" w:name="OLE_LINK4"/>
      <w:r>
        <w:rPr>
          <w:rFonts w:hint="eastAsia" w:ascii="Times New Roman" w:hAnsi="Times New Roman"/>
          <w:sz w:val="24"/>
          <w:szCs w:val="32"/>
        </w:rPr>
        <w:t>Effects of nitrogen fertilizer on soil NH</w:t>
      </w:r>
      <w:r>
        <w:rPr>
          <w:rFonts w:hint="eastAsia" w:ascii="Times New Roman" w:hAnsi="Times New Roman"/>
          <w:sz w:val="24"/>
          <w:szCs w:val="32"/>
          <w:vertAlign w:val="subscript"/>
        </w:rPr>
        <w:t>4</w:t>
      </w:r>
      <w:r>
        <w:rPr>
          <w:rFonts w:hint="eastAsia" w:ascii="Times New Roman" w:hAnsi="Times New Roman"/>
          <w:sz w:val="24"/>
          <w:szCs w:val="32"/>
          <w:vertAlign w:val="superscript"/>
        </w:rPr>
        <w:t>+</w:t>
      </w:r>
      <w:r>
        <w:rPr>
          <w:rFonts w:hint="eastAsia" w:ascii="Times New Roman" w:hAnsi="Times New Roman"/>
          <w:sz w:val="24"/>
          <w:szCs w:val="32"/>
        </w:rPr>
        <w:t>-N, NO</w:t>
      </w:r>
      <w:r>
        <w:rPr>
          <w:rFonts w:hint="eastAsia" w:ascii="Times New Roman" w:hAnsi="Times New Roman"/>
          <w:sz w:val="24"/>
          <w:szCs w:val="32"/>
          <w:vertAlign w:val="subscript"/>
        </w:rPr>
        <w:t>3</w:t>
      </w:r>
      <w:r>
        <w:rPr>
          <w:rFonts w:hint="eastAsia" w:ascii="Times New Roman" w:hAnsi="Times New Roman"/>
          <w:sz w:val="24"/>
          <w:szCs w:val="32"/>
          <w:vertAlign w:val="superscript"/>
        </w:rPr>
        <w:t>-</w:t>
      </w:r>
      <w:r>
        <w:rPr>
          <w:rFonts w:hint="eastAsia" w:ascii="Times New Roman" w:hAnsi="Times New Roman"/>
          <w:sz w:val="24"/>
          <w:szCs w:val="32"/>
        </w:rPr>
        <w:t>-N</w:t>
      </w:r>
      <w:r>
        <w:rPr>
          <w:rFonts w:hint="eastAsia" w:ascii="Times New Roman" w:hAnsi="Times New Roman"/>
          <w:sz w:val="24"/>
          <w:szCs w:val="32"/>
          <w:lang w:val="en-US" w:eastAsia="zh-CN"/>
        </w:rPr>
        <w:t xml:space="preserve"> and</w:t>
      </w:r>
      <w:r>
        <w:rPr>
          <w:rFonts w:hint="eastAsia" w:ascii="Times New Roman" w:hAnsi="Times New Roman"/>
          <w:sz w:val="24"/>
          <w:szCs w:val="32"/>
        </w:rPr>
        <w:t xml:space="preserve"> N</w:t>
      </w:r>
      <w:r>
        <w:rPr>
          <w:rFonts w:hint="eastAsia" w:ascii="Times New Roman" w:hAnsi="Times New Roman"/>
          <w:sz w:val="24"/>
          <w:szCs w:val="32"/>
          <w:vertAlign w:val="subscript"/>
        </w:rPr>
        <w:t>2</w:t>
      </w:r>
      <w:r>
        <w:rPr>
          <w:rFonts w:hint="eastAsia" w:ascii="Times New Roman" w:hAnsi="Times New Roman"/>
          <w:sz w:val="24"/>
          <w:szCs w:val="32"/>
        </w:rPr>
        <w:t>O in orchards of different ages. The error bar represents a 95% confidence interval (</w:t>
      </w:r>
      <w:r>
        <w:rPr>
          <w:rFonts w:hint="eastAsia" w:ascii="Times New Roman" w:hAnsi="Times New Roman"/>
          <w:sz w:val="24"/>
          <w:szCs w:val="32"/>
          <w:lang w:val="en-US" w:eastAsia="zh-CN"/>
        </w:rPr>
        <w:t>CI</w:t>
      </w:r>
      <w:r>
        <w:rPr>
          <w:rFonts w:hint="eastAsia" w:ascii="Times New Roman" w:hAnsi="Times New Roman"/>
          <w:sz w:val="24"/>
          <w:szCs w:val="32"/>
        </w:rPr>
        <w:t>). The number of observations is shown next to the right Y-axis. a, age.</w:t>
      </w:r>
      <w:bookmarkEnd w:id="7"/>
      <w:r>
        <w:rPr>
          <w:rFonts w:ascii="Times New Roman" w:hAnsi="Times New Roman"/>
          <w:sz w:val="24"/>
          <w:szCs w:val="32"/>
        </w:rPr>
        <w:br w:type="page"/>
      </w:r>
    </w:p>
    <w:p>
      <w:pPr>
        <w:suppressLineNumbers w:val="0"/>
        <w:jc w:val="center"/>
        <w:rPr>
          <w:rFonts w:ascii="Times New Roman" w:hAnsi="Times New Roman"/>
        </w:rPr>
      </w:pPr>
      <w:r>
        <w:rPr>
          <w:rFonts w:ascii="Times New Roman" w:hAnsi="Times New Roman"/>
        </w:rPr>
        <w:drawing>
          <wp:inline distT="0" distB="0" distL="0" distR="0">
            <wp:extent cx="3784600" cy="4540250"/>
            <wp:effectExtent l="0" t="0" r="1016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3784600" cy="4540250"/>
                    </a:xfrm>
                    <a:prstGeom prst="rect">
                      <a:avLst/>
                    </a:prstGeom>
                    <a:noFill/>
                    <a:ln>
                      <a:noFill/>
                    </a:ln>
                  </pic:spPr>
                </pic:pic>
              </a:graphicData>
            </a:graphic>
          </wp:inline>
        </w:drawing>
      </w:r>
    </w:p>
    <w:p>
      <w:pPr>
        <w:keepNext w:val="0"/>
        <w:keepLines w:val="0"/>
        <w:pageBreakBefore w:val="0"/>
        <w:widowControl w:val="0"/>
        <w:suppressLineNumbers w:val="0"/>
        <w:kinsoku/>
        <w:wordWrap/>
        <w:overflowPunct/>
        <w:topLinePunct w:val="0"/>
        <w:autoSpaceDE/>
        <w:autoSpaceDN/>
        <w:bidi w:val="0"/>
        <w:adjustRightInd/>
        <w:snapToGrid/>
        <w:spacing w:line="480" w:lineRule="auto"/>
        <w:jc w:val="center"/>
        <w:textAlignment w:val="auto"/>
      </w:pPr>
      <w:r>
        <w:rPr>
          <w:rFonts w:ascii="Times New Roman" w:hAnsi="Times New Roman"/>
          <w:sz w:val="24"/>
          <w:szCs w:val="32"/>
        </w:rPr>
        <w:t>Fig. S</w:t>
      </w:r>
      <w:r>
        <w:rPr>
          <w:rFonts w:hint="eastAsia" w:ascii="Times New Roman" w:hAnsi="Times New Roman"/>
          <w:sz w:val="24"/>
          <w:szCs w:val="32"/>
          <w:lang w:val="en-US" w:eastAsia="zh-CN"/>
        </w:rPr>
        <w:t>3</w:t>
      </w:r>
      <w:r>
        <w:rPr>
          <w:rFonts w:ascii="Times New Roman" w:hAnsi="Times New Roman"/>
          <w:sz w:val="24"/>
          <w:szCs w:val="32"/>
        </w:rPr>
        <w:t xml:space="preserve"> S</w:t>
      </w:r>
      <w:r>
        <w:rPr>
          <w:rFonts w:hint="eastAsia" w:ascii="Times New Roman" w:hAnsi="Times New Roman"/>
          <w:sz w:val="24"/>
          <w:szCs w:val="32"/>
        </w:rPr>
        <w:t xml:space="preserve">oil </w:t>
      </w:r>
      <w:r>
        <w:rPr>
          <w:rFonts w:ascii="Times New Roman" w:hAnsi="Times New Roman"/>
          <w:sz w:val="24"/>
          <w:szCs w:val="32"/>
        </w:rPr>
        <w:t>N</w:t>
      </w:r>
      <w:r>
        <w:rPr>
          <w:rFonts w:ascii="Times New Roman" w:hAnsi="Times New Roman"/>
          <w:sz w:val="24"/>
          <w:szCs w:val="32"/>
          <w:vertAlign w:val="subscript"/>
        </w:rPr>
        <w:t>2</w:t>
      </w:r>
      <w:r>
        <w:rPr>
          <w:rFonts w:ascii="Times New Roman" w:hAnsi="Times New Roman"/>
          <w:sz w:val="24"/>
          <w:szCs w:val="32"/>
        </w:rPr>
        <w:t xml:space="preserve">O </w:t>
      </w:r>
      <w:r>
        <w:rPr>
          <w:rFonts w:hint="eastAsia" w:ascii="Times New Roman" w:hAnsi="Times New Roman"/>
          <w:sz w:val="24"/>
          <w:szCs w:val="32"/>
        </w:rPr>
        <w:t xml:space="preserve">fluxes and </w:t>
      </w:r>
      <w:r>
        <w:rPr>
          <w:rFonts w:ascii="Times New Roman" w:hAnsi="Times New Roman"/>
          <w:sz w:val="24"/>
          <w:szCs w:val="32"/>
        </w:rPr>
        <w:t xml:space="preserve">WFPS </w:t>
      </w:r>
      <w:r>
        <w:rPr>
          <w:rFonts w:hint="eastAsia" w:ascii="Times New Roman" w:hAnsi="Times New Roman"/>
          <w:sz w:val="24"/>
          <w:szCs w:val="32"/>
        </w:rPr>
        <w:t>of non</w:t>
      </w:r>
      <w:r>
        <w:rPr>
          <w:rFonts w:ascii="Times New Roman" w:hAnsi="Times New Roman"/>
          <w:sz w:val="24"/>
          <w:szCs w:val="32"/>
        </w:rPr>
        <w:t>-</w:t>
      </w:r>
      <w:r>
        <w:rPr>
          <w:rFonts w:hint="eastAsia" w:ascii="Times New Roman" w:hAnsi="Times New Roman"/>
          <w:sz w:val="24"/>
          <w:szCs w:val="32"/>
        </w:rPr>
        <w:t>fertilized</w:t>
      </w:r>
      <w:r>
        <w:rPr>
          <w:rFonts w:ascii="Times New Roman" w:hAnsi="Times New Roman"/>
          <w:sz w:val="24"/>
          <w:szCs w:val="32"/>
        </w:rPr>
        <w:t xml:space="preserve"> </w:t>
      </w:r>
      <w:r>
        <w:rPr>
          <w:rFonts w:hint="eastAsia" w:ascii="Times New Roman" w:hAnsi="Times New Roman"/>
          <w:sz w:val="24"/>
          <w:szCs w:val="32"/>
        </w:rPr>
        <w:t>plots in young and old apple orchards</w:t>
      </w:r>
      <w:r>
        <w:rPr>
          <w:rFonts w:ascii="Times New Roman" w:hAnsi="Times New Roman"/>
          <w:sz w:val="24"/>
          <w:szCs w:val="32"/>
        </w:rPr>
        <w:t>, black dotted box indicates the range of WFPS that produc</w:t>
      </w:r>
      <w:r>
        <w:rPr>
          <w:rFonts w:hint="eastAsia" w:ascii="Times New Roman" w:hAnsi="Times New Roman"/>
          <w:sz w:val="24"/>
          <w:szCs w:val="32"/>
        </w:rPr>
        <w:t>ed</w:t>
      </w:r>
      <w:r>
        <w:rPr>
          <w:rFonts w:ascii="Times New Roman" w:hAnsi="Times New Roman"/>
          <w:sz w:val="24"/>
          <w:szCs w:val="32"/>
        </w:rPr>
        <w:t xml:space="preserve"> higher N</w:t>
      </w:r>
      <w:r>
        <w:rPr>
          <w:rFonts w:ascii="Times New Roman" w:hAnsi="Times New Roman"/>
          <w:sz w:val="24"/>
          <w:szCs w:val="32"/>
          <w:vertAlign w:val="subscript"/>
        </w:rPr>
        <w:t>2</w:t>
      </w:r>
      <w:r>
        <w:rPr>
          <w:rFonts w:ascii="Times New Roman" w:hAnsi="Times New Roman"/>
          <w:sz w:val="24"/>
          <w:szCs w:val="32"/>
        </w:rPr>
        <w:t>O emissions (</w:t>
      </w:r>
      <w:r>
        <w:rPr>
          <w:rFonts w:hint="eastAsia" w:ascii="Times New Roman" w:hAnsi="Times New Roman"/>
          <w:sz w:val="24"/>
          <w:szCs w:val="32"/>
        </w:rPr>
        <w:t>n</w:t>
      </w:r>
      <w:r>
        <w:rPr>
          <w:rFonts w:ascii="Times New Roman" w:hAnsi="Times New Roman"/>
          <w:sz w:val="24"/>
          <w:szCs w:val="32"/>
        </w:rPr>
        <w:t xml:space="preserve"> = 210).</w:t>
      </w:r>
      <w:r>
        <w:br w:type="page"/>
      </w:r>
    </w:p>
    <w:p>
      <w:pPr>
        <w:keepNext w:val="0"/>
        <w:keepLines w:val="0"/>
        <w:pageBreakBefore w:val="0"/>
        <w:widowControl w:val="0"/>
        <w:suppressLineNumbers w:val="0"/>
        <w:kinsoku/>
        <w:wordWrap/>
        <w:overflowPunct/>
        <w:topLinePunct w:val="0"/>
        <w:autoSpaceDE/>
        <w:autoSpaceDN/>
        <w:bidi w:val="0"/>
        <w:adjustRightInd/>
        <w:snapToGrid/>
        <w:spacing w:line="480" w:lineRule="auto"/>
        <w:textAlignment w:val="auto"/>
        <w:rPr>
          <w:rFonts w:hint="eastAsia" w:eastAsia="宋体"/>
          <w:lang w:eastAsia="zh-CN"/>
        </w:rPr>
      </w:pPr>
      <w:r>
        <w:rPr>
          <w:rFonts w:hint="eastAsia" w:eastAsia="宋体"/>
          <w:lang w:eastAsia="zh-CN"/>
        </w:rPr>
        <w:drawing>
          <wp:inline distT="0" distB="0" distL="114300" distR="114300">
            <wp:extent cx="5271135" cy="4448810"/>
            <wp:effectExtent l="0" t="0" r="1905" b="1270"/>
            <wp:docPr id="5" name="图片 5"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MAP"/>
                    <pic:cNvPicPr>
                      <a:picLocks noChangeAspect="1"/>
                    </pic:cNvPicPr>
                  </pic:nvPicPr>
                  <pic:blipFill>
                    <a:blip r:embed="rId30"/>
                    <a:stretch>
                      <a:fillRect/>
                    </a:stretch>
                  </pic:blipFill>
                  <pic:spPr>
                    <a:xfrm>
                      <a:off x="0" y="0"/>
                      <a:ext cx="5271135" cy="4448810"/>
                    </a:xfrm>
                    <a:prstGeom prst="rect">
                      <a:avLst/>
                    </a:prstGeom>
                  </pic:spPr>
                </pic:pic>
              </a:graphicData>
            </a:graphic>
          </wp:inline>
        </w:drawing>
      </w:r>
    </w:p>
    <w:p>
      <w:pPr>
        <w:keepNext w:val="0"/>
        <w:keepLines w:val="0"/>
        <w:pageBreakBefore w:val="0"/>
        <w:widowControl w:val="0"/>
        <w:suppressLineNumbers w:val="0"/>
        <w:kinsoku/>
        <w:wordWrap/>
        <w:overflowPunct/>
        <w:topLinePunct w:val="0"/>
        <w:autoSpaceDE/>
        <w:autoSpaceDN/>
        <w:bidi w:val="0"/>
        <w:adjustRightInd/>
        <w:snapToGrid/>
        <w:spacing w:line="480" w:lineRule="auto"/>
        <w:textAlignment w:val="auto"/>
        <w:rPr>
          <w:rFonts w:hint="eastAsia" w:ascii="Times New Roman" w:hAnsi="Times New Roman"/>
          <w:sz w:val="24"/>
          <w:szCs w:val="32"/>
          <w:lang w:val="en-US" w:eastAsia="zh-CN"/>
        </w:rPr>
      </w:pPr>
      <w:r>
        <w:rPr>
          <w:rFonts w:ascii="Times New Roman" w:hAnsi="Times New Roman"/>
          <w:sz w:val="24"/>
          <w:szCs w:val="32"/>
        </w:rPr>
        <w:t>Fig. S</w:t>
      </w:r>
      <w:r>
        <w:rPr>
          <w:rFonts w:hint="eastAsia" w:ascii="Times New Roman" w:hAnsi="Times New Roman"/>
          <w:sz w:val="24"/>
          <w:szCs w:val="32"/>
          <w:lang w:val="en-US" w:eastAsia="zh-CN"/>
        </w:rPr>
        <w:t>4 The relationships between the lnR of soil N</w:t>
      </w:r>
      <w:r>
        <w:rPr>
          <w:rFonts w:hint="eastAsia" w:ascii="Times New Roman" w:hAnsi="Times New Roman"/>
          <w:sz w:val="24"/>
          <w:szCs w:val="32"/>
          <w:vertAlign w:val="subscript"/>
          <w:lang w:val="en-US" w:eastAsia="zh-CN"/>
        </w:rPr>
        <w:t>2</w:t>
      </w:r>
      <w:r>
        <w:rPr>
          <w:rFonts w:hint="eastAsia" w:ascii="Times New Roman" w:hAnsi="Times New Roman"/>
          <w:sz w:val="24"/>
          <w:szCs w:val="32"/>
          <w:lang w:val="en-US" w:eastAsia="zh-CN"/>
        </w:rPr>
        <w:t>O emission and MAP. MAP, mean annual precipitation.</w:t>
      </w:r>
    </w:p>
    <w:p>
      <w:pPr>
        <w:rPr>
          <w:rFonts w:hint="eastAsia" w:ascii="Times New Roman" w:hAnsi="Times New Roman"/>
          <w:sz w:val="24"/>
          <w:szCs w:val="32"/>
          <w:lang w:val="en-US" w:eastAsia="zh-CN"/>
        </w:rPr>
      </w:pPr>
      <w:r>
        <w:rPr>
          <w:rFonts w:hint="eastAsia" w:ascii="Times New Roman" w:hAnsi="Times New Roman"/>
          <w:sz w:val="24"/>
          <w:szCs w:val="32"/>
          <w:lang w:val="en-US" w:eastAsia="zh-CN"/>
        </w:rPr>
        <w:br w:type="page"/>
      </w:r>
    </w:p>
    <w:p>
      <w:pPr>
        <w:keepNext w:val="0"/>
        <w:keepLines w:val="0"/>
        <w:pageBreakBefore w:val="0"/>
        <w:widowControl w:val="0"/>
        <w:suppressLineNumbers w:val="0"/>
        <w:kinsoku/>
        <w:wordWrap/>
        <w:overflowPunct/>
        <w:topLinePunct w:val="0"/>
        <w:autoSpaceDE/>
        <w:autoSpaceDN/>
        <w:bidi w:val="0"/>
        <w:adjustRightInd/>
        <w:snapToGrid/>
        <w:spacing w:line="480" w:lineRule="auto"/>
        <w:textAlignment w:val="auto"/>
        <w:rPr>
          <w:rFonts w:hint="default" w:ascii="Times New Roman" w:hAnsi="Times New Roman"/>
          <w:sz w:val="24"/>
          <w:szCs w:val="32"/>
          <w:lang w:val="en-US" w:eastAsia="zh-CN"/>
        </w:rPr>
      </w:pPr>
      <w:r>
        <w:rPr>
          <w:rFonts w:hint="default" w:ascii="Times New Roman" w:hAnsi="Times New Roman"/>
          <w:sz w:val="24"/>
          <w:szCs w:val="32"/>
          <w:lang w:val="en-US" w:eastAsia="zh-CN"/>
        </w:rPr>
        <w:t>References</w:t>
      </w:r>
      <w:bookmarkStart w:id="9" w:name="_GoBack"/>
      <w:bookmarkEnd w:id="9"/>
    </w:p>
    <w:p>
      <w:pPr>
        <w:pStyle w:val="14"/>
        <w:bidi w:val="0"/>
        <w:rPr>
          <w:rFonts w:hint="default" w:ascii="Times New Roman" w:hAnsi="Times New Roman" w:cs="Times New Roman"/>
          <w:sz w:val="21"/>
          <w:szCs w:val="21"/>
        </w:rPr>
      </w:pPr>
      <w:r>
        <w:rPr>
          <w:rFonts w:hint="default" w:ascii="Times New Roman" w:hAnsi="Times New Roman"/>
          <w:sz w:val="21"/>
          <w:szCs w:val="24"/>
          <w:lang w:val="en-US" w:eastAsia="zh-CN"/>
        </w:rPr>
        <w:fldChar w:fldCharType="begin"/>
      </w:r>
      <w:r>
        <w:rPr>
          <w:rFonts w:hint="eastAsia" w:ascii="Times New Roman" w:hAnsi="Times New Roman"/>
          <w:sz w:val="21"/>
          <w:szCs w:val="24"/>
          <w:lang w:val="en-US" w:eastAsia="zh-CN"/>
        </w:rPr>
        <w:instrText xml:space="preserve"> ADDIN ZOTERO_BIBL {"uncited":[],"omitted":[],"custom":[]} CSL_BIBLIOGRAPHY </w:instrText>
      </w:r>
      <w:r>
        <w:rPr>
          <w:rFonts w:hint="default" w:ascii="Times New Roman" w:hAnsi="Times New Roman"/>
          <w:sz w:val="21"/>
          <w:szCs w:val="24"/>
          <w:lang w:val="en-US" w:eastAsia="zh-CN"/>
        </w:rPr>
        <w:fldChar w:fldCharType="separate"/>
      </w:r>
      <w:r>
        <w:rPr>
          <w:rFonts w:hint="default" w:ascii="Times New Roman" w:hAnsi="Times New Roman" w:cs="Times New Roman"/>
          <w:sz w:val="21"/>
          <w:szCs w:val="21"/>
        </w:rPr>
        <w:t>Cheng, Y., Xie, W., Huang, R., Yan, X., and Wang, S. (2017). Extremely high N</w:t>
      </w:r>
      <w:r>
        <w:rPr>
          <w:rFonts w:hint="default" w:ascii="Times New Roman" w:hAnsi="Times New Roman" w:cs="Times New Roman"/>
          <w:sz w:val="21"/>
          <w:szCs w:val="21"/>
          <w:vertAlign w:val="subscript"/>
        </w:rPr>
        <w:t>2</w:t>
      </w:r>
      <w:r>
        <w:rPr>
          <w:rFonts w:hint="default" w:ascii="Times New Roman" w:hAnsi="Times New Roman" w:cs="Times New Roman"/>
          <w:sz w:val="21"/>
          <w:szCs w:val="21"/>
        </w:rPr>
        <w:t xml:space="preserve">O but unexpectedly low NO emissions from a highly organic and chemical fertilized peach orchard system in China. </w:t>
      </w:r>
      <w:r>
        <w:rPr>
          <w:rFonts w:hint="default" w:ascii="Times New Roman" w:hAnsi="Times New Roman" w:cs="Times New Roman"/>
          <w:i/>
          <w:sz w:val="21"/>
          <w:szCs w:val="21"/>
        </w:rPr>
        <w:t>Agriculture, Ecosystems &amp; Environment</w:t>
      </w:r>
      <w:r>
        <w:rPr>
          <w:rFonts w:hint="default" w:ascii="Times New Roman" w:hAnsi="Times New Roman" w:cs="Times New Roman"/>
          <w:sz w:val="21"/>
          <w:szCs w:val="21"/>
        </w:rPr>
        <w:t xml:space="preserve"> 246, 202–209. doi: 10.1016/j.agee.2017.06.015</w:t>
      </w:r>
    </w:p>
    <w:p>
      <w:pPr>
        <w:pStyle w:val="14"/>
        <w:bidi w:val="0"/>
        <w:rPr>
          <w:rFonts w:hint="default" w:ascii="Times New Roman" w:hAnsi="Times New Roman" w:cs="Times New Roman"/>
          <w:sz w:val="21"/>
          <w:szCs w:val="21"/>
        </w:rPr>
      </w:pPr>
      <w:r>
        <w:rPr>
          <w:rFonts w:hint="default" w:ascii="Times New Roman" w:hAnsi="Times New Roman" w:cs="Times New Roman"/>
          <w:sz w:val="21"/>
          <w:szCs w:val="21"/>
        </w:rPr>
        <w:t>Han J., Hao S., Liu Z., Zhang M., and Zhang A. (2019). Characteristics of CO</w:t>
      </w:r>
      <w:r>
        <w:rPr>
          <w:rFonts w:hint="default" w:ascii="Times New Roman" w:hAnsi="Times New Roman" w:cs="Times New Roman"/>
          <w:sz w:val="21"/>
          <w:szCs w:val="21"/>
          <w:vertAlign w:val="subscript"/>
        </w:rPr>
        <w:t>2</w:t>
      </w:r>
      <w:r>
        <w:rPr>
          <w:rFonts w:hint="default" w:ascii="Times New Roman" w:hAnsi="Times New Roman" w:cs="Times New Roman"/>
          <w:sz w:val="21"/>
          <w:szCs w:val="21"/>
        </w:rPr>
        <w:t xml:space="preserve"> and N</w:t>
      </w:r>
      <w:r>
        <w:rPr>
          <w:rFonts w:hint="default" w:ascii="Times New Roman" w:hAnsi="Times New Roman" w:cs="Times New Roman"/>
          <w:sz w:val="21"/>
          <w:szCs w:val="21"/>
          <w:vertAlign w:val="subscript"/>
        </w:rPr>
        <w:t>2</w:t>
      </w:r>
      <w:r>
        <w:rPr>
          <w:rFonts w:hint="default" w:ascii="Times New Roman" w:hAnsi="Times New Roman" w:cs="Times New Roman"/>
          <w:sz w:val="21"/>
          <w:szCs w:val="21"/>
        </w:rPr>
        <w:t xml:space="preserve">O Emissions Under Two Land Use Types in the Loess Plateau of China. </w:t>
      </w:r>
      <w:r>
        <w:rPr>
          <w:rFonts w:hint="default" w:ascii="Times New Roman" w:hAnsi="Times New Roman" w:cs="Times New Roman"/>
          <w:i/>
          <w:sz w:val="21"/>
          <w:szCs w:val="21"/>
        </w:rPr>
        <w:t>Environmental Science</w:t>
      </w:r>
      <w:r>
        <w:rPr>
          <w:rFonts w:hint="default" w:ascii="Times New Roman" w:hAnsi="Times New Roman" w:cs="Times New Roman"/>
          <w:sz w:val="21"/>
          <w:szCs w:val="21"/>
        </w:rPr>
        <w:t xml:space="preserve"> 40, 5164–5172. doi: 10.13227/j.hjkx.201904206</w:t>
      </w:r>
    </w:p>
    <w:p>
      <w:pPr>
        <w:pStyle w:val="14"/>
        <w:bidi w:val="0"/>
        <w:rPr>
          <w:rFonts w:hint="default" w:ascii="Times New Roman" w:hAnsi="Times New Roman" w:cs="Times New Roman"/>
          <w:sz w:val="21"/>
          <w:szCs w:val="21"/>
        </w:rPr>
      </w:pPr>
      <w:r>
        <w:rPr>
          <w:rFonts w:hint="default" w:ascii="Times New Roman" w:hAnsi="Times New Roman" w:cs="Times New Roman"/>
          <w:sz w:val="21"/>
          <w:szCs w:val="21"/>
        </w:rPr>
        <w:t xml:space="preserve">He X. (2022). Effect of Drip-irrigation and Fertilization on Greenhouse Gas Emission of Vineyards and its Simulation in Semi-humid Area. </w:t>
      </w:r>
      <w:r>
        <w:rPr>
          <w:rFonts w:hint="default" w:ascii="Times New Roman" w:hAnsi="Times New Roman" w:cs="Times New Roman"/>
          <w:sz w:val="21"/>
          <w:szCs w:val="21"/>
        </w:rPr>
        <w:t>Dissertation of Master Degree,</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rPr>
        <w:t>Northwest Agricultural &amp; Forestry University</w:t>
      </w:r>
      <w:r>
        <w:rPr>
          <w:rFonts w:hint="eastAsia" w:ascii="Times New Roman" w:hAnsi="Times New Roman" w:cs="Times New Roman"/>
          <w:sz w:val="21"/>
          <w:szCs w:val="21"/>
          <w:lang w:val="en-US" w:eastAsia="zh-CN"/>
        </w:rPr>
        <w:t>, Xianyang, China</w:t>
      </w:r>
      <w:r>
        <w:rPr>
          <w:rFonts w:hint="default" w:ascii="Times New Roman" w:hAnsi="Times New Roman" w:cs="Times New Roman"/>
          <w:sz w:val="21"/>
          <w:szCs w:val="21"/>
        </w:rPr>
        <w:t>. doi: 10.27409/d.cnki.gxbnu.2021.000728</w:t>
      </w:r>
    </w:p>
    <w:p>
      <w:pPr>
        <w:pStyle w:val="14"/>
        <w:bidi w:val="0"/>
        <w:rPr>
          <w:rFonts w:hint="default" w:ascii="Times New Roman" w:hAnsi="Times New Roman" w:cs="Times New Roman"/>
          <w:sz w:val="21"/>
          <w:szCs w:val="21"/>
        </w:rPr>
      </w:pPr>
      <w:r>
        <w:rPr>
          <w:rFonts w:hint="default" w:ascii="Times New Roman" w:hAnsi="Times New Roman" w:cs="Times New Roman"/>
          <w:sz w:val="21"/>
          <w:szCs w:val="21"/>
        </w:rPr>
        <w:t xml:space="preserve">Hedges, L. V., Gurevitch, J., and Curtis, P. S. (1999). The Meta-Analysis of Response Ratios in Experimental Ecology. </w:t>
      </w:r>
      <w:r>
        <w:rPr>
          <w:rFonts w:hint="default" w:ascii="Times New Roman" w:hAnsi="Times New Roman" w:cs="Times New Roman"/>
          <w:i/>
          <w:sz w:val="21"/>
          <w:szCs w:val="21"/>
        </w:rPr>
        <w:t>Ecology</w:t>
      </w:r>
      <w:r>
        <w:rPr>
          <w:rFonts w:hint="default" w:ascii="Times New Roman" w:hAnsi="Times New Roman" w:cs="Times New Roman"/>
          <w:sz w:val="21"/>
          <w:szCs w:val="21"/>
        </w:rPr>
        <w:t xml:space="preserve"> 80, 1150–1156. doi: 10.1890/0012-9658(1999)080[1150:TMAORR]2.0.CO;2</w:t>
      </w:r>
    </w:p>
    <w:p>
      <w:pPr>
        <w:pStyle w:val="14"/>
        <w:bidi w:val="0"/>
        <w:rPr>
          <w:rFonts w:hint="default" w:ascii="Times New Roman" w:hAnsi="Times New Roman" w:cs="Times New Roman"/>
          <w:sz w:val="21"/>
          <w:szCs w:val="21"/>
        </w:rPr>
      </w:pPr>
      <w:r>
        <w:rPr>
          <w:rFonts w:hint="default" w:ascii="Times New Roman" w:hAnsi="Times New Roman" w:cs="Times New Roman"/>
          <w:sz w:val="21"/>
          <w:szCs w:val="21"/>
        </w:rPr>
        <w:t>Liu, H., Liu, G., Li, Y., Wu, X., Liu, D., Dai, X., et al. (2016). Effects of land use conversion and fertilization on CH</w:t>
      </w:r>
      <w:r>
        <w:rPr>
          <w:rFonts w:hint="default" w:ascii="Times New Roman" w:hAnsi="Times New Roman" w:cs="Times New Roman"/>
          <w:sz w:val="21"/>
          <w:szCs w:val="21"/>
          <w:vertAlign w:val="subscript"/>
        </w:rPr>
        <w:t>4</w:t>
      </w:r>
      <w:r>
        <w:rPr>
          <w:rFonts w:hint="default" w:ascii="Times New Roman" w:hAnsi="Times New Roman" w:cs="Times New Roman"/>
          <w:sz w:val="21"/>
          <w:szCs w:val="21"/>
        </w:rPr>
        <w:t xml:space="preserve"> and N</w:t>
      </w:r>
      <w:r>
        <w:rPr>
          <w:rFonts w:hint="default" w:ascii="Times New Roman" w:hAnsi="Times New Roman" w:cs="Times New Roman"/>
          <w:sz w:val="21"/>
          <w:szCs w:val="21"/>
          <w:vertAlign w:val="subscript"/>
        </w:rPr>
        <w:t>2</w:t>
      </w:r>
      <w:r>
        <w:rPr>
          <w:rFonts w:hint="default" w:ascii="Times New Roman" w:hAnsi="Times New Roman" w:cs="Times New Roman"/>
          <w:sz w:val="21"/>
          <w:szCs w:val="21"/>
        </w:rPr>
        <w:t xml:space="preserve">O fluxes from typical hilly red soil. </w:t>
      </w:r>
      <w:r>
        <w:rPr>
          <w:rFonts w:hint="default" w:ascii="Times New Roman" w:hAnsi="Times New Roman" w:cs="Times New Roman"/>
          <w:i/>
          <w:sz w:val="21"/>
          <w:szCs w:val="21"/>
        </w:rPr>
        <w:t>Environ Sci Pollut Res</w:t>
      </w:r>
      <w:r>
        <w:rPr>
          <w:rFonts w:hint="default" w:ascii="Times New Roman" w:hAnsi="Times New Roman" w:cs="Times New Roman"/>
          <w:sz w:val="21"/>
          <w:szCs w:val="21"/>
        </w:rPr>
        <w:t xml:space="preserve"> 23, 20269–20280. doi: 10.1007/s11356-016-7239-3</w:t>
      </w:r>
    </w:p>
    <w:p>
      <w:pPr>
        <w:pStyle w:val="14"/>
        <w:bidi w:val="0"/>
        <w:rPr>
          <w:rFonts w:hint="default" w:ascii="Times New Roman" w:hAnsi="Times New Roman" w:cs="Times New Roman"/>
          <w:sz w:val="21"/>
          <w:szCs w:val="21"/>
        </w:rPr>
      </w:pPr>
      <w:r>
        <w:rPr>
          <w:rFonts w:hint="default" w:ascii="Times New Roman" w:hAnsi="Times New Roman" w:cs="Times New Roman"/>
          <w:sz w:val="21"/>
          <w:szCs w:val="21"/>
        </w:rPr>
        <w:t xml:space="preserve">Ma Y. (2022). Effects of different water and fertilizer management on greenhouse gas emissions in apple orchard in Weibei dryland. </w:t>
      </w:r>
      <w:bookmarkStart w:id="8" w:name="OLE_LINK5"/>
      <w:r>
        <w:rPr>
          <w:rFonts w:hint="default" w:ascii="Times New Roman" w:hAnsi="Times New Roman" w:cs="Times New Roman"/>
          <w:sz w:val="21"/>
          <w:szCs w:val="21"/>
        </w:rPr>
        <w:t>Dissertation of Master Degree,</w:t>
      </w:r>
      <w:bookmarkEnd w:id="8"/>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rPr>
        <w:t>Northwest Agricultural &amp; Forestry University</w:t>
      </w:r>
      <w:r>
        <w:rPr>
          <w:rFonts w:hint="eastAsia" w:ascii="Times New Roman" w:hAnsi="Times New Roman" w:cs="Times New Roman"/>
          <w:sz w:val="21"/>
          <w:szCs w:val="21"/>
          <w:lang w:val="en-US" w:eastAsia="zh-CN"/>
        </w:rPr>
        <w:t>, Xianyang, China</w:t>
      </w:r>
      <w:r>
        <w:rPr>
          <w:rFonts w:hint="default" w:ascii="Times New Roman" w:hAnsi="Times New Roman" w:cs="Times New Roman"/>
          <w:sz w:val="21"/>
          <w:szCs w:val="21"/>
        </w:rPr>
        <w:t>. doi: 10.27409/d.cnki.gxbnu.2021.000951</w:t>
      </w:r>
    </w:p>
    <w:p>
      <w:pPr>
        <w:pStyle w:val="14"/>
        <w:bidi w:val="0"/>
        <w:rPr>
          <w:rFonts w:hint="default" w:ascii="Times New Roman" w:hAnsi="Times New Roman" w:cs="Times New Roman"/>
          <w:sz w:val="21"/>
          <w:szCs w:val="21"/>
        </w:rPr>
      </w:pPr>
      <w:r>
        <w:rPr>
          <w:rFonts w:hint="default" w:ascii="Times New Roman" w:hAnsi="Times New Roman" w:cs="Times New Roman"/>
          <w:sz w:val="21"/>
          <w:szCs w:val="21"/>
        </w:rPr>
        <w:t xml:space="preserve">Ma Y., Zhao Z., Feng T., Thongsouk S., Kong X., Zhai B., et al. (2021). Effects of combined application of organic and inorganic fertilizers on greenhouse gas emissions in apple orchard. </w:t>
      </w:r>
      <w:r>
        <w:rPr>
          <w:rFonts w:hint="default" w:ascii="Times New Roman" w:hAnsi="Times New Roman" w:cs="Times New Roman"/>
          <w:i/>
          <w:sz w:val="21"/>
          <w:szCs w:val="21"/>
        </w:rPr>
        <w:t>Journal of Agricultural and Environmental Sciences</w:t>
      </w:r>
      <w:r>
        <w:rPr>
          <w:rFonts w:hint="default" w:ascii="Times New Roman" w:hAnsi="Times New Roman" w:cs="Times New Roman"/>
          <w:sz w:val="21"/>
          <w:szCs w:val="21"/>
        </w:rPr>
        <w:t xml:space="preserve"> 40, 2039–2048.</w:t>
      </w:r>
    </w:p>
    <w:p>
      <w:pPr>
        <w:pStyle w:val="14"/>
        <w:bidi w:val="0"/>
        <w:rPr>
          <w:rFonts w:hint="default" w:ascii="Times New Roman" w:hAnsi="Times New Roman" w:cs="Times New Roman"/>
          <w:sz w:val="21"/>
          <w:szCs w:val="21"/>
        </w:rPr>
      </w:pPr>
      <w:r>
        <w:rPr>
          <w:rFonts w:hint="default" w:ascii="Times New Roman" w:hAnsi="Times New Roman" w:cs="Times New Roman"/>
          <w:sz w:val="21"/>
          <w:szCs w:val="21"/>
        </w:rPr>
        <w:t>Oo, A., Gonai, T., Sudo, S., Win, K., and Shibata, A. (2018). Surface application of fertilizers and residue biochar on N</w:t>
      </w:r>
      <w:r>
        <w:rPr>
          <w:rFonts w:hint="default" w:ascii="Times New Roman" w:hAnsi="Times New Roman" w:cs="Times New Roman"/>
          <w:sz w:val="21"/>
          <w:szCs w:val="21"/>
          <w:vertAlign w:val="subscript"/>
        </w:rPr>
        <w:t>2</w:t>
      </w:r>
      <w:r>
        <w:rPr>
          <w:rFonts w:hint="default" w:ascii="Times New Roman" w:hAnsi="Times New Roman" w:cs="Times New Roman"/>
          <w:sz w:val="21"/>
          <w:szCs w:val="21"/>
        </w:rPr>
        <w:t xml:space="preserve">O emission from Japanese pear orchard soil. </w:t>
      </w:r>
      <w:r>
        <w:rPr>
          <w:rFonts w:hint="default" w:ascii="Times New Roman" w:hAnsi="Times New Roman" w:cs="Times New Roman"/>
          <w:i/>
          <w:sz w:val="21"/>
          <w:szCs w:val="21"/>
        </w:rPr>
        <w:t>Plant, Soil and Environment</w:t>
      </w:r>
      <w:r>
        <w:rPr>
          <w:rFonts w:hint="default" w:ascii="Times New Roman" w:hAnsi="Times New Roman" w:cs="Times New Roman"/>
          <w:sz w:val="21"/>
          <w:szCs w:val="21"/>
        </w:rPr>
        <w:t xml:space="preserve"> 64. doi: 10.17221/114/2018-PSE</w:t>
      </w:r>
    </w:p>
    <w:p>
      <w:pPr>
        <w:pStyle w:val="14"/>
        <w:bidi w:val="0"/>
        <w:rPr>
          <w:rFonts w:hint="default" w:ascii="Times New Roman" w:hAnsi="Times New Roman" w:cs="Times New Roman"/>
          <w:sz w:val="21"/>
          <w:szCs w:val="21"/>
        </w:rPr>
      </w:pPr>
      <w:r>
        <w:rPr>
          <w:rFonts w:hint="default" w:ascii="Times New Roman" w:hAnsi="Times New Roman" w:cs="Times New Roman"/>
          <w:sz w:val="21"/>
          <w:szCs w:val="21"/>
        </w:rPr>
        <w:t xml:space="preserve">Rosenberg, M., Adams, D., and Gurevitch, J. (2000). MetaWin: Statistical software for meta-analysis. Version 2.0. </w:t>
      </w:r>
      <w:r>
        <w:rPr>
          <w:rFonts w:hint="default" w:ascii="Times New Roman" w:hAnsi="Times New Roman" w:cs="Times New Roman"/>
          <w:i/>
          <w:sz w:val="21"/>
          <w:szCs w:val="21"/>
        </w:rPr>
        <w:t>Sinauer Associates</w:t>
      </w:r>
      <w:r>
        <w:rPr>
          <w:rFonts w:hint="default" w:ascii="Times New Roman" w:hAnsi="Times New Roman" w:cs="Times New Roman"/>
          <w:sz w:val="21"/>
          <w:szCs w:val="21"/>
        </w:rPr>
        <w:t>.</w:t>
      </w:r>
    </w:p>
    <w:p>
      <w:pPr>
        <w:pStyle w:val="14"/>
        <w:bidi w:val="0"/>
        <w:rPr>
          <w:rFonts w:hint="default" w:ascii="Times New Roman" w:hAnsi="Times New Roman" w:cs="Times New Roman"/>
          <w:sz w:val="21"/>
          <w:szCs w:val="21"/>
        </w:rPr>
      </w:pPr>
      <w:r>
        <w:rPr>
          <w:rFonts w:hint="default" w:ascii="Times New Roman" w:hAnsi="Times New Roman" w:cs="Times New Roman"/>
          <w:sz w:val="21"/>
          <w:szCs w:val="21"/>
        </w:rPr>
        <w:t>Rowlings, D. W., Grace, P. R., Scheer, C., and Kiese, R. (2013). Influence of nitrogen fertiliser application and timing on greenhouse gas emissions from a lychee (</w:t>
      </w:r>
      <w:r>
        <w:rPr>
          <w:rFonts w:hint="default" w:ascii="Times New Roman" w:hAnsi="Times New Roman" w:cs="Times New Roman"/>
          <w:i/>
          <w:sz w:val="21"/>
          <w:szCs w:val="21"/>
        </w:rPr>
        <w:t>Litchi chinensis</w:t>
      </w:r>
      <w:r>
        <w:rPr>
          <w:rFonts w:hint="default" w:ascii="Times New Roman" w:hAnsi="Times New Roman" w:cs="Times New Roman"/>
          <w:sz w:val="21"/>
          <w:szCs w:val="21"/>
        </w:rPr>
        <w:t xml:space="preserve">) orchard in humid subtropical Australia. </w:t>
      </w:r>
      <w:r>
        <w:rPr>
          <w:rFonts w:hint="default" w:ascii="Times New Roman" w:hAnsi="Times New Roman" w:cs="Times New Roman"/>
          <w:i/>
          <w:sz w:val="21"/>
          <w:szCs w:val="21"/>
        </w:rPr>
        <w:t>Agriculture, Ecosystems &amp; Environment</w:t>
      </w:r>
      <w:r>
        <w:rPr>
          <w:rFonts w:hint="default" w:ascii="Times New Roman" w:hAnsi="Times New Roman" w:cs="Times New Roman"/>
          <w:sz w:val="21"/>
          <w:szCs w:val="21"/>
        </w:rPr>
        <w:t xml:space="preserve"> 179, 168–178. doi: 10.1016/j.agee.2013.08.013</w:t>
      </w:r>
    </w:p>
    <w:p>
      <w:pPr>
        <w:pStyle w:val="14"/>
        <w:bidi w:val="0"/>
        <w:rPr>
          <w:rFonts w:hint="default" w:ascii="Times New Roman" w:hAnsi="Times New Roman" w:cs="Times New Roman"/>
          <w:sz w:val="21"/>
          <w:szCs w:val="21"/>
        </w:rPr>
      </w:pPr>
      <w:r>
        <w:rPr>
          <w:rFonts w:hint="default" w:ascii="Times New Roman" w:hAnsi="Times New Roman" w:cs="Times New Roman"/>
          <w:sz w:val="21"/>
          <w:szCs w:val="21"/>
        </w:rPr>
        <w:t xml:space="preserve">Tu J., and Zhang C. (2018). Effects of different fertilization on soil greenhouse gas emissions in peach orchard. </w:t>
      </w:r>
      <w:r>
        <w:rPr>
          <w:rFonts w:hint="default" w:ascii="Times New Roman" w:hAnsi="Times New Roman" w:cs="Times New Roman"/>
          <w:i/>
          <w:sz w:val="21"/>
          <w:szCs w:val="21"/>
        </w:rPr>
        <w:t>Modern Horticulture</w:t>
      </w:r>
      <w:r>
        <w:rPr>
          <w:rFonts w:hint="default" w:ascii="Times New Roman" w:hAnsi="Times New Roman" w:cs="Times New Roman"/>
          <w:sz w:val="21"/>
          <w:szCs w:val="21"/>
        </w:rPr>
        <w:t>, 7–9. doi: 10.14051/j.cnki.xdyy.2018.01.004</w:t>
      </w:r>
    </w:p>
    <w:p>
      <w:pPr>
        <w:pStyle w:val="14"/>
        <w:bidi w:val="0"/>
        <w:rPr>
          <w:rFonts w:hint="default" w:ascii="Times New Roman" w:hAnsi="Times New Roman" w:cs="Times New Roman"/>
          <w:sz w:val="21"/>
          <w:szCs w:val="21"/>
        </w:rPr>
      </w:pPr>
      <w:r>
        <w:rPr>
          <w:rFonts w:hint="default" w:ascii="Times New Roman" w:hAnsi="Times New Roman" w:cs="Times New Roman"/>
          <w:sz w:val="21"/>
          <w:szCs w:val="21"/>
        </w:rPr>
        <w:t xml:space="preserve">Wang C., Chen B., Yusufujiang Y., Wang Q., Chai Z., and Liu X. (2018). Effects of different nitrogen application levels on nitrous oxide emission from the soil of a‘Kuerlexiangli’ pear orchard. </w:t>
      </w:r>
      <w:r>
        <w:rPr>
          <w:rFonts w:hint="default" w:ascii="Times New Roman" w:hAnsi="Times New Roman" w:cs="Times New Roman"/>
          <w:i/>
          <w:sz w:val="21"/>
          <w:szCs w:val="21"/>
        </w:rPr>
        <w:t>Journal of Fruit Science</w:t>
      </w:r>
      <w:r>
        <w:rPr>
          <w:rFonts w:hint="default" w:ascii="Times New Roman" w:hAnsi="Times New Roman" w:cs="Times New Roman"/>
          <w:sz w:val="21"/>
          <w:szCs w:val="21"/>
        </w:rPr>
        <w:t xml:space="preserve"> 35, 1353–1362. doi: 10.13925/j.cnki.gsxb.20180167</w:t>
      </w:r>
    </w:p>
    <w:p>
      <w:pPr>
        <w:pStyle w:val="14"/>
        <w:bidi w:val="0"/>
        <w:rPr>
          <w:rFonts w:hint="default" w:ascii="Times New Roman" w:hAnsi="Times New Roman" w:cs="Times New Roman"/>
          <w:sz w:val="21"/>
          <w:szCs w:val="21"/>
        </w:rPr>
      </w:pPr>
      <w:r>
        <w:rPr>
          <w:rFonts w:hint="default" w:ascii="Times New Roman" w:hAnsi="Times New Roman" w:cs="Times New Roman"/>
          <w:sz w:val="21"/>
          <w:szCs w:val="21"/>
        </w:rPr>
        <w:t xml:space="preserve">Wang, L., Coulter, J. A., Palta, J. A., Xie, J., Luo, Z., Li, L., et al. (2019). Mulching-Induced Changes in Tuber Yield and Nitrogen Use Efficiency in Potato in China: A Meta-Analysis. </w:t>
      </w:r>
      <w:r>
        <w:rPr>
          <w:rFonts w:hint="default" w:ascii="Times New Roman" w:hAnsi="Times New Roman" w:cs="Times New Roman"/>
          <w:i/>
          <w:sz w:val="21"/>
          <w:szCs w:val="21"/>
        </w:rPr>
        <w:t>Agronomy</w:t>
      </w:r>
      <w:r>
        <w:rPr>
          <w:rFonts w:hint="default" w:ascii="Times New Roman" w:hAnsi="Times New Roman" w:cs="Times New Roman"/>
          <w:sz w:val="21"/>
          <w:szCs w:val="21"/>
        </w:rPr>
        <w:t xml:space="preserve"> 9, 793. doi: 10.3390/agronomy9120793</w:t>
      </w:r>
    </w:p>
    <w:p>
      <w:pPr>
        <w:pStyle w:val="14"/>
        <w:bidi w:val="0"/>
        <w:rPr>
          <w:rFonts w:hint="default" w:ascii="Times New Roman" w:hAnsi="Times New Roman" w:cs="Times New Roman"/>
          <w:sz w:val="21"/>
          <w:szCs w:val="21"/>
        </w:rPr>
      </w:pPr>
      <w:r>
        <w:rPr>
          <w:rFonts w:hint="default" w:ascii="Times New Roman" w:hAnsi="Times New Roman" w:cs="Times New Roman"/>
          <w:sz w:val="21"/>
          <w:szCs w:val="21"/>
        </w:rPr>
        <w:t>Wu, X., Liu, H., Fu, B., Wang, Q., Xu, M., Wang, H., et al. (2017a). Effects of land-use change and fertilization on N</w:t>
      </w:r>
      <w:r>
        <w:rPr>
          <w:rFonts w:hint="default" w:ascii="Times New Roman" w:hAnsi="Times New Roman" w:cs="Times New Roman"/>
          <w:sz w:val="21"/>
          <w:szCs w:val="21"/>
          <w:vertAlign w:val="subscript"/>
        </w:rPr>
        <w:t>2</w:t>
      </w:r>
      <w:r>
        <w:rPr>
          <w:rFonts w:hint="default" w:ascii="Times New Roman" w:hAnsi="Times New Roman" w:cs="Times New Roman"/>
          <w:sz w:val="21"/>
          <w:szCs w:val="21"/>
        </w:rPr>
        <w:t xml:space="preserve">O and NO fluxes, the abundance of nitrifying and denitrifying microbial communities in a hilly red soil region of southern China. </w:t>
      </w:r>
      <w:r>
        <w:rPr>
          <w:rFonts w:hint="default" w:ascii="Times New Roman" w:hAnsi="Times New Roman" w:cs="Times New Roman"/>
          <w:i/>
          <w:sz w:val="21"/>
          <w:szCs w:val="21"/>
        </w:rPr>
        <w:t>Applied Soil Ecology</w:t>
      </w:r>
      <w:r>
        <w:rPr>
          <w:rFonts w:hint="default" w:ascii="Times New Roman" w:hAnsi="Times New Roman" w:cs="Times New Roman"/>
          <w:sz w:val="21"/>
          <w:szCs w:val="21"/>
        </w:rPr>
        <w:t xml:space="preserve"> 120, 111–120. doi: 10.1016/j.apsoil.2017.08.004</w:t>
      </w:r>
    </w:p>
    <w:p>
      <w:pPr>
        <w:pStyle w:val="14"/>
        <w:bidi w:val="0"/>
        <w:rPr>
          <w:rFonts w:hint="default" w:ascii="Times New Roman" w:hAnsi="Times New Roman" w:cs="Times New Roman"/>
          <w:sz w:val="21"/>
          <w:szCs w:val="21"/>
        </w:rPr>
      </w:pPr>
      <w:r>
        <w:rPr>
          <w:rFonts w:hint="default" w:ascii="Times New Roman" w:hAnsi="Times New Roman" w:cs="Times New Roman"/>
          <w:sz w:val="21"/>
          <w:szCs w:val="21"/>
        </w:rPr>
        <w:t>Wu, X., Liu, H., Zheng, X., Lu, F., Wang, S., Li, Z., et al. (2017b). Responses of CH</w:t>
      </w:r>
      <w:r>
        <w:rPr>
          <w:rFonts w:hint="default" w:ascii="Times New Roman" w:hAnsi="Times New Roman" w:cs="Times New Roman"/>
          <w:sz w:val="21"/>
          <w:szCs w:val="21"/>
          <w:vertAlign w:val="subscript"/>
        </w:rPr>
        <w:t>4</w:t>
      </w:r>
      <w:r>
        <w:rPr>
          <w:rFonts w:hint="default" w:ascii="Times New Roman" w:hAnsi="Times New Roman" w:cs="Times New Roman"/>
          <w:sz w:val="21"/>
          <w:szCs w:val="21"/>
        </w:rPr>
        <w:t xml:space="preserve"> and N</w:t>
      </w:r>
      <w:r>
        <w:rPr>
          <w:rFonts w:hint="default" w:ascii="Times New Roman" w:hAnsi="Times New Roman" w:cs="Times New Roman"/>
          <w:sz w:val="21"/>
          <w:szCs w:val="21"/>
          <w:vertAlign w:val="subscript"/>
        </w:rPr>
        <w:t>2</w:t>
      </w:r>
      <w:r>
        <w:rPr>
          <w:rFonts w:hint="default" w:ascii="Times New Roman" w:hAnsi="Times New Roman" w:cs="Times New Roman"/>
          <w:sz w:val="21"/>
          <w:szCs w:val="21"/>
        </w:rPr>
        <w:t xml:space="preserve">O fluxes to land-use conversion and fertilization in a typical red soil region of southern China. </w:t>
      </w:r>
      <w:r>
        <w:rPr>
          <w:rFonts w:hint="default" w:ascii="Times New Roman" w:hAnsi="Times New Roman" w:cs="Times New Roman"/>
          <w:i/>
          <w:sz w:val="21"/>
          <w:szCs w:val="21"/>
        </w:rPr>
        <w:t>Sci Rep</w:t>
      </w:r>
      <w:r>
        <w:rPr>
          <w:rFonts w:hint="default" w:ascii="Times New Roman" w:hAnsi="Times New Roman" w:cs="Times New Roman"/>
          <w:sz w:val="21"/>
          <w:szCs w:val="21"/>
        </w:rPr>
        <w:t xml:space="preserve"> 7, 10571. doi: 10.1038/s41598-017-10806-z</w:t>
      </w:r>
    </w:p>
    <w:p>
      <w:pPr>
        <w:pStyle w:val="14"/>
        <w:bidi w:val="0"/>
        <w:rPr>
          <w:rFonts w:hint="default" w:ascii="Times New Roman" w:hAnsi="Times New Roman" w:cs="Times New Roman"/>
          <w:sz w:val="21"/>
          <w:szCs w:val="21"/>
        </w:rPr>
      </w:pPr>
      <w:r>
        <w:rPr>
          <w:rFonts w:hint="default" w:ascii="Times New Roman" w:hAnsi="Times New Roman" w:cs="Times New Roman"/>
          <w:sz w:val="21"/>
          <w:szCs w:val="21"/>
        </w:rPr>
        <w:t>Xie, B., Gu, J., Yu, J., Han, G., Zheng, X., Xu, Y., et al. (2017). Effects of N Fertilizer Application on Soil N</w:t>
      </w:r>
      <w:r>
        <w:rPr>
          <w:rFonts w:hint="default" w:ascii="Times New Roman" w:hAnsi="Times New Roman" w:cs="Times New Roman"/>
          <w:sz w:val="21"/>
          <w:szCs w:val="21"/>
          <w:vertAlign w:val="subscript"/>
        </w:rPr>
        <w:t>2</w:t>
      </w:r>
      <w:r>
        <w:rPr>
          <w:rFonts w:hint="default" w:ascii="Times New Roman" w:hAnsi="Times New Roman" w:cs="Times New Roman"/>
          <w:sz w:val="21"/>
          <w:szCs w:val="21"/>
        </w:rPr>
        <w:t>O Emissions and CH</w:t>
      </w:r>
      <w:r>
        <w:rPr>
          <w:rFonts w:hint="default" w:ascii="Times New Roman" w:hAnsi="Times New Roman" w:cs="Times New Roman"/>
          <w:sz w:val="21"/>
          <w:szCs w:val="21"/>
          <w:vertAlign w:val="subscript"/>
        </w:rPr>
        <w:t>4</w:t>
      </w:r>
      <w:r>
        <w:rPr>
          <w:rFonts w:hint="default" w:ascii="Times New Roman" w:hAnsi="Times New Roman" w:cs="Times New Roman"/>
          <w:sz w:val="21"/>
          <w:szCs w:val="21"/>
        </w:rPr>
        <w:t xml:space="preserve"> Uptake: A Two-Year Study in an Apple Orchard in Eastern China. </w:t>
      </w:r>
      <w:r>
        <w:rPr>
          <w:rFonts w:hint="default" w:ascii="Times New Roman" w:hAnsi="Times New Roman" w:cs="Times New Roman"/>
          <w:i/>
          <w:sz w:val="21"/>
          <w:szCs w:val="21"/>
        </w:rPr>
        <w:t>Atmosphere</w:t>
      </w:r>
      <w:r>
        <w:rPr>
          <w:rFonts w:hint="default" w:ascii="Times New Roman" w:hAnsi="Times New Roman" w:cs="Times New Roman"/>
          <w:sz w:val="21"/>
          <w:szCs w:val="21"/>
        </w:rPr>
        <w:t xml:space="preserve"> 8, 181. doi: 10.3390/atmos8100181</w:t>
      </w:r>
    </w:p>
    <w:p>
      <w:pPr>
        <w:pStyle w:val="14"/>
        <w:bidi w:val="0"/>
        <w:rPr>
          <w:rFonts w:hint="default" w:ascii="Times New Roman" w:hAnsi="Times New Roman" w:cs="Times New Roman"/>
          <w:sz w:val="21"/>
          <w:szCs w:val="21"/>
        </w:rPr>
      </w:pPr>
      <w:r>
        <w:rPr>
          <w:rFonts w:hint="default" w:ascii="Times New Roman" w:hAnsi="Times New Roman" w:cs="Times New Roman"/>
          <w:sz w:val="21"/>
          <w:szCs w:val="21"/>
        </w:rPr>
        <w:t>Xu P., Guo S., Zheng H., Wang J., and Zou J. (2024). Effect of Partial Substitution of Chemical Fertilizers with Organic Fertilizers on N</w:t>
      </w:r>
      <w:r>
        <w:rPr>
          <w:rFonts w:hint="default" w:ascii="Times New Roman" w:hAnsi="Times New Roman" w:cs="Times New Roman"/>
          <w:sz w:val="21"/>
          <w:szCs w:val="21"/>
          <w:vertAlign w:val="subscript"/>
        </w:rPr>
        <w:t>2</w:t>
      </w:r>
      <w:r>
        <w:rPr>
          <w:rFonts w:hint="default" w:ascii="Times New Roman" w:hAnsi="Times New Roman" w:cs="Times New Roman"/>
          <w:sz w:val="21"/>
          <w:szCs w:val="21"/>
        </w:rPr>
        <w:t xml:space="preserve">O and NO Emissions from a Peach Orchard. </w:t>
      </w:r>
      <w:r>
        <w:rPr>
          <w:rFonts w:hint="default" w:ascii="Times New Roman" w:hAnsi="Times New Roman" w:cs="Times New Roman"/>
          <w:i/>
          <w:sz w:val="21"/>
          <w:szCs w:val="21"/>
        </w:rPr>
        <w:t>Environmental Science</w:t>
      </w:r>
      <w:r>
        <w:rPr>
          <w:rFonts w:hint="default" w:ascii="Times New Roman" w:hAnsi="Times New Roman" w:cs="Times New Roman"/>
          <w:sz w:val="21"/>
          <w:szCs w:val="21"/>
        </w:rPr>
        <w:t xml:space="preserve"> 45, 3725–3733. doi: 10.13227/j.hjkx.202306036</w:t>
      </w:r>
    </w:p>
    <w:p>
      <w:pPr>
        <w:pStyle w:val="14"/>
        <w:bidi w:val="0"/>
        <w:rPr>
          <w:rFonts w:hint="default" w:ascii="Times New Roman" w:hAnsi="Times New Roman" w:cs="Times New Roman"/>
          <w:sz w:val="21"/>
          <w:szCs w:val="21"/>
        </w:rPr>
      </w:pPr>
      <w:r>
        <w:rPr>
          <w:rFonts w:hint="default" w:ascii="Times New Roman" w:hAnsi="Times New Roman" w:cs="Times New Roman"/>
          <w:sz w:val="21"/>
          <w:szCs w:val="21"/>
        </w:rPr>
        <w:t>Zhu, T., Zhang, J., Huang, P., Suo, L., Wang, C., Ding, W., et al. (2015). N</w:t>
      </w:r>
      <w:r>
        <w:rPr>
          <w:rFonts w:hint="default" w:ascii="Times New Roman" w:hAnsi="Times New Roman" w:cs="Times New Roman"/>
          <w:sz w:val="21"/>
          <w:szCs w:val="21"/>
          <w:vertAlign w:val="subscript"/>
        </w:rPr>
        <w:t>2</w:t>
      </w:r>
      <w:r>
        <w:rPr>
          <w:rFonts w:hint="default" w:ascii="Times New Roman" w:hAnsi="Times New Roman" w:cs="Times New Roman"/>
          <w:sz w:val="21"/>
          <w:szCs w:val="21"/>
        </w:rPr>
        <w:t xml:space="preserve">O emissions from banana plantations in tropical China as affected by the application rates of urea and a urease/nitrification inhibitor. </w:t>
      </w:r>
      <w:r>
        <w:rPr>
          <w:rFonts w:hint="default" w:ascii="Times New Roman" w:hAnsi="Times New Roman" w:cs="Times New Roman"/>
          <w:i/>
          <w:sz w:val="21"/>
          <w:szCs w:val="21"/>
        </w:rPr>
        <w:t>Biol Fertil Soils</w:t>
      </w:r>
      <w:r>
        <w:rPr>
          <w:rFonts w:hint="default" w:ascii="Times New Roman" w:hAnsi="Times New Roman" w:cs="Times New Roman"/>
          <w:sz w:val="21"/>
          <w:szCs w:val="21"/>
        </w:rPr>
        <w:t xml:space="preserve"> 51, 673–683. doi: 10.1007/s00374-015-1018-z</w:t>
      </w:r>
    </w:p>
    <w:p>
      <w:pPr>
        <w:pStyle w:val="14"/>
        <w:bidi w:val="0"/>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Zhu Z. (2019). Effects of Fertilization System on Ammonia Volatilization and Greenhouse Gas Emission in Weibei Apple Orchard. Northwest Agricultural &amp; Forestry University</w:t>
      </w:r>
      <w:r>
        <w:rPr>
          <w:rFonts w:hint="eastAsia" w:ascii="Times New Roman" w:hAnsi="Times New Roman" w:cs="Times New Roman"/>
          <w:sz w:val="21"/>
          <w:szCs w:val="21"/>
          <w:lang w:val="en-US" w:eastAsia="zh-CN"/>
        </w:rPr>
        <w:t>, Xianyang, China.</w:t>
      </w:r>
    </w:p>
    <w:p>
      <w:pPr>
        <w:keepNext w:val="0"/>
        <w:keepLines w:val="0"/>
        <w:pageBreakBefore w:val="0"/>
        <w:widowControl w:val="0"/>
        <w:suppressLineNumbers w:val="0"/>
        <w:kinsoku/>
        <w:wordWrap/>
        <w:overflowPunct/>
        <w:topLinePunct w:val="0"/>
        <w:autoSpaceDE/>
        <w:autoSpaceDN/>
        <w:bidi w:val="0"/>
        <w:adjustRightInd/>
        <w:snapToGrid/>
        <w:spacing w:line="480" w:lineRule="auto"/>
        <w:textAlignment w:val="auto"/>
        <w:rPr>
          <w:rFonts w:hint="default" w:ascii="Times New Roman" w:hAnsi="Times New Roman"/>
          <w:sz w:val="24"/>
          <w:szCs w:val="32"/>
          <w:lang w:val="en-US" w:eastAsia="zh-CN"/>
        </w:rPr>
      </w:pPr>
      <w:r>
        <w:rPr>
          <w:rFonts w:hint="default" w:ascii="Times New Roman" w:hAnsi="Times New Roman"/>
          <w:sz w:val="21"/>
          <w:szCs w:val="24"/>
          <w:lang w:val="en-US" w:eastAsia="zh-CN"/>
        </w:rPr>
        <w:fldChar w:fldCharType="end"/>
      </w: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lnNumType w:countBy="1" w:restart="continuou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85410D"/>
    <w:multiLevelType w:val="singleLevel"/>
    <w:tmpl w:val="4C85410D"/>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Q1ZGYzZDNlNDZhZjk2MDYxYWI0MjExNDg0YWU0ODMifQ=="/>
  </w:docVars>
  <w:rsids>
    <w:rsidRoot w:val="00172A27"/>
    <w:rsid w:val="001561FA"/>
    <w:rsid w:val="001F15B9"/>
    <w:rsid w:val="0026679E"/>
    <w:rsid w:val="00292473"/>
    <w:rsid w:val="002D015D"/>
    <w:rsid w:val="00A80131"/>
    <w:rsid w:val="00B15BE6"/>
    <w:rsid w:val="00B70449"/>
    <w:rsid w:val="00C203F8"/>
    <w:rsid w:val="00D14E26"/>
    <w:rsid w:val="028E4281"/>
    <w:rsid w:val="04CA5BBE"/>
    <w:rsid w:val="05264A9C"/>
    <w:rsid w:val="15CD5CF2"/>
    <w:rsid w:val="18A17188"/>
    <w:rsid w:val="20212CCF"/>
    <w:rsid w:val="299E106E"/>
    <w:rsid w:val="3204631E"/>
    <w:rsid w:val="3C727692"/>
    <w:rsid w:val="3EF13485"/>
    <w:rsid w:val="46AF6C9A"/>
    <w:rsid w:val="4B0A3892"/>
    <w:rsid w:val="4CE42862"/>
    <w:rsid w:val="4D202FDC"/>
    <w:rsid w:val="4D6D5FA4"/>
    <w:rsid w:val="5A8607A6"/>
    <w:rsid w:val="5AD20FEA"/>
    <w:rsid w:val="610959BC"/>
    <w:rsid w:val="67566317"/>
    <w:rsid w:val="6E394A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footer"/>
    <w:basedOn w:val="1"/>
    <w:link w:val="12"/>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1"/>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footnote text"/>
    <w:basedOn w:val="1"/>
    <w:autoRedefine/>
    <w:semiHidden/>
    <w:unhideWhenUsed/>
    <w:qFormat/>
    <w:uiPriority w:val="99"/>
    <w:pPr>
      <w:snapToGrid w:val="0"/>
      <w:jc w:val="left"/>
    </w:pPr>
    <w:rPr>
      <w:sz w:val="18"/>
    </w:rPr>
  </w:style>
  <w:style w:type="character" w:styleId="8">
    <w:name w:val="Hyperlink"/>
    <w:basedOn w:val="7"/>
    <w:autoRedefine/>
    <w:semiHidden/>
    <w:unhideWhenUsed/>
    <w:qFormat/>
    <w:uiPriority w:val="99"/>
    <w:rPr>
      <w:color w:val="0000FF"/>
      <w:u w:val="single"/>
    </w:rPr>
  </w:style>
  <w:style w:type="character" w:styleId="9">
    <w:name w:val="annotation reference"/>
    <w:basedOn w:val="7"/>
    <w:autoRedefine/>
    <w:qFormat/>
    <w:uiPriority w:val="0"/>
    <w:rPr>
      <w:sz w:val="21"/>
      <w:szCs w:val="21"/>
    </w:rPr>
  </w:style>
  <w:style w:type="character" w:styleId="10">
    <w:name w:val="footnote reference"/>
    <w:basedOn w:val="7"/>
    <w:autoRedefine/>
    <w:semiHidden/>
    <w:unhideWhenUsed/>
    <w:qFormat/>
    <w:uiPriority w:val="99"/>
    <w:rPr>
      <w:vertAlign w:val="superscript"/>
    </w:rPr>
  </w:style>
  <w:style w:type="character" w:customStyle="1" w:styleId="11">
    <w:name w:val="页眉 字符"/>
    <w:basedOn w:val="7"/>
    <w:link w:val="4"/>
    <w:autoRedefine/>
    <w:qFormat/>
    <w:uiPriority w:val="99"/>
    <w:rPr>
      <w:sz w:val="18"/>
      <w:szCs w:val="18"/>
    </w:rPr>
  </w:style>
  <w:style w:type="character" w:customStyle="1" w:styleId="12">
    <w:name w:val="页脚 字符"/>
    <w:basedOn w:val="7"/>
    <w:link w:val="3"/>
    <w:autoRedefine/>
    <w:qFormat/>
    <w:uiPriority w:val="99"/>
    <w:rPr>
      <w:sz w:val="18"/>
      <w:szCs w:val="18"/>
    </w:rPr>
  </w:style>
  <w:style w:type="paragraph" w:styleId="13">
    <w:name w:val="No Spacing"/>
    <w:autoRedefine/>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14">
    <w:name w:val="Bibliography"/>
    <w:basedOn w:val="1"/>
    <w:uiPriority w:val="0"/>
    <w:pPr>
      <w:spacing w:after="240"/>
      <w:ind w:left="720" w:hanging="720"/>
    </w:p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wmf"/><Relationship Id="rId7" Type="http://schemas.openxmlformats.org/officeDocument/2006/relationships/oleObject" Target="embeddings/oleObject2.bin"/><Relationship Id="rId6" Type="http://schemas.openxmlformats.org/officeDocument/2006/relationships/image" Target="media/image1.wmf"/><Relationship Id="rId5" Type="http://schemas.openxmlformats.org/officeDocument/2006/relationships/oleObject" Target="embeddings/oleObject1.bin"/><Relationship Id="rId4" Type="http://schemas.openxmlformats.org/officeDocument/2006/relationships/theme" Target="theme/theme1.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5.jpeg"/><Relationship Id="rId3" Type="http://schemas.openxmlformats.org/officeDocument/2006/relationships/footer" Target="footer1.xml"/><Relationship Id="rId29" Type="http://schemas.openxmlformats.org/officeDocument/2006/relationships/image" Target="media/image14.png"/><Relationship Id="rId28" Type="http://schemas.openxmlformats.org/officeDocument/2006/relationships/image" Target="media/image13.jpeg"/><Relationship Id="rId27" Type="http://schemas.openxmlformats.org/officeDocument/2006/relationships/image" Target="media/image12.tiff"/><Relationship Id="rId26" Type="http://schemas.openxmlformats.org/officeDocument/2006/relationships/image" Target="media/image11.wmf"/><Relationship Id="rId25" Type="http://schemas.openxmlformats.org/officeDocument/2006/relationships/oleObject" Target="embeddings/oleObject11.bin"/><Relationship Id="rId24" Type="http://schemas.openxmlformats.org/officeDocument/2006/relationships/image" Target="media/image10.wmf"/><Relationship Id="rId23" Type="http://schemas.openxmlformats.org/officeDocument/2006/relationships/oleObject" Target="embeddings/oleObject10.bin"/><Relationship Id="rId22" Type="http://schemas.openxmlformats.org/officeDocument/2006/relationships/image" Target="media/image9.wmf"/><Relationship Id="rId21" Type="http://schemas.openxmlformats.org/officeDocument/2006/relationships/oleObject" Target="embeddings/oleObject9.bin"/><Relationship Id="rId20" Type="http://schemas.openxmlformats.org/officeDocument/2006/relationships/image" Target="media/image8.w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image" Target="media/image7.wmf"/><Relationship Id="rId17" Type="http://schemas.openxmlformats.org/officeDocument/2006/relationships/oleObject" Target="embeddings/oleObject7.bin"/><Relationship Id="rId16" Type="http://schemas.openxmlformats.org/officeDocument/2006/relationships/image" Target="media/image6.wmf"/><Relationship Id="rId15" Type="http://schemas.openxmlformats.org/officeDocument/2006/relationships/oleObject" Target="embeddings/oleObject6.bin"/><Relationship Id="rId14" Type="http://schemas.openxmlformats.org/officeDocument/2006/relationships/image" Target="media/image5.wmf"/><Relationship Id="rId13" Type="http://schemas.openxmlformats.org/officeDocument/2006/relationships/oleObject" Target="embeddings/oleObject5.bin"/><Relationship Id="rId12" Type="http://schemas.openxmlformats.org/officeDocument/2006/relationships/image" Target="media/image4.wmf"/><Relationship Id="rId11" Type="http://schemas.openxmlformats.org/officeDocument/2006/relationships/oleObject" Target="embeddings/oleObject4.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433</Words>
  <Characters>2251</Characters>
  <Lines>5</Lines>
  <Paragraphs>1</Paragraphs>
  <TotalTime>30</TotalTime>
  <ScaleCrop>false</ScaleCrop>
  <LinksUpToDate>false</LinksUpToDate>
  <CharactersWithSpaces>2552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2022-07-18T03:24:00Z</dcterms:created>
  <dc:creator>Han Jiale</dc:creator>
  <cp:lastModifiedBy>李CC</cp:lastModifiedBy>
  <dcterms:modified xsi:type="dcterms:W3CDTF">2024-10-04T13:56:36Z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7DBB9D413FB6477CA531720C5E1EB512_12</vt:lpwstr>
  </property>
  <property fmtid="{D5CDD505-2E9C-101B-9397-08002B2CF9AE}" pid="4" name="ZOTERO_PREF_1">
    <vt:lpwstr>&lt;data data-version="3" zotero-version="6.0.36"&gt;&lt;session id="1OPniWmA"/&gt;&lt;style id="http://www.zotero.org/styles/frontiers-in-plant-science" hasBibliography="1" bibliographyStyleHasBeenSet="1"/&gt;&lt;prefs&gt;&lt;pref name="fieldType" value="Field"/&gt;&lt;/prefs&gt;&lt;/data&gt;</vt:lpwstr>
  </property>
</Properties>
</file>