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42DA0B" w14:textId="77777777" w:rsidR="00B600B1" w:rsidRPr="007E2443" w:rsidRDefault="00B600B1" w:rsidP="00B600B1">
      <w:pPr>
        <w:rPr>
          <w:rFonts w:ascii="Times New Roman" w:hAnsi="Times New Roman" w:cs="Times New Roman"/>
          <w:b/>
          <w:bCs/>
          <w:sz w:val="36"/>
          <w:szCs w:val="36"/>
        </w:rPr>
      </w:pPr>
      <w:r w:rsidRPr="007E2443">
        <w:rPr>
          <w:rFonts w:ascii="Times New Roman" w:hAnsi="Times New Roman" w:cs="Times New Roman" w:hint="eastAsia"/>
          <w:b/>
          <w:bCs/>
          <w:sz w:val="36"/>
          <w:szCs w:val="36"/>
        </w:rPr>
        <w:t>Supplementary Figures</w:t>
      </w:r>
    </w:p>
    <w:p w14:paraId="6AB3AA91" w14:textId="2E8AF286" w:rsidR="00B600B1" w:rsidRDefault="00143F77" w:rsidP="00B600B1">
      <w:pPr>
        <w:rPr>
          <w:rFonts w:ascii="Times New Roman" w:hAnsi="Times New Roman" w:cs="Times New Roman"/>
          <w:sz w:val="30"/>
          <w:szCs w:val="30"/>
        </w:rPr>
      </w:pPr>
      <w:r>
        <w:rPr>
          <w:rFonts w:ascii="Times New Roman" w:hAnsi="Times New Roman" w:cs="Times New Roman"/>
          <w:b/>
          <w:bCs/>
          <w:noProof/>
          <w:sz w:val="30"/>
          <w:szCs w:val="30"/>
        </w:rPr>
        <w:drawing>
          <wp:inline distT="0" distB="0" distL="0" distR="0" wp14:anchorId="6ED3CA28" wp14:editId="7D011B8D">
            <wp:extent cx="5267325" cy="3733800"/>
            <wp:effectExtent l="0" t="0" r="9525" b="0"/>
            <wp:docPr id="4467966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67325" cy="3733800"/>
                    </a:xfrm>
                    <a:prstGeom prst="rect">
                      <a:avLst/>
                    </a:prstGeom>
                    <a:noFill/>
                    <a:ln>
                      <a:noFill/>
                    </a:ln>
                  </pic:spPr>
                </pic:pic>
              </a:graphicData>
            </a:graphic>
          </wp:inline>
        </w:drawing>
      </w:r>
    </w:p>
    <w:p w14:paraId="09A35CF6" w14:textId="77777777" w:rsidR="00B600B1" w:rsidRDefault="00B600B1" w:rsidP="00B600B1">
      <w:pPr>
        <w:rPr>
          <w:rFonts w:ascii="Times New Roman" w:hAnsi="Times New Roman" w:cs="Times New Roman"/>
          <w:sz w:val="30"/>
          <w:szCs w:val="30"/>
        </w:rPr>
      </w:pPr>
      <w:r w:rsidRPr="00392988">
        <w:rPr>
          <w:rFonts w:ascii="Times New Roman" w:hAnsi="Times New Roman" w:cs="Times New Roman" w:hint="eastAsia"/>
          <w:sz w:val="30"/>
          <w:szCs w:val="30"/>
        </w:rPr>
        <w:t>Supplementary Figure 1: Enrichment of lipid metabolism pathways in different hepatic cell subpopulations from the HPA database</w:t>
      </w:r>
      <w:r>
        <w:rPr>
          <w:rFonts w:ascii="Times New Roman" w:hAnsi="Times New Roman" w:cs="Times New Roman" w:hint="eastAsia"/>
          <w:sz w:val="30"/>
          <w:szCs w:val="30"/>
        </w:rPr>
        <w:t xml:space="preserve"> </w:t>
      </w:r>
      <w:r w:rsidRPr="00392988">
        <w:rPr>
          <w:rFonts w:ascii="Times New Roman" w:hAnsi="Times New Roman" w:cs="Times New Roman" w:hint="eastAsia"/>
          <w:sz w:val="30"/>
          <w:szCs w:val="30"/>
        </w:rPr>
        <w:t>A) UMAP plot showing the clustering of different hepatic cell subpopulations based on single-cell RNA-seq data, with a bar chart indicating the number of cells in each subpopulation. Distinct clusters represent various hepatic cell types, including hepatocytes, T-cells, Kupffer cells, and others.</w:t>
      </w:r>
      <w:r>
        <w:rPr>
          <w:rFonts w:ascii="Times New Roman" w:hAnsi="Times New Roman" w:cs="Times New Roman" w:hint="eastAsia"/>
          <w:sz w:val="30"/>
          <w:szCs w:val="30"/>
        </w:rPr>
        <w:t xml:space="preserve"> </w:t>
      </w:r>
      <w:r w:rsidRPr="00392988">
        <w:rPr>
          <w:rFonts w:ascii="Times New Roman" w:hAnsi="Times New Roman" w:cs="Times New Roman" w:hint="eastAsia"/>
          <w:sz w:val="30"/>
          <w:szCs w:val="30"/>
        </w:rPr>
        <w:t xml:space="preserve">B) UMAP plot illustrating the enrichment of the fatty acid elongation pathway across the different hepatic cell subpopulations, highlighting specific clusters with higher pathway </w:t>
      </w:r>
      <w:proofErr w:type="spellStart"/>
      <w:r w:rsidRPr="00392988">
        <w:rPr>
          <w:rFonts w:ascii="Times New Roman" w:hAnsi="Times New Roman" w:cs="Times New Roman" w:hint="eastAsia"/>
          <w:sz w:val="30"/>
          <w:szCs w:val="30"/>
        </w:rPr>
        <w:t>activity.C</w:t>
      </w:r>
      <w:proofErr w:type="spellEnd"/>
      <w:r w:rsidRPr="00392988">
        <w:rPr>
          <w:rFonts w:ascii="Times New Roman" w:hAnsi="Times New Roman" w:cs="Times New Roman" w:hint="eastAsia"/>
          <w:sz w:val="30"/>
          <w:szCs w:val="30"/>
        </w:rPr>
        <w:t xml:space="preserve">) UMAP plot showing the enrichment of the fatty acid biosynthesis pathway in various hepatic cell subpopulations, indicating the differential involvement of this pathway among cell </w:t>
      </w:r>
      <w:proofErr w:type="spellStart"/>
      <w:r w:rsidRPr="00392988">
        <w:rPr>
          <w:rFonts w:ascii="Times New Roman" w:hAnsi="Times New Roman" w:cs="Times New Roman" w:hint="eastAsia"/>
          <w:sz w:val="30"/>
          <w:szCs w:val="30"/>
        </w:rPr>
        <w:lastRenderedPageBreak/>
        <w:t>types.D</w:t>
      </w:r>
      <w:proofErr w:type="spellEnd"/>
      <w:r w:rsidRPr="00392988">
        <w:rPr>
          <w:rFonts w:ascii="Times New Roman" w:hAnsi="Times New Roman" w:cs="Times New Roman" w:hint="eastAsia"/>
          <w:sz w:val="30"/>
          <w:szCs w:val="30"/>
        </w:rPr>
        <w:t>) UMAP plot displaying the enrichment of the fatty acid degradation pathway in the different hepatic cell subpopulations, with certain clusters showing more significant activity.</w:t>
      </w:r>
    </w:p>
    <w:p w14:paraId="5B320C80" w14:textId="77777777" w:rsidR="00B600B1" w:rsidRDefault="00B600B1" w:rsidP="00B600B1">
      <w:pPr>
        <w:rPr>
          <w:rFonts w:ascii="Times New Roman" w:hAnsi="Times New Roman" w:cs="Times New Roman"/>
          <w:noProof/>
          <w:sz w:val="30"/>
          <w:szCs w:val="30"/>
        </w:rPr>
      </w:pPr>
    </w:p>
    <w:p w14:paraId="2A16811D" w14:textId="0E4B584B" w:rsidR="00B600B1" w:rsidRDefault="00143F77" w:rsidP="00B600B1">
      <w:pPr>
        <w:rPr>
          <w:rFonts w:ascii="Times New Roman" w:hAnsi="Times New Roman" w:cs="Times New Roman"/>
          <w:sz w:val="30"/>
          <w:szCs w:val="30"/>
        </w:rPr>
      </w:pPr>
      <w:r>
        <w:rPr>
          <w:rFonts w:ascii="Times New Roman" w:hAnsi="Times New Roman" w:cs="Times New Roman"/>
          <w:noProof/>
          <w:sz w:val="30"/>
          <w:szCs w:val="30"/>
        </w:rPr>
        <w:drawing>
          <wp:inline distT="0" distB="0" distL="0" distR="0" wp14:anchorId="1E095A20" wp14:editId="09975959">
            <wp:extent cx="5267325" cy="3800475"/>
            <wp:effectExtent l="0" t="0" r="9525" b="9525"/>
            <wp:docPr id="145108267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67325" cy="3800475"/>
                    </a:xfrm>
                    <a:prstGeom prst="rect">
                      <a:avLst/>
                    </a:prstGeom>
                    <a:noFill/>
                    <a:ln>
                      <a:noFill/>
                    </a:ln>
                  </pic:spPr>
                </pic:pic>
              </a:graphicData>
            </a:graphic>
          </wp:inline>
        </w:drawing>
      </w:r>
    </w:p>
    <w:p w14:paraId="3C63FD9E" w14:textId="77777777" w:rsidR="00B600B1" w:rsidRPr="009263BA" w:rsidRDefault="00B600B1" w:rsidP="00B600B1">
      <w:pPr>
        <w:rPr>
          <w:rFonts w:ascii="Times New Roman" w:hAnsi="Times New Roman" w:cs="Times New Roman"/>
          <w:sz w:val="30"/>
          <w:szCs w:val="30"/>
        </w:rPr>
      </w:pPr>
      <w:r w:rsidRPr="009263BA">
        <w:rPr>
          <w:rFonts w:ascii="Times New Roman" w:hAnsi="Times New Roman" w:cs="Times New Roman" w:hint="eastAsia"/>
          <w:sz w:val="30"/>
          <w:szCs w:val="30"/>
        </w:rPr>
        <w:t>Supplementary Figure 2: Serum biochemical markers across different dietary conditions and CPT treatment</w:t>
      </w:r>
      <w:r>
        <w:rPr>
          <w:rFonts w:ascii="Times New Roman" w:hAnsi="Times New Roman" w:cs="Times New Roman" w:hint="eastAsia"/>
          <w:sz w:val="30"/>
          <w:szCs w:val="30"/>
        </w:rPr>
        <w:t xml:space="preserve"> </w:t>
      </w:r>
      <w:r w:rsidRPr="009263BA">
        <w:rPr>
          <w:rFonts w:ascii="Times New Roman" w:hAnsi="Times New Roman" w:cs="Times New Roman" w:hint="eastAsia"/>
          <w:sz w:val="30"/>
          <w:szCs w:val="30"/>
        </w:rPr>
        <w:t xml:space="preserve">A) Serum albumin (ALB) levels (g/L) across Chow, </w:t>
      </w:r>
      <w:proofErr w:type="spellStart"/>
      <w:r w:rsidRPr="009263BA">
        <w:rPr>
          <w:rFonts w:ascii="Times New Roman" w:hAnsi="Times New Roman" w:cs="Times New Roman" w:hint="eastAsia"/>
          <w:sz w:val="30"/>
          <w:szCs w:val="30"/>
        </w:rPr>
        <w:t>Chow+CPT</w:t>
      </w:r>
      <w:proofErr w:type="spellEnd"/>
      <w:r w:rsidRPr="009263BA">
        <w:rPr>
          <w:rFonts w:ascii="Times New Roman" w:hAnsi="Times New Roman" w:cs="Times New Roman" w:hint="eastAsia"/>
          <w:sz w:val="30"/>
          <w:szCs w:val="30"/>
        </w:rPr>
        <w:t>, HSDFD, and HSDFD+CPT groups.</w:t>
      </w:r>
      <w:r>
        <w:rPr>
          <w:rFonts w:ascii="Times New Roman" w:hAnsi="Times New Roman" w:cs="Times New Roman" w:hint="eastAsia"/>
          <w:sz w:val="30"/>
          <w:szCs w:val="30"/>
        </w:rPr>
        <w:t xml:space="preserve"> </w:t>
      </w:r>
      <w:r w:rsidRPr="009263BA">
        <w:rPr>
          <w:rFonts w:ascii="Times New Roman" w:hAnsi="Times New Roman" w:cs="Times New Roman" w:hint="eastAsia"/>
          <w:sz w:val="30"/>
          <w:szCs w:val="30"/>
        </w:rPr>
        <w:t>B) Serum alkaline phosphatase (ALP) levels (U/L) across different groups, with statistical significance indicated (*p &lt; 0.05).C) Serum alanine aminotransferase (ALT) levels (U/L) across different groups.</w:t>
      </w:r>
    </w:p>
    <w:p w14:paraId="63056632" w14:textId="77777777" w:rsidR="00B600B1" w:rsidRDefault="00B600B1" w:rsidP="00B600B1">
      <w:pPr>
        <w:rPr>
          <w:rFonts w:ascii="Times New Roman" w:hAnsi="Times New Roman" w:cs="Times New Roman"/>
          <w:sz w:val="30"/>
          <w:szCs w:val="30"/>
        </w:rPr>
      </w:pPr>
      <w:r w:rsidRPr="009263BA">
        <w:rPr>
          <w:rFonts w:ascii="Times New Roman" w:hAnsi="Times New Roman" w:cs="Times New Roman" w:hint="eastAsia"/>
          <w:sz w:val="30"/>
          <w:szCs w:val="30"/>
        </w:rPr>
        <w:t xml:space="preserve">D) Serum aspartate aminotransferase (AST) levels (U/L) across different </w:t>
      </w:r>
      <w:proofErr w:type="spellStart"/>
      <w:proofErr w:type="gramStart"/>
      <w:r w:rsidRPr="009263BA">
        <w:rPr>
          <w:rFonts w:ascii="Times New Roman" w:hAnsi="Times New Roman" w:cs="Times New Roman" w:hint="eastAsia"/>
          <w:sz w:val="30"/>
          <w:szCs w:val="30"/>
        </w:rPr>
        <w:t>groups.E</w:t>
      </w:r>
      <w:proofErr w:type="spellEnd"/>
      <w:proofErr w:type="gramEnd"/>
      <w:r w:rsidRPr="009263BA">
        <w:rPr>
          <w:rFonts w:ascii="Times New Roman" w:hAnsi="Times New Roman" w:cs="Times New Roman" w:hint="eastAsia"/>
          <w:sz w:val="30"/>
          <w:szCs w:val="30"/>
        </w:rPr>
        <w:t xml:space="preserve">) Serum total protein (TP) levels (g/L) across </w:t>
      </w:r>
      <w:r w:rsidRPr="009263BA">
        <w:rPr>
          <w:rFonts w:ascii="Times New Roman" w:hAnsi="Times New Roman" w:cs="Times New Roman" w:hint="eastAsia"/>
          <w:sz w:val="30"/>
          <w:szCs w:val="30"/>
        </w:rPr>
        <w:lastRenderedPageBreak/>
        <w:t>different dietary conditions and CPT treatment groups.</w:t>
      </w:r>
    </w:p>
    <w:p w14:paraId="612E7729" w14:textId="77777777" w:rsidR="00B600B1" w:rsidRDefault="00B600B1" w:rsidP="00B600B1">
      <w:pPr>
        <w:rPr>
          <w:rFonts w:ascii="Times New Roman" w:hAnsi="Times New Roman" w:cs="Times New Roman"/>
          <w:noProof/>
          <w:sz w:val="30"/>
          <w:szCs w:val="30"/>
        </w:rPr>
      </w:pPr>
    </w:p>
    <w:p w14:paraId="4E9E486B" w14:textId="63226C55" w:rsidR="00B600B1" w:rsidRDefault="00143F77" w:rsidP="00B600B1">
      <w:pPr>
        <w:rPr>
          <w:rFonts w:ascii="Times New Roman" w:hAnsi="Times New Roman" w:cs="Times New Roman"/>
          <w:sz w:val="30"/>
          <w:szCs w:val="30"/>
        </w:rPr>
      </w:pPr>
      <w:r>
        <w:rPr>
          <w:rFonts w:ascii="Times New Roman" w:hAnsi="Times New Roman" w:cs="Times New Roman"/>
          <w:noProof/>
          <w:sz w:val="30"/>
          <w:szCs w:val="30"/>
        </w:rPr>
        <w:drawing>
          <wp:inline distT="0" distB="0" distL="0" distR="0" wp14:anchorId="380599A4" wp14:editId="3282E89C">
            <wp:extent cx="5267325" cy="1952625"/>
            <wp:effectExtent l="0" t="0" r="9525" b="9525"/>
            <wp:docPr id="19555703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67325" cy="1952625"/>
                    </a:xfrm>
                    <a:prstGeom prst="rect">
                      <a:avLst/>
                    </a:prstGeom>
                    <a:noFill/>
                    <a:ln>
                      <a:noFill/>
                    </a:ln>
                  </pic:spPr>
                </pic:pic>
              </a:graphicData>
            </a:graphic>
          </wp:inline>
        </w:drawing>
      </w:r>
    </w:p>
    <w:p w14:paraId="294D199F" w14:textId="77777777" w:rsidR="00B600B1" w:rsidRDefault="00B600B1" w:rsidP="00B600B1">
      <w:pPr>
        <w:rPr>
          <w:rFonts w:ascii="Times New Roman" w:hAnsi="Times New Roman" w:cs="Times New Roman"/>
          <w:sz w:val="30"/>
          <w:szCs w:val="30"/>
        </w:rPr>
      </w:pPr>
      <w:bookmarkStart w:id="0" w:name="OLE_LINK8"/>
      <w:r w:rsidRPr="00BB4245">
        <w:rPr>
          <w:rFonts w:ascii="Times New Roman" w:hAnsi="Times New Roman" w:cs="Times New Roman" w:hint="eastAsia"/>
          <w:sz w:val="30"/>
          <w:szCs w:val="30"/>
        </w:rPr>
        <w:t xml:space="preserve">Supplementary Figure 3: </w:t>
      </w:r>
      <w:bookmarkEnd w:id="0"/>
      <w:r w:rsidRPr="00BB4245">
        <w:rPr>
          <w:rFonts w:ascii="Times New Roman" w:hAnsi="Times New Roman" w:cs="Times New Roman" w:hint="eastAsia"/>
          <w:sz w:val="30"/>
          <w:szCs w:val="30"/>
        </w:rPr>
        <w:t xml:space="preserve">Western blot analysis of AHR and CYP1A1 </w:t>
      </w:r>
      <w:proofErr w:type="gramStart"/>
      <w:r w:rsidRPr="00BB4245">
        <w:rPr>
          <w:rFonts w:ascii="Times New Roman" w:hAnsi="Times New Roman" w:cs="Times New Roman" w:hint="eastAsia"/>
          <w:sz w:val="30"/>
          <w:szCs w:val="30"/>
        </w:rPr>
        <w:t>expression</w:t>
      </w:r>
      <w:proofErr w:type="gramEnd"/>
      <w:r w:rsidRPr="00BB4245">
        <w:rPr>
          <w:rFonts w:ascii="Times New Roman" w:hAnsi="Times New Roman" w:cs="Times New Roman" w:hint="eastAsia"/>
          <w:sz w:val="30"/>
          <w:szCs w:val="30"/>
        </w:rPr>
        <w:t xml:space="preserve"> under different treatment conditions</w:t>
      </w:r>
      <w:r>
        <w:rPr>
          <w:rFonts w:ascii="Times New Roman" w:hAnsi="Times New Roman" w:cs="Times New Roman" w:hint="eastAsia"/>
          <w:sz w:val="30"/>
          <w:szCs w:val="30"/>
        </w:rPr>
        <w:t xml:space="preserve"> </w:t>
      </w:r>
      <w:r w:rsidRPr="00BB4245">
        <w:rPr>
          <w:rFonts w:ascii="Times New Roman" w:hAnsi="Times New Roman" w:cs="Times New Roman" w:hint="eastAsia"/>
          <w:sz w:val="30"/>
          <w:szCs w:val="30"/>
        </w:rPr>
        <w:t>Left panel: Representative Western blot images showing the protein expression levels of AHR, CYP1A1, and GAPDH (loading control) in liver cells treated with VEH (vehicle), VEH+CPT, PA (palmitic acid), and PA+CPT.</w:t>
      </w:r>
      <w:r>
        <w:rPr>
          <w:rFonts w:ascii="Times New Roman" w:hAnsi="Times New Roman" w:cs="Times New Roman" w:hint="eastAsia"/>
          <w:sz w:val="30"/>
          <w:szCs w:val="30"/>
        </w:rPr>
        <w:t xml:space="preserve"> </w:t>
      </w:r>
      <w:r w:rsidRPr="00BB4245">
        <w:rPr>
          <w:rFonts w:ascii="Times New Roman" w:hAnsi="Times New Roman" w:cs="Times New Roman" w:hint="eastAsia"/>
          <w:sz w:val="30"/>
          <w:szCs w:val="30"/>
        </w:rPr>
        <w:t xml:space="preserve">Right panel: Quantification of relative protein expression levels of AHR and CYP1A1 across the different treatment groups. Data are presented as mean </w:t>
      </w:r>
      <w:r w:rsidRPr="00BB4245">
        <w:rPr>
          <w:rFonts w:ascii="Times New Roman" w:hAnsi="Times New Roman" w:cs="Times New Roman" w:hint="eastAsia"/>
          <w:sz w:val="30"/>
          <w:szCs w:val="30"/>
        </w:rPr>
        <w:t>±</w:t>
      </w:r>
      <w:r w:rsidRPr="00BB4245">
        <w:rPr>
          <w:rFonts w:ascii="Times New Roman" w:hAnsi="Times New Roman" w:cs="Times New Roman" w:hint="eastAsia"/>
          <w:sz w:val="30"/>
          <w:szCs w:val="30"/>
        </w:rPr>
        <w:t xml:space="preserve"> SEM. Statistical significance is indicated by *p &lt; 0.05, **p &lt; 0.01, ***p &lt; 0.001.</w:t>
      </w:r>
    </w:p>
    <w:p w14:paraId="0DDCC00E" w14:textId="77777777" w:rsidR="00B600B1" w:rsidRDefault="00B600B1" w:rsidP="00B600B1">
      <w:pPr>
        <w:rPr>
          <w:rFonts w:ascii="Times New Roman" w:hAnsi="Times New Roman" w:cs="Times New Roman"/>
          <w:sz w:val="30"/>
          <w:szCs w:val="30"/>
        </w:rPr>
      </w:pPr>
    </w:p>
    <w:p w14:paraId="68C0A403" w14:textId="5CF95A49" w:rsidR="00B600B1" w:rsidRDefault="00143F77" w:rsidP="00B600B1">
      <w:pPr>
        <w:rPr>
          <w:rFonts w:ascii="Times New Roman" w:hAnsi="Times New Roman" w:cs="Times New Roman"/>
          <w:noProof/>
          <w:sz w:val="30"/>
          <w:szCs w:val="30"/>
        </w:rPr>
      </w:pPr>
      <w:r>
        <w:rPr>
          <w:rFonts w:ascii="Times New Roman" w:hAnsi="Times New Roman" w:cs="Times New Roman"/>
          <w:noProof/>
          <w:sz w:val="30"/>
          <w:szCs w:val="30"/>
        </w:rPr>
        <w:lastRenderedPageBreak/>
        <w:drawing>
          <wp:inline distT="0" distB="0" distL="0" distR="0" wp14:anchorId="464D0952" wp14:editId="0F7D8238">
            <wp:extent cx="5267325" cy="2962275"/>
            <wp:effectExtent l="0" t="0" r="9525" b="9525"/>
            <wp:docPr id="100988564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67325" cy="2962275"/>
                    </a:xfrm>
                    <a:prstGeom prst="rect">
                      <a:avLst/>
                    </a:prstGeom>
                    <a:noFill/>
                    <a:ln>
                      <a:noFill/>
                    </a:ln>
                  </pic:spPr>
                </pic:pic>
              </a:graphicData>
            </a:graphic>
          </wp:inline>
        </w:drawing>
      </w:r>
    </w:p>
    <w:p w14:paraId="4160F981" w14:textId="77777777" w:rsidR="00B600B1" w:rsidRDefault="00B600B1" w:rsidP="00B600B1">
      <w:pPr>
        <w:rPr>
          <w:rFonts w:ascii="Times New Roman" w:hAnsi="Times New Roman" w:cs="Times New Roman"/>
          <w:sz w:val="30"/>
          <w:szCs w:val="30"/>
        </w:rPr>
      </w:pPr>
      <w:r w:rsidRPr="00B9395B">
        <w:rPr>
          <w:rFonts w:ascii="Times New Roman" w:hAnsi="Times New Roman" w:cs="Times New Roman" w:hint="eastAsia"/>
          <w:sz w:val="30"/>
          <w:szCs w:val="30"/>
        </w:rPr>
        <w:t>Supplementary Figure 4: MM-PBSA Energy Decomposition for CPT Binding to AHR</w:t>
      </w:r>
      <w:r w:rsidRPr="00B9395B">
        <w:rPr>
          <w:rFonts w:ascii="Times New Roman" w:hAnsi="Times New Roman" w:cs="Times New Roman"/>
          <w:sz w:val="30"/>
          <w:szCs w:val="30"/>
        </w:rPr>
        <w:t>A) Average MM-PBSA energy decomposition for CPT binding to AHR, showing contributions from van der Waals (</w:t>
      </w:r>
      <w:proofErr w:type="spellStart"/>
      <w:r w:rsidRPr="00B9395B">
        <w:rPr>
          <w:rFonts w:ascii="Times New Roman" w:hAnsi="Times New Roman" w:cs="Times New Roman"/>
          <w:sz w:val="30"/>
          <w:szCs w:val="30"/>
        </w:rPr>
        <w:t>vdW</w:t>
      </w:r>
      <w:proofErr w:type="spellEnd"/>
      <w:r w:rsidRPr="00B9395B">
        <w:rPr>
          <w:rFonts w:ascii="Times New Roman" w:hAnsi="Times New Roman" w:cs="Times New Roman"/>
          <w:sz w:val="30"/>
          <w:szCs w:val="30"/>
        </w:rPr>
        <w:t>), Coulomb (</w:t>
      </w:r>
      <w:proofErr w:type="spellStart"/>
      <w:r w:rsidRPr="00B9395B">
        <w:rPr>
          <w:rFonts w:ascii="Times New Roman" w:hAnsi="Times New Roman" w:cs="Times New Roman"/>
          <w:sz w:val="30"/>
          <w:szCs w:val="30"/>
        </w:rPr>
        <w:t>Cou</w:t>
      </w:r>
      <w:proofErr w:type="spellEnd"/>
      <w:r w:rsidRPr="00B9395B">
        <w:rPr>
          <w:rFonts w:ascii="Times New Roman" w:hAnsi="Times New Roman" w:cs="Times New Roman"/>
          <w:sz w:val="30"/>
          <w:szCs w:val="30"/>
        </w:rPr>
        <w:t>), Molecular Mechanics (MM), Poisson-Boltzmann (</w:t>
      </w:r>
      <w:proofErr w:type="spellStart"/>
      <w:r w:rsidRPr="00B9395B">
        <w:rPr>
          <w:rFonts w:ascii="Times New Roman" w:hAnsi="Times New Roman" w:cs="Times New Roman"/>
          <w:sz w:val="30"/>
          <w:szCs w:val="30"/>
        </w:rPr>
        <w:t>dPB</w:t>
      </w:r>
      <w:proofErr w:type="spellEnd"/>
      <w:r w:rsidRPr="00B9395B">
        <w:rPr>
          <w:rFonts w:ascii="Times New Roman" w:hAnsi="Times New Roman" w:cs="Times New Roman"/>
          <w:sz w:val="30"/>
          <w:szCs w:val="30"/>
        </w:rPr>
        <w:t>), and solvent accessible surface area (</w:t>
      </w:r>
      <w:proofErr w:type="spellStart"/>
      <w:r w:rsidRPr="00B9395B">
        <w:rPr>
          <w:rFonts w:ascii="Times New Roman" w:hAnsi="Times New Roman" w:cs="Times New Roman"/>
          <w:sz w:val="30"/>
          <w:szCs w:val="30"/>
        </w:rPr>
        <w:t>dSA</w:t>
      </w:r>
      <w:proofErr w:type="spellEnd"/>
      <w:r w:rsidRPr="00B9395B">
        <w:rPr>
          <w:rFonts w:ascii="Times New Roman" w:hAnsi="Times New Roman" w:cs="Times New Roman"/>
          <w:sz w:val="30"/>
          <w:szCs w:val="30"/>
        </w:rPr>
        <w:t>), with total entropy correction (−</w:t>
      </w:r>
      <w:r w:rsidRPr="00B9395B">
        <w:rPr>
          <w:rFonts w:ascii="Cambria Math" w:hAnsi="Cambria Math" w:cs="Cambria Math"/>
          <w:sz w:val="30"/>
          <w:szCs w:val="30"/>
        </w:rPr>
        <w:t>𝑇</w:t>
      </w:r>
      <w:r w:rsidRPr="00B9395B">
        <w:rPr>
          <w:rFonts w:ascii="Times New Roman" w:hAnsi="Times New Roman" w:cs="Times New Roman"/>
          <w:sz w:val="30"/>
          <w:szCs w:val="30"/>
        </w:rPr>
        <w:t>Δ</w:t>
      </w:r>
      <w:r w:rsidRPr="00B9395B">
        <w:rPr>
          <w:rFonts w:ascii="Cambria Math" w:hAnsi="Cambria Math" w:cs="Cambria Math"/>
          <w:sz w:val="30"/>
          <w:szCs w:val="30"/>
        </w:rPr>
        <w:t>𝑆</w:t>
      </w:r>
      <w:r w:rsidRPr="00B9395B">
        <w:rPr>
          <w:rFonts w:ascii="Times New Roman" w:hAnsi="Times New Roman" w:cs="Times New Roman" w:hint="eastAsia"/>
          <w:sz w:val="30"/>
          <w:szCs w:val="30"/>
        </w:rPr>
        <w:t>) at 35.04 kJ/</w:t>
      </w:r>
      <w:proofErr w:type="spellStart"/>
      <w:r w:rsidRPr="00B9395B">
        <w:rPr>
          <w:rFonts w:ascii="Times New Roman" w:hAnsi="Times New Roman" w:cs="Times New Roman" w:hint="eastAsia"/>
          <w:sz w:val="30"/>
          <w:szCs w:val="30"/>
        </w:rPr>
        <w:t>mol.B</w:t>
      </w:r>
      <w:proofErr w:type="spellEnd"/>
      <w:r w:rsidRPr="00B9395B">
        <w:rPr>
          <w:rFonts w:ascii="Times New Roman" w:hAnsi="Times New Roman" w:cs="Times New Roman" w:hint="eastAsia"/>
          <w:sz w:val="30"/>
          <w:szCs w:val="30"/>
        </w:rPr>
        <w:t xml:space="preserve">) Energy profile from 5.0 to 20.0 ns indicating stable binding interactions, with consistent contributions from MM, </w:t>
      </w:r>
      <w:proofErr w:type="spellStart"/>
      <w:r w:rsidRPr="00B9395B">
        <w:rPr>
          <w:rFonts w:ascii="Times New Roman" w:hAnsi="Times New Roman" w:cs="Times New Roman" w:hint="eastAsia"/>
          <w:sz w:val="30"/>
          <w:szCs w:val="30"/>
        </w:rPr>
        <w:t>dPB</w:t>
      </w:r>
      <w:proofErr w:type="spellEnd"/>
      <w:r w:rsidRPr="00B9395B">
        <w:rPr>
          <w:rFonts w:ascii="Times New Roman" w:hAnsi="Times New Roman" w:cs="Times New Roman" w:hint="eastAsia"/>
          <w:sz w:val="30"/>
          <w:szCs w:val="30"/>
        </w:rPr>
        <w:t xml:space="preserve">, and SA energy </w:t>
      </w:r>
      <w:proofErr w:type="spellStart"/>
      <w:r w:rsidRPr="00B9395B">
        <w:rPr>
          <w:rFonts w:ascii="Times New Roman" w:hAnsi="Times New Roman" w:cs="Times New Roman" w:hint="eastAsia"/>
          <w:sz w:val="30"/>
          <w:szCs w:val="30"/>
        </w:rPr>
        <w:t>terms.C</w:t>
      </w:r>
      <w:proofErr w:type="spellEnd"/>
      <w:r w:rsidRPr="00B9395B">
        <w:rPr>
          <w:rFonts w:ascii="Times New Roman" w:hAnsi="Times New Roman" w:cs="Times New Roman" w:hint="eastAsia"/>
          <w:sz w:val="30"/>
          <w:szCs w:val="30"/>
        </w:rPr>
        <w:t xml:space="preserve">) Per-residue Molecular Mechanics (MM) energy analysis reveals key residues significantly contributing to binding energy, particularly in the 0-20 and 90-100 </w:t>
      </w:r>
      <w:proofErr w:type="spellStart"/>
      <w:r w:rsidRPr="00B9395B">
        <w:rPr>
          <w:rFonts w:ascii="Times New Roman" w:hAnsi="Times New Roman" w:cs="Times New Roman" w:hint="eastAsia"/>
          <w:sz w:val="30"/>
          <w:szCs w:val="30"/>
        </w:rPr>
        <w:t>regions.D</w:t>
      </w:r>
      <w:proofErr w:type="spellEnd"/>
      <w:r w:rsidRPr="00B9395B">
        <w:rPr>
          <w:rFonts w:ascii="Times New Roman" w:hAnsi="Times New Roman" w:cs="Times New Roman" w:hint="eastAsia"/>
          <w:sz w:val="30"/>
          <w:szCs w:val="30"/>
        </w:rPr>
        <w:t xml:space="preserve">) Per-residue Poisson-Boltzmann (PB) energy highlights strong electrostatic contributions, with peaks in the 0-20 and 90-100 residue regions, indicating prominent solvation </w:t>
      </w:r>
      <w:proofErr w:type="spellStart"/>
      <w:r w:rsidRPr="00B9395B">
        <w:rPr>
          <w:rFonts w:ascii="Times New Roman" w:hAnsi="Times New Roman" w:cs="Times New Roman" w:hint="eastAsia"/>
          <w:sz w:val="30"/>
          <w:szCs w:val="30"/>
        </w:rPr>
        <w:t>effects.E</w:t>
      </w:r>
      <w:proofErr w:type="spellEnd"/>
      <w:r w:rsidRPr="00B9395B">
        <w:rPr>
          <w:rFonts w:ascii="Times New Roman" w:hAnsi="Times New Roman" w:cs="Times New Roman" w:hint="eastAsia"/>
          <w:sz w:val="30"/>
          <w:szCs w:val="30"/>
        </w:rPr>
        <w:t xml:space="preserve">) Per-residue solvent accessible surface area (SA) energy </w:t>
      </w:r>
      <w:r w:rsidRPr="00B9395B">
        <w:rPr>
          <w:rFonts w:ascii="Times New Roman" w:hAnsi="Times New Roman" w:cs="Times New Roman" w:hint="eastAsia"/>
          <w:sz w:val="30"/>
          <w:szCs w:val="30"/>
        </w:rPr>
        <w:lastRenderedPageBreak/>
        <w:t>shows minimal solvent exposure for most residues, with minor contributions noted in the 0-20 residue range.</w:t>
      </w:r>
    </w:p>
    <w:p w14:paraId="4050B1B7" w14:textId="77777777" w:rsidR="00B600B1" w:rsidRDefault="00B600B1" w:rsidP="00B600B1">
      <w:pPr>
        <w:rPr>
          <w:rFonts w:ascii="Times New Roman" w:hAnsi="Times New Roman" w:cs="Times New Roman"/>
          <w:sz w:val="30"/>
          <w:szCs w:val="30"/>
        </w:rPr>
      </w:pPr>
    </w:p>
    <w:p w14:paraId="72BE89E0" w14:textId="334D6BD5" w:rsidR="00B600B1" w:rsidRDefault="00143F77" w:rsidP="00B600B1">
      <w:pPr>
        <w:rPr>
          <w:rFonts w:ascii="Times New Roman" w:hAnsi="Times New Roman" w:cs="Times New Roman"/>
          <w:sz w:val="30"/>
          <w:szCs w:val="30"/>
        </w:rPr>
      </w:pPr>
      <w:r>
        <w:rPr>
          <w:rFonts w:ascii="Times New Roman" w:hAnsi="Times New Roman" w:cs="Times New Roman"/>
          <w:noProof/>
          <w:sz w:val="30"/>
          <w:szCs w:val="30"/>
        </w:rPr>
        <w:drawing>
          <wp:inline distT="0" distB="0" distL="0" distR="0" wp14:anchorId="00E97736" wp14:editId="62F3854B">
            <wp:extent cx="5257800" cy="4857750"/>
            <wp:effectExtent l="0" t="0" r="0" b="0"/>
            <wp:docPr id="66161408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57800" cy="4857750"/>
                    </a:xfrm>
                    <a:prstGeom prst="rect">
                      <a:avLst/>
                    </a:prstGeom>
                    <a:noFill/>
                    <a:ln>
                      <a:noFill/>
                    </a:ln>
                  </pic:spPr>
                </pic:pic>
              </a:graphicData>
            </a:graphic>
          </wp:inline>
        </w:drawing>
      </w:r>
    </w:p>
    <w:p w14:paraId="12BC52C2" w14:textId="77777777" w:rsidR="00B600B1" w:rsidRDefault="00B600B1" w:rsidP="00B600B1">
      <w:pPr>
        <w:rPr>
          <w:rFonts w:ascii="Times New Roman" w:hAnsi="Times New Roman" w:cs="Times New Roman"/>
          <w:noProof/>
          <w:sz w:val="30"/>
          <w:szCs w:val="30"/>
        </w:rPr>
      </w:pPr>
      <w:r w:rsidRPr="00B9395B">
        <w:rPr>
          <w:rFonts w:ascii="Times New Roman" w:hAnsi="Times New Roman" w:cs="Times New Roman" w:hint="eastAsia"/>
          <w:noProof/>
          <w:sz w:val="30"/>
          <w:szCs w:val="30"/>
        </w:rPr>
        <w:t xml:space="preserve">Supplementary Figure 5: Structural and Functional Dynamics of AHR Interactions with CPTA) Tanimoto similarity matrix showing similarity scores for CPT dynamics, with values from 0 (low) to 1 (high), highlighting regions of high similarity during the simulation.B) Weighted interaction diagram illustrating the residue-wise contributions of AHR in maintaining interactions with CPT.C) Word cloud from Phignet predictions representing Biological Processes (BP) </w:t>
      </w:r>
      <w:r w:rsidRPr="00B9395B">
        <w:rPr>
          <w:rFonts w:ascii="Times New Roman" w:hAnsi="Times New Roman" w:cs="Times New Roman" w:hint="eastAsia"/>
          <w:noProof/>
          <w:sz w:val="30"/>
          <w:szCs w:val="30"/>
        </w:rPr>
        <w:lastRenderedPageBreak/>
        <w:t>associated with AHR activity, featuring terms like "metabolic process," "biosynthetic regulation," and "aromatic compound."D) Heatmap displaying time-resolved interactions between specific AHR residues and CPT during the molecular dynamics simulation, color-coded for interaction types: hydrophobic (yellow), hydrogen bonds (green), and Van der Waals contacts (blue).E) Structural visualization of AHR residues involved in aromatic compound metabolism (red), residues interacting with CPT (blue), and overlapping regions (yellow), indicating a functional link between AHR ligand-binding and aromatic compound regulation.</w:t>
      </w:r>
    </w:p>
    <w:p w14:paraId="5DBFA408" w14:textId="77777777" w:rsidR="00B600B1" w:rsidRDefault="00B600B1" w:rsidP="00B600B1">
      <w:pPr>
        <w:rPr>
          <w:rFonts w:ascii="Times New Roman" w:hAnsi="Times New Roman" w:cs="Times New Roman"/>
          <w:noProof/>
          <w:sz w:val="30"/>
          <w:szCs w:val="30"/>
        </w:rPr>
      </w:pPr>
    </w:p>
    <w:p w14:paraId="1C04B2A8" w14:textId="0DD71DC1" w:rsidR="00B600B1" w:rsidRDefault="00143F77" w:rsidP="00B600B1">
      <w:pPr>
        <w:rPr>
          <w:rFonts w:ascii="Times New Roman" w:hAnsi="Times New Roman" w:cs="Times New Roman"/>
          <w:sz w:val="30"/>
          <w:szCs w:val="30"/>
        </w:rPr>
      </w:pPr>
      <w:r>
        <w:rPr>
          <w:rFonts w:ascii="Times New Roman" w:hAnsi="Times New Roman" w:cs="Times New Roman"/>
          <w:noProof/>
          <w:sz w:val="30"/>
          <w:szCs w:val="30"/>
        </w:rPr>
        <w:drawing>
          <wp:inline distT="0" distB="0" distL="0" distR="0" wp14:anchorId="386F9A1E" wp14:editId="6F182F2F">
            <wp:extent cx="5267325" cy="3324225"/>
            <wp:effectExtent l="0" t="0" r="9525" b="9525"/>
            <wp:docPr id="45628976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67325" cy="3324225"/>
                    </a:xfrm>
                    <a:prstGeom prst="rect">
                      <a:avLst/>
                    </a:prstGeom>
                    <a:noFill/>
                    <a:ln>
                      <a:noFill/>
                    </a:ln>
                  </pic:spPr>
                </pic:pic>
              </a:graphicData>
            </a:graphic>
          </wp:inline>
        </w:drawing>
      </w:r>
    </w:p>
    <w:p w14:paraId="7B2152C9" w14:textId="7B469225" w:rsidR="00CA506B" w:rsidRDefault="00B600B1" w:rsidP="00B600B1">
      <w:pPr>
        <w:rPr>
          <w:rFonts w:hint="eastAsia"/>
        </w:rPr>
      </w:pPr>
      <w:r w:rsidRPr="00DD19BF">
        <w:rPr>
          <w:rFonts w:ascii="Times New Roman" w:hAnsi="Times New Roman" w:cs="Times New Roman" w:hint="eastAsia"/>
          <w:sz w:val="30"/>
          <w:szCs w:val="30"/>
        </w:rPr>
        <w:t>Supplementary Figure 6: Correlation Analysis of AHR</w:t>
      </w:r>
      <w:r>
        <w:rPr>
          <w:rFonts w:ascii="Times New Roman" w:hAnsi="Times New Roman" w:cs="Times New Roman" w:hint="eastAsia"/>
          <w:sz w:val="30"/>
          <w:szCs w:val="30"/>
        </w:rPr>
        <w:t xml:space="preserve"> </w:t>
      </w:r>
      <w:r w:rsidRPr="00DD19BF">
        <w:rPr>
          <w:rFonts w:ascii="Times New Roman" w:hAnsi="Times New Roman" w:cs="Times New Roman" w:hint="eastAsia"/>
          <w:sz w:val="30"/>
          <w:szCs w:val="30"/>
        </w:rPr>
        <w:t xml:space="preserve">A) Average residue-residue distance matrix for AHR in apo form (left) and with CPT binding (right), showing mean distances between residues with </w:t>
      </w:r>
      <w:r w:rsidRPr="00DD19BF">
        <w:rPr>
          <w:rFonts w:ascii="Times New Roman" w:hAnsi="Times New Roman" w:cs="Times New Roman" w:hint="eastAsia"/>
          <w:sz w:val="30"/>
          <w:szCs w:val="30"/>
        </w:rPr>
        <w:lastRenderedPageBreak/>
        <w:t xml:space="preserve">color gradients indicating distance </w:t>
      </w:r>
      <w:proofErr w:type="spellStart"/>
      <w:r w:rsidRPr="00DD19BF">
        <w:rPr>
          <w:rFonts w:ascii="Times New Roman" w:hAnsi="Times New Roman" w:cs="Times New Roman" w:hint="eastAsia"/>
          <w:sz w:val="30"/>
          <w:szCs w:val="30"/>
        </w:rPr>
        <w:t>ranges.B</w:t>
      </w:r>
      <w:proofErr w:type="spellEnd"/>
      <w:r w:rsidRPr="00DD19BF">
        <w:rPr>
          <w:rFonts w:ascii="Times New Roman" w:hAnsi="Times New Roman" w:cs="Times New Roman" w:hint="eastAsia"/>
          <w:sz w:val="30"/>
          <w:szCs w:val="30"/>
        </w:rPr>
        <w:t xml:space="preserve">) Time occupancy of the residue contact matrix for AHR in apo form (left) and with CPT binding (right), illustrating the frequency of residue contacts during the simulation, with higher occupancy in </w:t>
      </w:r>
      <w:proofErr w:type="spellStart"/>
      <w:r w:rsidRPr="00DD19BF">
        <w:rPr>
          <w:rFonts w:ascii="Times New Roman" w:hAnsi="Times New Roman" w:cs="Times New Roman" w:hint="eastAsia"/>
          <w:sz w:val="30"/>
          <w:szCs w:val="30"/>
        </w:rPr>
        <w:t>red.C</w:t>
      </w:r>
      <w:proofErr w:type="spellEnd"/>
      <w:r w:rsidRPr="00DD19BF">
        <w:rPr>
          <w:rFonts w:ascii="Times New Roman" w:hAnsi="Times New Roman" w:cs="Times New Roman" w:hint="eastAsia"/>
          <w:sz w:val="30"/>
          <w:szCs w:val="30"/>
        </w:rPr>
        <w:t xml:space="preserve">) Dynamic Cross-Correlation Matrix (DCCM) for AHR in apo form (left) and with CPT binding (right), highlighting positive (correlated) and negative (anti-correlated) residue motion, indicating coordinated </w:t>
      </w:r>
      <w:proofErr w:type="spellStart"/>
      <w:r w:rsidRPr="00DD19BF">
        <w:rPr>
          <w:rFonts w:ascii="Times New Roman" w:hAnsi="Times New Roman" w:cs="Times New Roman" w:hint="eastAsia"/>
          <w:sz w:val="30"/>
          <w:szCs w:val="30"/>
        </w:rPr>
        <w:t>movements.D</w:t>
      </w:r>
      <w:proofErr w:type="spellEnd"/>
      <w:r w:rsidRPr="00DD19BF">
        <w:rPr>
          <w:rFonts w:ascii="Times New Roman" w:hAnsi="Times New Roman" w:cs="Times New Roman" w:hint="eastAsia"/>
          <w:sz w:val="30"/>
          <w:szCs w:val="30"/>
        </w:rPr>
        <w:t xml:space="preserve">) Pearson correlation matrix over time for AHR in apo form (left) and with CPT binding (right), showing shifts in residue interactions as a function of </w:t>
      </w:r>
      <w:proofErr w:type="spellStart"/>
      <w:r w:rsidRPr="00DD19BF">
        <w:rPr>
          <w:rFonts w:ascii="Times New Roman" w:hAnsi="Times New Roman" w:cs="Times New Roman" w:hint="eastAsia"/>
          <w:sz w:val="30"/>
          <w:szCs w:val="30"/>
        </w:rPr>
        <w:t>time.E</w:t>
      </w:r>
      <w:proofErr w:type="spellEnd"/>
      <w:r w:rsidRPr="00DD19BF">
        <w:rPr>
          <w:rFonts w:ascii="Times New Roman" w:hAnsi="Times New Roman" w:cs="Times New Roman" w:hint="eastAsia"/>
          <w:sz w:val="30"/>
          <w:szCs w:val="30"/>
        </w:rPr>
        <w:t xml:space="preserve">) Hierarchical clustering based on residue-residue distances for AHR in apo form (left) and with CPT binding (right), revealing clusters of residues with similar distance patterns and shared dynamic </w:t>
      </w:r>
      <w:proofErr w:type="spellStart"/>
      <w:r w:rsidRPr="00DD19BF">
        <w:rPr>
          <w:rFonts w:ascii="Times New Roman" w:hAnsi="Times New Roman" w:cs="Times New Roman" w:hint="eastAsia"/>
          <w:sz w:val="30"/>
          <w:szCs w:val="30"/>
        </w:rPr>
        <w:t>behavior.F</w:t>
      </w:r>
      <w:proofErr w:type="spellEnd"/>
      <w:r w:rsidRPr="00DD19BF">
        <w:rPr>
          <w:rFonts w:ascii="Times New Roman" w:hAnsi="Times New Roman" w:cs="Times New Roman" w:hint="eastAsia"/>
          <w:sz w:val="30"/>
          <w:szCs w:val="30"/>
        </w:rPr>
        <w:t>) Principal Component Analysis (PCA) of RDCM for AHR in apo form (left) and with CPT binding (right), depicting the distribution of the first two principal components (PC1 and PC2) colored by simulation time, indicating the evolution of residue contacts</w:t>
      </w:r>
      <w:r w:rsidRPr="00FB7070">
        <w:rPr>
          <w:rFonts w:ascii="Times New Roman" w:hAnsi="Times New Roman" w:cs="Times New Roman" w:hint="eastAsia"/>
          <w:sz w:val="30"/>
          <w:szCs w:val="30"/>
        </w:rPr>
        <w:t>.</w:t>
      </w:r>
    </w:p>
    <w:sectPr w:rsidR="00CA506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0B1"/>
    <w:rsid w:val="00143F77"/>
    <w:rsid w:val="004E3100"/>
    <w:rsid w:val="008C1E95"/>
    <w:rsid w:val="00B600B1"/>
    <w:rsid w:val="00CA50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605F4EA"/>
  <w14:defaultImageDpi w14:val="330"/>
  <w15:chartTrackingRefBased/>
  <w15:docId w15:val="{51B16C41-6F99-4028-BCCA-6BB6E96EAB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00B1"/>
    <w:pPr>
      <w:widowControl w:val="0"/>
      <w:jc w:val="both"/>
    </w:pPr>
  </w:style>
  <w:style w:type="paragraph" w:styleId="1">
    <w:name w:val="heading 1"/>
    <w:basedOn w:val="a"/>
    <w:next w:val="a"/>
    <w:link w:val="10"/>
    <w:uiPriority w:val="9"/>
    <w:qFormat/>
    <w:rsid w:val="00B600B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B600B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B600B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B600B1"/>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B600B1"/>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B600B1"/>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B600B1"/>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B600B1"/>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B600B1"/>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600B1"/>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B600B1"/>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B600B1"/>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B600B1"/>
    <w:rPr>
      <w:rFonts w:cstheme="majorBidi"/>
      <w:color w:val="0F4761" w:themeColor="accent1" w:themeShade="BF"/>
      <w:sz w:val="28"/>
      <w:szCs w:val="28"/>
    </w:rPr>
  </w:style>
  <w:style w:type="character" w:customStyle="1" w:styleId="50">
    <w:name w:val="标题 5 字符"/>
    <w:basedOn w:val="a0"/>
    <w:link w:val="5"/>
    <w:uiPriority w:val="9"/>
    <w:semiHidden/>
    <w:rsid w:val="00B600B1"/>
    <w:rPr>
      <w:rFonts w:cstheme="majorBidi"/>
      <w:color w:val="0F4761" w:themeColor="accent1" w:themeShade="BF"/>
      <w:sz w:val="24"/>
      <w:szCs w:val="24"/>
    </w:rPr>
  </w:style>
  <w:style w:type="character" w:customStyle="1" w:styleId="60">
    <w:name w:val="标题 6 字符"/>
    <w:basedOn w:val="a0"/>
    <w:link w:val="6"/>
    <w:uiPriority w:val="9"/>
    <w:semiHidden/>
    <w:rsid w:val="00B600B1"/>
    <w:rPr>
      <w:rFonts w:cstheme="majorBidi"/>
      <w:b/>
      <w:bCs/>
      <w:color w:val="0F4761" w:themeColor="accent1" w:themeShade="BF"/>
    </w:rPr>
  </w:style>
  <w:style w:type="character" w:customStyle="1" w:styleId="70">
    <w:name w:val="标题 7 字符"/>
    <w:basedOn w:val="a0"/>
    <w:link w:val="7"/>
    <w:uiPriority w:val="9"/>
    <w:semiHidden/>
    <w:rsid w:val="00B600B1"/>
    <w:rPr>
      <w:rFonts w:cstheme="majorBidi"/>
      <w:b/>
      <w:bCs/>
      <w:color w:val="595959" w:themeColor="text1" w:themeTint="A6"/>
    </w:rPr>
  </w:style>
  <w:style w:type="character" w:customStyle="1" w:styleId="80">
    <w:name w:val="标题 8 字符"/>
    <w:basedOn w:val="a0"/>
    <w:link w:val="8"/>
    <w:uiPriority w:val="9"/>
    <w:semiHidden/>
    <w:rsid w:val="00B600B1"/>
    <w:rPr>
      <w:rFonts w:cstheme="majorBidi"/>
      <w:color w:val="595959" w:themeColor="text1" w:themeTint="A6"/>
    </w:rPr>
  </w:style>
  <w:style w:type="character" w:customStyle="1" w:styleId="90">
    <w:name w:val="标题 9 字符"/>
    <w:basedOn w:val="a0"/>
    <w:link w:val="9"/>
    <w:uiPriority w:val="9"/>
    <w:semiHidden/>
    <w:rsid w:val="00B600B1"/>
    <w:rPr>
      <w:rFonts w:eastAsiaTheme="majorEastAsia" w:cstheme="majorBidi"/>
      <w:color w:val="595959" w:themeColor="text1" w:themeTint="A6"/>
    </w:rPr>
  </w:style>
  <w:style w:type="paragraph" w:styleId="a3">
    <w:name w:val="Title"/>
    <w:basedOn w:val="a"/>
    <w:next w:val="a"/>
    <w:link w:val="a4"/>
    <w:uiPriority w:val="10"/>
    <w:qFormat/>
    <w:rsid w:val="00B600B1"/>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B600B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600B1"/>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B600B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600B1"/>
    <w:pPr>
      <w:spacing w:before="160" w:after="160"/>
      <w:jc w:val="center"/>
    </w:pPr>
    <w:rPr>
      <w:i/>
      <w:iCs/>
      <w:color w:val="404040" w:themeColor="text1" w:themeTint="BF"/>
    </w:rPr>
  </w:style>
  <w:style w:type="character" w:customStyle="1" w:styleId="a8">
    <w:name w:val="引用 字符"/>
    <w:basedOn w:val="a0"/>
    <w:link w:val="a7"/>
    <w:uiPriority w:val="29"/>
    <w:rsid w:val="00B600B1"/>
    <w:rPr>
      <w:i/>
      <w:iCs/>
      <w:color w:val="404040" w:themeColor="text1" w:themeTint="BF"/>
    </w:rPr>
  </w:style>
  <w:style w:type="paragraph" w:styleId="a9">
    <w:name w:val="List Paragraph"/>
    <w:basedOn w:val="a"/>
    <w:uiPriority w:val="34"/>
    <w:qFormat/>
    <w:rsid w:val="00B600B1"/>
    <w:pPr>
      <w:ind w:left="720"/>
      <w:contextualSpacing/>
    </w:pPr>
  </w:style>
  <w:style w:type="character" w:styleId="aa">
    <w:name w:val="Intense Emphasis"/>
    <w:basedOn w:val="a0"/>
    <w:uiPriority w:val="21"/>
    <w:qFormat/>
    <w:rsid w:val="00B600B1"/>
    <w:rPr>
      <w:i/>
      <w:iCs/>
      <w:color w:val="0F4761" w:themeColor="accent1" w:themeShade="BF"/>
    </w:rPr>
  </w:style>
  <w:style w:type="paragraph" w:styleId="ab">
    <w:name w:val="Intense Quote"/>
    <w:basedOn w:val="a"/>
    <w:next w:val="a"/>
    <w:link w:val="ac"/>
    <w:uiPriority w:val="30"/>
    <w:qFormat/>
    <w:rsid w:val="00B600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B600B1"/>
    <w:rPr>
      <w:i/>
      <w:iCs/>
      <w:color w:val="0F4761" w:themeColor="accent1" w:themeShade="BF"/>
    </w:rPr>
  </w:style>
  <w:style w:type="character" w:styleId="ad">
    <w:name w:val="Intense Reference"/>
    <w:basedOn w:val="a0"/>
    <w:uiPriority w:val="32"/>
    <w:qFormat/>
    <w:rsid w:val="00B600B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theme" Target="theme/theme1.xml"/><Relationship Id="rId5" Type="http://schemas.openxmlformats.org/officeDocument/2006/relationships/image" Target="media/image2.tiff"/><Relationship Id="rId10" Type="http://schemas.openxmlformats.org/officeDocument/2006/relationships/fontTable" Target="fontTable.xml"/><Relationship Id="rId4" Type="http://schemas.openxmlformats.org/officeDocument/2006/relationships/image" Target="media/image1.tiff"/><Relationship Id="rId9" Type="http://schemas.openxmlformats.org/officeDocument/2006/relationships/image" Target="media/image6.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825</Words>
  <Characters>4704</Characters>
  <Application>Microsoft Office Word</Application>
  <DocSecurity>0</DocSecurity>
  <Lines>39</Lines>
  <Paragraphs>11</Paragraphs>
  <ScaleCrop>false</ScaleCrop>
  <Company/>
  <LinksUpToDate>false</LinksUpToDate>
  <CharactersWithSpaces>5518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 luo</dc:creator>
  <cp:keywords/>
  <dc:description/>
  <cp:lastModifiedBy>yi luo</cp:lastModifiedBy>
  <cp:revision>2</cp:revision>
  <dcterms:created xsi:type="dcterms:W3CDTF">2024-10-23T07:41:00Z</dcterms:created>
  <dcterms:modified xsi:type="dcterms:W3CDTF">2024-10-23T07:43:00Z</dcterms:modified>
</cp:coreProperties>
</file>