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6C2089" w14:textId="77777777" w:rsidR="004D14DC" w:rsidRPr="004D14DC" w:rsidRDefault="004D14DC" w:rsidP="004D14DC">
      <w:pPr>
        <w:rPr>
          <w:b/>
          <w:bCs/>
        </w:rPr>
      </w:pPr>
      <w:r w:rsidRPr="004D14DC">
        <w:rPr>
          <w:b/>
          <w:bCs/>
        </w:rPr>
        <w:t>Supplementary Figure 1. Morphological and immunophenotypic differences in primary CMML and secondary CMML due to DLBCL with CD19 CAR-T failure.</w:t>
      </w:r>
    </w:p>
    <w:p w14:paraId="78290188" w14:textId="77777777" w:rsidR="004D14DC" w:rsidRPr="004D14DC" w:rsidRDefault="004D14DC" w:rsidP="004D14DC">
      <w:r w:rsidRPr="004D14DC">
        <w:rPr>
          <w:b/>
          <w:bCs/>
        </w:rPr>
        <w:t>(A).</w:t>
      </w:r>
      <w:r w:rsidRPr="004D14DC">
        <w:t xml:space="preserve"> The morphology of monocytes in the bone marrow of primary and secondary CMML patients.</w:t>
      </w:r>
    </w:p>
    <w:p w14:paraId="582CAF79" w14:textId="77777777" w:rsidR="004D14DC" w:rsidRPr="004D14DC" w:rsidRDefault="004D14DC" w:rsidP="004D14DC">
      <w:r w:rsidRPr="004D14DC">
        <w:rPr>
          <w:b/>
          <w:bCs/>
        </w:rPr>
        <w:t xml:space="preserve">(B). and (C). </w:t>
      </w:r>
      <w:r w:rsidRPr="004D14DC">
        <w:t>The flow immunophenotyping detection diagram of monocytes/macrophages and myeloid blasts of primary and secondary CMML patients.</w:t>
      </w:r>
    </w:p>
    <w:p w14:paraId="4554928B" w14:textId="77777777" w:rsidR="004D14DC" w:rsidRPr="004D14DC" w:rsidRDefault="004D14DC" w:rsidP="004D14DC">
      <w:pPr>
        <w:rPr>
          <w:b/>
          <w:bCs/>
        </w:rPr>
      </w:pPr>
    </w:p>
    <w:p w14:paraId="5886B350" w14:textId="77777777" w:rsidR="004D14DC" w:rsidRPr="004D14DC" w:rsidRDefault="004D14DC" w:rsidP="004D14DC">
      <w:pPr>
        <w:rPr>
          <w:b/>
          <w:bCs/>
        </w:rPr>
      </w:pPr>
      <w:r w:rsidRPr="004D14DC">
        <w:rPr>
          <w:b/>
          <w:bCs/>
        </w:rPr>
        <w:t xml:space="preserve">Supplementary Figure 2. The canonical marker genes in each cell type of CD45+ cells from primary and secondary CMML. </w:t>
      </w:r>
    </w:p>
    <w:p w14:paraId="4299F594" w14:textId="77777777" w:rsidR="004D14DC" w:rsidRPr="004D14DC" w:rsidRDefault="004D14DC" w:rsidP="004D14DC">
      <w:pPr>
        <w:rPr>
          <w:b/>
          <w:bCs/>
        </w:rPr>
      </w:pPr>
    </w:p>
    <w:p w14:paraId="276F0FBA" w14:textId="77777777" w:rsidR="004D14DC" w:rsidRPr="004D14DC" w:rsidRDefault="004D14DC" w:rsidP="004D14DC">
      <w:pPr>
        <w:rPr>
          <w:b/>
          <w:bCs/>
        </w:rPr>
      </w:pPr>
      <w:r w:rsidRPr="004D14DC">
        <w:rPr>
          <w:b/>
          <w:bCs/>
        </w:rPr>
        <w:t xml:space="preserve">Supplementary Figure 3. The representative expressed genes related to each monocyte/macrophage population from S-CMML, P-CMML, and CTRLN patients. </w:t>
      </w:r>
    </w:p>
    <w:p w14:paraId="6ABB07B1" w14:textId="77777777" w:rsidR="004D14DC" w:rsidRPr="004D14DC" w:rsidRDefault="004D14DC" w:rsidP="004D14DC">
      <w:pPr>
        <w:rPr>
          <w:b/>
          <w:bCs/>
        </w:rPr>
      </w:pPr>
    </w:p>
    <w:p w14:paraId="24230930" w14:textId="77777777" w:rsidR="004D14DC" w:rsidRPr="004D14DC" w:rsidRDefault="004D14DC" w:rsidP="004D14DC">
      <w:pPr>
        <w:rPr>
          <w:b/>
          <w:bCs/>
        </w:rPr>
      </w:pPr>
      <w:r w:rsidRPr="004D14DC">
        <w:rPr>
          <w:b/>
          <w:bCs/>
        </w:rPr>
        <w:t xml:space="preserve">Supplementary Figure 4. Transcriptomic differences in the myelomonocytic cells of primary CMML and secondary CMML due to DLBCL with CD19 CAR-T failure. </w:t>
      </w:r>
    </w:p>
    <w:p w14:paraId="6F2441E3" w14:textId="77777777" w:rsidR="004D14DC" w:rsidRPr="004D14DC" w:rsidRDefault="004D14DC" w:rsidP="004D14DC">
      <w:r w:rsidRPr="004D14DC">
        <w:rPr>
          <w:b/>
          <w:bCs/>
        </w:rPr>
        <w:t xml:space="preserve">(A). </w:t>
      </w:r>
      <w:r w:rsidRPr="004D14DC">
        <w:t xml:space="preserve">Volcano map indicating the DEGs of the myelomonocytic cells in secondary CMML compared to HCs. </w:t>
      </w:r>
      <w:r w:rsidRPr="004D14DC">
        <w:rPr>
          <w:b/>
          <w:bCs/>
        </w:rPr>
        <w:t>(B).</w:t>
      </w:r>
      <w:r w:rsidRPr="004D14DC">
        <w:t xml:space="preserve"> The upregulated KEGG pathways of myelomonocytic cells in secondary CMML compared to control. </w:t>
      </w:r>
      <w:r w:rsidRPr="004D14DC">
        <w:rPr>
          <w:b/>
          <w:bCs/>
        </w:rPr>
        <w:t>(C).</w:t>
      </w:r>
      <w:r w:rsidRPr="004D14DC">
        <w:t xml:space="preserve"> The downregulated KEGG pathways of myelomonocytic cells in secondary CMML compared to control. </w:t>
      </w:r>
      <w:r w:rsidRPr="004D14DC">
        <w:rPr>
          <w:b/>
          <w:bCs/>
        </w:rPr>
        <w:t xml:space="preserve">(D). </w:t>
      </w:r>
      <w:r w:rsidRPr="004D14DC">
        <w:t xml:space="preserve">Heatmap of the genes encoding proteins known to be important for the KEGG pathways of myelomonocytic cells in the secondary CMML group compared to the control. </w:t>
      </w:r>
      <w:r w:rsidRPr="004D14DC">
        <w:rPr>
          <w:b/>
          <w:bCs/>
        </w:rPr>
        <w:t xml:space="preserve">(E). </w:t>
      </w:r>
      <w:r w:rsidRPr="004D14DC">
        <w:t xml:space="preserve">Volcano map indicating the DEGs of the myelomonocytic cells in secondary CMML compared to those in primary CMML. </w:t>
      </w:r>
      <w:r w:rsidRPr="004D14DC">
        <w:rPr>
          <w:b/>
          <w:bCs/>
        </w:rPr>
        <w:t>(F).</w:t>
      </w:r>
      <w:r w:rsidRPr="004D14DC">
        <w:t xml:space="preserve"> The upregulated KEGG pathways of myelomonocytic cells in secondary CMML compared to those in primary CMML. </w:t>
      </w:r>
      <w:r w:rsidRPr="004D14DC">
        <w:rPr>
          <w:b/>
          <w:bCs/>
        </w:rPr>
        <w:t>(G).</w:t>
      </w:r>
      <w:r w:rsidRPr="004D14DC">
        <w:t xml:space="preserve"> The downregulated KEGG pathways of myelomonocytic cells in secondary CMML compared to primary CMML. </w:t>
      </w:r>
      <w:r w:rsidRPr="004D14DC">
        <w:rPr>
          <w:b/>
          <w:bCs/>
        </w:rPr>
        <w:t xml:space="preserve">(H). </w:t>
      </w:r>
      <w:r w:rsidRPr="004D14DC">
        <w:t>Heatmap of the genes encoding proteins known to be important for the KEGG pathways of myelomonocytic cells in the group of secondary CMML compared to those in primary CMML.</w:t>
      </w:r>
    </w:p>
    <w:p w14:paraId="5D009E4B" w14:textId="77777777" w:rsidR="004D14DC" w:rsidRPr="004D14DC" w:rsidRDefault="004D14DC" w:rsidP="004D14DC">
      <w:pPr>
        <w:rPr>
          <w:b/>
          <w:bCs/>
        </w:rPr>
      </w:pPr>
    </w:p>
    <w:p w14:paraId="7BC594C2" w14:textId="77777777" w:rsidR="004D14DC" w:rsidRPr="004D14DC" w:rsidRDefault="004D14DC" w:rsidP="004D14DC">
      <w:pPr>
        <w:rPr>
          <w:b/>
          <w:bCs/>
        </w:rPr>
      </w:pPr>
      <w:r w:rsidRPr="004D14DC">
        <w:rPr>
          <w:b/>
          <w:bCs/>
        </w:rPr>
        <w:t xml:space="preserve">Supplementary Figure 5. Transcriptomic differences between the T/NK cells of primary CMML and secondary CMML due to DLBCL with CD19 CAR-T failure. </w:t>
      </w:r>
    </w:p>
    <w:p w14:paraId="65E8DDCC" w14:textId="77777777" w:rsidR="004D14DC" w:rsidRPr="004D14DC" w:rsidRDefault="004D14DC" w:rsidP="004D14DC">
      <w:r w:rsidRPr="004D14DC">
        <w:rPr>
          <w:b/>
          <w:bCs/>
        </w:rPr>
        <w:t xml:space="preserve">(A). </w:t>
      </w:r>
      <w:r w:rsidRPr="004D14DC">
        <w:t xml:space="preserve">Volcano map indicating the DEGs of the T/NK cells in secondary CMML compared to HCs. </w:t>
      </w:r>
      <w:r w:rsidRPr="004D14DC">
        <w:rPr>
          <w:b/>
          <w:bCs/>
        </w:rPr>
        <w:t>(B).</w:t>
      </w:r>
      <w:r w:rsidRPr="004D14DC">
        <w:t xml:space="preserve"> The upregulated KEGG pathways of T/NK cells in secondary CMML compared to control. </w:t>
      </w:r>
      <w:r w:rsidRPr="004D14DC">
        <w:rPr>
          <w:b/>
          <w:bCs/>
        </w:rPr>
        <w:t>(C).</w:t>
      </w:r>
      <w:r w:rsidRPr="004D14DC">
        <w:t xml:space="preserve"> The downregulated KEGG pathways of T/NK cells in secondary CMML compared to control. </w:t>
      </w:r>
      <w:r w:rsidRPr="004D14DC">
        <w:rPr>
          <w:b/>
          <w:bCs/>
        </w:rPr>
        <w:t xml:space="preserve">(D). </w:t>
      </w:r>
      <w:r w:rsidRPr="004D14DC">
        <w:t xml:space="preserve">Heatmap of the genes encoding proteins known to be important for the KEGG pathways of T/NK cells in the secondary CMML group compared to control. </w:t>
      </w:r>
      <w:r w:rsidRPr="004D14DC">
        <w:rPr>
          <w:b/>
          <w:bCs/>
        </w:rPr>
        <w:t xml:space="preserve">(E). </w:t>
      </w:r>
      <w:r w:rsidRPr="004D14DC">
        <w:t xml:space="preserve">Volcano map indicating the DEGs of the T/NK cells in secondary CMML compared to those in primary CMML. </w:t>
      </w:r>
      <w:r w:rsidRPr="004D14DC">
        <w:rPr>
          <w:b/>
          <w:bCs/>
        </w:rPr>
        <w:t>(F).</w:t>
      </w:r>
      <w:r w:rsidRPr="004D14DC">
        <w:t xml:space="preserve"> The upregulated KEGG pathways of T/NK cells in secondary CMML compared to those in primary CMML. </w:t>
      </w:r>
      <w:r w:rsidRPr="004D14DC">
        <w:rPr>
          <w:b/>
          <w:bCs/>
        </w:rPr>
        <w:t>(G).</w:t>
      </w:r>
      <w:r w:rsidRPr="004D14DC">
        <w:t xml:space="preserve"> The downregulated KEGG pathways of T/NK cells in secondary CMML compared to those in primary CMML. </w:t>
      </w:r>
      <w:r w:rsidRPr="004D14DC">
        <w:rPr>
          <w:b/>
          <w:bCs/>
        </w:rPr>
        <w:t xml:space="preserve">(H). </w:t>
      </w:r>
      <w:r w:rsidRPr="004D14DC">
        <w:t xml:space="preserve">Heatmap of the genes encoding proteins known to be important for the KEGG pathways of T/NK cells in the secondary CMML group compared to those in primary CMML. </w:t>
      </w:r>
    </w:p>
    <w:p w14:paraId="3191B6BF" w14:textId="77777777" w:rsidR="004D14DC" w:rsidRPr="004D14DC" w:rsidRDefault="004D14DC" w:rsidP="004D14DC">
      <w:pPr>
        <w:rPr>
          <w:b/>
          <w:bCs/>
        </w:rPr>
      </w:pPr>
    </w:p>
    <w:p w14:paraId="3E1C9CD9" w14:textId="77777777" w:rsidR="004D14DC" w:rsidRPr="004D14DC" w:rsidRDefault="004D14DC" w:rsidP="004D14DC">
      <w:pPr>
        <w:rPr>
          <w:b/>
          <w:bCs/>
        </w:rPr>
      </w:pPr>
      <w:r w:rsidRPr="004D14DC">
        <w:rPr>
          <w:b/>
          <w:bCs/>
        </w:rPr>
        <w:t xml:space="preserve">Supplementary Figure 6. The potential indirect mechanisms of secondary CMML via a cell–cell communication analysis. </w:t>
      </w:r>
    </w:p>
    <w:p w14:paraId="6AB9F40A" w14:textId="77777777" w:rsidR="004D14DC" w:rsidRPr="004D14DC" w:rsidRDefault="004D14DC" w:rsidP="004D14DC">
      <w:r w:rsidRPr="004D14DC">
        <w:rPr>
          <w:b/>
          <w:bCs/>
        </w:rPr>
        <w:t xml:space="preserve">(A). </w:t>
      </w:r>
      <w:r w:rsidRPr="004D14DC">
        <w:t xml:space="preserve">The number of inferred interactions and the interaction strength between S-CMML and HCs. </w:t>
      </w:r>
      <w:r w:rsidRPr="004D14DC">
        <w:rPr>
          <w:b/>
          <w:bCs/>
        </w:rPr>
        <w:t>(B).</w:t>
      </w:r>
      <w:r w:rsidRPr="004D14DC">
        <w:t xml:space="preserve"> The number of inferred interactions for each group. </w:t>
      </w:r>
      <w:r w:rsidRPr="004D14DC">
        <w:rPr>
          <w:b/>
          <w:bCs/>
        </w:rPr>
        <w:t>(C).</w:t>
      </w:r>
      <w:r w:rsidRPr="004D14DC">
        <w:t xml:space="preserve"> The overall signaling pathways of each cell population in S-CMML and HCs. </w:t>
      </w:r>
      <w:r w:rsidRPr="004D14DC">
        <w:rPr>
          <w:b/>
          <w:bCs/>
        </w:rPr>
        <w:t xml:space="preserve">(D). </w:t>
      </w:r>
      <w:r w:rsidRPr="004D14DC">
        <w:t xml:space="preserve">The outgoing signaling of each cell population in S-CMML and HCs. </w:t>
      </w:r>
      <w:r w:rsidRPr="004D14DC">
        <w:rPr>
          <w:b/>
          <w:bCs/>
        </w:rPr>
        <w:t xml:space="preserve">(E). </w:t>
      </w:r>
      <w:r w:rsidRPr="004D14DC">
        <w:t>The incoming signaling of each cell population in S-CMML and HCs.</w:t>
      </w:r>
    </w:p>
    <w:p w14:paraId="7AD42136" w14:textId="77777777" w:rsidR="004D14DC" w:rsidRPr="004D14DC" w:rsidRDefault="004D14DC" w:rsidP="004D14DC">
      <w:pPr>
        <w:rPr>
          <w:b/>
          <w:bCs/>
        </w:rPr>
      </w:pPr>
    </w:p>
    <w:p w14:paraId="370AFEF1" w14:textId="77777777" w:rsidR="004D14DC" w:rsidRPr="004D14DC" w:rsidRDefault="004D14DC" w:rsidP="004D14DC">
      <w:pPr>
        <w:rPr>
          <w:b/>
          <w:bCs/>
        </w:rPr>
      </w:pPr>
      <w:r w:rsidRPr="004D14DC">
        <w:rPr>
          <w:b/>
          <w:bCs/>
        </w:rPr>
        <w:t xml:space="preserve">Supplementary Figure 7. Cell–cell communication analysis demonstrated that monocytes/macrophages are key players in secondary CMML due to DLBCL with CD19 CAR-T failure post treatment with Azacitidine plus Venecla. </w:t>
      </w:r>
    </w:p>
    <w:p w14:paraId="3BE333CD" w14:textId="77777777" w:rsidR="004D14DC" w:rsidRPr="004D14DC" w:rsidRDefault="004D14DC" w:rsidP="004D14DC">
      <w:r w:rsidRPr="004D14DC">
        <w:rPr>
          <w:b/>
          <w:bCs/>
        </w:rPr>
        <w:t>(A).</w:t>
      </w:r>
      <w:r w:rsidRPr="004D14DC">
        <w:t xml:space="preserve"> The number of inferred interactions and the interaction strength in pre-treatment and post-treatment. </w:t>
      </w:r>
      <w:r w:rsidRPr="004D14DC">
        <w:rPr>
          <w:b/>
          <w:bCs/>
        </w:rPr>
        <w:t>(B)</w:t>
      </w:r>
      <w:r w:rsidRPr="004D14DC">
        <w:t xml:space="preserve">. The number of inferred interactions for each group. </w:t>
      </w:r>
      <w:r w:rsidRPr="004D14DC">
        <w:rPr>
          <w:b/>
          <w:bCs/>
        </w:rPr>
        <w:t>(C).</w:t>
      </w:r>
      <w:r w:rsidRPr="004D14DC">
        <w:t xml:space="preserve"> The overall signaling pathways of each cell population in pre-treatment and post-treatment. </w:t>
      </w:r>
      <w:r w:rsidRPr="004D14DC">
        <w:rPr>
          <w:b/>
          <w:bCs/>
        </w:rPr>
        <w:t>(D).</w:t>
      </w:r>
      <w:r w:rsidRPr="004D14DC">
        <w:t xml:space="preserve"> The outgoing signaling of each cell population in pre-treatment and post-treatment. </w:t>
      </w:r>
      <w:r w:rsidRPr="004D14DC">
        <w:rPr>
          <w:b/>
          <w:bCs/>
        </w:rPr>
        <w:t>(E)</w:t>
      </w:r>
      <w:r w:rsidRPr="004D14DC">
        <w:t>. The incoming signaling of each cell population in pre-treatment and post-treatment.</w:t>
      </w:r>
    </w:p>
    <w:p w14:paraId="1647078E" w14:textId="77777777" w:rsidR="004D14DC" w:rsidRPr="004D14DC" w:rsidRDefault="004D14DC" w:rsidP="004D14DC">
      <w:pPr>
        <w:rPr>
          <w:b/>
          <w:bCs/>
        </w:rPr>
      </w:pPr>
    </w:p>
    <w:p w14:paraId="3DF9A263" w14:textId="77777777" w:rsidR="004D14DC" w:rsidRPr="004D14DC" w:rsidRDefault="004D14DC" w:rsidP="004D14DC">
      <w:pPr>
        <w:rPr>
          <w:b/>
          <w:bCs/>
        </w:rPr>
      </w:pPr>
      <w:r w:rsidRPr="004D14DC">
        <w:rPr>
          <w:b/>
          <w:bCs/>
        </w:rPr>
        <w:t xml:space="preserve">Supplementary Table 1 </w:t>
      </w:r>
    </w:p>
    <w:p w14:paraId="2CD7749A" w14:textId="77777777" w:rsidR="004D14DC" w:rsidRPr="004D14DC" w:rsidRDefault="004D14DC" w:rsidP="004D14DC">
      <w:r w:rsidRPr="004D14DC">
        <w:t>Heterogeneous expression of monocyte aberrancy markers in primary and secondary CMML due to DLBCL with CD19 CAR-T failure.</w:t>
      </w:r>
    </w:p>
    <w:p w14:paraId="60A0FA1B" w14:textId="77777777" w:rsidR="004D14DC" w:rsidRPr="004D14DC" w:rsidRDefault="004D14DC" w:rsidP="004D14DC">
      <w:pPr>
        <w:rPr>
          <w:b/>
          <w:bCs/>
        </w:rPr>
      </w:pPr>
    </w:p>
    <w:p w14:paraId="1AA7C690" w14:textId="77777777" w:rsidR="004D14DC" w:rsidRPr="004D14DC" w:rsidRDefault="004D14DC" w:rsidP="004D14DC">
      <w:pPr>
        <w:rPr>
          <w:b/>
          <w:bCs/>
        </w:rPr>
      </w:pPr>
      <w:r w:rsidRPr="004D14DC">
        <w:rPr>
          <w:b/>
          <w:bCs/>
        </w:rPr>
        <w:t>Supplementary Table 2</w:t>
      </w:r>
    </w:p>
    <w:p w14:paraId="3179333E" w14:textId="77777777" w:rsidR="004D14DC" w:rsidRPr="004D14DC" w:rsidRDefault="004D14DC" w:rsidP="004D14DC">
      <w:r w:rsidRPr="004D14DC">
        <w:t>All the marker genes of the seven cell lineages in BM CD45</w:t>
      </w:r>
      <w:r w:rsidRPr="004D14DC">
        <w:rPr>
          <w:vertAlign w:val="superscript"/>
        </w:rPr>
        <w:t>+</w:t>
      </w:r>
      <w:r w:rsidRPr="004D14DC">
        <w:t xml:space="preserve"> cells.</w:t>
      </w:r>
    </w:p>
    <w:p w14:paraId="11AF9C74" w14:textId="77777777" w:rsidR="004D14DC" w:rsidRPr="004D14DC" w:rsidRDefault="004D14DC" w:rsidP="004D14DC">
      <w:pPr>
        <w:rPr>
          <w:b/>
          <w:bCs/>
        </w:rPr>
      </w:pPr>
    </w:p>
    <w:p w14:paraId="1911DA32" w14:textId="77777777" w:rsidR="004D14DC" w:rsidRPr="004D14DC" w:rsidRDefault="004D14DC" w:rsidP="004D14DC">
      <w:pPr>
        <w:rPr>
          <w:b/>
          <w:bCs/>
        </w:rPr>
      </w:pPr>
      <w:r w:rsidRPr="004D14DC">
        <w:rPr>
          <w:b/>
          <w:bCs/>
        </w:rPr>
        <w:t>Supplementary Table 3</w:t>
      </w:r>
    </w:p>
    <w:p w14:paraId="5CEC71A6" w14:textId="77777777" w:rsidR="004D14DC" w:rsidRPr="004D14DC" w:rsidRDefault="004D14DC" w:rsidP="004D14DC">
      <w:r w:rsidRPr="004D14DC">
        <w:t>All the marker genes of the 11 clusters in myelomonocytic cells.</w:t>
      </w:r>
    </w:p>
    <w:p w14:paraId="75D0E410" w14:textId="77777777" w:rsidR="004D14DC" w:rsidRPr="004D14DC" w:rsidRDefault="004D14DC" w:rsidP="004D14DC">
      <w:pPr>
        <w:rPr>
          <w:b/>
          <w:bCs/>
        </w:rPr>
      </w:pPr>
    </w:p>
    <w:p w14:paraId="69CA3631" w14:textId="77777777" w:rsidR="004D14DC" w:rsidRPr="004D14DC" w:rsidRDefault="004D14DC" w:rsidP="004D14DC">
      <w:pPr>
        <w:rPr>
          <w:b/>
          <w:bCs/>
        </w:rPr>
      </w:pPr>
      <w:r w:rsidRPr="004D14DC">
        <w:rPr>
          <w:b/>
          <w:bCs/>
        </w:rPr>
        <w:t>Supplementary Table 4</w:t>
      </w:r>
    </w:p>
    <w:p w14:paraId="0D8DE3B9" w14:textId="77777777" w:rsidR="004D14DC" w:rsidRPr="004D14DC" w:rsidRDefault="004D14DC" w:rsidP="004D14DC">
      <w:r w:rsidRPr="004D14DC">
        <w:t>The upregulated genes in myelomonocytic cells in secondary CMML due to DLBCL with CD19 CAR-T failure as compared to HCs.</w:t>
      </w:r>
    </w:p>
    <w:p w14:paraId="1765F598" w14:textId="77777777" w:rsidR="004D14DC" w:rsidRPr="004D14DC" w:rsidRDefault="004D14DC" w:rsidP="004D14DC">
      <w:pPr>
        <w:rPr>
          <w:b/>
          <w:bCs/>
        </w:rPr>
      </w:pPr>
    </w:p>
    <w:p w14:paraId="3D8B8356" w14:textId="77777777" w:rsidR="004D14DC" w:rsidRPr="004D14DC" w:rsidRDefault="004D14DC" w:rsidP="004D14DC">
      <w:pPr>
        <w:rPr>
          <w:b/>
          <w:bCs/>
        </w:rPr>
      </w:pPr>
      <w:r w:rsidRPr="004D14DC">
        <w:rPr>
          <w:b/>
          <w:bCs/>
        </w:rPr>
        <w:t>Supplementary Table 5</w:t>
      </w:r>
    </w:p>
    <w:p w14:paraId="2C3A6025" w14:textId="77777777" w:rsidR="004D14DC" w:rsidRPr="004D14DC" w:rsidRDefault="004D14DC" w:rsidP="004D14DC">
      <w:r w:rsidRPr="004D14DC">
        <w:lastRenderedPageBreak/>
        <w:t>The downregulated genes in myelomonocytic cells in secondary CMML due to DLBCL with CD19 CAR-T failure as compared to HCs.</w:t>
      </w:r>
    </w:p>
    <w:p w14:paraId="5687467A" w14:textId="77777777" w:rsidR="004D14DC" w:rsidRPr="004D14DC" w:rsidRDefault="004D14DC" w:rsidP="004D14DC">
      <w:pPr>
        <w:rPr>
          <w:b/>
          <w:bCs/>
        </w:rPr>
      </w:pPr>
    </w:p>
    <w:p w14:paraId="1EA7AAC3" w14:textId="77777777" w:rsidR="004D14DC" w:rsidRPr="004D14DC" w:rsidRDefault="004D14DC" w:rsidP="004D14DC">
      <w:pPr>
        <w:rPr>
          <w:b/>
          <w:bCs/>
        </w:rPr>
      </w:pPr>
      <w:r w:rsidRPr="004D14DC">
        <w:rPr>
          <w:b/>
          <w:bCs/>
        </w:rPr>
        <w:t>Supplementary Table 6</w:t>
      </w:r>
    </w:p>
    <w:p w14:paraId="214EB8A8" w14:textId="77777777" w:rsidR="004D14DC" w:rsidRPr="004D14DC" w:rsidRDefault="004D14DC" w:rsidP="004D14DC">
      <w:r w:rsidRPr="004D14DC">
        <w:t>The upregulated genes in myelomonocytic cells in secondary CMML due to DLBCL with CD19 CAR-T failure as compared to primary CMML.</w:t>
      </w:r>
    </w:p>
    <w:p w14:paraId="640ED940" w14:textId="77777777" w:rsidR="004D14DC" w:rsidRPr="004D14DC" w:rsidRDefault="004D14DC" w:rsidP="004D14DC">
      <w:pPr>
        <w:rPr>
          <w:b/>
          <w:bCs/>
        </w:rPr>
      </w:pPr>
    </w:p>
    <w:p w14:paraId="28B14C62" w14:textId="77777777" w:rsidR="004D14DC" w:rsidRPr="004D14DC" w:rsidRDefault="004D14DC" w:rsidP="004D14DC">
      <w:pPr>
        <w:rPr>
          <w:b/>
          <w:bCs/>
        </w:rPr>
      </w:pPr>
      <w:r w:rsidRPr="004D14DC">
        <w:rPr>
          <w:b/>
          <w:bCs/>
        </w:rPr>
        <w:t>Supplementary Table 7</w:t>
      </w:r>
    </w:p>
    <w:p w14:paraId="34CC272A" w14:textId="77777777" w:rsidR="004D14DC" w:rsidRPr="004D14DC" w:rsidRDefault="004D14DC" w:rsidP="004D14DC">
      <w:r w:rsidRPr="004D14DC">
        <w:t>The downregulated genes in myelomonocytic cells in secondary CMML due to DLBCL with CD19 CAR-T failure as compared to primary CMML.</w:t>
      </w:r>
    </w:p>
    <w:p w14:paraId="17074EC0" w14:textId="77777777" w:rsidR="004D14DC" w:rsidRPr="004D14DC" w:rsidRDefault="004D14DC" w:rsidP="004D14DC">
      <w:pPr>
        <w:rPr>
          <w:b/>
          <w:bCs/>
        </w:rPr>
      </w:pPr>
    </w:p>
    <w:p w14:paraId="0E64E316" w14:textId="77777777" w:rsidR="004D14DC" w:rsidRPr="004D14DC" w:rsidRDefault="004D14DC" w:rsidP="004D14DC">
      <w:pPr>
        <w:rPr>
          <w:b/>
          <w:bCs/>
        </w:rPr>
      </w:pPr>
      <w:r w:rsidRPr="004D14DC">
        <w:rPr>
          <w:b/>
          <w:bCs/>
        </w:rPr>
        <w:t>Supplementary Table 8</w:t>
      </w:r>
    </w:p>
    <w:p w14:paraId="4F687378" w14:textId="77777777" w:rsidR="004D14DC" w:rsidRPr="004D14DC" w:rsidRDefault="004D14DC" w:rsidP="004D14DC">
      <w:r w:rsidRPr="004D14DC">
        <w:t>All the marker genes of the 16 clusters in T/NK cells.</w:t>
      </w:r>
    </w:p>
    <w:p w14:paraId="7522B070" w14:textId="77777777" w:rsidR="004D14DC" w:rsidRPr="004D14DC" w:rsidRDefault="004D14DC" w:rsidP="004D14DC">
      <w:pPr>
        <w:rPr>
          <w:b/>
          <w:bCs/>
        </w:rPr>
      </w:pPr>
    </w:p>
    <w:p w14:paraId="4ED79D77" w14:textId="77777777" w:rsidR="004D14DC" w:rsidRPr="004D14DC" w:rsidRDefault="004D14DC" w:rsidP="004D14DC">
      <w:pPr>
        <w:rPr>
          <w:b/>
          <w:bCs/>
        </w:rPr>
      </w:pPr>
      <w:r w:rsidRPr="004D14DC">
        <w:rPr>
          <w:b/>
          <w:bCs/>
        </w:rPr>
        <w:t>Supplementary Table 9</w:t>
      </w:r>
    </w:p>
    <w:p w14:paraId="40C0C3E9" w14:textId="77777777" w:rsidR="004D14DC" w:rsidRPr="004D14DC" w:rsidRDefault="004D14DC" w:rsidP="004D14DC">
      <w:r w:rsidRPr="004D14DC">
        <w:t>The downregulated genes in T/NK cells in primary CMML and secondary CMML due to DLBCL with CD19 CAR-T failure.</w:t>
      </w:r>
    </w:p>
    <w:p w14:paraId="3E2887C7" w14:textId="77777777" w:rsidR="004D14DC" w:rsidRPr="004D14DC" w:rsidRDefault="004D14DC" w:rsidP="004D14DC">
      <w:pPr>
        <w:rPr>
          <w:b/>
          <w:bCs/>
        </w:rPr>
      </w:pPr>
    </w:p>
    <w:p w14:paraId="33EDB7BC" w14:textId="77777777" w:rsidR="004D14DC" w:rsidRPr="004D14DC" w:rsidRDefault="004D14DC" w:rsidP="004D14DC">
      <w:pPr>
        <w:rPr>
          <w:b/>
          <w:bCs/>
        </w:rPr>
      </w:pPr>
      <w:r w:rsidRPr="004D14DC">
        <w:rPr>
          <w:b/>
          <w:bCs/>
        </w:rPr>
        <w:t>Supplementary Table 10</w:t>
      </w:r>
    </w:p>
    <w:p w14:paraId="41AE63FD" w14:textId="77777777" w:rsidR="004D14DC" w:rsidRPr="004D14DC" w:rsidRDefault="004D14DC" w:rsidP="004D14DC">
      <w:r w:rsidRPr="004D14DC">
        <w:t>The upregulated genes in T/NK cells in primary CMML and secondary CMML due to DLBCL with CD19 CAR-T failure.</w:t>
      </w:r>
    </w:p>
    <w:p w14:paraId="5A3EBFB1" w14:textId="77777777" w:rsidR="004D14DC" w:rsidRPr="004D14DC" w:rsidRDefault="004D14DC" w:rsidP="004D14DC">
      <w:pPr>
        <w:rPr>
          <w:b/>
          <w:bCs/>
        </w:rPr>
      </w:pPr>
    </w:p>
    <w:p w14:paraId="344CE0E3" w14:textId="77777777" w:rsidR="004D14DC" w:rsidRPr="004D14DC" w:rsidRDefault="004D14DC" w:rsidP="004D14DC">
      <w:pPr>
        <w:rPr>
          <w:b/>
          <w:bCs/>
        </w:rPr>
      </w:pPr>
      <w:r w:rsidRPr="004D14DC">
        <w:rPr>
          <w:b/>
          <w:bCs/>
        </w:rPr>
        <w:t>Supplementary Table 11</w:t>
      </w:r>
    </w:p>
    <w:p w14:paraId="045C3A69" w14:textId="77777777" w:rsidR="004D14DC" w:rsidRPr="004D14DC" w:rsidRDefault="004D14DC" w:rsidP="004D14DC">
      <w:r w:rsidRPr="004D14DC">
        <w:t>The downregulated genes in T/NK cells in secondary CMML due to DLBCL with CD19 CAR-T failure as compared to primary CMML.</w:t>
      </w:r>
    </w:p>
    <w:p w14:paraId="61398EBB" w14:textId="77777777" w:rsidR="004D14DC" w:rsidRPr="004D14DC" w:rsidRDefault="004D14DC" w:rsidP="004D14DC">
      <w:pPr>
        <w:rPr>
          <w:b/>
          <w:bCs/>
        </w:rPr>
      </w:pPr>
    </w:p>
    <w:p w14:paraId="78258BCC" w14:textId="77777777" w:rsidR="004D14DC" w:rsidRPr="004D14DC" w:rsidRDefault="004D14DC" w:rsidP="004D14DC">
      <w:pPr>
        <w:rPr>
          <w:b/>
          <w:bCs/>
        </w:rPr>
      </w:pPr>
      <w:r w:rsidRPr="004D14DC">
        <w:rPr>
          <w:b/>
          <w:bCs/>
        </w:rPr>
        <w:t>Supplementary Table 12</w:t>
      </w:r>
    </w:p>
    <w:p w14:paraId="53711894" w14:textId="77777777" w:rsidR="004D14DC" w:rsidRPr="004D14DC" w:rsidRDefault="004D14DC" w:rsidP="004D14DC">
      <w:pPr>
        <w:rPr>
          <w:b/>
          <w:bCs/>
        </w:rPr>
      </w:pPr>
      <w:r w:rsidRPr="004D14DC">
        <w:t>The upregulated genes in T/NK cells in secondary CMML due to DLBCL with CD19 CAR-T failure as compared to primary CMML.</w:t>
      </w:r>
    </w:p>
    <w:p w14:paraId="34C8CF31" w14:textId="77777777" w:rsidR="004D14DC" w:rsidRPr="004D14DC" w:rsidRDefault="004D14DC" w:rsidP="004D14DC">
      <w:pPr>
        <w:rPr>
          <w:b/>
          <w:bCs/>
        </w:rPr>
      </w:pPr>
    </w:p>
    <w:p w14:paraId="16C15415" w14:textId="77777777" w:rsidR="004D14DC" w:rsidRPr="004D14DC" w:rsidRDefault="004D14DC" w:rsidP="004D14DC">
      <w:pPr>
        <w:rPr>
          <w:b/>
          <w:bCs/>
        </w:rPr>
      </w:pPr>
      <w:r w:rsidRPr="004D14DC">
        <w:rPr>
          <w:b/>
          <w:bCs/>
        </w:rPr>
        <w:t>Supplementary Table 13</w:t>
      </w:r>
    </w:p>
    <w:p w14:paraId="11C375D6" w14:textId="77777777" w:rsidR="004D14DC" w:rsidRPr="004D14DC" w:rsidRDefault="004D14DC" w:rsidP="004D14DC">
      <w:r w:rsidRPr="004D14DC">
        <w:lastRenderedPageBreak/>
        <w:t>All the marker genes of the 13 clusters of the T/NK lineage in secondary CMML before and after treatment with Azacitidine plus Venecla.</w:t>
      </w:r>
    </w:p>
    <w:p w14:paraId="54F3F45C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4DC"/>
    <w:rsid w:val="004D14DC"/>
    <w:rsid w:val="005374DE"/>
    <w:rsid w:val="00871FE1"/>
    <w:rsid w:val="009D3477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12F2BD"/>
  <w15:chartTrackingRefBased/>
  <w15:docId w15:val="{8E3B4764-4762-4584-B7D9-68F57C247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14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14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14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14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14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14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14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14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14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14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14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14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14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14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14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14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14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14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14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14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14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14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14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14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14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14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14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14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14D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219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849</Words>
  <Characters>4840</Characters>
  <Application>Microsoft Office Word</Application>
  <DocSecurity>0</DocSecurity>
  <Lines>40</Lines>
  <Paragraphs>11</Paragraphs>
  <ScaleCrop>false</ScaleCrop>
  <Company>Springer Nature</Company>
  <LinksUpToDate>false</LinksUpToDate>
  <CharactersWithSpaces>5678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2024-10-21T11:32:00Z</dcterms:created>
  <dcterms:modified xsi:type="dcterms:W3CDTF">2024-10-21T11:33:00Z</dcterms:modified>
</cp:coreProperties>
</file>