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A28858" w14:textId="4A69D812" w:rsidR="00254CAD" w:rsidRPr="00254CAD" w:rsidRDefault="00254CAD">
      <w:pPr>
        <w:rPr>
          <w:rFonts w:ascii="Times New Roman" w:hAnsi="Times New Roman" w:cs="Times New Roman"/>
          <w:b/>
          <w:bCs/>
          <w:sz w:val="24"/>
          <w:szCs w:val="24"/>
        </w:rPr>
      </w:pPr>
      <w:r w:rsidRPr="00254CAD">
        <w:rPr>
          <w:rFonts w:ascii="Times New Roman" w:hAnsi="Times New Roman" w:cs="Times New Roman"/>
          <w:b/>
          <w:bCs/>
          <w:sz w:val="24"/>
          <w:szCs w:val="24"/>
        </w:rPr>
        <w:t>Supplementary Materials and Methods</w:t>
      </w:r>
    </w:p>
    <w:p w14:paraId="11B4226A" w14:textId="6527D131" w:rsidR="00C62C95" w:rsidRPr="00C62C95" w:rsidRDefault="00C62C95" w:rsidP="00254CAD">
      <w:pPr>
        <w:spacing w:line="440" w:lineRule="exact"/>
        <w:rPr>
          <w:rFonts w:ascii="Times New Roman" w:hAnsi="Times New Roman" w:cs="Times New Roman" w:hint="eastAsia"/>
          <w:b/>
          <w:bCs/>
          <w:sz w:val="24"/>
          <w:szCs w:val="24"/>
        </w:rPr>
      </w:pPr>
      <w:r w:rsidRPr="00820713">
        <w:rPr>
          <w:rFonts w:ascii="Times New Roman" w:hAnsi="Times New Roman" w:cs="Times New Roman"/>
          <w:i/>
          <w:iCs/>
          <w:sz w:val="24"/>
          <w:szCs w:val="24"/>
        </w:rPr>
        <w:t>Primary patient samples</w:t>
      </w:r>
      <w:r w:rsidRPr="00820713">
        <w:rPr>
          <w:rFonts w:ascii="Times New Roman" w:hAnsi="Times New Roman" w:cs="Times New Roman" w:hint="eastAsia"/>
          <w:i/>
          <w:iCs/>
          <w:sz w:val="24"/>
          <w:szCs w:val="24"/>
        </w:rPr>
        <w:t>:</w:t>
      </w:r>
      <w:r w:rsidRPr="00820713">
        <w:rPr>
          <w:rFonts w:ascii="Times New Roman" w:hAnsi="Times New Roman" w:cs="Times New Roman"/>
          <w:sz w:val="24"/>
          <w:szCs w:val="24"/>
        </w:rPr>
        <w:t xml:space="preserve"> </w:t>
      </w:r>
      <w:r w:rsidRPr="00023BB5">
        <w:rPr>
          <w:rFonts w:ascii="Times New Roman" w:hAnsi="Times New Roman" w:cs="Times New Roman"/>
          <w:sz w:val="24"/>
          <w:szCs w:val="24"/>
        </w:rPr>
        <w:t xml:space="preserve">We recruited one patient with secondary CMML due to DLBCL with CD19 CAR-T failure and treated them with Azacitidine plus </w:t>
      </w:r>
      <w:proofErr w:type="spellStart"/>
      <w:r w:rsidRPr="00023BB5">
        <w:rPr>
          <w:rFonts w:ascii="Times New Roman" w:hAnsi="Times New Roman" w:cs="Times New Roman"/>
          <w:sz w:val="24"/>
          <w:szCs w:val="24"/>
        </w:rPr>
        <w:t>Venecla</w:t>
      </w:r>
      <w:proofErr w:type="spellEnd"/>
      <w:r w:rsidRPr="00023BB5">
        <w:rPr>
          <w:rFonts w:ascii="Times New Roman" w:hAnsi="Times New Roman" w:cs="Times New Roman"/>
          <w:sz w:val="24"/>
          <w:szCs w:val="24"/>
        </w:rPr>
        <w:t>. And we also recruited one primary CMML as control. The BM samples were collected through aspiration from the secondary CMML patient, before and after treatment, as well as from the primary CMML patient. The CD45</w:t>
      </w:r>
      <w:r w:rsidRPr="00023BB5">
        <w:rPr>
          <w:rFonts w:ascii="Times New Roman" w:hAnsi="Times New Roman" w:cs="Times New Roman"/>
          <w:sz w:val="24"/>
          <w:szCs w:val="24"/>
          <w:vertAlign w:val="superscript"/>
        </w:rPr>
        <w:t>+</w:t>
      </w:r>
      <w:r w:rsidRPr="00023BB5">
        <w:rPr>
          <w:rFonts w:ascii="Times New Roman" w:hAnsi="Times New Roman" w:cs="Times New Roman"/>
          <w:sz w:val="24"/>
          <w:szCs w:val="24"/>
        </w:rPr>
        <w:t xml:space="preserve"> BM cells were enriched with human CD45 microbeads according to the manufacturer’s instructions (</w:t>
      </w:r>
      <w:proofErr w:type="spellStart"/>
      <w:r w:rsidRPr="00023BB5">
        <w:rPr>
          <w:rFonts w:ascii="Times New Roman" w:hAnsi="Times New Roman" w:cs="Times New Roman"/>
          <w:sz w:val="24"/>
          <w:szCs w:val="24"/>
        </w:rPr>
        <w:t>Miltenyi</w:t>
      </w:r>
      <w:proofErr w:type="spellEnd"/>
      <w:r w:rsidRPr="00023BB5">
        <w:rPr>
          <w:rFonts w:ascii="Times New Roman" w:hAnsi="Times New Roman" w:cs="Times New Roman"/>
          <w:sz w:val="24"/>
          <w:szCs w:val="24"/>
        </w:rPr>
        <w:t xml:space="preserve"> </w:t>
      </w:r>
      <w:proofErr w:type="spellStart"/>
      <w:r w:rsidRPr="00023BB5">
        <w:rPr>
          <w:rFonts w:ascii="Times New Roman" w:hAnsi="Times New Roman" w:cs="Times New Roman"/>
          <w:sz w:val="24"/>
          <w:szCs w:val="24"/>
        </w:rPr>
        <w:t>Biotec</w:t>
      </w:r>
      <w:proofErr w:type="spellEnd"/>
      <w:r w:rsidRPr="00023BB5">
        <w:rPr>
          <w:rFonts w:ascii="Times New Roman" w:hAnsi="Times New Roman" w:cs="Times New Roman"/>
          <w:sz w:val="24"/>
          <w:szCs w:val="24"/>
        </w:rPr>
        <w:t>, Cat#:130-045-801), as previously described</w:t>
      </w:r>
      <w:r>
        <w:rPr>
          <w:rFonts w:ascii="Times New Roman" w:hAnsi="Times New Roman" w:cs="Times New Roman" w:hint="eastAsia"/>
          <w:sz w:val="24"/>
          <w:szCs w:val="24"/>
        </w:rPr>
        <w:t>.</w:t>
      </w:r>
      <w:r w:rsidRPr="00023BB5">
        <w:rPr>
          <w:rFonts w:ascii="Times New Roman" w:hAnsi="Times New Roman" w:cs="Times New Roman"/>
          <w:sz w:val="24"/>
          <w:szCs w:val="24"/>
        </w:rPr>
        <w:t xml:space="preserve"> </w:t>
      </w:r>
      <w:r w:rsidRPr="00023BB5">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&lt;EndNote&gt;&lt;Cite&gt;&lt;Author&gt;Li&lt;/Author&gt;&lt;Year&gt;2023&lt;/Year&gt;&lt;RecNum&gt;4&lt;/RecNum&gt;&lt;DisplayText&gt;(1)&lt;/DisplayText&gt;&lt;record&gt;&lt;rec-number&gt;4&lt;/rec-number&gt;&lt;foreign-keys&gt;&lt;key app="EN" db-id="vzvz22fz0ffs04efdeoxwfd4t9090t90errp" timestamp="1719997811"&gt;4&lt;/key&gt;&lt;/foreign-keys&gt;&lt;ref-type name="Journal Article"&gt;17&lt;/ref-type&gt;&lt;contributors&gt;&lt;authors&gt;&lt;author&gt;Li, Wei&lt;/author&gt;&lt;author&gt;Zhang, Binglei&lt;/author&gt;&lt;author&gt;Cao, Weijie&lt;/author&gt;&lt;author&gt;Zhang, Wenli&lt;/author&gt;&lt;author&gt;Li, Tiandong&lt;/author&gt;&lt;author&gt;Liu, Lina&lt;/author&gt;&lt;author&gt;Xu, LinPing&lt;/author&gt;&lt;author&gt;Gao, Fengcai&lt;/author&gt;&lt;author&gt;Wang, Yanmei&lt;/author&gt;&lt;author&gt;Wang, Fang&lt;/author&gt;&lt;author&gt;Xing, Haizhou&lt;/author&gt;&lt;author&gt;Jiang, Zhongxing&lt;/author&gt;&lt;author&gt;Shi, Jianxiang&lt;/author&gt;&lt;author&gt;Bian, Zhilei&lt;/author&gt;&lt;author&gt;Song, Yongping&lt;/author&gt;&lt;/authors&gt;&lt;/contributors&gt;&lt;titles&gt;&lt;title&gt;Identification of potential resistance mechanisms and therapeutic targets for the relapse of BCMA CAR-T therapy in relapsed/refractory multiple myeloma through single-cell sequencing&lt;/title&gt;&lt;secondary-title&gt;Experimental Hematology &amp;amp; Oncology&lt;/secondary-title&gt;&lt;/titles&gt;&lt;periodical&gt;&lt;full-title&gt;Experimental Hematology &amp;amp; Oncology&lt;/full-title&gt;&lt;/periodical&gt;&lt;pages&gt;44&lt;/pages&gt;&lt;volume&gt;12&lt;/volume&gt;&lt;number&gt;1&lt;/number&gt;&lt;section&gt;44&lt;/section&gt;&lt;dates&gt;&lt;year&gt;2023&lt;/year&gt;&lt;/dates&gt;&lt;isbn&gt;2162-3619&lt;/isbn&gt;&lt;urls&gt;&lt;/urls&gt;&lt;electronic-resource-num&gt;10.1186/s40164-023-00402-5&lt;/electronic-resource-num&gt;&lt;/record&gt;&lt;/Cite&gt;&lt;/EndNote&gt;</w:instrText>
      </w:r>
      <w:r w:rsidRPr="00023BB5">
        <w:rPr>
          <w:rFonts w:ascii="Times New Roman" w:hAnsi="Times New Roman" w:cs="Times New Roman"/>
          <w:sz w:val="24"/>
          <w:szCs w:val="24"/>
        </w:rPr>
        <w:fldChar w:fldCharType="separate"/>
      </w:r>
      <w:r>
        <w:rPr>
          <w:rFonts w:ascii="Times New Roman" w:hAnsi="Times New Roman" w:cs="Times New Roman"/>
          <w:noProof/>
          <w:sz w:val="24"/>
          <w:szCs w:val="24"/>
        </w:rPr>
        <w:t>(1)</w:t>
      </w:r>
      <w:r w:rsidRPr="00023BB5">
        <w:rPr>
          <w:rFonts w:ascii="Times New Roman" w:hAnsi="Times New Roman" w:cs="Times New Roman"/>
          <w:sz w:val="24"/>
          <w:szCs w:val="24"/>
        </w:rPr>
        <w:fldChar w:fldCharType="end"/>
      </w:r>
      <w:r w:rsidRPr="00023BB5">
        <w:rPr>
          <w:rFonts w:ascii="Times New Roman" w:hAnsi="Times New Roman" w:cs="Times New Roman"/>
          <w:sz w:val="24"/>
          <w:szCs w:val="24"/>
        </w:rPr>
        <w:t xml:space="preserve"> The CD45</w:t>
      </w:r>
      <w:r w:rsidRPr="00023BB5">
        <w:rPr>
          <w:rFonts w:ascii="Times New Roman" w:hAnsi="Times New Roman" w:cs="Times New Roman"/>
          <w:sz w:val="24"/>
          <w:szCs w:val="24"/>
          <w:vertAlign w:val="superscript"/>
        </w:rPr>
        <w:t>+</w:t>
      </w:r>
      <w:r w:rsidRPr="00023BB5">
        <w:rPr>
          <w:rFonts w:ascii="Times New Roman" w:hAnsi="Times New Roman" w:cs="Times New Roman"/>
          <w:sz w:val="24"/>
          <w:szCs w:val="24"/>
        </w:rPr>
        <w:t xml:space="preserve"> cells were subsequently sent for 10× genomics </w:t>
      </w:r>
      <w:proofErr w:type="spellStart"/>
      <w:r w:rsidRPr="00023BB5">
        <w:rPr>
          <w:rFonts w:ascii="Times New Roman" w:hAnsi="Times New Roman" w:cs="Times New Roman"/>
          <w:sz w:val="24"/>
          <w:szCs w:val="24"/>
        </w:rPr>
        <w:t>ScRNA</w:t>
      </w:r>
      <w:proofErr w:type="spellEnd"/>
      <w:r w:rsidRPr="00023BB5">
        <w:rPr>
          <w:rFonts w:ascii="Times New Roman" w:hAnsi="Times New Roman" w:cs="Times New Roman"/>
          <w:sz w:val="24"/>
          <w:szCs w:val="24"/>
        </w:rPr>
        <w:t>-seq.</w:t>
      </w:r>
    </w:p>
    <w:p w14:paraId="0564BE4C" w14:textId="269A8A30" w:rsidR="00254CAD" w:rsidRPr="00820713" w:rsidRDefault="00254CAD" w:rsidP="00254CAD">
      <w:pPr>
        <w:spacing w:line="440" w:lineRule="exact"/>
        <w:rPr>
          <w:rFonts w:ascii="Times New Roman" w:hAnsi="Times New Roman" w:cs="Times New Roman"/>
          <w:b/>
          <w:bCs/>
          <w:sz w:val="24"/>
          <w:szCs w:val="24"/>
        </w:rPr>
      </w:pPr>
      <w:r w:rsidRPr="00820713">
        <w:rPr>
          <w:rFonts w:ascii="Times New Roman" w:hAnsi="Times New Roman" w:cs="Times New Roman"/>
          <w:i/>
          <w:iCs/>
          <w:sz w:val="24"/>
          <w:szCs w:val="24"/>
        </w:rPr>
        <w:t>Immunophenotyping detection by flow cytometry</w:t>
      </w:r>
      <w:r w:rsidRPr="00820713">
        <w:rPr>
          <w:rFonts w:ascii="Times New Roman" w:hAnsi="Times New Roman" w:cs="Times New Roman" w:hint="eastAsia"/>
          <w:i/>
          <w:iCs/>
          <w:sz w:val="24"/>
          <w:szCs w:val="24"/>
        </w:rPr>
        <w:t>:</w:t>
      </w:r>
      <w:r>
        <w:rPr>
          <w:rFonts w:ascii="Times New Roman" w:hAnsi="Times New Roman" w:cs="Times New Roman" w:hint="eastAsia"/>
          <w:b/>
          <w:bCs/>
          <w:sz w:val="24"/>
          <w:szCs w:val="24"/>
        </w:rPr>
        <w:t xml:space="preserve"> </w:t>
      </w:r>
      <w:r w:rsidRPr="00023BB5">
        <w:rPr>
          <w:rFonts w:ascii="Times New Roman" w:hAnsi="Times New Roman" w:cs="Times New Roman"/>
          <w:sz w:val="24"/>
          <w:szCs w:val="24"/>
        </w:rPr>
        <w:t xml:space="preserve">We analyzed the bone marrow aspirates from the patients diagnosed with CMML or those suspected of having the condition, which were submitted for routine diagnostic evaluation in our laboratory, as well as hip marrow samples from control subjects. The specimens were analyzed with the use of a 3-laser FACS Lyric (BD Biosciences, San Jose, CA) equipped with BD FACS suite RUO V1.5 software. Whole bone marrow and hip marrow samples collected in EDTA anticoagulant were washed thrice in phosphate-buffered saline (PBS) and resuspended in 1% bovine serum albumin in PBS. A total of 100 </w:t>
      </w:r>
      <w:proofErr w:type="spellStart"/>
      <w:r w:rsidRPr="00023BB5">
        <w:rPr>
          <w:rFonts w:ascii="Times New Roman" w:hAnsi="Times New Roman" w:cs="Times New Roman"/>
          <w:sz w:val="24"/>
          <w:szCs w:val="24"/>
        </w:rPr>
        <w:t>μl</w:t>
      </w:r>
      <w:proofErr w:type="spellEnd"/>
      <w:r w:rsidRPr="00023BB5">
        <w:rPr>
          <w:rFonts w:ascii="Times New Roman" w:hAnsi="Times New Roman" w:cs="Times New Roman"/>
          <w:sz w:val="24"/>
          <w:szCs w:val="24"/>
        </w:rPr>
        <w:t xml:space="preserve"> of washed cells were incubated with each </w:t>
      </w:r>
      <w:proofErr w:type="spellStart"/>
      <w:r w:rsidRPr="00023BB5">
        <w:rPr>
          <w:rFonts w:ascii="Times New Roman" w:hAnsi="Times New Roman" w:cs="Times New Roman"/>
          <w:sz w:val="24"/>
          <w:szCs w:val="24"/>
        </w:rPr>
        <w:t>titered</w:t>
      </w:r>
      <w:proofErr w:type="spellEnd"/>
      <w:r w:rsidRPr="00023BB5">
        <w:rPr>
          <w:rFonts w:ascii="Times New Roman" w:hAnsi="Times New Roman" w:cs="Times New Roman"/>
          <w:sz w:val="24"/>
          <w:szCs w:val="24"/>
        </w:rPr>
        <w:t xml:space="preserve"> monoclonal antibody and corresponding volumes for 15 minutes at room temperature in the dark. Erythrocytes were lysed by incubating with 2 mL of a 1:9 diluted solution of BD FACS lysing solution (10 ml BD FACS lysing solution in 90 ml H2O) for 10 minutes. Following incubation, the cells were pelleted by centrifugation at 400g for 10 minutes at room temperature, the supernatant was aspirated, and the cells were washed once in PBS. Subsequently, after the final wash step, the cells were resuspended in 0.5 ml of 1% paraformaldehyde in PBS. </w:t>
      </w:r>
    </w:p>
    <w:p w14:paraId="04E50F87" w14:textId="3EEBF518" w:rsidR="00254CAD" w:rsidRPr="00820713" w:rsidRDefault="00254CAD" w:rsidP="00254CAD">
      <w:pPr>
        <w:spacing w:line="440" w:lineRule="exact"/>
        <w:rPr>
          <w:rFonts w:ascii="Times New Roman" w:hAnsi="Times New Roman" w:cs="Times New Roman"/>
          <w:b/>
          <w:bCs/>
          <w:sz w:val="24"/>
          <w:szCs w:val="24"/>
        </w:rPr>
      </w:pPr>
      <w:r w:rsidRPr="00820713">
        <w:rPr>
          <w:rFonts w:ascii="Times New Roman" w:hAnsi="Times New Roman" w:cs="Times New Roman"/>
          <w:i/>
          <w:iCs/>
          <w:sz w:val="24"/>
          <w:szCs w:val="24"/>
        </w:rPr>
        <w:t>Giemsa–Wright staining</w:t>
      </w:r>
      <w:r w:rsidRPr="00820713">
        <w:rPr>
          <w:rFonts w:ascii="Times New Roman" w:hAnsi="Times New Roman" w:cs="Times New Roman" w:hint="eastAsia"/>
          <w:i/>
          <w:iCs/>
          <w:sz w:val="24"/>
          <w:szCs w:val="24"/>
        </w:rPr>
        <w:t xml:space="preserve">: </w:t>
      </w:r>
      <w:r w:rsidRPr="00023BB5">
        <w:rPr>
          <w:rFonts w:ascii="Times New Roman" w:hAnsi="Times New Roman" w:cs="Times New Roman"/>
          <w:sz w:val="24"/>
          <w:szCs w:val="24"/>
        </w:rPr>
        <w:t>Giemsa–Wright staining was performed as described in our previous papers</w:t>
      </w:r>
      <w:r>
        <w:rPr>
          <w:rFonts w:ascii="Times New Roman" w:hAnsi="Times New Roman" w:cs="Times New Roman" w:hint="eastAsia"/>
          <w:sz w:val="24"/>
          <w:szCs w:val="24"/>
        </w:rPr>
        <w:t>.</w:t>
      </w:r>
      <w:r w:rsidRPr="00023BB5">
        <w:rPr>
          <w:rFonts w:ascii="Times New Roman" w:hAnsi="Times New Roman" w:cs="Times New Roman"/>
          <w:sz w:val="24"/>
          <w:szCs w:val="24"/>
        </w:rPr>
        <w:t xml:space="preserve"> </w:t>
      </w:r>
      <w:r w:rsidRPr="00023BB5">
        <w:rPr>
          <w:rFonts w:ascii="Times New Roman" w:hAnsi="Times New Roman" w:cs="Times New Roman"/>
          <w:sz w:val="24"/>
          <w:szCs w:val="24"/>
        </w:rPr>
        <w:fldChar w:fldCharType="begin">
          <w:fldData xml:space="preserve">PEVuZE5vdGU+PENpdGU+PEF1dGhvcj5DYW88L0F1dGhvcj48WWVhcj4yMDIyPC9ZZWFyPjxSZWNO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</w:fldData>
        </w:fldChar>
      </w:r>
      <w:r w:rsidR="00C62C95">
        <w:rPr>
          <w:rFonts w:ascii="Times New Roman" w:hAnsi="Times New Roman" w:cs="Times New Roman"/>
          <w:sz w:val="24"/>
          <w:szCs w:val="24"/>
        </w:rPr>
        <w:instrText xml:space="preserve"> ADDIN EN.CITE </w:instrText>
      </w:r>
      <w:r w:rsidR="00C62C95">
        <w:rPr>
          <w:rFonts w:ascii="Times New Roman" w:hAnsi="Times New Roman" w:cs="Times New Roman"/>
          <w:sz w:val="24"/>
          <w:szCs w:val="24"/>
        </w:rPr>
        <w:fldChar w:fldCharType="begin">
          <w:fldData xml:space="preserve">PEVuZE5vdGU+PENpdGU+PEF1dGhvcj5DYW88L0F1dGhvcj48WWVhcj4yMDIyPC9ZZWFyPjxSZWNO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</w:fldData>
        </w:fldChar>
      </w:r>
      <w:r w:rsidR="00C62C95">
        <w:rPr>
          <w:rFonts w:ascii="Times New Roman" w:hAnsi="Times New Roman" w:cs="Times New Roman"/>
          <w:sz w:val="24"/>
          <w:szCs w:val="24"/>
        </w:rPr>
        <w:instrText xml:space="preserve"> ADDIN EN.CITE.DATA </w:instrText>
      </w:r>
      <w:r w:rsidR="00C62C95">
        <w:rPr>
          <w:rFonts w:ascii="Times New Roman" w:hAnsi="Times New Roman" w:cs="Times New Roman"/>
          <w:sz w:val="24"/>
          <w:szCs w:val="24"/>
        </w:rPr>
      </w:r>
      <w:r w:rsidR="00C62C95">
        <w:rPr>
          <w:rFonts w:ascii="Times New Roman" w:hAnsi="Times New Roman" w:cs="Times New Roman"/>
          <w:sz w:val="24"/>
          <w:szCs w:val="24"/>
        </w:rPr>
        <w:fldChar w:fldCharType="end"/>
      </w:r>
      <w:r w:rsidRPr="00023BB5">
        <w:rPr>
          <w:rFonts w:ascii="Times New Roman" w:hAnsi="Times New Roman" w:cs="Times New Roman"/>
          <w:sz w:val="24"/>
          <w:szCs w:val="24"/>
        </w:rPr>
        <w:fldChar w:fldCharType="separate"/>
      </w:r>
      <w:r w:rsidR="00C62C95">
        <w:rPr>
          <w:rFonts w:ascii="Times New Roman" w:hAnsi="Times New Roman" w:cs="Times New Roman"/>
          <w:noProof/>
          <w:sz w:val="24"/>
          <w:szCs w:val="24"/>
        </w:rPr>
        <w:t>(2-4)</w:t>
      </w:r>
      <w:r w:rsidRPr="00023BB5">
        <w:rPr>
          <w:rFonts w:ascii="Times New Roman" w:hAnsi="Times New Roman" w:cs="Times New Roman"/>
          <w:sz w:val="24"/>
          <w:szCs w:val="24"/>
        </w:rPr>
        <w:fldChar w:fldCharType="end"/>
      </w:r>
      <w:r w:rsidRPr="00023BB5">
        <w:rPr>
          <w:rFonts w:ascii="Times New Roman" w:hAnsi="Times New Roman" w:cs="Times New Roman"/>
          <w:sz w:val="24"/>
          <w:szCs w:val="24"/>
        </w:rPr>
        <w:t xml:space="preserve"> </w:t>
      </w:r>
    </w:p>
    <w:p w14:paraId="62915E12" w14:textId="77777777" w:rsidR="00254CAD" w:rsidRPr="00820713" w:rsidRDefault="00254CAD" w:rsidP="00254CAD">
      <w:pPr>
        <w:spacing w:line="440" w:lineRule="exact"/>
        <w:rPr>
          <w:rFonts w:ascii="Times New Roman" w:hAnsi="Times New Roman" w:cs="Times New Roman"/>
          <w:b/>
          <w:bCs/>
          <w:sz w:val="24"/>
          <w:szCs w:val="24"/>
        </w:rPr>
      </w:pPr>
      <w:r w:rsidRPr="00820713">
        <w:rPr>
          <w:rFonts w:ascii="Times New Roman" w:hAnsi="Times New Roman" w:cs="Times New Roman"/>
          <w:i/>
          <w:iCs/>
          <w:sz w:val="24"/>
          <w:szCs w:val="24"/>
        </w:rPr>
        <w:t>Single-cell RNA library preparation and sequencing</w:t>
      </w:r>
      <w:r w:rsidRPr="00820713">
        <w:rPr>
          <w:rFonts w:ascii="Times New Roman" w:hAnsi="Times New Roman" w:cs="Times New Roman" w:hint="eastAsia"/>
          <w:i/>
          <w:iCs/>
          <w:sz w:val="24"/>
          <w:szCs w:val="24"/>
        </w:rPr>
        <w:t xml:space="preserve">: </w:t>
      </w:r>
      <w:r w:rsidRPr="00023BB5">
        <w:rPr>
          <w:rFonts w:ascii="Times New Roman" w:hAnsi="Times New Roman" w:cs="Times New Roman"/>
          <w:sz w:val="24"/>
          <w:szCs w:val="24"/>
        </w:rPr>
        <w:t>Fresh CD45</w:t>
      </w:r>
      <w:r w:rsidRPr="00023BB5">
        <w:rPr>
          <w:rFonts w:ascii="Times New Roman" w:hAnsi="Times New Roman" w:cs="Times New Roman"/>
          <w:sz w:val="24"/>
          <w:szCs w:val="24"/>
          <w:vertAlign w:val="superscript"/>
        </w:rPr>
        <w:t>+</w:t>
      </w:r>
      <w:r w:rsidRPr="00023BB5">
        <w:rPr>
          <w:rFonts w:ascii="Times New Roman" w:hAnsi="Times New Roman" w:cs="Times New Roman"/>
          <w:sz w:val="24"/>
          <w:szCs w:val="24"/>
        </w:rPr>
        <w:t xml:space="preserve"> cells enriched with the patients’ BM were resuspended in PBS with 0.04% bovine serum albumin to a final concentration of 700 to 1,200 cells per </w:t>
      </w:r>
      <w:proofErr w:type="spellStart"/>
      <w:r w:rsidRPr="00023BB5">
        <w:rPr>
          <w:rFonts w:ascii="Times New Roman" w:hAnsi="Times New Roman" w:cs="Times New Roman"/>
          <w:sz w:val="24"/>
          <w:szCs w:val="24"/>
        </w:rPr>
        <w:t>μl</w:t>
      </w:r>
      <w:proofErr w:type="spellEnd"/>
      <w:r w:rsidRPr="00023BB5">
        <w:rPr>
          <w:rFonts w:ascii="Times New Roman" w:hAnsi="Times New Roman" w:cs="Times New Roman"/>
          <w:sz w:val="24"/>
          <w:szCs w:val="24"/>
        </w:rPr>
        <w:t xml:space="preserve">. The Chromium Controller (10x Genomics) was used to generate single-cell partitions and molecular barcoding. The Chromium Single Cell 3′ Reagent Kit v3.1 (10x Genomics) was used to generate a single-cell sequencing library. Eight thousand cells per sample were targeted in this study. All other </w:t>
      </w:r>
      <w:r w:rsidRPr="00023BB5">
        <w:rPr>
          <w:rFonts w:ascii="Times New Roman" w:hAnsi="Times New Roman" w:cs="Times New Roman"/>
          <w:sz w:val="24"/>
          <w:szCs w:val="24"/>
        </w:rPr>
        <w:lastRenderedPageBreak/>
        <w:t xml:space="preserve">steps were implemented according to the manufacturer’s protocols. Generated </w:t>
      </w:r>
      <w:proofErr w:type="spellStart"/>
      <w:r w:rsidRPr="00023BB5">
        <w:rPr>
          <w:rFonts w:ascii="Times New Roman" w:hAnsi="Times New Roman" w:cs="Times New Roman"/>
          <w:sz w:val="24"/>
          <w:szCs w:val="24"/>
        </w:rPr>
        <w:t>scRNA</w:t>
      </w:r>
      <w:proofErr w:type="spellEnd"/>
      <w:r w:rsidRPr="00023BB5">
        <w:rPr>
          <w:rFonts w:ascii="Times New Roman" w:hAnsi="Times New Roman" w:cs="Times New Roman"/>
          <w:sz w:val="24"/>
          <w:szCs w:val="24"/>
        </w:rPr>
        <w:t xml:space="preserve">-seq libraries were run on the Illumina </w:t>
      </w:r>
      <w:proofErr w:type="spellStart"/>
      <w:r w:rsidRPr="00023BB5">
        <w:rPr>
          <w:rFonts w:ascii="Times New Roman" w:hAnsi="Times New Roman" w:cs="Times New Roman"/>
          <w:sz w:val="24"/>
          <w:szCs w:val="24"/>
        </w:rPr>
        <w:t>Novaseq</w:t>
      </w:r>
      <w:proofErr w:type="spellEnd"/>
      <w:r w:rsidRPr="00023BB5">
        <w:rPr>
          <w:rFonts w:ascii="Times New Roman" w:hAnsi="Times New Roman" w:cs="Times New Roman"/>
          <w:sz w:val="24"/>
          <w:szCs w:val="24"/>
        </w:rPr>
        <w:t xml:space="preserve"> (Zebrafish [Beijing] Technology Corporation, Beijing, China) for PE150 sequencing.</w:t>
      </w:r>
    </w:p>
    <w:p w14:paraId="7DD2C2EF" w14:textId="77777777" w:rsidR="00254CAD" w:rsidRPr="00820713" w:rsidRDefault="00254CAD" w:rsidP="00254CAD">
      <w:pPr>
        <w:spacing w:line="440" w:lineRule="exact"/>
        <w:rPr>
          <w:rFonts w:ascii="Times New Roman" w:hAnsi="Times New Roman" w:cs="Times New Roman"/>
          <w:b/>
          <w:bCs/>
          <w:sz w:val="24"/>
          <w:szCs w:val="24"/>
        </w:rPr>
      </w:pPr>
      <w:proofErr w:type="spellStart"/>
      <w:r w:rsidRPr="00820713">
        <w:rPr>
          <w:rFonts w:ascii="Times New Roman" w:hAnsi="Times New Roman" w:cs="Times New Roman"/>
          <w:i/>
          <w:iCs/>
          <w:sz w:val="24"/>
          <w:szCs w:val="24"/>
        </w:rPr>
        <w:t>ScRNA</w:t>
      </w:r>
      <w:proofErr w:type="spellEnd"/>
      <w:r w:rsidRPr="00820713">
        <w:rPr>
          <w:rFonts w:ascii="Times New Roman" w:hAnsi="Times New Roman" w:cs="Times New Roman"/>
          <w:i/>
          <w:iCs/>
          <w:sz w:val="24"/>
          <w:szCs w:val="24"/>
        </w:rPr>
        <w:t>-seq data processing</w:t>
      </w:r>
      <w:r w:rsidRPr="00820713">
        <w:rPr>
          <w:rFonts w:ascii="Times New Roman" w:hAnsi="Times New Roman" w:cs="Times New Roman" w:hint="eastAsia"/>
          <w:i/>
          <w:iCs/>
          <w:sz w:val="24"/>
          <w:szCs w:val="24"/>
        </w:rPr>
        <w:t xml:space="preserve">: </w:t>
      </w:r>
      <w:r w:rsidRPr="00023BB5">
        <w:rPr>
          <w:rFonts w:ascii="Times New Roman" w:hAnsi="Times New Roman" w:cs="Times New Roman"/>
          <w:sz w:val="24"/>
          <w:szCs w:val="24"/>
        </w:rPr>
        <w:t xml:space="preserve">Sample demultiplexing, barcode processing, alignment to the human genome (GRCh38), and raw gene expression counting were performed with the use of the Cell Ranger (version 6.0.1) pipeline. Raw single-cell expression matrices were further analyzed by R software (version 4.1.0) with the Seurat package (version 4.2.0). Ambient RNA was removed with the use of the </w:t>
      </w:r>
      <w:proofErr w:type="spellStart"/>
      <w:r w:rsidRPr="00023BB5">
        <w:rPr>
          <w:rFonts w:ascii="Times New Roman" w:hAnsi="Times New Roman" w:cs="Times New Roman"/>
          <w:sz w:val="24"/>
          <w:szCs w:val="24"/>
        </w:rPr>
        <w:t>soupX</w:t>
      </w:r>
      <w:proofErr w:type="spellEnd"/>
      <w:r w:rsidRPr="00023BB5">
        <w:rPr>
          <w:rFonts w:ascii="Times New Roman" w:hAnsi="Times New Roman" w:cs="Times New Roman"/>
          <w:sz w:val="24"/>
          <w:szCs w:val="24"/>
        </w:rPr>
        <w:t xml:space="preserve"> package (version 1.6.1). Low-quality cells that met either of the following criteria were removed: (1) &gt; 20% UMIs were derived from the mitochondrial genome and (2) &lt; 300 genes. Doublets were identified with the R package </w:t>
      </w:r>
      <w:proofErr w:type="spellStart"/>
      <w:r w:rsidRPr="00023BB5">
        <w:rPr>
          <w:rFonts w:ascii="Times New Roman" w:hAnsi="Times New Roman" w:cs="Times New Roman"/>
          <w:sz w:val="24"/>
          <w:szCs w:val="24"/>
        </w:rPr>
        <w:t>DoubletFinder</w:t>
      </w:r>
      <w:proofErr w:type="spellEnd"/>
      <w:r w:rsidRPr="00023BB5">
        <w:rPr>
          <w:rFonts w:ascii="Times New Roman" w:hAnsi="Times New Roman" w:cs="Times New Roman"/>
          <w:sz w:val="24"/>
          <w:szCs w:val="24"/>
        </w:rPr>
        <w:t xml:space="preserve"> (version 2.0.3) with default settings. After the removal of low-quality cells and doublets, 10,595 cells and 21,371 genes were retained for further analysis. The </w:t>
      </w:r>
      <w:proofErr w:type="spellStart"/>
      <w:r w:rsidRPr="00023BB5">
        <w:rPr>
          <w:rFonts w:ascii="Times New Roman" w:hAnsi="Times New Roman" w:cs="Times New Roman"/>
          <w:sz w:val="24"/>
          <w:szCs w:val="24"/>
        </w:rPr>
        <w:t>SCTransform</w:t>
      </w:r>
      <w:proofErr w:type="spellEnd"/>
      <w:r w:rsidRPr="00023BB5">
        <w:rPr>
          <w:rFonts w:ascii="Times New Roman" w:hAnsi="Times New Roman" w:cs="Times New Roman"/>
          <w:sz w:val="24"/>
          <w:szCs w:val="24"/>
        </w:rPr>
        <w:t xml:space="preserve"> function from the Seurat package was used to normalize gene expression. </w:t>
      </w:r>
      <w:proofErr w:type="spellStart"/>
      <w:r w:rsidRPr="00023BB5">
        <w:rPr>
          <w:rFonts w:ascii="Times New Roman" w:hAnsi="Times New Roman" w:cs="Times New Roman"/>
          <w:sz w:val="24"/>
          <w:szCs w:val="24"/>
        </w:rPr>
        <w:t>ScRNA</w:t>
      </w:r>
      <w:proofErr w:type="spellEnd"/>
      <w:r w:rsidRPr="00023BB5">
        <w:rPr>
          <w:rFonts w:ascii="Times New Roman" w:hAnsi="Times New Roman" w:cs="Times New Roman"/>
          <w:sz w:val="24"/>
          <w:szCs w:val="24"/>
        </w:rPr>
        <w:t xml:space="preserve">-seq data matrices from two samples were integrated with the use of the </w:t>
      </w:r>
      <w:proofErr w:type="spellStart"/>
      <w:r w:rsidRPr="00023BB5">
        <w:rPr>
          <w:rFonts w:ascii="Times New Roman" w:hAnsi="Times New Roman" w:cs="Times New Roman"/>
          <w:sz w:val="24"/>
          <w:szCs w:val="24"/>
        </w:rPr>
        <w:t>FindIntegrationAnchors</w:t>
      </w:r>
      <w:proofErr w:type="spellEnd"/>
      <w:r w:rsidRPr="00023BB5">
        <w:rPr>
          <w:rFonts w:ascii="Times New Roman" w:hAnsi="Times New Roman" w:cs="Times New Roman"/>
          <w:sz w:val="24"/>
          <w:szCs w:val="24"/>
        </w:rPr>
        <w:t xml:space="preserve"> and </w:t>
      </w:r>
      <w:proofErr w:type="spellStart"/>
      <w:r w:rsidRPr="00023BB5">
        <w:rPr>
          <w:rFonts w:ascii="Times New Roman" w:hAnsi="Times New Roman" w:cs="Times New Roman"/>
          <w:sz w:val="24"/>
          <w:szCs w:val="24"/>
        </w:rPr>
        <w:t>IntegrateData</w:t>
      </w:r>
      <w:proofErr w:type="spellEnd"/>
      <w:r w:rsidRPr="00023BB5">
        <w:rPr>
          <w:rFonts w:ascii="Times New Roman" w:hAnsi="Times New Roman" w:cs="Times New Roman"/>
          <w:sz w:val="24"/>
          <w:szCs w:val="24"/>
        </w:rPr>
        <w:t xml:space="preserve"> functions to remove the batch effect across samples. The data were used in the subsequent nonlinear dimensional reduction with the </w:t>
      </w:r>
      <w:proofErr w:type="spellStart"/>
      <w:r w:rsidRPr="00023BB5">
        <w:rPr>
          <w:rFonts w:ascii="Times New Roman" w:hAnsi="Times New Roman" w:cs="Times New Roman"/>
          <w:sz w:val="24"/>
          <w:szCs w:val="24"/>
        </w:rPr>
        <w:t>RunUMAP</w:t>
      </w:r>
      <w:proofErr w:type="spellEnd"/>
      <w:r w:rsidRPr="00023BB5">
        <w:rPr>
          <w:rFonts w:ascii="Times New Roman" w:hAnsi="Times New Roman" w:cs="Times New Roman"/>
          <w:sz w:val="24"/>
          <w:szCs w:val="24"/>
        </w:rPr>
        <w:t xml:space="preserve"> function and cluster analysis by the </w:t>
      </w:r>
      <w:proofErr w:type="spellStart"/>
      <w:r w:rsidRPr="00023BB5">
        <w:rPr>
          <w:rFonts w:ascii="Times New Roman" w:hAnsi="Times New Roman" w:cs="Times New Roman"/>
          <w:sz w:val="24"/>
          <w:szCs w:val="24"/>
        </w:rPr>
        <w:t>FindNeighbors</w:t>
      </w:r>
      <w:proofErr w:type="spellEnd"/>
      <w:r w:rsidRPr="00023BB5">
        <w:rPr>
          <w:rFonts w:ascii="Times New Roman" w:hAnsi="Times New Roman" w:cs="Times New Roman"/>
          <w:sz w:val="24"/>
          <w:szCs w:val="24"/>
        </w:rPr>
        <w:t xml:space="preserve"> and </w:t>
      </w:r>
      <w:proofErr w:type="spellStart"/>
      <w:r w:rsidRPr="00023BB5">
        <w:rPr>
          <w:rFonts w:ascii="Times New Roman" w:hAnsi="Times New Roman" w:cs="Times New Roman"/>
          <w:sz w:val="24"/>
          <w:szCs w:val="24"/>
        </w:rPr>
        <w:t>FindClusters</w:t>
      </w:r>
      <w:proofErr w:type="spellEnd"/>
      <w:r w:rsidRPr="00023BB5">
        <w:rPr>
          <w:rFonts w:ascii="Times New Roman" w:hAnsi="Times New Roman" w:cs="Times New Roman"/>
          <w:sz w:val="24"/>
          <w:szCs w:val="24"/>
        </w:rPr>
        <w:t xml:space="preserve"> functions.</w:t>
      </w:r>
    </w:p>
    <w:p w14:paraId="198D4855" w14:textId="77777777" w:rsidR="00254CAD" w:rsidRPr="00820713" w:rsidRDefault="00254CAD" w:rsidP="00254CAD">
      <w:pPr>
        <w:spacing w:line="440" w:lineRule="exact"/>
        <w:rPr>
          <w:rFonts w:ascii="Times New Roman" w:hAnsi="Times New Roman" w:cs="Times New Roman"/>
          <w:b/>
          <w:bCs/>
          <w:sz w:val="24"/>
          <w:szCs w:val="24"/>
        </w:rPr>
      </w:pPr>
      <w:r w:rsidRPr="00820713">
        <w:rPr>
          <w:rFonts w:ascii="Times New Roman" w:hAnsi="Times New Roman" w:cs="Times New Roman"/>
          <w:i/>
          <w:iCs/>
          <w:sz w:val="24"/>
          <w:szCs w:val="24"/>
        </w:rPr>
        <w:t>Cell type annotation and cluster marker identification</w:t>
      </w:r>
      <w:r>
        <w:rPr>
          <w:rFonts w:ascii="Times New Roman" w:hAnsi="Times New Roman" w:cs="Times New Roman" w:hint="eastAsia"/>
          <w:sz w:val="24"/>
          <w:szCs w:val="24"/>
        </w:rPr>
        <w:t xml:space="preserve">: </w:t>
      </w:r>
      <w:r w:rsidRPr="00023BB5">
        <w:rPr>
          <w:rFonts w:ascii="Times New Roman" w:hAnsi="Times New Roman" w:cs="Times New Roman"/>
          <w:sz w:val="24"/>
          <w:szCs w:val="24"/>
        </w:rPr>
        <w:t>Clusters were identified using Seurat k-nearest neighbors clustering with a resolution of 0.3. Cell types wer</w:t>
      </w:r>
      <w:r w:rsidRPr="00C3604F">
        <w:rPr>
          <w:rFonts w:ascii="Times New Roman" w:hAnsi="Times New Roman" w:cs="Times New Roman"/>
          <w:sz w:val="24"/>
          <w:szCs w:val="24"/>
        </w:rPr>
        <w:t xml:space="preserve">e assigned by examining the expression of marker genes and the top differentially expressed genes in each cluster. Cells were visualized with a Uniform Manifold Approximation and Projection (UMAP) plot. The Seurat’s </w:t>
      </w:r>
      <w:proofErr w:type="spellStart"/>
      <w:r w:rsidRPr="00C3604F">
        <w:rPr>
          <w:rFonts w:ascii="Times New Roman" w:hAnsi="Times New Roman" w:cs="Times New Roman"/>
          <w:sz w:val="24"/>
          <w:szCs w:val="24"/>
        </w:rPr>
        <w:t>FindAllMarkers</w:t>
      </w:r>
      <w:proofErr w:type="spellEnd"/>
      <w:r w:rsidRPr="00C3604F">
        <w:rPr>
          <w:rFonts w:ascii="Times New Roman" w:hAnsi="Times New Roman" w:cs="Times New Roman"/>
          <w:sz w:val="24"/>
          <w:szCs w:val="24"/>
        </w:rPr>
        <w:t xml:space="preserve"> function was used to identify the signature genes of each cell cluster. Major cell types were further subclustered to reveal distinct BM microenvironment in primary CMML and secondary CMML, as well as the mechanism of secondary CMML treatment. In addition, the percentages of different cell types or cell subtypes were calculated.</w:t>
      </w:r>
    </w:p>
    <w:p w14:paraId="5C1CA1F2" w14:textId="77777777" w:rsidR="00254CAD" w:rsidRPr="00820713" w:rsidRDefault="00254CAD" w:rsidP="00254CAD">
      <w:pPr>
        <w:spacing w:line="440" w:lineRule="exact"/>
        <w:rPr>
          <w:rFonts w:ascii="Times New Roman" w:hAnsi="Times New Roman" w:cs="Times New Roman"/>
          <w:i/>
          <w:iCs/>
          <w:sz w:val="24"/>
          <w:szCs w:val="24"/>
        </w:rPr>
      </w:pPr>
      <w:r w:rsidRPr="00820713">
        <w:rPr>
          <w:rFonts w:ascii="Times New Roman" w:hAnsi="Times New Roman" w:cs="Times New Roman"/>
          <w:i/>
          <w:iCs/>
          <w:sz w:val="24"/>
          <w:szCs w:val="24"/>
        </w:rPr>
        <w:t>Identification and functional enrichment of differentially expressed genes (DEGs)</w:t>
      </w:r>
      <w:r>
        <w:rPr>
          <w:rFonts w:ascii="Times New Roman" w:hAnsi="Times New Roman" w:cs="Times New Roman" w:hint="eastAsia"/>
          <w:i/>
          <w:iCs/>
          <w:sz w:val="24"/>
          <w:szCs w:val="24"/>
        </w:rPr>
        <w:t xml:space="preserve">: </w:t>
      </w:r>
      <w:r w:rsidRPr="00C3604F">
        <w:rPr>
          <w:rFonts w:ascii="Times New Roman" w:hAnsi="Times New Roman" w:cs="Times New Roman"/>
          <w:sz w:val="24"/>
          <w:szCs w:val="24"/>
        </w:rPr>
        <w:t xml:space="preserve">DEGs were identified with the use of the </w:t>
      </w:r>
      <w:proofErr w:type="spellStart"/>
      <w:r w:rsidRPr="00C3604F">
        <w:rPr>
          <w:rFonts w:ascii="Times New Roman" w:hAnsi="Times New Roman" w:cs="Times New Roman"/>
          <w:sz w:val="24"/>
          <w:szCs w:val="24"/>
        </w:rPr>
        <w:t>FindAllMarkers</w:t>
      </w:r>
      <w:proofErr w:type="spellEnd"/>
      <w:r w:rsidRPr="00C3604F">
        <w:rPr>
          <w:rFonts w:ascii="Times New Roman" w:hAnsi="Times New Roman" w:cs="Times New Roman"/>
          <w:sz w:val="24"/>
          <w:szCs w:val="24"/>
        </w:rPr>
        <w:t xml:space="preserve"> function from the Seurat package with the following parameters: “</w:t>
      </w:r>
      <w:proofErr w:type="spellStart"/>
      <w:r w:rsidRPr="00C3604F">
        <w:rPr>
          <w:rFonts w:ascii="Times New Roman" w:hAnsi="Times New Roman" w:cs="Times New Roman"/>
          <w:sz w:val="24"/>
          <w:szCs w:val="24"/>
        </w:rPr>
        <w:t>only.pos</w:t>
      </w:r>
      <w:proofErr w:type="spellEnd"/>
      <w:r w:rsidRPr="00C3604F">
        <w:rPr>
          <w:rFonts w:ascii="Times New Roman" w:hAnsi="Times New Roman" w:cs="Times New Roman"/>
          <w:sz w:val="24"/>
          <w:szCs w:val="24"/>
        </w:rPr>
        <w:t xml:space="preserve"> = T,” “min.pct = 0.1,” and “</w:t>
      </w:r>
      <w:proofErr w:type="spellStart"/>
      <w:proofErr w:type="gramStart"/>
      <w:r w:rsidRPr="00C3604F">
        <w:rPr>
          <w:rFonts w:ascii="Times New Roman" w:hAnsi="Times New Roman" w:cs="Times New Roman"/>
          <w:sz w:val="24"/>
          <w:szCs w:val="24"/>
        </w:rPr>
        <w:t>logfc.threshold</w:t>
      </w:r>
      <w:proofErr w:type="spellEnd"/>
      <w:proofErr w:type="gramEnd"/>
      <w:r w:rsidRPr="00C3604F">
        <w:rPr>
          <w:rFonts w:ascii="Times New Roman" w:hAnsi="Times New Roman" w:cs="Times New Roman"/>
          <w:sz w:val="24"/>
          <w:szCs w:val="24"/>
        </w:rPr>
        <w:t xml:space="preserve"> = 0.25.” Enrichment analysis of DEGs was conducted with the use of </w:t>
      </w:r>
      <w:r w:rsidRPr="00C3604F">
        <w:rPr>
          <w:rFonts w:ascii="Times New Roman" w:hAnsi="Times New Roman" w:cs="Times New Roman"/>
          <w:sz w:val="24"/>
          <w:szCs w:val="24"/>
        </w:rPr>
        <w:lastRenderedPageBreak/>
        <w:t xml:space="preserve">the </w:t>
      </w:r>
      <w:proofErr w:type="spellStart"/>
      <w:r w:rsidRPr="00C3604F">
        <w:rPr>
          <w:rFonts w:ascii="Times New Roman" w:hAnsi="Times New Roman" w:cs="Times New Roman"/>
          <w:sz w:val="24"/>
          <w:szCs w:val="24"/>
        </w:rPr>
        <w:t>clusterProfiler</w:t>
      </w:r>
      <w:proofErr w:type="spellEnd"/>
      <w:r w:rsidRPr="00C3604F">
        <w:rPr>
          <w:rFonts w:ascii="Times New Roman" w:hAnsi="Times New Roman" w:cs="Times New Roman"/>
          <w:sz w:val="24"/>
          <w:szCs w:val="24"/>
        </w:rPr>
        <w:t xml:space="preserve"> package. </w:t>
      </w:r>
    </w:p>
    <w:p w14:paraId="517D9C2D" w14:textId="7F411442" w:rsidR="00254CAD" w:rsidRPr="00820713" w:rsidRDefault="00254CAD" w:rsidP="00254CAD">
      <w:pPr>
        <w:spacing w:line="440" w:lineRule="exact"/>
        <w:rPr>
          <w:rFonts w:ascii="Times New Roman" w:hAnsi="Times New Roman" w:cs="Times New Roman"/>
          <w:b/>
          <w:bCs/>
          <w:sz w:val="24"/>
          <w:szCs w:val="24"/>
        </w:rPr>
      </w:pPr>
      <w:r w:rsidRPr="00820713">
        <w:rPr>
          <w:rFonts w:ascii="Times New Roman" w:hAnsi="Times New Roman" w:cs="Times New Roman"/>
          <w:i/>
          <w:iCs/>
          <w:sz w:val="24"/>
          <w:szCs w:val="24"/>
        </w:rPr>
        <w:t>Cell-cell communication analysis</w:t>
      </w:r>
      <w:r w:rsidRPr="00820713">
        <w:rPr>
          <w:rFonts w:ascii="Times New Roman" w:hAnsi="Times New Roman" w:cs="Times New Roman" w:hint="eastAsia"/>
          <w:i/>
          <w:iCs/>
          <w:sz w:val="24"/>
          <w:szCs w:val="24"/>
        </w:rPr>
        <w:t>:</w:t>
      </w:r>
      <w:r w:rsidRPr="00820713">
        <w:rPr>
          <w:rFonts w:ascii="Times New Roman" w:hAnsi="Times New Roman" w:cs="Times New Roman" w:hint="eastAsia"/>
          <w:b/>
          <w:bCs/>
          <w:i/>
          <w:iCs/>
          <w:sz w:val="24"/>
          <w:szCs w:val="24"/>
        </w:rPr>
        <w:t xml:space="preserve"> </w:t>
      </w:r>
      <w:r w:rsidRPr="00C3604F">
        <w:rPr>
          <w:rFonts w:ascii="Times New Roman" w:hAnsi="Times New Roman" w:cs="Times New Roman"/>
          <w:sz w:val="24"/>
          <w:szCs w:val="24"/>
        </w:rPr>
        <w:t xml:space="preserve">The cell–cell communication tool </w:t>
      </w:r>
      <w:proofErr w:type="spellStart"/>
      <w:r w:rsidRPr="00C3604F">
        <w:rPr>
          <w:rFonts w:ascii="Times New Roman" w:hAnsi="Times New Roman" w:cs="Times New Roman"/>
          <w:sz w:val="24"/>
          <w:szCs w:val="24"/>
        </w:rPr>
        <w:t>CellChat</w:t>
      </w:r>
      <w:proofErr w:type="spellEnd"/>
      <w:r w:rsidRPr="00C3604F">
        <w:rPr>
          <w:rFonts w:ascii="Times New Roman" w:hAnsi="Times New Roman" w:cs="Times New Roman"/>
          <w:sz w:val="24"/>
          <w:szCs w:val="24"/>
        </w:rPr>
        <w:t xml:space="preserve"> was used in the present study to identify the major signals for each cell group and outgoing, incoming, and global communication patterns, as previously described</w:t>
      </w:r>
      <w:r>
        <w:rPr>
          <w:rFonts w:ascii="Times New Roman" w:hAnsi="Times New Roman" w:cs="Times New Roman" w:hint="eastAsia"/>
          <w:sz w:val="24"/>
          <w:szCs w:val="24"/>
        </w:rPr>
        <w:t>.</w:t>
      </w:r>
      <w:r w:rsidRPr="00C3604F">
        <w:rPr>
          <w:rFonts w:ascii="Times New Roman" w:hAnsi="Times New Roman" w:cs="Times New Roman"/>
          <w:sz w:val="24"/>
          <w:szCs w:val="24"/>
        </w:rPr>
        <w:t xml:space="preserve"> </w:t>
      </w:r>
      <w:r w:rsidRPr="00C3604F">
        <w:rPr>
          <w:rFonts w:ascii="Times New Roman" w:hAnsi="Times New Roman" w:cs="Times New Roman"/>
          <w:sz w:val="24"/>
          <w:szCs w:val="24"/>
        </w:rPr>
        <w:fldChar w:fldCharType="begin"/>
      </w:r>
      <w:r w:rsidR="00C62C95">
        <w:rPr>
          <w:rFonts w:ascii="Times New Roman" w:hAnsi="Times New Roman" w:cs="Times New Roman"/>
          <w:sz w:val="24"/>
          <w:szCs w:val="24"/>
        </w:rPr>
        <w:instrText xml:space="preserve"> ADDIN EN.CITE &lt;EndNote&gt;&lt;Cite&gt;&lt;Author&gt;Li&lt;/Author&gt;&lt;Year&gt;2023&lt;/Year&gt;&lt;RecNum&gt;4&lt;/RecNum&gt;&lt;DisplayText&gt;(1)&lt;/DisplayText&gt;&lt;record&gt;&lt;rec-number&gt;4&lt;/rec-number&gt;&lt;foreign-keys&gt;&lt;key app="EN" db-id="vzvz22fz0ffs04efdeoxwfd4t9090t90errp" timestamp="1719997811"&gt;4&lt;/key&gt;&lt;/foreign-keys&gt;&lt;ref-type name="Journal Article"&gt;17&lt;/ref-type&gt;&lt;contributors&gt;&lt;authors&gt;&lt;author&gt;Li, Wei&lt;/author&gt;&lt;author&gt;Zhang, Binglei&lt;/author&gt;&lt;author&gt;Cao, Weijie&lt;/author&gt;&lt;author&gt;Zhang, Wenli&lt;/author&gt;&lt;author&gt;Li, Tiandong&lt;/author&gt;&lt;author&gt;Liu, Lina&lt;/author&gt;&lt;author&gt;Xu, LinPing&lt;/author&gt;&lt;author&gt;Gao, Fengcai&lt;/author&gt;&lt;author&gt;Wang, Yanmei&lt;/author&gt;&lt;author&gt;Wang, Fang&lt;/author&gt;&lt;author&gt;Xing, Haizhou&lt;/author&gt;&lt;author&gt;Jiang, Zhongxing&lt;/author&gt;&lt;author&gt;Shi, Jianxiang&lt;/author&gt;&lt;author&gt;Bian, Zhilei&lt;/author&gt;&lt;author&gt;Song, Yongping&lt;/author&gt;&lt;/authors&gt;&lt;/contributors&gt;&lt;titles&gt;&lt;title&gt;Identification of potential resistance mechanisms and therapeutic targets for the relapse of BCMA CAR-T therapy in relapsed/refractory multiple myeloma through single-cell sequencing&lt;/title&gt;&lt;secondary-title&gt;Experimental Hematology &amp;amp; Oncology&lt;/secondary-title&gt;&lt;/titles&gt;&lt;periodical&gt;&lt;full-title&gt;Experimental Hematology &amp;amp; Oncology&lt;/full-title&gt;&lt;/periodical&gt;&lt;pages&gt;44&lt;/pages&gt;&lt;volume&gt;12&lt;/volume&gt;&lt;number&gt;1&lt;/number&gt;&lt;section&gt;44&lt;/section&gt;&lt;dates&gt;&lt;year&gt;2023&lt;/year&gt;&lt;/dates&gt;&lt;isbn&gt;2162-3619&lt;/isbn&gt;&lt;urls&gt;&lt;/urls&gt;&lt;electronic-resource-num&gt;10.1186/s40164-023-00402-5&lt;/electronic-resource-num&gt;&lt;/record&gt;&lt;/Cite&gt;&lt;/EndNote&gt;</w:instrText>
      </w:r>
      <w:r w:rsidRPr="00C3604F">
        <w:rPr>
          <w:rFonts w:ascii="Times New Roman" w:hAnsi="Times New Roman" w:cs="Times New Roman"/>
          <w:sz w:val="24"/>
          <w:szCs w:val="24"/>
        </w:rPr>
        <w:fldChar w:fldCharType="separate"/>
      </w:r>
      <w:r w:rsidR="00C62C95">
        <w:rPr>
          <w:rFonts w:ascii="Times New Roman" w:hAnsi="Times New Roman" w:cs="Times New Roman"/>
          <w:noProof/>
          <w:sz w:val="24"/>
          <w:szCs w:val="24"/>
        </w:rPr>
        <w:t>(1)</w:t>
      </w:r>
      <w:r w:rsidRPr="00C3604F">
        <w:rPr>
          <w:rFonts w:ascii="Times New Roman" w:hAnsi="Times New Roman" w:cs="Times New Roman"/>
          <w:sz w:val="24"/>
          <w:szCs w:val="24"/>
        </w:rPr>
        <w:fldChar w:fldCharType="end"/>
      </w:r>
      <w:r w:rsidRPr="00C3604F">
        <w:rPr>
          <w:rFonts w:ascii="Times New Roman" w:hAnsi="Times New Roman" w:cs="Times New Roman"/>
          <w:sz w:val="24"/>
          <w:szCs w:val="24"/>
        </w:rPr>
        <w:t xml:space="preserve"> The key signals and latent communication patterns among all signaling pathways were identified for each cell group from primary CMML and secondary CMML, as well as the mechanism of secondary CMML treatment. The major signaling sources, targets, essential mediators, and key influencers, as well as other high-order information in intercellular communications, were also analyzed in primary CMML and secondary CMML, in addition to the mechanism of secondary CMML treatment.</w:t>
      </w:r>
    </w:p>
    <w:p w14:paraId="5ADD4D54" w14:textId="77777777" w:rsidR="00254CAD" w:rsidRPr="00820713" w:rsidRDefault="00254CAD" w:rsidP="00254CAD">
      <w:pPr>
        <w:spacing w:line="440" w:lineRule="exact"/>
        <w:rPr>
          <w:rFonts w:ascii="Times New Roman" w:hAnsi="Times New Roman" w:cs="Times New Roman"/>
          <w:b/>
          <w:bCs/>
          <w:sz w:val="24"/>
          <w:szCs w:val="24"/>
        </w:rPr>
      </w:pPr>
      <w:r w:rsidRPr="00820713">
        <w:rPr>
          <w:rFonts w:ascii="Times New Roman" w:hAnsi="Times New Roman" w:cs="Times New Roman"/>
          <w:i/>
          <w:iCs/>
          <w:sz w:val="24"/>
          <w:szCs w:val="24"/>
        </w:rPr>
        <w:t>Statistical analysis</w:t>
      </w:r>
      <w:r w:rsidRPr="00820713">
        <w:rPr>
          <w:rFonts w:ascii="Times New Roman" w:hAnsi="Times New Roman" w:cs="Times New Roman" w:hint="eastAsia"/>
          <w:i/>
          <w:iCs/>
          <w:sz w:val="24"/>
          <w:szCs w:val="24"/>
        </w:rPr>
        <w:t>:</w:t>
      </w:r>
      <w:r>
        <w:rPr>
          <w:rFonts w:ascii="Times New Roman" w:hAnsi="Times New Roman" w:cs="Times New Roman" w:hint="eastAsia"/>
          <w:b/>
          <w:bCs/>
          <w:sz w:val="24"/>
          <w:szCs w:val="24"/>
        </w:rPr>
        <w:t xml:space="preserve"> </w:t>
      </w:r>
      <w:r w:rsidRPr="00C3604F">
        <w:rPr>
          <w:rFonts w:ascii="Times New Roman" w:hAnsi="Times New Roman" w:cs="Times New Roman"/>
          <w:sz w:val="24"/>
          <w:szCs w:val="24"/>
        </w:rPr>
        <w:t xml:space="preserve">R version 4.1.0. was used for all statistical analyses. A </w:t>
      </w:r>
      <w:r w:rsidRPr="00C3604F">
        <w:rPr>
          <w:rFonts w:ascii="Times New Roman" w:hAnsi="Times New Roman" w:cs="Times New Roman"/>
          <w:i/>
          <w:iCs/>
          <w:sz w:val="24"/>
          <w:szCs w:val="24"/>
        </w:rPr>
        <w:t>P</w:t>
      </w:r>
      <w:r w:rsidRPr="00C3604F">
        <w:rPr>
          <w:rFonts w:ascii="Times New Roman" w:hAnsi="Times New Roman" w:cs="Times New Roman"/>
          <w:sz w:val="24"/>
          <w:szCs w:val="24"/>
        </w:rPr>
        <w:t>-value</w:t>
      </w:r>
      <w:r w:rsidRPr="00C3604F">
        <w:rPr>
          <w:rFonts w:ascii="Times New Roman" w:hAnsi="Times New Roman" w:cs="Times New Roman"/>
          <w:sz w:val="24"/>
          <w:szCs w:val="24"/>
        </w:rPr>
        <w:t>＜</w:t>
      </w:r>
      <w:r w:rsidRPr="00C3604F">
        <w:rPr>
          <w:rFonts w:ascii="Times New Roman" w:hAnsi="Times New Roman" w:cs="Times New Roman"/>
          <w:sz w:val="24"/>
          <w:szCs w:val="24"/>
        </w:rPr>
        <w:t>0.05 was considered to be statistically different.</w:t>
      </w:r>
    </w:p>
    <w:p w14:paraId="75E58862" w14:textId="77777777" w:rsidR="00254CAD" w:rsidRPr="00254CAD" w:rsidRDefault="00254CAD">
      <w:pPr>
        <w:rPr>
          <w:rFonts w:hint="eastAsia"/>
        </w:rPr>
      </w:pPr>
    </w:p>
    <w:p w14:paraId="490F508E" w14:textId="77777777" w:rsidR="00254CAD" w:rsidRDefault="00254CAD">
      <w:pPr>
        <w:rPr>
          <w:rFonts w:hint="eastAsia"/>
        </w:rPr>
      </w:pPr>
    </w:p>
    <w:p w14:paraId="60628C95" w14:textId="2392FA14" w:rsidR="00254CAD" w:rsidRPr="00C62C95" w:rsidRDefault="00C62C95" w:rsidP="00C62C95">
      <w:pPr>
        <w:spacing w:line="440" w:lineRule="exact"/>
        <w:rPr>
          <w:rFonts w:ascii="Times New Roman" w:hAnsi="Times New Roman" w:cs="Times New Roman" w:hint="eastAsia"/>
          <w:b/>
          <w:bCs/>
          <w:sz w:val="24"/>
          <w:szCs w:val="24"/>
        </w:rPr>
      </w:pPr>
      <w:r w:rsidRPr="00C3604F">
        <w:rPr>
          <w:rFonts w:ascii="Times New Roman" w:hAnsi="Times New Roman" w:cs="Times New Roman"/>
          <w:b/>
          <w:bCs/>
          <w:kern w:val="0"/>
          <w:sz w:val="24"/>
          <w:szCs w:val="24"/>
        </w:rPr>
        <w:t>References</w:t>
      </w:r>
    </w:p>
    <w:p w14:paraId="7203F047" w14:textId="77777777" w:rsidR="00C62C95" w:rsidRPr="00C62C95" w:rsidRDefault="00254CAD" w:rsidP="00C62C95">
      <w:pPr>
        <w:pStyle w:val="EndNoteBibliography"/>
        <w:rPr>
          <w:rFonts w:hint="eastAsia"/>
        </w:rPr>
      </w:pPr>
      <w:r>
        <w:rPr>
          <w:rFonts w:hint="eastAsia"/>
        </w:rPr>
        <w:fldChar w:fldCharType="begin"/>
      </w:r>
      <w:r>
        <w:rPr>
          <w:rFonts w:hint="eastAsia"/>
        </w:rPr>
        <w:instrText xml:space="preserve"> ADDIN EN.REFLIST </w:instrText>
      </w:r>
      <w:r>
        <w:rPr>
          <w:rFonts w:hint="eastAsia"/>
        </w:rPr>
        <w:fldChar w:fldCharType="separate"/>
      </w:r>
      <w:r w:rsidR="00C62C95" w:rsidRPr="00C62C95">
        <w:rPr>
          <w:rFonts w:hint="eastAsia"/>
        </w:rPr>
        <w:t>1.</w:t>
      </w:r>
      <w:r w:rsidR="00C62C95" w:rsidRPr="00C62C95">
        <w:rPr>
          <w:rFonts w:hint="eastAsia"/>
        </w:rPr>
        <w:tab/>
        <w:t>Li W, Zhang B, Cao W, Zhang W, Li T, Liu L, Xu L, et al. Identification of potential resistance mechanisms and therapeutic targets for the relapse of BCMA CAR-T therapy in relapsed/refractory multiple myeloma through single-cell sequencing. Experimental Hematology &amp; Oncology 2023;12:44.</w:t>
      </w:r>
    </w:p>
    <w:p w14:paraId="70150878" w14:textId="77777777" w:rsidR="00C62C95" w:rsidRPr="00C62C95" w:rsidRDefault="00C62C95" w:rsidP="00C62C95">
      <w:pPr>
        <w:pStyle w:val="EndNoteBibliography"/>
        <w:rPr>
          <w:rFonts w:hint="eastAsia"/>
        </w:rPr>
      </w:pPr>
      <w:r w:rsidRPr="00C62C95">
        <w:rPr>
          <w:rFonts w:hint="eastAsia"/>
        </w:rPr>
        <w:t>2.</w:t>
      </w:r>
      <w:r w:rsidRPr="00C62C95">
        <w:rPr>
          <w:rFonts w:hint="eastAsia"/>
        </w:rPr>
        <w:tab/>
        <w:t>Cao W, Fan W, Wang F, Zhang Y, Wu G, Shi X, Shi Jx, et al. GM-CSF impairs erythropoiesis by disrupting erythroblastic island formation via macrophages. Journal of Translational Medicine 2022;20:11.</w:t>
      </w:r>
    </w:p>
    <w:p w14:paraId="384B1593" w14:textId="77777777" w:rsidR="00C62C95" w:rsidRPr="00C62C95" w:rsidRDefault="00C62C95" w:rsidP="00C62C95">
      <w:pPr>
        <w:pStyle w:val="EndNoteBibliography"/>
        <w:rPr>
          <w:rFonts w:hint="eastAsia"/>
        </w:rPr>
      </w:pPr>
      <w:r w:rsidRPr="00C62C95">
        <w:rPr>
          <w:rFonts w:hint="eastAsia"/>
        </w:rPr>
        <w:t>3.</w:t>
      </w:r>
      <w:r w:rsidRPr="00C62C95">
        <w:rPr>
          <w:rFonts w:hint="eastAsia"/>
        </w:rPr>
        <w:tab/>
        <w:t>Wang Y, Li W, Schulz VP, Zhao H, Qu X, Qi Q, Cheng Y, et al. Impairment of human terminal erythroid differentiation by histone deacetylase 5 deficiency. Blood 2021;138:1615-1627.</w:t>
      </w:r>
    </w:p>
    <w:p w14:paraId="48764799" w14:textId="77777777" w:rsidR="00C62C95" w:rsidRPr="00C62C95" w:rsidRDefault="00C62C95" w:rsidP="00C62C95">
      <w:pPr>
        <w:pStyle w:val="EndNoteBibliography"/>
        <w:rPr>
          <w:rFonts w:hint="eastAsia"/>
        </w:rPr>
      </w:pPr>
      <w:r w:rsidRPr="00C62C95">
        <w:rPr>
          <w:rFonts w:hint="eastAsia"/>
        </w:rPr>
        <w:t>4.</w:t>
      </w:r>
      <w:r w:rsidRPr="00C62C95">
        <w:rPr>
          <w:rFonts w:hint="eastAsia"/>
        </w:rPr>
        <w:tab/>
        <w:t>Li W, Wang Y, Zhao H, Zhang H, Xu Y, Wang S, Guo X, et al. Identification and transcriptome analysis of erythroblastic island macrophages. Blood 2019;134:480-491.</w:t>
      </w:r>
    </w:p>
    <w:p w14:paraId="4A3763CC" w14:textId="7031FAFA" w:rsidR="00254CAD" w:rsidRDefault="00254CAD">
      <w:pPr>
        <w:rPr>
          <w:rFonts w:hint="eastAsia"/>
        </w:rPr>
      </w:pPr>
      <w:r>
        <w:rPr>
          <w:rFonts w:hint="eastAsia"/>
        </w:rPr>
        <w:fldChar w:fldCharType="end"/>
      </w:r>
    </w:p>
    <w:sectPr w:rsidR="00254C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93A280" w14:textId="77777777" w:rsidR="008568BC" w:rsidRDefault="008568BC" w:rsidP="00C62C95">
      <w:pPr>
        <w:rPr>
          <w:rFonts w:hint="eastAsia"/>
        </w:rPr>
      </w:pPr>
      <w:r>
        <w:separator/>
      </w:r>
    </w:p>
  </w:endnote>
  <w:endnote w:type="continuationSeparator" w:id="0">
    <w:p w14:paraId="4628ED00" w14:textId="77777777" w:rsidR="008568BC" w:rsidRDefault="008568BC" w:rsidP="00C62C9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9961AE" w14:textId="77777777" w:rsidR="008568BC" w:rsidRDefault="008568BC" w:rsidP="00C62C95">
      <w:pPr>
        <w:rPr>
          <w:rFonts w:hint="eastAsia"/>
        </w:rPr>
      </w:pPr>
      <w:r>
        <w:separator/>
      </w:r>
    </w:p>
  </w:footnote>
  <w:footnote w:type="continuationSeparator" w:id="0">
    <w:p w14:paraId="6E1D3E60" w14:textId="77777777" w:rsidR="008568BC" w:rsidRDefault="008568BC" w:rsidP="00C62C9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Hepat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54CAD"/>
    <w:rsid w:val="00254CAD"/>
    <w:rsid w:val="0030694D"/>
    <w:rsid w:val="008568BC"/>
    <w:rsid w:val="00977878"/>
    <w:rsid w:val="00C62C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F54071"/>
  <w15:chartTrackingRefBased/>
  <w15:docId w15:val="{1BE9B7C4-1057-4F63-ADE5-9091C045E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254CAD"/>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254CAD"/>
    <w:rPr>
      <w:rFonts w:ascii="等线" w:eastAsia="等线" w:hAnsi="等线"/>
      <w:noProof/>
      <w:sz w:val="20"/>
    </w:rPr>
  </w:style>
  <w:style w:type="paragraph" w:customStyle="1" w:styleId="EndNoteBibliography">
    <w:name w:val="EndNote Bibliography"/>
    <w:basedOn w:val="a"/>
    <w:link w:val="EndNoteBibliography0"/>
    <w:rsid w:val="00254CAD"/>
    <w:rPr>
      <w:rFonts w:ascii="等线" w:eastAsia="等线" w:hAnsi="等线"/>
      <w:noProof/>
      <w:sz w:val="20"/>
    </w:rPr>
  </w:style>
  <w:style w:type="character" w:customStyle="1" w:styleId="EndNoteBibliography0">
    <w:name w:val="EndNote Bibliography 字符"/>
    <w:basedOn w:val="a0"/>
    <w:link w:val="EndNoteBibliography"/>
    <w:rsid w:val="00254CAD"/>
    <w:rPr>
      <w:rFonts w:ascii="等线" w:eastAsia="等线" w:hAnsi="等线"/>
      <w:noProof/>
      <w:sz w:val="20"/>
    </w:rPr>
  </w:style>
  <w:style w:type="paragraph" w:styleId="a3">
    <w:name w:val="header"/>
    <w:basedOn w:val="a"/>
    <w:link w:val="a4"/>
    <w:uiPriority w:val="99"/>
    <w:unhideWhenUsed/>
    <w:rsid w:val="00C62C95"/>
    <w:pPr>
      <w:tabs>
        <w:tab w:val="center" w:pos="4153"/>
        <w:tab w:val="right" w:pos="8306"/>
      </w:tabs>
      <w:snapToGrid w:val="0"/>
      <w:jc w:val="center"/>
    </w:pPr>
    <w:rPr>
      <w:sz w:val="18"/>
      <w:szCs w:val="18"/>
    </w:rPr>
  </w:style>
  <w:style w:type="character" w:customStyle="1" w:styleId="a4">
    <w:name w:val="页眉 字符"/>
    <w:basedOn w:val="a0"/>
    <w:link w:val="a3"/>
    <w:uiPriority w:val="99"/>
    <w:rsid w:val="00C62C95"/>
    <w:rPr>
      <w:sz w:val="18"/>
      <w:szCs w:val="18"/>
    </w:rPr>
  </w:style>
  <w:style w:type="paragraph" w:styleId="a5">
    <w:name w:val="footer"/>
    <w:basedOn w:val="a"/>
    <w:link w:val="a6"/>
    <w:uiPriority w:val="99"/>
    <w:unhideWhenUsed/>
    <w:rsid w:val="00C62C95"/>
    <w:pPr>
      <w:tabs>
        <w:tab w:val="center" w:pos="4153"/>
        <w:tab w:val="right" w:pos="8306"/>
      </w:tabs>
      <w:snapToGrid w:val="0"/>
      <w:jc w:val="left"/>
    </w:pPr>
    <w:rPr>
      <w:sz w:val="18"/>
      <w:szCs w:val="18"/>
    </w:rPr>
  </w:style>
  <w:style w:type="character" w:customStyle="1" w:styleId="a6">
    <w:name w:val="页脚 字符"/>
    <w:basedOn w:val="a0"/>
    <w:link w:val="a5"/>
    <w:uiPriority w:val="99"/>
    <w:rsid w:val="00C62C9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1430</Words>
  <Characters>8151</Characters>
  <Application>Microsoft Office Word</Application>
  <DocSecurity>0</DocSecurity>
  <Lines>67</Lines>
  <Paragraphs>19</Paragraphs>
  <ScaleCrop>false</ScaleCrop>
  <Company/>
  <LinksUpToDate>false</LinksUpToDate>
  <CharactersWithSpaces>9562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旭东 李</dc:creator>
  <cp:keywords/>
  <dc:description/>
  <cp:lastModifiedBy>旭东 李</cp:lastModifiedBy>
  <cp:revision>2</cp:revision>
  <dcterms:created xsi:type="dcterms:W3CDTF">2024-09-25T01:32:00Z</dcterms:created>
  <dcterms:modified xsi:type="dcterms:W3CDTF">2024-09-27T08:49:00Z</dcterms:modified>
</cp:coreProperties>
</file>