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10000" w:rsidRPr="00F10000" w:rsidRDefault="00F10000" w:rsidP="00F10000">
      <w:pPr>
        <w:spacing w:line="276" w:lineRule="auto"/>
        <w:jc w:val="both"/>
        <w:rPr>
          <w:b/>
          <w:color w:val="A6A6A6" w:themeColor="background1" w:themeShade="A6"/>
          <w:sz w:val="30"/>
          <w:szCs w:val="30"/>
        </w:rPr>
      </w:pPr>
      <w:r w:rsidRPr="00F10000">
        <w:rPr>
          <w:b/>
          <w:color w:val="A6A6A6" w:themeColor="background1" w:themeShade="A6"/>
          <w:sz w:val="30"/>
          <w:szCs w:val="30"/>
        </w:rPr>
        <w:t>Supplementary Methods: The interplay between genomic copy number variants, sleep, and cognition in the general population.</w:t>
      </w:r>
    </w:p>
    <w:p w:rsidR="00F10000" w:rsidRDefault="00F10000">
      <w:pPr>
        <w:spacing w:after="200" w:line="276" w:lineRule="auto"/>
        <w:rPr>
          <w:b/>
          <w:color w:val="666666"/>
          <w:sz w:val="30"/>
          <w:szCs w:val="30"/>
        </w:rPr>
      </w:pPr>
    </w:p>
    <w:p w:rsidR="00495D87" w:rsidRDefault="00495D87">
      <w:pPr>
        <w:jc w:val="center"/>
        <w:rPr>
          <w:rFonts w:ascii="Times" w:eastAsia="Times" w:hAnsi="Times" w:cs="Times"/>
          <w:b/>
          <w:highlight w:val="white"/>
        </w:rPr>
      </w:pPr>
    </w:p>
    <w:p w:rsidR="00495D87" w:rsidRDefault="00495D87">
      <w:pPr>
        <w:rPr>
          <w:rFonts w:ascii="Times" w:eastAsia="Times" w:hAnsi="Times" w:cs="Times"/>
          <w:sz w:val="22"/>
          <w:szCs w:val="22"/>
          <w:highlight w:val="white"/>
        </w:rPr>
      </w:pPr>
    </w:p>
    <w:p w:rsidR="00495D87" w:rsidRDefault="00495D87">
      <w:pPr>
        <w:rPr>
          <w:rFonts w:ascii="Times" w:eastAsia="Times" w:hAnsi="Times" w:cs="Times"/>
          <w:b/>
          <w:sz w:val="22"/>
          <w:szCs w:val="22"/>
          <w:highlight w:val="white"/>
        </w:rPr>
      </w:pPr>
    </w:p>
    <w:p w:rsidR="00495D87" w:rsidRDefault="00000000">
      <w:pPr>
        <w:pStyle w:val="Titre1"/>
        <w:spacing w:before="0" w:after="0" w:line="276" w:lineRule="auto"/>
        <w:rPr>
          <w:rFonts w:ascii="Arial" w:eastAsia="Arial" w:hAnsi="Arial" w:cs="Arial"/>
          <w:sz w:val="24"/>
          <w:szCs w:val="24"/>
        </w:rPr>
      </w:pPr>
      <w:bookmarkStart w:id="0" w:name="_rv1f1dz091y9" w:colFirst="0" w:colLast="0"/>
      <w:bookmarkEnd w:id="0"/>
      <w:r>
        <w:rPr>
          <w:rFonts w:ascii="Arial" w:eastAsia="Arial" w:hAnsi="Arial" w:cs="Arial"/>
          <w:sz w:val="30"/>
          <w:szCs w:val="30"/>
        </w:rPr>
        <w:t xml:space="preserve">Cognition measures </w:t>
      </w:r>
    </w:p>
    <w:p w:rsidR="00495D87" w:rsidRDefault="00495D87">
      <w:pPr>
        <w:rPr>
          <w:rFonts w:ascii="Times" w:eastAsia="Times" w:hAnsi="Times" w:cs="Times"/>
          <w:b/>
          <w:sz w:val="22"/>
          <w:szCs w:val="22"/>
          <w:highlight w:val="white"/>
        </w:rPr>
      </w:pPr>
    </w:p>
    <w:p w:rsidR="00495D87" w:rsidRDefault="00000000">
      <w:pPr>
        <w:shd w:val="clear" w:color="auto" w:fill="FFFFFF"/>
        <w:spacing w:line="360" w:lineRule="auto"/>
        <w:jc w:val="both"/>
        <w:rPr>
          <w:u w:val="single"/>
        </w:rPr>
      </w:pPr>
      <w:r>
        <w:rPr>
          <w:b/>
          <w:u w:val="single"/>
        </w:rPr>
        <w:t>General cognitive ability</w:t>
      </w:r>
      <w:r>
        <w:rPr>
          <w:u w:val="single"/>
        </w:rPr>
        <w:t xml:space="preserve"> </w:t>
      </w:r>
    </w:p>
    <w:p w:rsidR="00495D87" w:rsidRDefault="00495D87">
      <w:pPr>
        <w:shd w:val="clear" w:color="auto" w:fill="FFFFFF"/>
        <w:spacing w:line="360" w:lineRule="auto"/>
        <w:jc w:val="both"/>
        <w:rPr>
          <w:u w:val="single"/>
        </w:rPr>
      </w:pPr>
    </w:p>
    <w:p w:rsidR="00495D87" w:rsidRDefault="00000000">
      <w:pPr>
        <w:ind w:left="-1134"/>
        <w:rPr>
          <w:rFonts w:ascii="Times" w:eastAsia="Times" w:hAnsi="Times" w:cs="Times"/>
          <w:sz w:val="22"/>
          <w:szCs w:val="22"/>
          <w:highlight w:val="white"/>
        </w:rPr>
      </w:pPr>
      <w:r>
        <w:rPr>
          <w:rFonts w:ascii="Times" w:eastAsia="Times" w:hAnsi="Times" w:cs="Times"/>
          <w:noProof/>
          <w:sz w:val="22"/>
          <w:szCs w:val="22"/>
          <w:highlight w:val="white"/>
        </w:rPr>
        <w:drawing>
          <wp:inline distT="0" distB="0" distL="0" distR="0">
            <wp:extent cx="7390396" cy="2022158"/>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7390396" cy="2022158"/>
                    </a:xfrm>
                    <a:prstGeom prst="rect">
                      <a:avLst/>
                    </a:prstGeom>
                    <a:ln/>
                  </pic:spPr>
                </pic:pic>
              </a:graphicData>
            </a:graphic>
          </wp:inline>
        </w:drawing>
      </w:r>
    </w:p>
    <w:p w:rsidR="00495D87" w:rsidRDefault="00000000">
      <w:pPr>
        <w:spacing w:line="276" w:lineRule="auto"/>
        <w:rPr>
          <w:rFonts w:ascii="Times" w:eastAsia="Times" w:hAnsi="Times" w:cs="Times"/>
          <w:highlight w:val="white"/>
        </w:rPr>
      </w:pPr>
      <w:r>
        <w:rPr>
          <w:rFonts w:ascii="Times" w:eastAsia="Times" w:hAnsi="Times" w:cs="Times"/>
          <w:highlight w:val="white"/>
        </w:rPr>
        <w:t xml:space="preserve">As depicted above, general cognitive ability was computed based on tasks from all assessment points. We first computed a </w:t>
      </w:r>
      <w:proofErr w:type="spellStart"/>
      <w:r>
        <w:rPr>
          <w:rFonts w:ascii="Times" w:eastAsia="Times" w:hAnsi="Times" w:cs="Times"/>
          <w:highlight w:val="white"/>
        </w:rPr>
        <w:t>gfactor</w:t>
      </w:r>
      <w:proofErr w:type="spellEnd"/>
      <w:r>
        <w:rPr>
          <w:rFonts w:ascii="Times" w:eastAsia="Times" w:hAnsi="Times" w:cs="Times"/>
          <w:highlight w:val="white"/>
        </w:rPr>
        <w:t xml:space="preserve"> using a PCA (‘</w:t>
      </w:r>
      <w:proofErr w:type="spellStart"/>
      <w:r>
        <w:rPr>
          <w:rFonts w:ascii="Times" w:eastAsia="Times" w:hAnsi="Times" w:cs="Times"/>
          <w:highlight w:val="white"/>
        </w:rPr>
        <w:t>factoextra</w:t>
      </w:r>
      <w:proofErr w:type="spellEnd"/>
      <w:r>
        <w:rPr>
          <w:rFonts w:ascii="Times" w:eastAsia="Times" w:hAnsi="Times" w:cs="Times"/>
          <w:highlight w:val="white"/>
        </w:rPr>
        <w:t>’ r package) outlined in Lyall et al., 2016</w:t>
      </w:r>
      <w:r>
        <w:rPr>
          <w:rFonts w:ascii="Times" w:eastAsia="Times" w:hAnsi="Times" w:cs="Times"/>
          <w:vertAlign w:val="superscript"/>
        </w:rPr>
        <w:t>1</w:t>
      </w:r>
      <w:r>
        <w:rPr>
          <w:rFonts w:ascii="Times" w:eastAsia="Times" w:hAnsi="Times" w:cs="Times"/>
          <w:highlight w:val="white"/>
        </w:rPr>
        <w:t xml:space="preserve">. The first available time-point for each task score was used. If scores were not available from clinic assessment visits (initial or follow-up), we computed a g factor score based on completed tasks from participant’s online assessment. If participants did not have enough completed tasks to compute either g factor, scores from their first completed fluid intelligence (FI) task (initial assessment in clinic or online) were used. The above information was pooled to represent general cognitive ability in the </w:t>
      </w:r>
      <w:proofErr w:type="spellStart"/>
      <w:r>
        <w:rPr>
          <w:rFonts w:ascii="Times" w:eastAsia="Times" w:hAnsi="Times" w:cs="Times"/>
          <w:highlight w:val="white"/>
        </w:rPr>
        <w:t>UkBiobank</w:t>
      </w:r>
      <w:proofErr w:type="spellEnd"/>
      <w:r>
        <w:rPr>
          <w:rFonts w:ascii="Times" w:eastAsia="Times" w:hAnsi="Times" w:cs="Times"/>
          <w:highlight w:val="white"/>
        </w:rPr>
        <w:t xml:space="preserve">. For analyses restricted to the initial assessment visit we used the Lyall et al., 2016 </w:t>
      </w:r>
      <w:proofErr w:type="spellStart"/>
      <w:r>
        <w:rPr>
          <w:rFonts w:ascii="Times" w:eastAsia="Times" w:hAnsi="Times" w:cs="Times"/>
          <w:highlight w:val="white"/>
        </w:rPr>
        <w:t>gfactor</w:t>
      </w:r>
      <w:proofErr w:type="spellEnd"/>
      <w:r>
        <w:rPr>
          <w:rFonts w:ascii="Times" w:eastAsia="Times" w:hAnsi="Times" w:cs="Times"/>
          <w:highlight w:val="white"/>
        </w:rPr>
        <w:t xml:space="preserve"> score composed of five tasks completed at the initial assessment. </w:t>
      </w:r>
    </w:p>
    <w:p w:rsidR="00495D87" w:rsidRDefault="00495D87">
      <w:pPr>
        <w:spacing w:line="276" w:lineRule="auto"/>
        <w:rPr>
          <w:rFonts w:ascii="Times" w:eastAsia="Times" w:hAnsi="Times" w:cs="Times"/>
          <w:highlight w:val="white"/>
        </w:rPr>
      </w:pPr>
    </w:p>
    <w:p w:rsidR="00495D87" w:rsidRDefault="00495D87">
      <w:pPr>
        <w:rPr>
          <w:rFonts w:ascii="Times" w:eastAsia="Times" w:hAnsi="Times" w:cs="Times"/>
          <w:highlight w:val="white"/>
        </w:rPr>
      </w:pPr>
    </w:p>
    <w:p w:rsidR="00495D87" w:rsidRDefault="00495D87">
      <w:pPr>
        <w:rPr>
          <w:rFonts w:ascii="Times" w:eastAsia="Times" w:hAnsi="Times" w:cs="Times"/>
          <w:highlight w:val="white"/>
        </w:rPr>
      </w:pPr>
    </w:p>
    <w:p w:rsidR="00495D87" w:rsidRDefault="00495D87">
      <w:pPr>
        <w:rPr>
          <w:rFonts w:ascii="Times" w:eastAsia="Times" w:hAnsi="Times" w:cs="Times"/>
          <w:highlight w:val="white"/>
        </w:rPr>
      </w:pPr>
    </w:p>
    <w:p w:rsidR="00495D87" w:rsidRDefault="00495D87">
      <w:pPr>
        <w:rPr>
          <w:rFonts w:ascii="Times" w:eastAsia="Times" w:hAnsi="Times" w:cs="Times"/>
          <w:highlight w:val="white"/>
        </w:rPr>
      </w:pPr>
    </w:p>
    <w:p w:rsidR="00495D87" w:rsidRDefault="00495D87">
      <w:pPr>
        <w:rPr>
          <w:rFonts w:ascii="Times" w:eastAsia="Times" w:hAnsi="Times" w:cs="Times"/>
          <w:highlight w:val="white"/>
        </w:rPr>
      </w:pPr>
    </w:p>
    <w:p w:rsidR="00495D87" w:rsidRDefault="00495D87">
      <w:pPr>
        <w:rPr>
          <w:rFonts w:ascii="Times" w:eastAsia="Times" w:hAnsi="Times" w:cs="Times"/>
          <w:highlight w:val="white"/>
        </w:rPr>
      </w:pPr>
    </w:p>
    <w:p w:rsidR="00495D87" w:rsidRDefault="00495D87">
      <w:pPr>
        <w:rPr>
          <w:rFonts w:ascii="Times" w:eastAsia="Times" w:hAnsi="Times" w:cs="Times"/>
          <w:highlight w:val="white"/>
        </w:rPr>
      </w:pPr>
    </w:p>
    <w:p w:rsidR="00495D87" w:rsidRDefault="00495D87">
      <w:pPr>
        <w:rPr>
          <w:rFonts w:ascii="Times" w:eastAsia="Times" w:hAnsi="Times" w:cs="Times"/>
          <w:highlight w:val="white"/>
        </w:rPr>
      </w:pPr>
    </w:p>
    <w:p w:rsidR="00495D87" w:rsidRDefault="00495D87">
      <w:pPr>
        <w:rPr>
          <w:rFonts w:ascii="Times" w:eastAsia="Times" w:hAnsi="Times" w:cs="Times"/>
          <w:highlight w:val="white"/>
        </w:rPr>
      </w:pPr>
    </w:p>
    <w:p w:rsidR="00495D87" w:rsidRDefault="00495D87">
      <w:pPr>
        <w:rPr>
          <w:rFonts w:ascii="Times" w:eastAsia="Times" w:hAnsi="Times" w:cs="Times"/>
          <w:highlight w:val="white"/>
        </w:rPr>
      </w:pPr>
    </w:p>
    <w:p w:rsidR="00495D87" w:rsidRDefault="00000000">
      <w:pPr>
        <w:rPr>
          <w:rFonts w:ascii="Times" w:eastAsia="Times" w:hAnsi="Times" w:cs="Times"/>
          <w:highlight w:val="white"/>
        </w:rPr>
      </w:pPr>
      <w:r>
        <w:rPr>
          <w:rFonts w:ascii="Times" w:eastAsia="Times" w:hAnsi="Times" w:cs="Times"/>
          <w:highlight w:val="white"/>
        </w:rPr>
        <w:t xml:space="preserve">For a breakdown of individuals per cognitive assessment, see figure below: </w:t>
      </w:r>
    </w:p>
    <w:p w:rsidR="00495D87" w:rsidRDefault="00495D87">
      <w:pPr>
        <w:rPr>
          <w:rFonts w:ascii="Times" w:eastAsia="Times" w:hAnsi="Times" w:cs="Times"/>
          <w:highlight w:val="white"/>
        </w:rPr>
      </w:pPr>
    </w:p>
    <w:p w:rsidR="00495D87" w:rsidRDefault="00000000">
      <w:pPr>
        <w:jc w:val="center"/>
        <w:rPr>
          <w:rFonts w:ascii="Times" w:eastAsia="Times" w:hAnsi="Times" w:cs="Times"/>
          <w:sz w:val="22"/>
          <w:szCs w:val="22"/>
          <w:highlight w:val="white"/>
        </w:rPr>
      </w:pPr>
      <w:r>
        <w:rPr>
          <w:rFonts w:ascii="Times" w:eastAsia="Times" w:hAnsi="Times" w:cs="Times"/>
          <w:noProof/>
          <w:sz w:val="22"/>
          <w:szCs w:val="22"/>
          <w:highlight w:val="white"/>
        </w:rPr>
        <w:drawing>
          <wp:inline distT="114300" distB="114300" distL="114300" distR="114300">
            <wp:extent cx="5460974" cy="326326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l="5769"/>
                    <a:stretch>
                      <a:fillRect/>
                    </a:stretch>
                  </pic:blipFill>
                  <pic:spPr>
                    <a:xfrm>
                      <a:off x="0" y="0"/>
                      <a:ext cx="5460974" cy="3263265"/>
                    </a:xfrm>
                    <a:prstGeom prst="rect">
                      <a:avLst/>
                    </a:prstGeom>
                    <a:ln/>
                  </pic:spPr>
                </pic:pic>
              </a:graphicData>
            </a:graphic>
          </wp:inline>
        </w:drawing>
      </w:r>
    </w:p>
    <w:p w:rsidR="00495D87" w:rsidRDefault="00495D87">
      <w:pPr>
        <w:rPr>
          <w:rFonts w:ascii="Times" w:eastAsia="Times" w:hAnsi="Times" w:cs="Times"/>
          <w:sz w:val="22"/>
          <w:szCs w:val="22"/>
          <w:highlight w:val="white"/>
        </w:rPr>
      </w:pPr>
    </w:p>
    <w:p w:rsidR="00495D87" w:rsidRDefault="00495D87">
      <w:pPr>
        <w:rPr>
          <w:rFonts w:ascii="Times" w:eastAsia="Times" w:hAnsi="Times" w:cs="Times"/>
          <w:sz w:val="22"/>
          <w:szCs w:val="22"/>
          <w:highlight w:val="white"/>
        </w:rPr>
      </w:pPr>
    </w:p>
    <w:p w:rsidR="00495D87" w:rsidRDefault="00495D87">
      <w:pPr>
        <w:rPr>
          <w:rFonts w:ascii="Times" w:eastAsia="Times" w:hAnsi="Times" w:cs="Times"/>
          <w:highlight w:val="white"/>
        </w:rPr>
      </w:pPr>
    </w:p>
    <w:p w:rsidR="00495D87" w:rsidRDefault="00000000">
      <w:pPr>
        <w:spacing w:line="276" w:lineRule="auto"/>
        <w:rPr>
          <w:rFonts w:ascii="Times" w:eastAsia="Times" w:hAnsi="Times" w:cs="Times"/>
          <w:highlight w:val="white"/>
        </w:rPr>
      </w:pPr>
      <w:r>
        <w:rPr>
          <w:rFonts w:ascii="Times" w:eastAsia="Times" w:hAnsi="Times" w:cs="Times"/>
          <w:highlight w:val="white"/>
        </w:rPr>
        <w:t xml:space="preserve">The executive functioning tasks used are described below and further detailed in the UK Biobank documentation. </w:t>
      </w:r>
      <w:hyperlink r:id="rId8">
        <w:r>
          <w:rPr>
            <w:rFonts w:ascii="Times" w:eastAsia="Times" w:hAnsi="Times" w:cs="Times"/>
            <w:color w:val="0000FF"/>
            <w:highlight w:val="white"/>
            <w:u w:val="single"/>
          </w:rPr>
          <w:t>https://biobank.ndph.ox.ac.uk/ukb/search.cgi</w:t>
        </w:r>
      </w:hyperlink>
      <w:r>
        <w:rPr>
          <w:rFonts w:ascii="Times" w:eastAsia="Times" w:hAnsi="Times" w:cs="Times"/>
          <w:highlight w:val="white"/>
        </w:rPr>
        <w:t xml:space="preserve"> </w:t>
      </w:r>
    </w:p>
    <w:p w:rsidR="00495D87" w:rsidRDefault="00495D87">
      <w:pPr>
        <w:spacing w:line="276" w:lineRule="auto"/>
        <w:rPr>
          <w:rFonts w:ascii="Times" w:eastAsia="Times" w:hAnsi="Times" w:cs="Times"/>
          <w:highlight w:val="white"/>
        </w:rPr>
      </w:pPr>
    </w:p>
    <w:p w:rsidR="00495D87" w:rsidRDefault="00495D87">
      <w:pPr>
        <w:spacing w:line="276" w:lineRule="auto"/>
        <w:rPr>
          <w:rFonts w:ascii="Times" w:eastAsia="Times" w:hAnsi="Times" w:cs="Times"/>
          <w:highlight w:val="white"/>
        </w:rPr>
      </w:pPr>
    </w:p>
    <w:p w:rsidR="00495D87" w:rsidRDefault="00000000">
      <w:pPr>
        <w:pStyle w:val="Sous-titre"/>
        <w:spacing w:line="276" w:lineRule="auto"/>
      </w:pPr>
      <w:bookmarkStart w:id="1" w:name="_fy0t3tgplc1k" w:colFirst="0" w:colLast="0"/>
      <w:bookmarkEnd w:id="1"/>
      <w:r>
        <w:t>Fluid intelligence (20016</w:t>
      </w:r>
      <w:proofErr w:type="gramStart"/>
      <w:r>
        <w:t>) :</w:t>
      </w:r>
      <w:proofErr w:type="gramEnd"/>
      <w:r>
        <w:t xml:space="preserve"> </w:t>
      </w:r>
    </w:p>
    <w:p w:rsidR="00495D87" w:rsidRDefault="00000000">
      <w:pPr>
        <w:spacing w:line="276" w:lineRule="auto"/>
        <w:rPr>
          <w:rFonts w:ascii="Times" w:eastAsia="Times" w:hAnsi="Times" w:cs="Times"/>
        </w:rPr>
      </w:pPr>
      <w:r>
        <w:rPr>
          <w:rFonts w:ascii="Times" w:eastAsia="Times" w:hAnsi="Times" w:cs="Times"/>
          <w:color w:val="202020"/>
          <w:highlight w:val="white"/>
        </w:rPr>
        <w:t xml:space="preserve">Participants responded to a series of logic and reasoning questions within a two-minute time limit. In the versions presented in clinic the maximum score was 13, in the online follow-up version (20191) the maximum score was 14.  </w:t>
      </w:r>
    </w:p>
    <w:p w:rsidR="00495D87" w:rsidRDefault="00495D87">
      <w:pPr>
        <w:spacing w:line="276" w:lineRule="auto"/>
        <w:rPr>
          <w:rFonts w:ascii="Times" w:eastAsia="Times" w:hAnsi="Times" w:cs="Times"/>
          <w:highlight w:val="white"/>
          <w:u w:val="single"/>
        </w:rPr>
      </w:pPr>
    </w:p>
    <w:p w:rsidR="00495D87" w:rsidRDefault="00495D87">
      <w:pPr>
        <w:spacing w:line="276" w:lineRule="auto"/>
        <w:rPr>
          <w:rFonts w:ascii="Times" w:eastAsia="Times" w:hAnsi="Times" w:cs="Times"/>
          <w:highlight w:val="white"/>
          <w:u w:val="single"/>
        </w:rPr>
      </w:pPr>
    </w:p>
    <w:p w:rsidR="00495D87" w:rsidRDefault="00000000">
      <w:pPr>
        <w:pStyle w:val="Sous-titre"/>
        <w:spacing w:line="276" w:lineRule="auto"/>
      </w:pPr>
      <w:bookmarkStart w:id="2" w:name="_xz3qd5ndj8v8" w:colFirst="0" w:colLast="0"/>
      <w:bookmarkEnd w:id="2"/>
      <w:r>
        <w:t>Pairs Matching (20132</w:t>
      </w:r>
      <w:proofErr w:type="gramStart"/>
      <w:r>
        <w:t>) :</w:t>
      </w:r>
      <w:proofErr w:type="gramEnd"/>
      <w:r>
        <w:t xml:space="preserve">  </w:t>
      </w:r>
    </w:p>
    <w:p w:rsidR="00495D87" w:rsidRDefault="00000000">
      <w:pPr>
        <w:spacing w:line="276" w:lineRule="auto"/>
        <w:rPr>
          <w:rFonts w:ascii="Times" w:eastAsia="Times" w:hAnsi="Times" w:cs="Times"/>
          <w:highlight w:val="white"/>
          <w:u w:val="single"/>
        </w:rPr>
      </w:pPr>
      <w:r>
        <w:rPr>
          <w:rFonts w:ascii="Times" w:eastAsia="Times" w:hAnsi="Times" w:cs="Times"/>
          <w:color w:val="202020"/>
          <w:highlight w:val="white"/>
        </w:rPr>
        <w:t xml:space="preserve">Participants memorized the positions of matching card pairs. They were then asked to match the card pairs from memory with the fewest tries possible. Higher scores reflect more errors on the task, hence worst cognitive performance. There were two versions of the Pairs Matching Task using 3-pairs and 6-pairs of matching cards. The 6-pairs version was selected for this study. </w:t>
      </w:r>
    </w:p>
    <w:p w:rsidR="00495D87" w:rsidRDefault="00495D87">
      <w:pPr>
        <w:spacing w:line="276" w:lineRule="auto"/>
        <w:rPr>
          <w:rFonts w:ascii="Times" w:eastAsia="Times" w:hAnsi="Times" w:cs="Times"/>
          <w:highlight w:val="white"/>
          <w:u w:val="single"/>
        </w:rPr>
      </w:pPr>
    </w:p>
    <w:p w:rsidR="00495D87" w:rsidRDefault="00000000">
      <w:pPr>
        <w:pStyle w:val="Sous-titre"/>
        <w:spacing w:line="276" w:lineRule="auto"/>
      </w:pPr>
      <w:bookmarkStart w:id="3" w:name="_3vhijhdtpiyy" w:colFirst="0" w:colLast="0"/>
      <w:bookmarkEnd w:id="3"/>
      <w:r>
        <w:lastRenderedPageBreak/>
        <w:t xml:space="preserve">Prospective Memory (20018): </w:t>
      </w:r>
    </w:p>
    <w:p w:rsidR="00495D87" w:rsidRDefault="00000000">
      <w:pPr>
        <w:spacing w:line="276" w:lineRule="auto"/>
        <w:rPr>
          <w:rFonts w:ascii="Times" w:eastAsia="Times" w:hAnsi="Times" w:cs="Times"/>
          <w:highlight w:val="white"/>
        </w:rPr>
      </w:pPr>
      <w:r>
        <w:rPr>
          <w:rFonts w:ascii="Times" w:eastAsia="Times" w:hAnsi="Times" w:cs="Times"/>
          <w:highlight w:val="white"/>
        </w:rPr>
        <w:t>Prior to starting their cognitive assessments, participants read: ‘</w:t>
      </w:r>
      <w:r>
        <w:rPr>
          <w:rFonts w:ascii="Times" w:eastAsia="Times" w:hAnsi="Times" w:cs="Times"/>
          <w:color w:val="202020"/>
          <w:highlight w:val="white"/>
        </w:rPr>
        <w:t xml:space="preserve">At the end of the games we will show you four </w:t>
      </w:r>
      <w:proofErr w:type="spellStart"/>
      <w:r>
        <w:rPr>
          <w:rFonts w:ascii="Times" w:eastAsia="Times" w:hAnsi="Times" w:cs="Times"/>
          <w:color w:val="202020"/>
          <w:highlight w:val="white"/>
        </w:rPr>
        <w:t>coloured</w:t>
      </w:r>
      <w:proofErr w:type="spellEnd"/>
      <w:r>
        <w:rPr>
          <w:rFonts w:ascii="Times" w:eastAsia="Times" w:hAnsi="Times" w:cs="Times"/>
          <w:color w:val="202020"/>
          <w:highlight w:val="white"/>
        </w:rPr>
        <w:t xml:space="preserve"> symbols and ask you to touch the blue square. However, to test your memory, we want you to actually touch the Orange Circle instead’</w:t>
      </w:r>
    </w:p>
    <w:p w:rsidR="00495D87" w:rsidRDefault="00000000">
      <w:pPr>
        <w:spacing w:line="276" w:lineRule="auto"/>
        <w:rPr>
          <w:rFonts w:ascii="Times" w:eastAsia="Times" w:hAnsi="Times" w:cs="Times"/>
          <w:sz w:val="22"/>
          <w:szCs w:val="22"/>
          <w:highlight w:val="white"/>
        </w:rPr>
      </w:pPr>
      <w:r>
        <w:rPr>
          <w:rFonts w:ascii="Times" w:eastAsia="Times" w:hAnsi="Times" w:cs="Times"/>
          <w:color w:val="202020"/>
          <w:highlight w:val="white"/>
        </w:rPr>
        <w:t xml:space="preserve">Participants had a score of one if they pressed the orange circle and 0 if not. </w:t>
      </w:r>
    </w:p>
    <w:p w:rsidR="00495D87" w:rsidRDefault="00495D87">
      <w:pPr>
        <w:pStyle w:val="Sous-titre"/>
        <w:spacing w:line="276" w:lineRule="auto"/>
      </w:pPr>
      <w:bookmarkStart w:id="4" w:name="_3cjfw9c0hg1" w:colFirst="0" w:colLast="0"/>
      <w:bookmarkEnd w:id="4"/>
    </w:p>
    <w:p w:rsidR="00495D87" w:rsidRDefault="00000000">
      <w:pPr>
        <w:pStyle w:val="Sous-titre"/>
        <w:spacing w:line="276" w:lineRule="auto"/>
      </w:pPr>
      <w:bookmarkStart w:id="5" w:name="_1g8zswspa2yp" w:colFirst="0" w:colLast="0"/>
      <w:bookmarkEnd w:id="5"/>
      <w:r>
        <w:t>Numeric Memory (‘</w:t>
      </w:r>
      <w:r>
        <w:rPr>
          <w:color w:val="202020"/>
        </w:rPr>
        <w:t>Maximum digits remembered’;</w:t>
      </w:r>
      <w:r>
        <w:t xml:space="preserve"> 4828</w:t>
      </w:r>
      <w:proofErr w:type="gramStart"/>
      <w:r>
        <w:t>) :</w:t>
      </w:r>
      <w:proofErr w:type="gramEnd"/>
      <w:r>
        <w:t xml:space="preserve"> </w:t>
      </w:r>
    </w:p>
    <w:p w:rsidR="00495D87" w:rsidRDefault="00000000">
      <w:pPr>
        <w:spacing w:line="276" w:lineRule="auto"/>
        <w:rPr>
          <w:rFonts w:ascii="Times" w:eastAsia="Times" w:hAnsi="Times" w:cs="Times"/>
        </w:rPr>
      </w:pPr>
      <w:r>
        <w:rPr>
          <w:rFonts w:ascii="Times" w:eastAsia="Times" w:hAnsi="Times" w:cs="Times"/>
          <w:color w:val="202020"/>
          <w:highlight w:val="white"/>
        </w:rPr>
        <w:t xml:space="preserve">Participants were shown a two-digit number, following a brief pause they were asked to recall the digits. The digits’ participants were asked to recall increased by one until an error was made or all 12 digits were recalled correctly (maximum score). </w:t>
      </w:r>
    </w:p>
    <w:p w:rsidR="00495D87" w:rsidRDefault="00495D87">
      <w:pPr>
        <w:spacing w:line="276" w:lineRule="auto"/>
        <w:rPr>
          <w:rFonts w:ascii="Times" w:eastAsia="Times" w:hAnsi="Times" w:cs="Times"/>
          <w:highlight w:val="white"/>
        </w:rPr>
      </w:pPr>
    </w:p>
    <w:p w:rsidR="00495D87" w:rsidRDefault="00000000">
      <w:pPr>
        <w:pStyle w:val="Sous-titre"/>
        <w:spacing w:line="276" w:lineRule="auto"/>
      </w:pPr>
      <w:bookmarkStart w:id="6" w:name="_z6ay9vf3wtb6" w:colFirst="0" w:colLast="0"/>
      <w:bookmarkEnd w:id="6"/>
      <w:r>
        <w:t>Reaction time (20023</w:t>
      </w:r>
      <w:proofErr w:type="gramStart"/>
      <w:r>
        <w:t>) :</w:t>
      </w:r>
      <w:proofErr w:type="gramEnd"/>
      <w:r>
        <w:t xml:space="preserve"> </w:t>
      </w:r>
    </w:p>
    <w:p w:rsidR="00495D87" w:rsidRDefault="00000000">
      <w:pPr>
        <w:spacing w:line="276" w:lineRule="auto"/>
        <w:rPr>
          <w:rFonts w:ascii="Times" w:eastAsia="Times" w:hAnsi="Times" w:cs="Times"/>
          <w:highlight w:val="white"/>
        </w:rPr>
      </w:pPr>
      <w:r>
        <w:rPr>
          <w:rFonts w:ascii="Times" w:eastAsia="Times" w:hAnsi="Times" w:cs="Times"/>
          <w:highlight w:val="white"/>
        </w:rPr>
        <w:t xml:space="preserve">Participants were asked to press a button when both cards on screen matched. </w:t>
      </w:r>
      <w:r>
        <w:rPr>
          <w:rFonts w:ascii="Times" w:eastAsia="Times" w:hAnsi="Times" w:cs="Times"/>
          <w:color w:val="202020"/>
          <w:highlight w:val="white"/>
        </w:rPr>
        <w:t xml:space="preserve">A mean response time in milliseconds was derived from multiple matching rounds. </w:t>
      </w:r>
    </w:p>
    <w:p w:rsidR="00495D87" w:rsidRDefault="00495D87">
      <w:pPr>
        <w:spacing w:line="276" w:lineRule="auto"/>
        <w:rPr>
          <w:rFonts w:ascii="Times" w:eastAsia="Times" w:hAnsi="Times" w:cs="Times"/>
          <w:highlight w:val="white"/>
        </w:rPr>
      </w:pPr>
    </w:p>
    <w:p w:rsidR="00495D87" w:rsidRDefault="00000000">
      <w:pPr>
        <w:pStyle w:val="Sous-titre"/>
        <w:spacing w:line="276" w:lineRule="auto"/>
      </w:pPr>
      <w:bookmarkStart w:id="7" w:name="_wz9t76bvuv04" w:colFirst="0" w:colLast="0"/>
      <w:bookmarkEnd w:id="7"/>
      <w:r>
        <w:t>Symbol digit substitution (20159</w:t>
      </w:r>
      <w:proofErr w:type="gramStart"/>
      <w:r>
        <w:t>) :</w:t>
      </w:r>
      <w:proofErr w:type="gramEnd"/>
      <w:r>
        <w:t xml:space="preserve">  </w:t>
      </w:r>
    </w:p>
    <w:p w:rsidR="00495D87" w:rsidRDefault="00000000">
      <w:pPr>
        <w:spacing w:line="276" w:lineRule="auto"/>
        <w:rPr>
          <w:rFonts w:ascii="Times" w:eastAsia="Times" w:hAnsi="Times" w:cs="Times"/>
        </w:rPr>
      </w:pPr>
      <w:r>
        <w:rPr>
          <w:rFonts w:ascii="Times" w:eastAsia="Times" w:hAnsi="Times" w:cs="Times"/>
          <w:color w:val="000000"/>
          <w:highlight w:val="white"/>
        </w:rPr>
        <w:t xml:space="preserve">Participants were shown one grid linking symbols to single-digit integers at the bottom. A second grid containing only the symbols (same </w:t>
      </w:r>
      <w:r>
        <w:rPr>
          <w:rFonts w:ascii="Times" w:eastAsia="Times" w:hAnsi="Times" w:cs="Times"/>
          <w:highlight w:val="white"/>
        </w:rPr>
        <w:t>as the first</w:t>
      </w:r>
      <w:r>
        <w:rPr>
          <w:rFonts w:ascii="Times" w:eastAsia="Times" w:hAnsi="Times" w:cs="Times"/>
          <w:color w:val="000000"/>
          <w:highlight w:val="white"/>
        </w:rPr>
        <w:t xml:space="preserve"> </w:t>
      </w:r>
      <w:r>
        <w:rPr>
          <w:rFonts w:ascii="Times" w:eastAsia="Times" w:hAnsi="Times" w:cs="Times"/>
          <w:highlight w:val="white"/>
        </w:rPr>
        <w:t>grid</w:t>
      </w:r>
      <w:r>
        <w:rPr>
          <w:rFonts w:ascii="Times" w:eastAsia="Times" w:hAnsi="Times" w:cs="Times"/>
          <w:color w:val="000000"/>
          <w:highlight w:val="white"/>
        </w:rPr>
        <w:t xml:space="preserve">) was also shown. Participants were then asked to identify the numbers corresponding to symbols in the second grid using the first grid one as a reference. </w:t>
      </w:r>
    </w:p>
    <w:p w:rsidR="00495D87" w:rsidRDefault="00000000">
      <w:pPr>
        <w:tabs>
          <w:tab w:val="left" w:pos="1737"/>
        </w:tabs>
        <w:spacing w:line="276" w:lineRule="auto"/>
        <w:rPr>
          <w:rFonts w:ascii="Times" w:eastAsia="Times" w:hAnsi="Times" w:cs="Times"/>
          <w:sz w:val="22"/>
          <w:szCs w:val="22"/>
          <w:highlight w:val="white"/>
        </w:rPr>
      </w:pPr>
      <w:r>
        <w:rPr>
          <w:rFonts w:ascii="Times" w:eastAsia="Times" w:hAnsi="Times" w:cs="Times"/>
          <w:sz w:val="22"/>
          <w:szCs w:val="22"/>
          <w:highlight w:val="white"/>
        </w:rPr>
        <w:tab/>
      </w:r>
    </w:p>
    <w:p w:rsidR="00495D87" w:rsidRDefault="00000000">
      <w:pPr>
        <w:pStyle w:val="Sous-titre"/>
        <w:spacing w:line="276" w:lineRule="auto"/>
        <w:rPr>
          <w:highlight w:val="white"/>
        </w:rPr>
      </w:pPr>
      <w:bookmarkStart w:id="8" w:name="_vyk3iegyut8q" w:colFirst="0" w:colLast="0"/>
      <w:bookmarkEnd w:id="8"/>
      <w:r>
        <w:rPr>
          <w:highlight w:val="white"/>
        </w:rPr>
        <w:t xml:space="preserve">Trail Making # 2 </w:t>
      </w:r>
      <w:r>
        <w:t>(alphanumeric version B; 20157</w:t>
      </w:r>
      <w:proofErr w:type="gramStart"/>
      <w:r>
        <w:t xml:space="preserve">) </w:t>
      </w:r>
      <w:r>
        <w:rPr>
          <w:highlight w:val="white"/>
        </w:rPr>
        <w:t>:</w:t>
      </w:r>
      <w:proofErr w:type="gramEnd"/>
      <w:r>
        <w:rPr>
          <w:highlight w:val="white"/>
        </w:rPr>
        <w:t xml:space="preserve"> </w:t>
      </w:r>
    </w:p>
    <w:p w:rsidR="00495D87" w:rsidRDefault="00000000">
      <w:pPr>
        <w:spacing w:line="276" w:lineRule="auto"/>
        <w:rPr>
          <w:rFonts w:ascii="Times" w:eastAsia="Times" w:hAnsi="Times" w:cs="Times"/>
          <w:highlight w:val="white"/>
        </w:rPr>
      </w:pPr>
      <w:r>
        <w:rPr>
          <w:rFonts w:ascii="Times" w:eastAsia="Times" w:hAnsi="Times" w:cs="Times"/>
        </w:rPr>
        <w:t xml:space="preserve">Participants were asked to link letters and numbers sequentially. Their completion time was measured in </w:t>
      </w:r>
      <w:r>
        <w:rPr>
          <w:rFonts w:ascii="Times" w:eastAsia="Times" w:hAnsi="Times" w:cs="Times"/>
          <w:color w:val="202020"/>
          <w:highlight w:val="white"/>
        </w:rPr>
        <w:t>milliseconds</w:t>
      </w:r>
      <w:r>
        <w:rPr>
          <w:rFonts w:ascii="Times" w:eastAsia="Times" w:hAnsi="Times" w:cs="Times"/>
        </w:rPr>
        <w:t xml:space="preserve">. </w:t>
      </w:r>
    </w:p>
    <w:p w:rsidR="00495D87" w:rsidRDefault="00495D87">
      <w:pPr>
        <w:spacing w:line="276" w:lineRule="auto"/>
        <w:rPr>
          <w:rFonts w:ascii="Times" w:eastAsia="Times" w:hAnsi="Times" w:cs="Times"/>
          <w:highlight w:val="white"/>
        </w:rPr>
      </w:pPr>
    </w:p>
    <w:p w:rsidR="00495D87" w:rsidRDefault="00000000">
      <w:pPr>
        <w:pStyle w:val="Sous-titre"/>
        <w:spacing w:line="276" w:lineRule="auto"/>
      </w:pPr>
      <w:bookmarkStart w:id="9" w:name="_e50v9lvnwk4" w:colFirst="0" w:colLast="0"/>
      <w:bookmarkEnd w:id="9"/>
      <w:r>
        <w:t xml:space="preserve">Executive Functioning </w:t>
      </w:r>
      <w:proofErr w:type="gramStart"/>
      <w:r>
        <w:t>Tasks :</w:t>
      </w:r>
      <w:proofErr w:type="gramEnd"/>
      <w:r>
        <w:t xml:space="preserve"> </w:t>
      </w:r>
    </w:p>
    <w:p w:rsidR="00495D87" w:rsidRDefault="00495D87"/>
    <w:p w:rsidR="00495D87" w:rsidRDefault="00000000">
      <w:pPr>
        <w:spacing w:line="276" w:lineRule="auto"/>
        <w:ind w:firstLine="720"/>
        <w:rPr>
          <w:rFonts w:ascii="Times" w:eastAsia="Times" w:hAnsi="Times" w:cs="Times"/>
        </w:rPr>
      </w:pPr>
      <w:r>
        <w:rPr>
          <w:rFonts w:ascii="Times" w:eastAsia="Times" w:hAnsi="Times" w:cs="Times"/>
          <w:u w:val="single"/>
        </w:rPr>
        <w:t>The Trail Making Task:</w:t>
      </w:r>
      <w:r>
        <w:rPr>
          <w:rFonts w:ascii="Times" w:eastAsia="Times" w:hAnsi="Times" w:cs="Times"/>
        </w:rPr>
        <w:t xml:space="preserve"> Participants were asked to link consecutive numbers (numeric version A), then link letters and numbers sequentially (alphanumeric version B). The difference in completion time (milliseconds) between version B and A was computed to account for motor ability</w:t>
      </w:r>
      <w:r>
        <w:rPr>
          <w:rFonts w:ascii="Times" w:eastAsia="Times" w:hAnsi="Times" w:cs="Times"/>
          <w:vertAlign w:val="superscript"/>
        </w:rPr>
        <w:t>2</w:t>
      </w:r>
      <w:r>
        <w:rPr>
          <w:rFonts w:ascii="Times" w:eastAsia="Times" w:hAnsi="Times" w:cs="Times"/>
        </w:rPr>
        <w:t xml:space="preserve">. </w:t>
      </w:r>
      <w:proofErr w:type="spellStart"/>
      <w:r>
        <w:rPr>
          <w:rFonts w:ascii="Times" w:eastAsia="Times" w:hAnsi="Times" w:cs="Times"/>
        </w:rPr>
        <w:t>Zscore</w:t>
      </w:r>
      <w:proofErr w:type="spellEnd"/>
      <w:r>
        <w:rPr>
          <w:rFonts w:ascii="Times" w:eastAsia="Times" w:hAnsi="Times" w:cs="Times"/>
        </w:rPr>
        <w:t xml:space="preserve"> directions were reversed to indicate lower scores correspond with worst performance. Performance scores were obtained from initial visit assessments (20157), and pooled with online follow-up scores (20157) if initial scores were not available. </w:t>
      </w:r>
    </w:p>
    <w:p w:rsidR="00495D87" w:rsidRDefault="00495D87">
      <w:pPr>
        <w:spacing w:line="276" w:lineRule="auto"/>
        <w:ind w:firstLine="720"/>
        <w:rPr>
          <w:rFonts w:ascii="Times" w:eastAsia="Times" w:hAnsi="Times" w:cs="Times"/>
        </w:rPr>
      </w:pPr>
    </w:p>
    <w:p w:rsidR="00495D87" w:rsidRDefault="00000000">
      <w:pPr>
        <w:spacing w:line="276" w:lineRule="auto"/>
        <w:rPr>
          <w:rFonts w:ascii="Times" w:eastAsia="Times" w:hAnsi="Times" w:cs="Times"/>
          <w:highlight w:val="white"/>
        </w:rPr>
      </w:pPr>
      <w:r>
        <w:rPr>
          <w:rFonts w:ascii="Times" w:eastAsia="Times" w:hAnsi="Times" w:cs="Times"/>
          <w:u w:val="single"/>
        </w:rPr>
        <w:t>Tower Rearranging Task (21004):</w:t>
      </w:r>
      <w:r>
        <w:rPr>
          <w:rFonts w:ascii="Times" w:eastAsia="Times" w:hAnsi="Times" w:cs="Times"/>
        </w:rPr>
        <w:t xml:space="preserve"> For 18 rounds participants were shown three pegs (“towers”) with three differently colored hoops, then asked to indicate how many moves were required to re-arrange the hoops to a specified reference location. Participants’ score based on </w:t>
      </w:r>
      <w:proofErr w:type="gramStart"/>
      <w:r>
        <w:rPr>
          <w:rFonts w:ascii="Times" w:eastAsia="Times" w:hAnsi="Times" w:cs="Times"/>
        </w:rPr>
        <w:t>the  number</w:t>
      </w:r>
      <w:proofErr w:type="gramEnd"/>
      <w:r>
        <w:rPr>
          <w:rFonts w:ascii="Times" w:eastAsia="Times" w:hAnsi="Times" w:cs="Times"/>
        </w:rPr>
        <w:t xml:space="preserve"> of correct responses (maximum 18).  </w:t>
      </w:r>
    </w:p>
    <w:p w:rsidR="00495D87" w:rsidRDefault="00495D87">
      <w:pPr>
        <w:spacing w:line="276" w:lineRule="auto"/>
        <w:rPr>
          <w:rFonts w:ascii="Times" w:eastAsia="Times" w:hAnsi="Times" w:cs="Times"/>
          <w:sz w:val="26"/>
          <w:szCs w:val="26"/>
          <w:highlight w:val="white"/>
        </w:rPr>
      </w:pPr>
    </w:p>
    <w:p w:rsidR="00495D87" w:rsidRDefault="00495D87">
      <w:pPr>
        <w:spacing w:line="276" w:lineRule="auto"/>
        <w:rPr>
          <w:rFonts w:ascii="Times" w:eastAsia="Times" w:hAnsi="Times" w:cs="Times"/>
          <w:highlight w:val="white"/>
        </w:rPr>
      </w:pPr>
    </w:p>
    <w:p w:rsidR="00495D87" w:rsidRDefault="00000000">
      <w:pPr>
        <w:spacing w:line="276" w:lineRule="auto"/>
        <w:rPr>
          <w:rFonts w:ascii="Times" w:eastAsia="Times" w:hAnsi="Times" w:cs="Times"/>
          <w:highlight w:val="white"/>
        </w:rPr>
      </w:pPr>
      <w:r>
        <w:rPr>
          <w:rFonts w:ascii="Times" w:eastAsia="Times" w:hAnsi="Times" w:cs="Times"/>
          <w:highlight w:val="white"/>
        </w:rPr>
        <w:lastRenderedPageBreak/>
        <w:t xml:space="preserve">All </w:t>
      </w:r>
      <w:proofErr w:type="gramStart"/>
      <w:r>
        <w:rPr>
          <w:rFonts w:ascii="Times" w:eastAsia="Times" w:hAnsi="Times" w:cs="Times"/>
          <w:highlight w:val="white"/>
        </w:rPr>
        <w:t>tasks</w:t>
      </w:r>
      <w:proofErr w:type="gramEnd"/>
      <w:r>
        <w:rPr>
          <w:rFonts w:ascii="Times" w:eastAsia="Times" w:hAnsi="Times" w:cs="Times"/>
          <w:highlight w:val="white"/>
        </w:rPr>
        <w:t xml:space="preserve"> scores were z-scored. After final scores were combined, both age and sex were controlled for in using a residuals approach:</w:t>
      </w:r>
    </w:p>
    <w:p w:rsidR="00495D87" w:rsidRDefault="00495D87">
      <w:pPr>
        <w:spacing w:line="276" w:lineRule="auto"/>
        <w:rPr>
          <w:rFonts w:ascii="Times" w:eastAsia="Times" w:hAnsi="Times" w:cs="Times"/>
          <w:highlight w:val="white"/>
        </w:rPr>
      </w:pPr>
    </w:p>
    <w:p w:rsidR="00495D87" w:rsidRDefault="00000000">
      <w:pPr>
        <w:ind w:left="720"/>
        <w:jc w:val="center"/>
        <w:rPr>
          <w:rFonts w:ascii="Times" w:eastAsia="Times" w:hAnsi="Times" w:cs="Times"/>
        </w:rPr>
      </w:pPr>
      <w:r>
        <w:rPr>
          <w:rFonts w:ascii="Times" w:eastAsia="Times" w:hAnsi="Times" w:cs="Times"/>
        </w:rPr>
        <w:t xml:space="preserve">Linear Regression = </w:t>
      </w:r>
      <w:proofErr w:type="spellStart"/>
      <w:proofErr w:type="gramStart"/>
      <w:r>
        <w:rPr>
          <w:rFonts w:ascii="Times" w:eastAsia="Times" w:hAnsi="Times" w:cs="Times"/>
        </w:rPr>
        <w:t>glm</w:t>
      </w:r>
      <w:proofErr w:type="spellEnd"/>
      <w:r>
        <w:rPr>
          <w:rFonts w:ascii="Times" w:eastAsia="Times" w:hAnsi="Times" w:cs="Times"/>
        </w:rPr>
        <w:t>(</w:t>
      </w:r>
      <w:proofErr w:type="gramEnd"/>
      <w:r>
        <w:rPr>
          <w:rFonts w:ascii="Times" w:eastAsia="Times" w:hAnsi="Times" w:cs="Times"/>
        </w:rPr>
        <w:t xml:space="preserve">Cognitive ability </w:t>
      </w:r>
      <w:proofErr w:type="spellStart"/>
      <w:r>
        <w:rPr>
          <w:rFonts w:ascii="Times" w:eastAsia="Times" w:hAnsi="Times" w:cs="Times"/>
        </w:rPr>
        <w:t>ZScore</w:t>
      </w:r>
      <w:proofErr w:type="spellEnd"/>
      <w:r>
        <w:rPr>
          <w:rFonts w:ascii="Times" w:eastAsia="Times" w:hAnsi="Times" w:cs="Times"/>
        </w:rPr>
        <w:t xml:space="preserve"> ~ age + sex, data= Cognitive Data)</w:t>
      </w:r>
      <w:r>
        <w:rPr>
          <w:rFonts w:ascii="Times" w:eastAsia="Times" w:hAnsi="Times" w:cs="Times"/>
        </w:rPr>
        <w:br/>
        <w:t>Cognitive Data $</w:t>
      </w:r>
      <w:proofErr w:type="spellStart"/>
      <w:r>
        <w:rPr>
          <w:rFonts w:ascii="Times" w:eastAsia="Times" w:hAnsi="Times" w:cs="Times"/>
        </w:rPr>
        <w:t>residual_CognitiveZscore</w:t>
      </w:r>
      <w:proofErr w:type="spellEnd"/>
      <w:r>
        <w:rPr>
          <w:rFonts w:ascii="Times" w:eastAsia="Times" w:hAnsi="Times" w:cs="Times"/>
        </w:rPr>
        <w:t xml:space="preserve"> = residuals(Linear Regression)</w:t>
      </w:r>
    </w:p>
    <w:p w:rsidR="00495D87" w:rsidRDefault="00495D87">
      <w:pPr>
        <w:rPr>
          <w:rFonts w:ascii="Times" w:eastAsia="Times" w:hAnsi="Times" w:cs="Times"/>
          <w:sz w:val="22"/>
          <w:szCs w:val="22"/>
          <w:highlight w:val="white"/>
        </w:rPr>
      </w:pPr>
    </w:p>
    <w:p w:rsidR="00495D87" w:rsidRDefault="00495D87">
      <w:pPr>
        <w:rPr>
          <w:rFonts w:ascii="Times" w:eastAsia="Times" w:hAnsi="Times" w:cs="Times"/>
          <w:sz w:val="22"/>
          <w:szCs w:val="22"/>
          <w:highlight w:val="white"/>
        </w:rPr>
      </w:pPr>
    </w:p>
    <w:p w:rsidR="00495D87" w:rsidRDefault="00000000">
      <w:pPr>
        <w:pStyle w:val="Titre1"/>
        <w:spacing w:before="0" w:after="0" w:line="276" w:lineRule="auto"/>
      </w:pPr>
      <w:bookmarkStart w:id="10" w:name="_zf9qeimps4gl" w:colFirst="0" w:colLast="0"/>
      <w:bookmarkEnd w:id="10"/>
      <w:r>
        <w:rPr>
          <w:rFonts w:ascii="Arial" w:eastAsia="Arial" w:hAnsi="Arial" w:cs="Arial"/>
          <w:sz w:val="30"/>
          <w:szCs w:val="30"/>
        </w:rPr>
        <w:t>Genetics</w:t>
      </w:r>
    </w:p>
    <w:p w:rsidR="00495D87" w:rsidRDefault="00000000">
      <w:pPr>
        <w:pStyle w:val="Sous-titre"/>
        <w:spacing w:before="300" w:line="276" w:lineRule="auto"/>
      </w:pPr>
      <w:bookmarkStart w:id="11" w:name="_log4yuybud0x" w:colFirst="0" w:colLast="0"/>
      <w:bookmarkEnd w:id="11"/>
      <w:r>
        <w:t>CNV calling and quality controls.</w:t>
      </w:r>
    </w:p>
    <w:p w:rsidR="00495D87" w:rsidRDefault="00000000">
      <w:pPr>
        <w:pBdr>
          <w:top w:val="nil"/>
          <w:left w:val="nil"/>
          <w:bottom w:val="nil"/>
          <w:right w:val="nil"/>
          <w:between w:val="nil"/>
        </w:pBdr>
        <w:spacing w:line="276" w:lineRule="auto"/>
        <w:rPr>
          <w:rFonts w:ascii="Times" w:eastAsia="Times" w:hAnsi="Times" w:cs="Times"/>
          <w:color w:val="000000"/>
        </w:rPr>
      </w:pPr>
      <w:bookmarkStart w:id="12" w:name="_gjdgxs" w:colFirst="0" w:colLast="0"/>
      <w:bookmarkEnd w:id="12"/>
      <w:r>
        <w:rPr>
          <w:rFonts w:ascii="Times" w:eastAsia="Times" w:hAnsi="Times" w:cs="Times"/>
          <w:color w:val="000000"/>
        </w:rPr>
        <w:t>For all selected SNP array data, we called CNVs with PennCNV</w:t>
      </w:r>
      <w:r>
        <w:rPr>
          <w:rFonts w:ascii="Times" w:eastAsia="Times" w:hAnsi="Times" w:cs="Times"/>
          <w:color w:val="000000"/>
          <w:vertAlign w:val="superscript"/>
        </w:rPr>
        <w:t>2</w:t>
      </w:r>
      <w:r>
        <w:rPr>
          <w:rFonts w:ascii="Times" w:eastAsia="Times" w:hAnsi="Times" w:cs="Times"/>
          <w:color w:val="000000"/>
        </w:rPr>
        <w:t xml:space="preserve"> and QuantiSNP</w:t>
      </w:r>
      <w:r>
        <w:rPr>
          <w:rFonts w:ascii="Times" w:eastAsia="Times" w:hAnsi="Times" w:cs="Times"/>
          <w:color w:val="000000"/>
          <w:vertAlign w:val="superscript"/>
        </w:rPr>
        <w:t>3</w:t>
      </w:r>
      <w:r>
        <w:rPr>
          <w:rFonts w:ascii="Times" w:eastAsia="Times" w:hAnsi="Times" w:cs="Times"/>
          <w:color w:val="000000"/>
        </w:rPr>
        <w:t xml:space="preserve"> using previously published methods </w:t>
      </w:r>
      <w:r>
        <w:rPr>
          <w:rFonts w:ascii="Times" w:eastAsia="Times" w:hAnsi="Times" w:cs="Times"/>
          <w:color w:val="000000"/>
          <w:vertAlign w:val="superscript"/>
        </w:rPr>
        <w:t>4,5</w:t>
      </w:r>
      <w:r>
        <w:rPr>
          <w:rFonts w:ascii="Times" w:eastAsia="Times" w:hAnsi="Times" w:cs="Times"/>
          <w:color w:val="000000"/>
        </w:rPr>
        <w:t>. CNVs were called using both algorithms with the following parameters: number of consecutive probes for CNV detection ≥3, CNV size ≥1Kb, confidence scores ≥15. CNVs detected by both algorithms were combined (</w:t>
      </w:r>
      <w:proofErr w:type="spellStart"/>
      <w:r>
        <w:rPr>
          <w:rFonts w:ascii="Times" w:eastAsia="Times" w:hAnsi="Times" w:cs="Times"/>
          <w:color w:val="000000"/>
        </w:rPr>
        <w:t>CNVision</w:t>
      </w:r>
      <w:proofErr w:type="spellEnd"/>
      <w:r>
        <w:rPr>
          <w:rFonts w:ascii="Times" w:eastAsia="Times" w:hAnsi="Times" w:cs="Times"/>
          <w:color w:val="000000"/>
        </w:rPr>
        <w:t>)</w:t>
      </w:r>
      <w:r>
        <w:rPr>
          <w:rFonts w:ascii="Times" w:eastAsia="Times" w:hAnsi="Times" w:cs="Times"/>
          <w:color w:val="000000"/>
          <w:vertAlign w:val="superscript"/>
        </w:rPr>
        <w:t>6</w:t>
      </w:r>
      <w:r>
        <w:rPr>
          <w:rFonts w:ascii="Times" w:eastAsia="Times" w:hAnsi="Times" w:cs="Times"/>
          <w:color w:val="000000"/>
        </w:rPr>
        <w:t xml:space="preserve"> to minimize the number of potential false discoveries. After this merging step, the CNV inheritance analysis algorithm (in-house algorithm), was applied to concatenate adjacent CNVs (same type) into one, according to the following criteria: a) gap between CNVs ≤150 kb; b) size of the CNVs ≥ 1000 bp; and c) number of probes ≥ 3. CNV filtering steps were previously published. After filtering array according to their quality, we applied filtering for CNVs. The CNVs with the following criteria were selected for analysis: confidence score ≥ 30 (with at least one of both detection algorithms), size ≥ 50 kb, unambiguous type (deletions or duplications). Every recurrent CNV was manually visualized by at least one individual.</w:t>
      </w:r>
    </w:p>
    <w:p w:rsidR="00495D87" w:rsidRDefault="00495D87">
      <w:pPr>
        <w:pBdr>
          <w:top w:val="nil"/>
          <w:left w:val="nil"/>
          <w:bottom w:val="nil"/>
          <w:right w:val="nil"/>
          <w:between w:val="nil"/>
        </w:pBdr>
        <w:shd w:val="clear" w:color="auto" w:fill="FFFFFF"/>
        <w:spacing w:line="276" w:lineRule="auto"/>
        <w:rPr>
          <w:rFonts w:ascii="Times" w:eastAsia="Times" w:hAnsi="Times" w:cs="Times"/>
          <w:i/>
          <w:color w:val="000000"/>
        </w:rPr>
      </w:pPr>
    </w:p>
    <w:p w:rsidR="00495D87" w:rsidRDefault="00000000">
      <w:pPr>
        <w:pStyle w:val="Sous-titre"/>
        <w:spacing w:line="276" w:lineRule="auto"/>
      </w:pPr>
      <w:bookmarkStart w:id="13" w:name="_swuhctm91r5y" w:colFirst="0" w:colLast="0"/>
      <w:bookmarkEnd w:id="13"/>
      <w:r>
        <w:t>Annotation of CNVs.</w:t>
      </w:r>
    </w:p>
    <w:p w:rsidR="00495D87" w:rsidRDefault="00000000">
      <w:pPr>
        <w:pBdr>
          <w:top w:val="nil"/>
          <w:left w:val="nil"/>
          <w:bottom w:val="nil"/>
          <w:right w:val="nil"/>
          <w:between w:val="nil"/>
        </w:pBdr>
        <w:spacing w:line="276" w:lineRule="auto"/>
        <w:rPr>
          <w:rFonts w:ascii="Times" w:eastAsia="Times" w:hAnsi="Times" w:cs="Times"/>
          <w:color w:val="000000"/>
        </w:rPr>
      </w:pPr>
      <w:r>
        <w:rPr>
          <w:rFonts w:ascii="Times" w:eastAsia="Times" w:hAnsi="Times" w:cs="Times"/>
          <w:color w:val="000000"/>
        </w:rPr>
        <w:t xml:space="preserve">We used </w:t>
      </w:r>
      <w:proofErr w:type="spellStart"/>
      <w:r>
        <w:rPr>
          <w:rFonts w:ascii="Times" w:eastAsia="Times" w:hAnsi="Times" w:cs="Times"/>
          <w:color w:val="000000"/>
        </w:rPr>
        <w:t>bedtools</w:t>
      </w:r>
      <w:proofErr w:type="spellEnd"/>
      <w:r>
        <w:rPr>
          <w:rFonts w:ascii="Times" w:eastAsia="Times" w:hAnsi="Times" w:cs="Times"/>
          <w:color w:val="000000"/>
        </w:rPr>
        <w:t xml:space="preserve"> suite (</w:t>
      </w:r>
      <w:hyperlink r:id="rId9">
        <w:r>
          <w:rPr>
            <w:rFonts w:ascii="Times" w:eastAsia="Times" w:hAnsi="Times" w:cs="Times"/>
            <w:color w:val="000000"/>
            <w:u w:val="single"/>
          </w:rPr>
          <w:t>https://bedtools.readthedocs.io/en/latest/</w:t>
        </w:r>
      </w:hyperlink>
      <w:r>
        <w:rPr>
          <w:rFonts w:ascii="Times" w:eastAsia="Times" w:hAnsi="Times" w:cs="Times"/>
          <w:color w:val="000000"/>
        </w:rPr>
        <w:t>) to compare the different elements of the genes that overlap CNVs (UTRs, start and stop codons, exons and introns). Thus, for each CNV, we obtained its proportion of overlap with each gene as well as with each gene component (UTR, Coding exons, start and stop codons, introns).</w:t>
      </w:r>
    </w:p>
    <w:p w:rsidR="00495D87" w:rsidRDefault="00495D87">
      <w:pPr>
        <w:pBdr>
          <w:top w:val="nil"/>
          <w:left w:val="nil"/>
          <w:bottom w:val="nil"/>
          <w:right w:val="nil"/>
          <w:between w:val="nil"/>
        </w:pBdr>
        <w:spacing w:before="240" w:after="120" w:line="276" w:lineRule="auto"/>
        <w:jc w:val="both"/>
        <w:rPr>
          <w:rFonts w:ascii="Times" w:eastAsia="Times" w:hAnsi="Times" w:cs="Times"/>
          <w:color w:val="000000"/>
        </w:rPr>
      </w:pPr>
    </w:p>
    <w:sectPr w:rsidR="00495D87">
      <w:footerReference w:type="default" r:id="rId10"/>
      <w:footerReference w:type="first" r:id="rId11"/>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444AE" w:rsidRDefault="001444AE">
      <w:r>
        <w:separator/>
      </w:r>
    </w:p>
  </w:endnote>
  <w:endnote w:type="continuationSeparator" w:id="0">
    <w:p w:rsidR="001444AE" w:rsidRDefault="00144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95D87" w:rsidRDefault="00000000">
    <w:pPr>
      <w:jc w:val="right"/>
    </w:pPr>
    <w:r>
      <w:fldChar w:fldCharType="begin"/>
    </w:r>
    <w:r>
      <w:instrText>PAGE</w:instrText>
    </w:r>
    <w:r>
      <w:fldChar w:fldCharType="separate"/>
    </w:r>
    <w:r w:rsidR="00F10000">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95D87" w:rsidRDefault="00000000">
    <w:pPr>
      <w:jc w:val="right"/>
    </w:pPr>
    <w:r>
      <w:fldChar w:fldCharType="begin"/>
    </w:r>
    <w:r>
      <w:instrText>PAGE</w:instrText>
    </w:r>
    <w:r>
      <w:fldChar w:fldCharType="separate"/>
    </w:r>
    <w:r w:rsidR="00F1000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444AE" w:rsidRDefault="001444AE">
      <w:r>
        <w:separator/>
      </w:r>
    </w:p>
  </w:footnote>
  <w:footnote w:type="continuationSeparator" w:id="0">
    <w:p w:rsidR="001444AE" w:rsidRDefault="001444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D87"/>
    <w:rsid w:val="001444AE"/>
    <w:rsid w:val="00495D87"/>
    <w:rsid w:val="00F1000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4:docId w14:val="4652D54D"/>
  <w15:docId w15:val="{35190BD7-4605-9D42-B976-16EBAB58A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hd w:val="clear" w:color="auto" w:fill="FFFFFF"/>
      <w:spacing w:line="360" w:lineRule="auto"/>
      <w:jc w:val="both"/>
    </w:pPr>
    <w:rPr>
      <w: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iobank.ndph.ox.ac.uk/ukb/search.cgi"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bedtools.readthedocs.io/en/lat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944</Words>
  <Characters>5193</Characters>
  <Application>Microsoft Office Word</Application>
  <DocSecurity>0</DocSecurity>
  <Lines>43</Lines>
  <Paragraphs>12</Paragraphs>
  <ScaleCrop>false</ScaleCrop>
  <Company/>
  <LinksUpToDate>false</LinksUpToDate>
  <CharactersWithSpaces>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Cécile Poulain</cp:lastModifiedBy>
  <cp:revision>2</cp:revision>
  <dcterms:created xsi:type="dcterms:W3CDTF">2024-10-03T21:08:00Z</dcterms:created>
  <dcterms:modified xsi:type="dcterms:W3CDTF">2024-10-03T21:09:00Z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zotero-version="6.0.4"&gt;&lt;session id="ouCP6qJD"/&gt;&lt;style id="http://www.zotero.org/styles/american-medical-association" hasBibliography="1" bibliographyStyleHasBeenSet="0"/&gt;&lt;prefs&gt;&lt;pref name="fieldType" value="Field"/&gt;&lt;/prefs&gt;&lt;/data&gt;</vt:lpwstr>
  </property>
</Properties>
</file>