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A01FD" w14:textId="77777777" w:rsidR="006C1B81" w:rsidRDefault="006C1B81" w:rsidP="006C1B81">
      <w:pPr>
        <w:tabs>
          <w:tab w:val="left" w:pos="5641"/>
        </w:tabs>
        <w:rPr>
          <w:rFonts w:ascii="Times New Roman" w:hAnsi="Times New Roman" w:cs="Times New Roman"/>
          <w:b/>
          <w:bCs/>
          <w:sz w:val="24"/>
          <w:szCs w:val="24"/>
        </w:rPr>
      </w:pPr>
    </w:p>
    <w:p w14:paraId="32BB32CF" w14:textId="77777777" w:rsidR="006C1B81" w:rsidRDefault="006C1B81" w:rsidP="006C1B81">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Supplemental Material</w:t>
      </w:r>
    </w:p>
    <w:p w14:paraId="5298F841" w14:textId="77777777" w:rsidR="006C1B81" w:rsidRPr="00140561" w:rsidRDefault="006C1B81" w:rsidP="006C1B81">
      <w:pPr>
        <w:rPr>
          <w:rFonts w:ascii="Times New Roman" w:hAnsi="Times New Roman" w:cs="Times New Roman"/>
          <w:sz w:val="24"/>
          <w:szCs w:val="24"/>
        </w:rPr>
      </w:pPr>
      <w:r w:rsidRPr="00140561">
        <w:rPr>
          <w:rFonts w:ascii="Times New Roman" w:hAnsi="Times New Roman" w:cs="Times New Roman"/>
          <w:sz w:val="24"/>
          <w:szCs w:val="24"/>
        </w:rPr>
        <w:t>Supplemental Material 1. Search algorithm</w:t>
      </w:r>
    </w:p>
    <w:p w14:paraId="5178B346" w14:textId="77777777" w:rsidR="006C1B81" w:rsidRPr="00A83AAE" w:rsidRDefault="006C1B81" w:rsidP="006C1B81">
      <w:pPr>
        <w:rPr>
          <w:rFonts w:ascii="Times New Roman" w:hAnsi="Times New Roman" w:cs="Times New Roman"/>
          <w:b/>
          <w:bCs/>
          <w:sz w:val="24"/>
          <w:szCs w:val="24"/>
        </w:rPr>
      </w:pPr>
      <w:r w:rsidRPr="00A83AAE">
        <w:rPr>
          <w:rFonts w:ascii="Times New Roman" w:hAnsi="Times New Roman" w:cs="Times New Roman"/>
          <w:b/>
          <w:bCs/>
          <w:sz w:val="24"/>
          <w:szCs w:val="24"/>
        </w:rPr>
        <w:t>Cochrane Central Register of Controlled Trials</w:t>
      </w:r>
    </w:p>
    <w:p w14:paraId="1E826038" w14:textId="77777777" w:rsidR="006C1B81" w:rsidRPr="00A83AAE" w:rsidRDefault="006C1B81" w:rsidP="006C1B81">
      <w:pPr>
        <w:rPr>
          <w:rFonts w:ascii="Times New Roman" w:hAnsi="Times New Roman" w:cs="Times New Roman"/>
          <w:sz w:val="24"/>
          <w:szCs w:val="24"/>
        </w:rPr>
      </w:pPr>
      <w:r w:rsidRPr="00A83AAE">
        <w:rPr>
          <w:rFonts w:ascii="Times New Roman" w:hAnsi="Times New Roman" w:cs="Times New Roman"/>
          <w:sz w:val="24"/>
          <w:szCs w:val="24"/>
        </w:rPr>
        <w:t>Trials matching esophageal cancer in All Text AND "recurrence"</w:t>
      </w:r>
      <w:r>
        <w:rPr>
          <w:rFonts w:ascii="Times New Roman" w:hAnsi="Times New Roman" w:cs="Times New Roman"/>
          <w:sz w:val="24"/>
          <w:szCs w:val="24"/>
        </w:rPr>
        <w:t xml:space="preserve"> </w:t>
      </w:r>
      <w:r w:rsidRPr="00A83AAE">
        <w:rPr>
          <w:rFonts w:ascii="Times New Roman" w:hAnsi="Times New Roman" w:cs="Times New Roman"/>
          <w:sz w:val="24"/>
          <w:szCs w:val="24"/>
        </w:rPr>
        <w:t>in All Text - with Publication Year from 2000 to 2023, with Cochrane Library publication date Between Jan 2000 and Dec 2023, in Trials (Word variations have been searched)</w:t>
      </w:r>
    </w:p>
    <w:p w14:paraId="0AB20B61" w14:textId="77777777" w:rsidR="006C1B81" w:rsidRPr="00A83AAE" w:rsidRDefault="006C1B81" w:rsidP="006C1B81">
      <w:pPr>
        <w:rPr>
          <w:rFonts w:ascii="Times New Roman" w:hAnsi="Times New Roman" w:cs="Times New Roman"/>
          <w:sz w:val="24"/>
          <w:szCs w:val="24"/>
        </w:rPr>
      </w:pPr>
      <w:r w:rsidRPr="00A83AAE">
        <w:rPr>
          <w:rFonts w:ascii="Times New Roman" w:hAnsi="Times New Roman" w:cs="Times New Roman"/>
          <w:sz w:val="24"/>
          <w:szCs w:val="24"/>
        </w:rPr>
        <w:t>N = 763</w:t>
      </w:r>
    </w:p>
    <w:p w14:paraId="6B6B4334" w14:textId="77777777" w:rsidR="006C1B81" w:rsidRPr="00A83AAE" w:rsidRDefault="006C1B81" w:rsidP="006C1B81">
      <w:pPr>
        <w:rPr>
          <w:rFonts w:ascii="Times New Roman" w:hAnsi="Times New Roman" w:cs="Times New Roman"/>
          <w:sz w:val="24"/>
          <w:szCs w:val="24"/>
        </w:rPr>
      </w:pPr>
    </w:p>
    <w:p w14:paraId="0CFE2039" w14:textId="77777777" w:rsidR="006C1B81" w:rsidRPr="00A83AAE" w:rsidRDefault="006C1B81" w:rsidP="006C1B81">
      <w:pPr>
        <w:rPr>
          <w:rFonts w:ascii="Times New Roman" w:hAnsi="Times New Roman" w:cs="Times New Roman"/>
          <w:b/>
          <w:bCs/>
          <w:sz w:val="24"/>
          <w:szCs w:val="24"/>
        </w:rPr>
      </w:pPr>
      <w:r w:rsidRPr="00A83AAE">
        <w:rPr>
          <w:rFonts w:ascii="Times New Roman" w:hAnsi="Times New Roman" w:cs="Times New Roman"/>
          <w:b/>
          <w:bCs/>
          <w:sz w:val="24"/>
          <w:szCs w:val="24"/>
        </w:rPr>
        <w:t>Web of Science</w:t>
      </w:r>
    </w:p>
    <w:p w14:paraId="0C26E7C7" w14:textId="77777777" w:rsidR="006C1B81" w:rsidRPr="00A83AAE" w:rsidRDefault="006C1B81" w:rsidP="006C1B81">
      <w:pPr>
        <w:rPr>
          <w:rFonts w:ascii="Times New Roman" w:hAnsi="Times New Roman" w:cs="Times New Roman"/>
          <w:sz w:val="24"/>
          <w:szCs w:val="24"/>
        </w:rPr>
      </w:pPr>
      <w:r w:rsidRPr="00A83AAE">
        <w:rPr>
          <w:rFonts w:ascii="Times New Roman" w:hAnsi="Times New Roman" w:cs="Times New Roman"/>
          <w:sz w:val="24"/>
          <w:szCs w:val="24"/>
        </w:rPr>
        <w:t>((ALL=(Esophageal cancer)) AND ALL=(recurrence) AND ALL=(randomized trial) and Article (Document Types) and 1.95 Gastrointestinal &amp; Esophageal Diseases (Citation Topics Meso) and 1.95.756 Esophageal Cancer (Citation Topics Micro) and English (Languages) and Gastroenterology Hepatology or Surgery or Oncology or Radiology Nuclear Medicine Medical Imaging (Web of Science Categories)</w:t>
      </w:r>
    </w:p>
    <w:p w14:paraId="4B967231" w14:textId="77777777" w:rsidR="006C1B81" w:rsidRPr="00A83AAE" w:rsidRDefault="006C1B81" w:rsidP="006C1B81">
      <w:pPr>
        <w:rPr>
          <w:rFonts w:ascii="Times New Roman" w:hAnsi="Times New Roman" w:cs="Times New Roman"/>
          <w:sz w:val="24"/>
          <w:szCs w:val="24"/>
        </w:rPr>
      </w:pPr>
      <w:r w:rsidRPr="00A83AAE">
        <w:rPr>
          <w:rFonts w:ascii="Times New Roman" w:hAnsi="Times New Roman" w:cs="Times New Roman"/>
          <w:sz w:val="24"/>
          <w:szCs w:val="24"/>
        </w:rPr>
        <w:t>| Timespan: 2000-01-01 to 2023-12-31 (Publication Date)</w:t>
      </w:r>
    </w:p>
    <w:p w14:paraId="65A7A4C7" w14:textId="77777777" w:rsidR="006C1B81" w:rsidRPr="00A83AAE" w:rsidRDefault="006C1B81" w:rsidP="006C1B81">
      <w:pPr>
        <w:rPr>
          <w:rFonts w:ascii="Times New Roman" w:hAnsi="Times New Roman" w:cs="Times New Roman"/>
          <w:sz w:val="24"/>
          <w:szCs w:val="24"/>
        </w:rPr>
      </w:pPr>
      <w:r w:rsidRPr="00A83AAE">
        <w:rPr>
          <w:rFonts w:ascii="Times New Roman" w:hAnsi="Times New Roman" w:cs="Times New Roman"/>
          <w:sz w:val="24"/>
          <w:szCs w:val="24"/>
        </w:rPr>
        <w:t>N = 153</w:t>
      </w:r>
    </w:p>
    <w:p w14:paraId="6B696478" w14:textId="77777777" w:rsidR="006C1B81" w:rsidRPr="00A83AAE" w:rsidRDefault="006C1B81" w:rsidP="006C1B81">
      <w:pPr>
        <w:rPr>
          <w:rFonts w:ascii="Times New Roman" w:hAnsi="Times New Roman" w:cs="Times New Roman"/>
          <w:sz w:val="24"/>
          <w:szCs w:val="24"/>
        </w:rPr>
      </w:pPr>
    </w:p>
    <w:p w14:paraId="45404B4D" w14:textId="77777777" w:rsidR="006C1B81" w:rsidRPr="00A83AAE" w:rsidRDefault="006C1B81" w:rsidP="006C1B81">
      <w:pPr>
        <w:rPr>
          <w:rFonts w:ascii="Times New Roman" w:hAnsi="Times New Roman" w:cs="Times New Roman"/>
          <w:b/>
          <w:bCs/>
          <w:sz w:val="24"/>
          <w:szCs w:val="24"/>
        </w:rPr>
      </w:pPr>
      <w:r w:rsidRPr="00A83AAE">
        <w:rPr>
          <w:rFonts w:ascii="Times New Roman" w:hAnsi="Times New Roman" w:cs="Times New Roman"/>
          <w:b/>
          <w:bCs/>
          <w:sz w:val="24"/>
          <w:szCs w:val="24"/>
        </w:rPr>
        <w:t>PubMed</w:t>
      </w:r>
    </w:p>
    <w:p w14:paraId="4E959E9D" w14:textId="77777777" w:rsidR="006C1B81" w:rsidRPr="00A83AAE" w:rsidRDefault="006C1B81" w:rsidP="006C1B81">
      <w:pPr>
        <w:rPr>
          <w:rFonts w:ascii="Times New Roman" w:hAnsi="Times New Roman" w:cs="Times New Roman"/>
          <w:sz w:val="24"/>
          <w:szCs w:val="24"/>
        </w:rPr>
      </w:pPr>
      <w:r w:rsidRPr="00A83AAE">
        <w:rPr>
          <w:rFonts w:ascii="Times New Roman" w:hAnsi="Times New Roman" w:cs="Times New Roman"/>
          <w:sz w:val="24"/>
          <w:szCs w:val="24"/>
        </w:rPr>
        <w:t>("Esophageal Neoplasms"[MeSH Terms] AND "neoplasm recurrence, local"[MeSH Terms]) AND ((randomizedcontrolledtrial[Filter]) AND (2000/1/1:2023/12/31[pdat]))</w:t>
      </w:r>
    </w:p>
    <w:p w14:paraId="5CF2DE7A" w14:textId="77777777" w:rsidR="006C1B81" w:rsidRDefault="006C1B81" w:rsidP="006C1B81">
      <w:pPr>
        <w:rPr>
          <w:rFonts w:ascii="Times New Roman" w:hAnsi="Times New Roman" w:cs="Times New Roman"/>
          <w:sz w:val="24"/>
          <w:szCs w:val="24"/>
        </w:rPr>
      </w:pPr>
      <w:r w:rsidRPr="00A83AAE">
        <w:rPr>
          <w:rFonts w:ascii="Times New Roman" w:hAnsi="Times New Roman" w:cs="Times New Roman"/>
          <w:sz w:val="24"/>
          <w:szCs w:val="24"/>
        </w:rPr>
        <w:t>N = 59</w:t>
      </w:r>
    </w:p>
    <w:p w14:paraId="6C4DC84F" w14:textId="77777777" w:rsidR="006C1B81" w:rsidRPr="00A83AAE" w:rsidRDefault="006C1B81" w:rsidP="006C1B81">
      <w:pPr>
        <w:rPr>
          <w:rFonts w:ascii="Times New Roman" w:hAnsi="Times New Roman" w:cs="Times New Roman"/>
          <w:sz w:val="24"/>
          <w:szCs w:val="24"/>
        </w:rPr>
      </w:pPr>
    </w:p>
    <w:p w14:paraId="7F0A5E4E" w14:textId="77777777" w:rsidR="006C1B81" w:rsidRDefault="006C1B81" w:rsidP="006C1B81">
      <w:pPr>
        <w:spacing w:after="0" w:line="480" w:lineRule="auto"/>
        <w:jc w:val="both"/>
        <w:rPr>
          <w:rFonts w:ascii="Times New Roman" w:hAnsi="Times New Roman" w:cs="Times New Roman"/>
          <w:b/>
          <w:bCs/>
          <w:sz w:val="24"/>
          <w:szCs w:val="24"/>
        </w:rPr>
      </w:pPr>
    </w:p>
    <w:p w14:paraId="4BD0CDD9" w14:textId="77777777" w:rsidR="006C1B81" w:rsidRDefault="006C1B81" w:rsidP="006C1B81">
      <w:pPr>
        <w:spacing w:after="0" w:line="480" w:lineRule="auto"/>
        <w:jc w:val="both"/>
        <w:rPr>
          <w:rFonts w:ascii="Times New Roman" w:hAnsi="Times New Roman" w:cs="Times New Roman"/>
          <w:b/>
          <w:bCs/>
          <w:sz w:val="24"/>
          <w:szCs w:val="24"/>
        </w:rPr>
      </w:pPr>
    </w:p>
    <w:p w14:paraId="2475CCE2" w14:textId="77777777" w:rsidR="006C1B81" w:rsidRDefault="006C1B81" w:rsidP="006C1B81">
      <w:pPr>
        <w:spacing w:before="240" w:line="360" w:lineRule="auto"/>
        <w:jc w:val="both"/>
        <w:rPr>
          <w:rFonts w:ascii="Times New Roman" w:hAnsi="Times New Roman" w:cs="Times New Roman"/>
          <w:b/>
          <w:bCs/>
          <w:sz w:val="24"/>
          <w:szCs w:val="24"/>
        </w:rPr>
      </w:pPr>
    </w:p>
    <w:p w14:paraId="5641C5C7" w14:textId="77777777" w:rsidR="006C1B81" w:rsidRDefault="006C1B81" w:rsidP="006C1B81">
      <w:pPr>
        <w:spacing w:before="240" w:line="360" w:lineRule="auto"/>
        <w:jc w:val="both"/>
        <w:rPr>
          <w:rFonts w:ascii="Times New Roman" w:hAnsi="Times New Roman" w:cs="Times New Roman"/>
          <w:b/>
          <w:bCs/>
          <w:sz w:val="24"/>
          <w:szCs w:val="24"/>
        </w:rPr>
      </w:pPr>
    </w:p>
    <w:p w14:paraId="344D4EAB" w14:textId="77777777" w:rsidR="006C1B81" w:rsidRDefault="006C1B81" w:rsidP="006C1B81">
      <w:pPr>
        <w:spacing w:before="240" w:line="360" w:lineRule="auto"/>
        <w:jc w:val="both"/>
        <w:rPr>
          <w:rFonts w:ascii="Times New Roman" w:hAnsi="Times New Roman" w:cs="Times New Roman"/>
          <w:b/>
          <w:bCs/>
          <w:sz w:val="24"/>
          <w:szCs w:val="24"/>
        </w:rPr>
      </w:pPr>
    </w:p>
    <w:p w14:paraId="14CFB4C4" w14:textId="6DBF65CA" w:rsidR="006C1B81" w:rsidRDefault="006C1B81" w:rsidP="006C1B81">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8270698" wp14:editId="3C34E935">
            <wp:extent cx="5943600" cy="4328160"/>
            <wp:effectExtent l="0" t="0" r="0" b="0"/>
            <wp:docPr id="82550037" name="Picture 4" descr="A diagram of a hazard rati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49045" name="Picture 4" descr="A diagram of a hazard rati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43600" cy="4328160"/>
                    </a:xfrm>
                    <a:prstGeom prst="rect">
                      <a:avLst/>
                    </a:prstGeom>
                  </pic:spPr>
                </pic:pic>
              </a:graphicData>
            </a:graphic>
          </wp:inline>
        </w:drawing>
      </w:r>
      <w:r w:rsidRPr="00140561">
        <w:rPr>
          <w:rFonts w:ascii="Times New Roman" w:hAnsi="Times New Roman" w:cs="Times New Roman"/>
          <w:sz w:val="24"/>
          <w:szCs w:val="24"/>
        </w:rPr>
        <w:t xml:space="preserve">Supplemental </w:t>
      </w:r>
      <w:r w:rsidR="00491046">
        <w:rPr>
          <w:rFonts w:ascii="Times New Roman" w:hAnsi="Times New Roman" w:cs="Times New Roman"/>
          <w:sz w:val="24"/>
          <w:szCs w:val="24"/>
        </w:rPr>
        <w:t>Figure 1</w:t>
      </w:r>
      <w:r w:rsidRPr="00140561">
        <w:rPr>
          <w:rFonts w:ascii="Times New Roman" w:hAnsi="Times New Roman" w:cs="Times New Roman"/>
          <w:sz w:val="24"/>
          <w:szCs w:val="24"/>
        </w:rPr>
        <w:t>.</w:t>
      </w:r>
      <w:r w:rsidRPr="00BE0CE7">
        <w:rPr>
          <w:rFonts w:ascii="Times New Roman" w:hAnsi="Times New Roman" w:cs="Times New Roman"/>
          <w:sz w:val="24"/>
          <w:szCs w:val="24"/>
        </w:rPr>
        <w:t xml:space="preserve"> </w:t>
      </w:r>
      <w:r>
        <w:rPr>
          <w:rFonts w:ascii="Times New Roman" w:hAnsi="Times New Roman" w:cs="Times New Roman"/>
          <w:sz w:val="24"/>
          <w:szCs w:val="24"/>
        </w:rPr>
        <w:t>Symmetrical funnel plot of individual study overall survival hazard-ratio estimates.</w:t>
      </w:r>
    </w:p>
    <w:p w14:paraId="7F5670FB" w14:textId="77777777" w:rsidR="006C1B81" w:rsidRDefault="006C1B81" w:rsidP="006C1B8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Footnote: Triangular region within dashed line shows 95% confidence range of effect estimates adjusted for sample size of individual studies.</w:t>
      </w:r>
    </w:p>
    <w:p w14:paraId="32394CB6" w14:textId="77777777" w:rsidR="006C1B81" w:rsidRDefault="006C1B81" w:rsidP="006C1B8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B40C1F3" w14:textId="77777777" w:rsidR="006C1B81" w:rsidRDefault="006C1B81" w:rsidP="006C1B81">
      <w:pPr>
        <w:spacing w:after="0" w:line="480" w:lineRule="auto"/>
        <w:jc w:val="both"/>
        <w:rPr>
          <w:rFonts w:ascii="Times New Roman" w:hAnsi="Times New Roman" w:cs="Times New Roman"/>
          <w:sz w:val="24"/>
          <w:szCs w:val="24"/>
        </w:rPr>
        <w:sectPr w:rsidR="006C1B81" w:rsidSect="006C1B81">
          <w:pgSz w:w="12240" w:h="15840"/>
          <w:pgMar w:top="1440" w:right="1440" w:bottom="1440" w:left="1440" w:header="720" w:footer="720" w:gutter="0"/>
          <w:cols w:space="720"/>
          <w:docGrid w:linePitch="360"/>
        </w:sectPr>
      </w:pPr>
    </w:p>
    <w:p w14:paraId="5E5D6D54" w14:textId="3C666D3A" w:rsidR="006C1B81" w:rsidRDefault="006C1B81" w:rsidP="006C1B81">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4E376FC" wp14:editId="35588E7E">
            <wp:extent cx="5029200" cy="3657600"/>
            <wp:effectExtent l="0" t="0" r="0" b="0"/>
            <wp:docPr id="1068695095" name="Picture 5" descr="A diagram of a hazard rati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760728" name="Picture 5" descr="A diagram of a hazard rati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029200" cy="3657600"/>
                    </a:xfrm>
                    <a:prstGeom prst="rect">
                      <a:avLst/>
                    </a:prstGeom>
                  </pic:spPr>
                </pic:pic>
              </a:graphicData>
            </a:graphic>
          </wp:inline>
        </w:drawing>
      </w:r>
    </w:p>
    <w:p w14:paraId="4138187E" w14:textId="58A07254" w:rsidR="006C1B81" w:rsidRDefault="006C1B81" w:rsidP="006C1B81">
      <w:pPr>
        <w:spacing w:after="0" w:line="480" w:lineRule="auto"/>
        <w:jc w:val="both"/>
        <w:rPr>
          <w:rFonts w:ascii="Times New Roman" w:hAnsi="Times New Roman" w:cs="Times New Roman"/>
          <w:sz w:val="24"/>
          <w:szCs w:val="24"/>
        </w:rPr>
      </w:pPr>
      <w:r w:rsidRPr="00140561">
        <w:rPr>
          <w:rFonts w:ascii="Times New Roman" w:hAnsi="Times New Roman" w:cs="Times New Roman"/>
          <w:sz w:val="24"/>
          <w:szCs w:val="24"/>
        </w:rPr>
        <w:t xml:space="preserve">Supplemental </w:t>
      </w:r>
      <w:r w:rsidR="00491046">
        <w:rPr>
          <w:rFonts w:ascii="Times New Roman" w:hAnsi="Times New Roman" w:cs="Times New Roman"/>
          <w:sz w:val="24"/>
          <w:szCs w:val="24"/>
        </w:rPr>
        <w:t xml:space="preserve">Figure </w:t>
      </w:r>
      <w:r w:rsidR="00491046" w:rsidRPr="00491046">
        <w:rPr>
          <w:rFonts w:ascii="Times New Roman" w:hAnsi="Times New Roman" w:cs="Times New Roman"/>
          <w:sz w:val="24"/>
          <w:szCs w:val="24"/>
        </w:rPr>
        <w:t>2</w:t>
      </w:r>
      <w:r w:rsidR="00491046">
        <w:rPr>
          <w:rFonts w:ascii="Times New Roman" w:hAnsi="Times New Roman" w:cs="Times New Roman"/>
          <w:sz w:val="24"/>
          <w:szCs w:val="24"/>
        </w:rPr>
        <w:t xml:space="preserve">. </w:t>
      </w:r>
      <w:r>
        <w:rPr>
          <w:rFonts w:ascii="Times New Roman" w:hAnsi="Times New Roman" w:cs="Times New Roman"/>
          <w:sz w:val="24"/>
          <w:szCs w:val="24"/>
        </w:rPr>
        <w:t xml:space="preserve">Symmetrical funnel plot of individual study </w:t>
      </w:r>
      <w:r w:rsidRPr="00CE0F62">
        <w:rPr>
          <w:rFonts w:ascii="Times New Roman" w:hAnsi="Times New Roman" w:cs="Times New Roman"/>
          <w:sz w:val="24"/>
          <w:szCs w:val="24"/>
        </w:rPr>
        <w:t>recurrence</w:t>
      </w:r>
      <w:r>
        <w:rPr>
          <w:rFonts w:ascii="Times New Roman" w:hAnsi="Times New Roman" w:cs="Times New Roman"/>
          <w:sz w:val="24"/>
          <w:szCs w:val="24"/>
        </w:rPr>
        <w:t>-/disease-</w:t>
      </w:r>
      <w:r w:rsidRPr="00CE0F62">
        <w:rPr>
          <w:rFonts w:ascii="Times New Roman" w:hAnsi="Times New Roman" w:cs="Times New Roman"/>
          <w:sz w:val="24"/>
          <w:szCs w:val="24"/>
        </w:rPr>
        <w:t>free survival</w:t>
      </w:r>
      <w:r>
        <w:rPr>
          <w:rFonts w:ascii="Times New Roman" w:hAnsi="Times New Roman" w:cs="Times New Roman"/>
          <w:sz w:val="24"/>
          <w:szCs w:val="24"/>
        </w:rPr>
        <w:t xml:space="preserve"> hazard-ratio estimates.</w:t>
      </w:r>
    </w:p>
    <w:p w14:paraId="20105F9C" w14:textId="77777777" w:rsidR="006C1B81" w:rsidRDefault="006C1B81" w:rsidP="006C1B8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Footnote: Triangular region within dashed line shows 95% confidence range of effect estimates adjusted for sample size of individual studies.</w:t>
      </w:r>
    </w:p>
    <w:p w14:paraId="2F30A23D" w14:textId="77777777" w:rsidR="006C1B81" w:rsidRDefault="006C1B81" w:rsidP="006C1B81">
      <w:pPr>
        <w:spacing w:after="0" w:line="480" w:lineRule="auto"/>
        <w:jc w:val="both"/>
        <w:rPr>
          <w:rFonts w:ascii="Times New Roman" w:hAnsi="Times New Roman" w:cs="Times New Roman"/>
          <w:sz w:val="24"/>
          <w:szCs w:val="24"/>
        </w:rPr>
      </w:pPr>
    </w:p>
    <w:p w14:paraId="77CCCB55" w14:textId="77777777" w:rsidR="006C1B81" w:rsidRDefault="006C1B81" w:rsidP="006C1B81">
      <w:pPr>
        <w:spacing w:after="0" w:line="480" w:lineRule="auto"/>
        <w:jc w:val="both"/>
        <w:rPr>
          <w:rFonts w:ascii="Times New Roman" w:hAnsi="Times New Roman" w:cs="Times New Roman"/>
          <w:sz w:val="24"/>
          <w:szCs w:val="24"/>
        </w:rPr>
        <w:sectPr w:rsidR="006C1B81" w:rsidSect="006C1B81">
          <w:pgSz w:w="12240" w:h="15840"/>
          <w:pgMar w:top="1440" w:right="1440" w:bottom="1440" w:left="1440" w:header="720" w:footer="720" w:gutter="0"/>
          <w:cols w:space="720"/>
          <w:docGrid w:linePitch="360"/>
        </w:sectPr>
      </w:pPr>
    </w:p>
    <w:p w14:paraId="06A17F88" w14:textId="1F80034B" w:rsidR="006C1B81" w:rsidRDefault="006C1B81" w:rsidP="006C1B81">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15F55A9" wp14:editId="6165FEB9">
            <wp:extent cx="7285963" cy="4098354"/>
            <wp:effectExtent l="0" t="0" r="0" b="0"/>
            <wp:docPr id="70291487" name="Picture 6" descr="A graph of a patient's rea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78304" name="Picture 6" descr="A graph of a patient's reaction&#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7304161" cy="4108590"/>
                    </a:xfrm>
                    <a:prstGeom prst="rect">
                      <a:avLst/>
                    </a:prstGeom>
                  </pic:spPr>
                </pic:pic>
              </a:graphicData>
            </a:graphic>
          </wp:inline>
        </w:drawing>
      </w:r>
    </w:p>
    <w:p w14:paraId="7CA63D6C" w14:textId="3963D0A7" w:rsidR="006C1B81" w:rsidRDefault="006C1B81" w:rsidP="006C1B81">
      <w:pPr>
        <w:spacing w:after="0" w:line="480" w:lineRule="auto"/>
        <w:jc w:val="both"/>
        <w:rPr>
          <w:rFonts w:ascii="Times New Roman" w:hAnsi="Times New Roman" w:cs="Times New Roman"/>
          <w:sz w:val="24"/>
          <w:szCs w:val="24"/>
        </w:rPr>
      </w:pPr>
      <w:r w:rsidRPr="00140561">
        <w:rPr>
          <w:rFonts w:ascii="Times New Roman" w:hAnsi="Times New Roman" w:cs="Times New Roman"/>
          <w:sz w:val="24"/>
          <w:szCs w:val="24"/>
        </w:rPr>
        <w:t xml:space="preserve">Supplemental </w:t>
      </w:r>
      <w:r w:rsidR="00491046">
        <w:rPr>
          <w:rFonts w:ascii="Times New Roman" w:hAnsi="Times New Roman" w:cs="Times New Roman"/>
          <w:sz w:val="24"/>
          <w:szCs w:val="24"/>
        </w:rPr>
        <w:t>Figure 3</w:t>
      </w:r>
      <w:r w:rsidRPr="00140561">
        <w:rPr>
          <w:rFonts w:ascii="Times New Roman" w:hAnsi="Times New Roman" w:cs="Times New Roman"/>
          <w:sz w:val="24"/>
          <w:szCs w:val="24"/>
        </w:rPr>
        <w:t>.</w:t>
      </w:r>
      <w:r w:rsidRPr="00BE0CE7">
        <w:rPr>
          <w:rFonts w:ascii="Times New Roman" w:hAnsi="Times New Roman" w:cs="Times New Roman"/>
          <w:sz w:val="24"/>
          <w:szCs w:val="24"/>
        </w:rPr>
        <w:t xml:space="preserve"> </w:t>
      </w:r>
      <w:r w:rsidR="001974C8">
        <w:rPr>
          <w:rFonts w:ascii="Times New Roman" w:hAnsi="Times New Roman" w:cs="Times New Roman"/>
          <w:sz w:val="24"/>
          <w:szCs w:val="24"/>
        </w:rPr>
        <w:t>Unweighted r</w:t>
      </w:r>
      <w:r w:rsidRPr="00BE0CE7">
        <w:rPr>
          <w:rFonts w:ascii="Times New Roman" w:hAnsi="Times New Roman" w:cs="Times New Roman"/>
          <w:sz w:val="24"/>
          <w:szCs w:val="24"/>
        </w:rPr>
        <w:t>egression analysis of treatment effect on overall survival (OS) versus recurrence- or disease-free survival</w:t>
      </w:r>
      <w:r>
        <w:rPr>
          <w:rFonts w:ascii="Times New Roman" w:hAnsi="Times New Roman" w:cs="Times New Roman"/>
          <w:sz w:val="24"/>
          <w:szCs w:val="24"/>
        </w:rPr>
        <w:t xml:space="preserve"> after removing four studies.</w:t>
      </w:r>
    </w:p>
    <w:p w14:paraId="108F6135" w14:textId="77777777" w:rsidR="006C1B81" w:rsidRDefault="006C1B81" w:rsidP="006C1B81">
      <w:pPr>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Footnote: In this sensitivity analysis, five of the selected studies from this analysis that were also included in the Ajani et al.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{"citationID":"f01oKhSG","properties":{"formattedCitation":"(8)","plainCitation":"(8)","noteIndex":0},"citationItems":[{"id":1751,"uris":["http://zotero.org/users/6210453/items/MPI34KHT"],"itemData":{"id":1751,"type":"article-journal","abstract":"OBJECTIVES: To evaluate disease-free survival (DFS) as a surrogate endpoint for overall survival (OS) using aggregate-level data from resectable esophageal or gastroesophageal junction cancer (EC/GEJC) trials assessing therapies in (neo)adjuvant and perioperative settings.\nMETHODS: A systematic literature review was conducted to identify trials reporting OS and DFS, or compatible progression-free survival (PFS). Bivariate random-effects meta-analysis was used to estimate correlation between the treatment effects on DFS/PFS and OS, and weighted linear regression models assuming trial sample sizes as weights were used to estimate surrogacy equations. The primary analysis consisted of trials across all treatment settings, and secondary analysis consisted of trials only in the adjuvant setting. Leave-one-out cross-validation (LOOCV) was performed to measure the stability and predictive accuracy of the surrogacy equations while surrogate threshold effects (STE)-the minimum treatment effect on DFS/PFS that would translate into a positive OS benefit-were derived to measure their usefulness.\nRESULTS: The primary analysis included 26 trials. The estimated correlation coefficient between the hazard ratio (HR) of DFS/PFS (HRDFS/PFS) and HR of OS (HROS) was 0.83 (95% confidence interval [CI]: 0.70-0.90). The estimated surrogacy equation was log(HROS) = 0.80 × log(HRDFS/PFS) with a corresponding STE of 0.82. Reported HROS was within the 95% prediction interval of the predicted HROS from the model for more than 95% of the trials in the LOOCV, indicating a valid model. Secondary analysis included 7 trials with an estimated correlation coefficient of 0.76 (95% CI: 0.18-0.95). Through LOOCV, the surrogacy equation in the adjuvant setting was deemed valid.\nCONCLUSIONS: Our meta-analysis suggests that HRDFS/PFS -where DFS/PFS is defined as time from resection to disease recurrence (local, locoregional, or distant) or death-is correlated to HROS, and a valid and useful surrogate predictor for HROS in the neoadjuvant, perioperative, or adjuvant settings.","container-title":"European Journal of Cancer (Oxford, England: 1990)","DOI":"10.1016/j.ejca.2022.04.027","ISSN":"1879-0852","journalAbbreviation":"Eur J Cancer","language":"eng","note":"PMID: 35605522","page":"119-130","source":"PubMed","title":"Disease-free survival as a surrogate endpoint for overall survival in adults with resectable esophageal or gastroesophageal junction cancer: A correlation meta-analysis","title-short":"Disease-free survival as a surrogate endpoint for overall survival in adults with resectable esophageal or gastroesophageal junction cancer","volume":"170","author":[{"family":"Ajani","given":"Jaffer A."},{"family":"Leung","given":"Lisa"},{"family":"Singh","given":"Prianka"},{"family":"Kurt","given":"Murat"},{"family":"Kim","given":"Inkyu"},{"family":"Pourrahmat","given":"Mir-Masoud"},{"family":"Kanters","given":"Steve"}],"issued":{"date-parts":[["2022",7]]}}}],"schema":"https://github.com/citation-style-language/schema/raw/master/csl-citation.json"} </w:instrText>
      </w:r>
      <w:r>
        <w:rPr>
          <w:rFonts w:ascii="Times New Roman" w:hAnsi="Times New Roman" w:cs="Times New Roman"/>
          <w:sz w:val="24"/>
          <w:szCs w:val="24"/>
        </w:rPr>
        <w:fldChar w:fldCharType="separate"/>
      </w:r>
      <w:r w:rsidRPr="00807AD0">
        <w:rPr>
          <w:rFonts w:ascii="Times New Roman" w:hAnsi="Times New Roman" w:cs="Times New Roman"/>
          <w:sz w:val="24"/>
        </w:rPr>
        <w:t>(8)</w:t>
      </w:r>
      <w:r>
        <w:rPr>
          <w:rFonts w:ascii="Times New Roman" w:hAnsi="Times New Roman" w:cs="Times New Roman"/>
          <w:sz w:val="24"/>
          <w:szCs w:val="24"/>
        </w:rPr>
        <w:fldChar w:fldCharType="end"/>
      </w:r>
      <w:r>
        <w:rPr>
          <w:rFonts w:ascii="Times New Roman" w:hAnsi="Times New Roman" w:cs="Times New Roman"/>
          <w:sz w:val="24"/>
          <w:szCs w:val="24"/>
        </w:rPr>
        <w:t xml:space="preserve"> meta-analysis have been removed. </w:t>
      </w:r>
      <w:r w:rsidRPr="00BE0CE7">
        <w:rPr>
          <w:rFonts w:ascii="Times New Roman" w:hAnsi="Times New Roman" w:cs="Times New Roman"/>
          <w:sz w:val="24"/>
          <w:szCs w:val="24"/>
        </w:rPr>
        <w:t xml:space="preserve">Each </w:t>
      </w:r>
      <w:r>
        <w:rPr>
          <w:rFonts w:ascii="Times New Roman" w:hAnsi="Times New Roman" w:cs="Times New Roman"/>
          <w:sz w:val="24"/>
          <w:szCs w:val="24"/>
        </w:rPr>
        <w:t>point</w:t>
      </w:r>
      <w:r w:rsidRPr="00BE0CE7">
        <w:rPr>
          <w:rFonts w:ascii="Times New Roman" w:hAnsi="Times New Roman" w:cs="Times New Roman"/>
          <w:sz w:val="24"/>
          <w:szCs w:val="24"/>
        </w:rPr>
        <w:t xml:space="preserve"> represents hazard ratios from each of the studies. The shaded area around the line of best fit represents the 95% confidence interval.</w:t>
      </w:r>
    </w:p>
    <w:p w14:paraId="6790E33A" w14:textId="77777777" w:rsidR="006C1B81" w:rsidRDefault="006C1B81" w:rsidP="006C1B81">
      <w:pPr>
        <w:spacing w:before="240" w:line="360" w:lineRule="auto"/>
        <w:jc w:val="both"/>
        <w:rPr>
          <w:rFonts w:ascii="Times New Roman" w:hAnsi="Times New Roman" w:cs="Times New Roman"/>
          <w:b/>
          <w:bCs/>
          <w:sz w:val="24"/>
          <w:szCs w:val="24"/>
        </w:rPr>
      </w:pPr>
    </w:p>
    <w:p w14:paraId="3C6A1205" w14:textId="77777777" w:rsidR="006C1B81" w:rsidRPr="00546CC7" w:rsidRDefault="006C1B81" w:rsidP="006C1B81">
      <w:pPr>
        <w:spacing w:after="0" w:line="480" w:lineRule="auto"/>
        <w:jc w:val="both"/>
        <w:rPr>
          <w:rFonts w:ascii="Times New Roman" w:hAnsi="Times New Roman" w:cs="Times New Roman"/>
          <w:b/>
          <w:bCs/>
          <w:sz w:val="24"/>
          <w:szCs w:val="24"/>
        </w:rPr>
      </w:pPr>
    </w:p>
    <w:p w14:paraId="416A89E8" w14:textId="5D0E4612" w:rsidR="003709F0" w:rsidRPr="00546CC7" w:rsidRDefault="003709F0" w:rsidP="00C43EB2">
      <w:pPr>
        <w:spacing w:after="0" w:line="480" w:lineRule="auto"/>
        <w:jc w:val="both"/>
        <w:rPr>
          <w:rFonts w:ascii="Times New Roman" w:hAnsi="Times New Roman" w:cs="Times New Roman"/>
          <w:b/>
          <w:bCs/>
          <w:sz w:val="24"/>
          <w:szCs w:val="24"/>
        </w:rPr>
      </w:pPr>
    </w:p>
    <w:sectPr w:rsidR="003709F0" w:rsidRPr="00546CC7" w:rsidSect="005E50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C7D6B"/>
    <w:multiLevelType w:val="multilevel"/>
    <w:tmpl w:val="8F44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9096D"/>
    <w:multiLevelType w:val="hybridMultilevel"/>
    <w:tmpl w:val="B27CD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3D24BF"/>
    <w:multiLevelType w:val="multilevel"/>
    <w:tmpl w:val="DF762A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647516"/>
    <w:multiLevelType w:val="multilevel"/>
    <w:tmpl w:val="2E7EE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1570B5"/>
    <w:multiLevelType w:val="multilevel"/>
    <w:tmpl w:val="4A88A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4F6531"/>
    <w:multiLevelType w:val="hybridMultilevel"/>
    <w:tmpl w:val="B6520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110EA6"/>
    <w:multiLevelType w:val="hybridMultilevel"/>
    <w:tmpl w:val="6FAA51D2"/>
    <w:lvl w:ilvl="0" w:tplc="FFB8DA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491BD9"/>
    <w:multiLevelType w:val="hybridMultilevel"/>
    <w:tmpl w:val="200CE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0404400">
    <w:abstractNumId w:val="3"/>
  </w:num>
  <w:num w:numId="2" w16cid:durableId="1456293931">
    <w:abstractNumId w:val="2"/>
    <w:lvlOverride w:ilvl="0">
      <w:lvl w:ilvl="0">
        <w:numFmt w:val="decimal"/>
        <w:lvlText w:val="%1."/>
        <w:lvlJc w:val="left"/>
      </w:lvl>
    </w:lvlOverride>
  </w:num>
  <w:num w:numId="3" w16cid:durableId="1056588355">
    <w:abstractNumId w:val="7"/>
  </w:num>
  <w:num w:numId="4" w16cid:durableId="1503205318">
    <w:abstractNumId w:val="6"/>
  </w:num>
  <w:num w:numId="5" w16cid:durableId="80294113">
    <w:abstractNumId w:val="1"/>
  </w:num>
  <w:num w:numId="6" w16cid:durableId="854616987">
    <w:abstractNumId w:val="5"/>
  </w:num>
  <w:num w:numId="7" w16cid:durableId="608776629">
    <w:abstractNumId w:val="0"/>
  </w:num>
  <w:num w:numId="8" w16cid:durableId="1846437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S3NDI0NDI1tzAxNjFS0lEKTi0uzszPAykwNK8FAOLaLBotAAAA"/>
  </w:docVars>
  <w:rsids>
    <w:rsidRoot w:val="00593ABB"/>
    <w:rsid w:val="0000175D"/>
    <w:rsid w:val="000025A2"/>
    <w:rsid w:val="000100F3"/>
    <w:rsid w:val="00024CF6"/>
    <w:rsid w:val="000274D5"/>
    <w:rsid w:val="0002780E"/>
    <w:rsid w:val="00032B54"/>
    <w:rsid w:val="00035375"/>
    <w:rsid w:val="000362E9"/>
    <w:rsid w:val="000370EA"/>
    <w:rsid w:val="000428A8"/>
    <w:rsid w:val="00045D60"/>
    <w:rsid w:val="000463AB"/>
    <w:rsid w:val="0004772A"/>
    <w:rsid w:val="00047A43"/>
    <w:rsid w:val="00050533"/>
    <w:rsid w:val="000507C2"/>
    <w:rsid w:val="0005128B"/>
    <w:rsid w:val="00052FF3"/>
    <w:rsid w:val="000556FB"/>
    <w:rsid w:val="000560AE"/>
    <w:rsid w:val="000612C9"/>
    <w:rsid w:val="00061884"/>
    <w:rsid w:val="00062485"/>
    <w:rsid w:val="000635C6"/>
    <w:rsid w:val="00064429"/>
    <w:rsid w:val="00067DDD"/>
    <w:rsid w:val="000754C1"/>
    <w:rsid w:val="00083685"/>
    <w:rsid w:val="00084BB5"/>
    <w:rsid w:val="00090E8F"/>
    <w:rsid w:val="00092CC5"/>
    <w:rsid w:val="0009637A"/>
    <w:rsid w:val="00096B5E"/>
    <w:rsid w:val="000A2FAF"/>
    <w:rsid w:val="000A3253"/>
    <w:rsid w:val="000A5145"/>
    <w:rsid w:val="000B0A24"/>
    <w:rsid w:val="000B2A2E"/>
    <w:rsid w:val="000B2CC9"/>
    <w:rsid w:val="000B3536"/>
    <w:rsid w:val="000B4003"/>
    <w:rsid w:val="000C029F"/>
    <w:rsid w:val="000C0C96"/>
    <w:rsid w:val="000C13B6"/>
    <w:rsid w:val="000C354E"/>
    <w:rsid w:val="000C6A8C"/>
    <w:rsid w:val="000C79AB"/>
    <w:rsid w:val="000D01F5"/>
    <w:rsid w:val="000D12CA"/>
    <w:rsid w:val="000D29A4"/>
    <w:rsid w:val="000D3FB1"/>
    <w:rsid w:val="000D5423"/>
    <w:rsid w:val="000D55CB"/>
    <w:rsid w:val="000D70BF"/>
    <w:rsid w:val="000E3AC7"/>
    <w:rsid w:val="000F435F"/>
    <w:rsid w:val="000F497A"/>
    <w:rsid w:val="000F4F86"/>
    <w:rsid w:val="000F5155"/>
    <w:rsid w:val="00102107"/>
    <w:rsid w:val="0010397A"/>
    <w:rsid w:val="001052F7"/>
    <w:rsid w:val="001077F6"/>
    <w:rsid w:val="00111AAA"/>
    <w:rsid w:val="00112141"/>
    <w:rsid w:val="001133F1"/>
    <w:rsid w:val="00114325"/>
    <w:rsid w:val="0011468B"/>
    <w:rsid w:val="00117E5F"/>
    <w:rsid w:val="00125EAB"/>
    <w:rsid w:val="0012654C"/>
    <w:rsid w:val="00137257"/>
    <w:rsid w:val="00143BAC"/>
    <w:rsid w:val="0014609C"/>
    <w:rsid w:val="0014742A"/>
    <w:rsid w:val="00150DA7"/>
    <w:rsid w:val="001510A3"/>
    <w:rsid w:val="00154480"/>
    <w:rsid w:val="0015464C"/>
    <w:rsid w:val="001546CD"/>
    <w:rsid w:val="00157A68"/>
    <w:rsid w:val="00157E77"/>
    <w:rsid w:val="00160C77"/>
    <w:rsid w:val="0016108D"/>
    <w:rsid w:val="00176C9B"/>
    <w:rsid w:val="001778EF"/>
    <w:rsid w:val="001810A1"/>
    <w:rsid w:val="001858A7"/>
    <w:rsid w:val="00185F8C"/>
    <w:rsid w:val="001862CE"/>
    <w:rsid w:val="0018716D"/>
    <w:rsid w:val="001906AE"/>
    <w:rsid w:val="00194EB2"/>
    <w:rsid w:val="001974C8"/>
    <w:rsid w:val="00197D92"/>
    <w:rsid w:val="001A43A0"/>
    <w:rsid w:val="001A441D"/>
    <w:rsid w:val="001A7895"/>
    <w:rsid w:val="001B1FC8"/>
    <w:rsid w:val="001C1612"/>
    <w:rsid w:val="001C1670"/>
    <w:rsid w:val="001C3803"/>
    <w:rsid w:val="001C3EC7"/>
    <w:rsid w:val="001D165A"/>
    <w:rsid w:val="001D5A33"/>
    <w:rsid w:val="001D68A0"/>
    <w:rsid w:val="001D6FF0"/>
    <w:rsid w:val="001D7856"/>
    <w:rsid w:val="001D7A0C"/>
    <w:rsid w:val="001E1624"/>
    <w:rsid w:val="001E2325"/>
    <w:rsid w:val="001E3929"/>
    <w:rsid w:val="001E3F7C"/>
    <w:rsid w:val="001E5462"/>
    <w:rsid w:val="001E638B"/>
    <w:rsid w:val="001F2158"/>
    <w:rsid w:val="001F4224"/>
    <w:rsid w:val="00204CBF"/>
    <w:rsid w:val="00205AC4"/>
    <w:rsid w:val="00214B58"/>
    <w:rsid w:val="0021785D"/>
    <w:rsid w:val="0022315D"/>
    <w:rsid w:val="00223652"/>
    <w:rsid w:val="00224428"/>
    <w:rsid w:val="0023217C"/>
    <w:rsid w:val="00232182"/>
    <w:rsid w:val="00234EB6"/>
    <w:rsid w:val="00242CE3"/>
    <w:rsid w:val="00243FC4"/>
    <w:rsid w:val="002450CE"/>
    <w:rsid w:val="002474A0"/>
    <w:rsid w:val="00254F75"/>
    <w:rsid w:val="0025533C"/>
    <w:rsid w:val="00260D5E"/>
    <w:rsid w:val="00265C9D"/>
    <w:rsid w:val="002661C0"/>
    <w:rsid w:val="00266D92"/>
    <w:rsid w:val="0026711A"/>
    <w:rsid w:val="002726CE"/>
    <w:rsid w:val="00272F7A"/>
    <w:rsid w:val="002743A4"/>
    <w:rsid w:val="002772A1"/>
    <w:rsid w:val="00280233"/>
    <w:rsid w:val="002901F6"/>
    <w:rsid w:val="00290207"/>
    <w:rsid w:val="002919B0"/>
    <w:rsid w:val="00292C28"/>
    <w:rsid w:val="00294D54"/>
    <w:rsid w:val="002A5967"/>
    <w:rsid w:val="002A74AC"/>
    <w:rsid w:val="002A7DF4"/>
    <w:rsid w:val="002B45C1"/>
    <w:rsid w:val="002B5C2B"/>
    <w:rsid w:val="002B61AB"/>
    <w:rsid w:val="002B71A0"/>
    <w:rsid w:val="002C095A"/>
    <w:rsid w:val="002C4A51"/>
    <w:rsid w:val="002C7886"/>
    <w:rsid w:val="002C7FE3"/>
    <w:rsid w:val="002D22F3"/>
    <w:rsid w:val="002D4248"/>
    <w:rsid w:val="002D750D"/>
    <w:rsid w:val="002E0FDE"/>
    <w:rsid w:val="002E12D3"/>
    <w:rsid w:val="002E16BC"/>
    <w:rsid w:val="002E29BC"/>
    <w:rsid w:val="002E4DA9"/>
    <w:rsid w:val="002E5306"/>
    <w:rsid w:val="002F13EC"/>
    <w:rsid w:val="002F6467"/>
    <w:rsid w:val="002F77B4"/>
    <w:rsid w:val="003055B3"/>
    <w:rsid w:val="003055EC"/>
    <w:rsid w:val="00306697"/>
    <w:rsid w:val="00311ABB"/>
    <w:rsid w:val="003122D9"/>
    <w:rsid w:val="003151AD"/>
    <w:rsid w:val="00322275"/>
    <w:rsid w:val="003234C0"/>
    <w:rsid w:val="00326AB7"/>
    <w:rsid w:val="003274FD"/>
    <w:rsid w:val="00330B35"/>
    <w:rsid w:val="00330C2F"/>
    <w:rsid w:val="00332F4C"/>
    <w:rsid w:val="00333812"/>
    <w:rsid w:val="00333F45"/>
    <w:rsid w:val="00336119"/>
    <w:rsid w:val="00341B85"/>
    <w:rsid w:val="0035197E"/>
    <w:rsid w:val="00356998"/>
    <w:rsid w:val="0036290D"/>
    <w:rsid w:val="003709F0"/>
    <w:rsid w:val="0037262A"/>
    <w:rsid w:val="0037732F"/>
    <w:rsid w:val="0038229B"/>
    <w:rsid w:val="00382DFE"/>
    <w:rsid w:val="003833B2"/>
    <w:rsid w:val="00384174"/>
    <w:rsid w:val="00386A1E"/>
    <w:rsid w:val="003938F2"/>
    <w:rsid w:val="00393ED7"/>
    <w:rsid w:val="0039433B"/>
    <w:rsid w:val="00395485"/>
    <w:rsid w:val="003A05EA"/>
    <w:rsid w:val="003A301B"/>
    <w:rsid w:val="003A79C2"/>
    <w:rsid w:val="003B0A26"/>
    <w:rsid w:val="003B1FCD"/>
    <w:rsid w:val="003B2729"/>
    <w:rsid w:val="003B296E"/>
    <w:rsid w:val="003B5D49"/>
    <w:rsid w:val="003B5F77"/>
    <w:rsid w:val="003C132A"/>
    <w:rsid w:val="003C1700"/>
    <w:rsid w:val="003C454D"/>
    <w:rsid w:val="003C6025"/>
    <w:rsid w:val="003D1194"/>
    <w:rsid w:val="003D1E2D"/>
    <w:rsid w:val="003D3C2A"/>
    <w:rsid w:val="003E0D2C"/>
    <w:rsid w:val="003F0685"/>
    <w:rsid w:val="003F106C"/>
    <w:rsid w:val="003F505C"/>
    <w:rsid w:val="003F5D0F"/>
    <w:rsid w:val="003F6F35"/>
    <w:rsid w:val="00400867"/>
    <w:rsid w:val="00401D8E"/>
    <w:rsid w:val="00410BA5"/>
    <w:rsid w:val="00412466"/>
    <w:rsid w:val="00414C27"/>
    <w:rsid w:val="00417163"/>
    <w:rsid w:val="004252C3"/>
    <w:rsid w:val="00432590"/>
    <w:rsid w:val="004344EC"/>
    <w:rsid w:val="0043639C"/>
    <w:rsid w:val="004417D2"/>
    <w:rsid w:val="004453F8"/>
    <w:rsid w:val="00446C5D"/>
    <w:rsid w:val="00451E89"/>
    <w:rsid w:val="00456B41"/>
    <w:rsid w:val="004604E2"/>
    <w:rsid w:val="00460F67"/>
    <w:rsid w:val="004624FE"/>
    <w:rsid w:val="004627C7"/>
    <w:rsid w:val="00462849"/>
    <w:rsid w:val="00463BD2"/>
    <w:rsid w:val="00467D29"/>
    <w:rsid w:val="00471F9B"/>
    <w:rsid w:val="00473D21"/>
    <w:rsid w:val="00474961"/>
    <w:rsid w:val="004778D5"/>
    <w:rsid w:val="00483BC0"/>
    <w:rsid w:val="00491046"/>
    <w:rsid w:val="00495082"/>
    <w:rsid w:val="00495263"/>
    <w:rsid w:val="004974CC"/>
    <w:rsid w:val="004A1FC6"/>
    <w:rsid w:val="004A4446"/>
    <w:rsid w:val="004A5041"/>
    <w:rsid w:val="004A5A1C"/>
    <w:rsid w:val="004B01B8"/>
    <w:rsid w:val="004B062E"/>
    <w:rsid w:val="004B20B3"/>
    <w:rsid w:val="004B402A"/>
    <w:rsid w:val="004B52DF"/>
    <w:rsid w:val="004B55C4"/>
    <w:rsid w:val="004B5D6F"/>
    <w:rsid w:val="004B752B"/>
    <w:rsid w:val="004B7794"/>
    <w:rsid w:val="004C148F"/>
    <w:rsid w:val="004C4292"/>
    <w:rsid w:val="004C4342"/>
    <w:rsid w:val="004D0B7C"/>
    <w:rsid w:val="004D0F78"/>
    <w:rsid w:val="004D4219"/>
    <w:rsid w:val="004D7E19"/>
    <w:rsid w:val="004E0B08"/>
    <w:rsid w:val="004E3D3C"/>
    <w:rsid w:val="004E604C"/>
    <w:rsid w:val="004E6C4A"/>
    <w:rsid w:val="004F0E07"/>
    <w:rsid w:val="004F1E65"/>
    <w:rsid w:val="004F32E2"/>
    <w:rsid w:val="004F7608"/>
    <w:rsid w:val="00500A45"/>
    <w:rsid w:val="0050194D"/>
    <w:rsid w:val="00501CDA"/>
    <w:rsid w:val="00510171"/>
    <w:rsid w:val="005101A7"/>
    <w:rsid w:val="00510D48"/>
    <w:rsid w:val="005121A1"/>
    <w:rsid w:val="00521B39"/>
    <w:rsid w:val="00523499"/>
    <w:rsid w:val="0053053E"/>
    <w:rsid w:val="00530C73"/>
    <w:rsid w:val="00531358"/>
    <w:rsid w:val="00531A6A"/>
    <w:rsid w:val="005352F2"/>
    <w:rsid w:val="005377E8"/>
    <w:rsid w:val="00540487"/>
    <w:rsid w:val="00546CC7"/>
    <w:rsid w:val="005533E4"/>
    <w:rsid w:val="0055402C"/>
    <w:rsid w:val="005551D2"/>
    <w:rsid w:val="005619C6"/>
    <w:rsid w:val="00563989"/>
    <w:rsid w:val="0056602A"/>
    <w:rsid w:val="00566262"/>
    <w:rsid w:val="005667F8"/>
    <w:rsid w:val="00570560"/>
    <w:rsid w:val="00571164"/>
    <w:rsid w:val="00573D73"/>
    <w:rsid w:val="005772A3"/>
    <w:rsid w:val="0058151D"/>
    <w:rsid w:val="00593ABB"/>
    <w:rsid w:val="005945A2"/>
    <w:rsid w:val="005951F9"/>
    <w:rsid w:val="00595801"/>
    <w:rsid w:val="005A32AC"/>
    <w:rsid w:val="005A34C7"/>
    <w:rsid w:val="005A5E62"/>
    <w:rsid w:val="005A795C"/>
    <w:rsid w:val="005B19E5"/>
    <w:rsid w:val="005B4566"/>
    <w:rsid w:val="005B48D3"/>
    <w:rsid w:val="005B5260"/>
    <w:rsid w:val="005C110A"/>
    <w:rsid w:val="005C3B2A"/>
    <w:rsid w:val="005C4A91"/>
    <w:rsid w:val="005D57B0"/>
    <w:rsid w:val="005E4A44"/>
    <w:rsid w:val="005E4D56"/>
    <w:rsid w:val="005E5009"/>
    <w:rsid w:val="005E704B"/>
    <w:rsid w:val="005E7DA2"/>
    <w:rsid w:val="005F1451"/>
    <w:rsid w:val="005F2388"/>
    <w:rsid w:val="005F2E87"/>
    <w:rsid w:val="005F6915"/>
    <w:rsid w:val="00600E68"/>
    <w:rsid w:val="00601F49"/>
    <w:rsid w:val="006024F0"/>
    <w:rsid w:val="006062BB"/>
    <w:rsid w:val="006078E7"/>
    <w:rsid w:val="006105BF"/>
    <w:rsid w:val="00611209"/>
    <w:rsid w:val="00614BB2"/>
    <w:rsid w:val="0061660D"/>
    <w:rsid w:val="006166B4"/>
    <w:rsid w:val="006177E6"/>
    <w:rsid w:val="00620A15"/>
    <w:rsid w:val="00625F48"/>
    <w:rsid w:val="00626820"/>
    <w:rsid w:val="00630846"/>
    <w:rsid w:val="006311F8"/>
    <w:rsid w:val="006344D4"/>
    <w:rsid w:val="00636835"/>
    <w:rsid w:val="00636F36"/>
    <w:rsid w:val="006375B5"/>
    <w:rsid w:val="0064273E"/>
    <w:rsid w:val="00642F6C"/>
    <w:rsid w:val="00652633"/>
    <w:rsid w:val="006572BA"/>
    <w:rsid w:val="00662C62"/>
    <w:rsid w:val="006664F7"/>
    <w:rsid w:val="00670AB7"/>
    <w:rsid w:val="0067251E"/>
    <w:rsid w:val="00673DAB"/>
    <w:rsid w:val="00674717"/>
    <w:rsid w:val="00687976"/>
    <w:rsid w:val="00691BC5"/>
    <w:rsid w:val="006A1567"/>
    <w:rsid w:val="006A3FA5"/>
    <w:rsid w:val="006A4BA4"/>
    <w:rsid w:val="006A5B7D"/>
    <w:rsid w:val="006B185B"/>
    <w:rsid w:val="006B3B4C"/>
    <w:rsid w:val="006B451A"/>
    <w:rsid w:val="006B45BB"/>
    <w:rsid w:val="006B4AB1"/>
    <w:rsid w:val="006B513C"/>
    <w:rsid w:val="006B5361"/>
    <w:rsid w:val="006B5F20"/>
    <w:rsid w:val="006C1B81"/>
    <w:rsid w:val="006C1D00"/>
    <w:rsid w:val="006C23C5"/>
    <w:rsid w:val="006C2606"/>
    <w:rsid w:val="006C2B32"/>
    <w:rsid w:val="006C3963"/>
    <w:rsid w:val="006C40AE"/>
    <w:rsid w:val="006D08EF"/>
    <w:rsid w:val="006D43BD"/>
    <w:rsid w:val="006D4BB8"/>
    <w:rsid w:val="006D52AC"/>
    <w:rsid w:val="006D6321"/>
    <w:rsid w:val="006E17C7"/>
    <w:rsid w:val="006E2A68"/>
    <w:rsid w:val="006E4D51"/>
    <w:rsid w:val="006E5E49"/>
    <w:rsid w:val="006E7C55"/>
    <w:rsid w:val="006F5956"/>
    <w:rsid w:val="006F6112"/>
    <w:rsid w:val="007010ED"/>
    <w:rsid w:val="00701F6D"/>
    <w:rsid w:val="00703DC5"/>
    <w:rsid w:val="00704382"/>
    <w:rsid w:val="00704994"/>
    <w:rsid w:val="007125AD"/>
    <w:rsid w:val="007154B2"/>
    <w:rsid w:val="00717FF8"/>
    <w:rsid w:val="007226A9"/>
    <w:rsid w:val="00727D66"/>
    <w:rsid w:val="00731472"/>
    <w:rsid w:val="00735332"/>
    <w:rsid w:val="00740591"/>
    <w:rsid w:val="00741339"/>
    <w:rsid w:val="00744AD5"/>
    <w:rsid w:val="007467B2"/>
    <w:rsid w:val="00751A93"/>
    <w:rsid w:val="007549EE"/>
    <w:rsid w:val="007558EB"/>
    <w:rsid w:val="00761CEC"/>
    <w:rsid w:val="00762E1C"/>
    <w:rsid w:val="00765D7B"/>
    <w:rsid w:val="00767E08"/>
    <w:rsid w:val="00774383"/>
    <w:rsid w:val="00774644"/>
    <w:rsid w:val="0078138A"/>
    <w:rsid w:val="00782FB9"/>
    <w:rsid w:val="00784CC5"/>
    <w:rsid w:val="00790B46"/>
    <w:rsid w:val="00790FE9"/>
    <w:rsid w:val="007924D9"/>
    <w:rsid w:val="007A15AD"/>
    <w:rsid w:val="007A170F"/>
    <w:rsid w:val="007A185D"/>
    <w:rsid w:val="007B4F96"/>
    <w:rsid w:val="007B7E0C"/>
    <w:rsid w:val="007C0354"/>
    <w:rsid w:val="007C30D3"/>
    <w:rsid w:val="007C387C"/>
    <w:rsid w:val="007C6D6D"/>
    <w:rsid w:val="007E0143"/>
    <w:rsid w:val="007E1319"/>
    <w:rsid w:val="007E3148"/>
    <w:rsid w:val="007E5F23"/>
    <w:rsid w:val="007F259A"/>
    <w:rsid w:val="007F2977"/>
    <w:rsid w:val="007F2A07"/>
    <w:rsid w:val="007F39F8"/>
    <w:rsid w:val="007F6EDB"/>
    <w:rsid w:val="00801118"/>
    <w:rsid w:val="008036F9"/>
    <w:rsid w:val="00806984"/>
    <w:rsid w:val="00806A89"/>
    <w:rsid w:val="00806DDE"/>
    <w:rsid w:val="00810866"/>
    <w:rsid w:val="008129A3"/>
    <w:rsid w:val="00814320"/>
    <w:rsid w:val="00816DB1"/>
    <w:rsid w:val="008172F1"/>
    <w:rsid w:val="00820486"/>
    <w:rsid w:val="0082186B"/>
    <w:rsid w:val="0082192F"/>
    <w:rsid w:val="0082203F"/>
    <w:rsid w:val="00830990"/>
    <w:rsid w:val="0083277F"/>
    <w:rsid w:val="00834382"/>
    <w:rsid w:val="0083464A"/>
    <w:rsid w:val="008369B6"/>
    <w:rsid w:val="00836D5A"/>
    <w:rsid w:val="00837BF6"/>
    <w:rsid w:val="00841753"/>
    <w:rsid w:val="008438B8"/>
    <w:rsid w:val="008446E4"/>
    <w:rsid w:val="00851F83"/>
    <w:rsid w:val="00854167"/>
    <w:rsid w:val="00856611"/>
    <w:rsid w:val="00860293"/>
    <w:rsid w:val="0086185E"/>
    <w:rsid w:val="00864379"/>
    <w:rsid w:val="0086440A"/>
    <w:rsid w:val="00865936"/>
    <w:rsid w:val="00866B8B"/>
    <w:rsid w:val="00870F5A"/>
    <w:rsid w:val="00876479"/>
    <w:rsid w:val="008824F1"/>
    <w:rsid w:val="008828D9"/>
    <w:rsid w:val="008845A1"/>
    <w:rsid w:val="00894FEC"/>
    <w:rsid w:val="0089594C"/>
    <w:rsid w:val="00896DC6"/>
    <w:rsid w:val="008A5434"/>
    <w:rsid w:val="008A5610"/>
    <w:rsid w:val="008A7791"/>
    <w:rsid w:val="008A7973"/>
    <w:rsid w:val="008B53BD"/>
    <w:rsid w:val="008C4AFC"/>
    <w:rsid w:val="008D0C14"/>
    <w:rsid w:val="008D1BCB"/>
    <w:rsid w:val="008D57FB"/>
    <w:rsid w:val="008E51A9"/>
    <w:rsid w:val="008E6F30"/>
    <w:rsid w:val="008F0BC9"/>
    <w:rsid w:val="008F180D"/>
    <w:rsid w:val="008F1C2F"/>
    <w:rsid w:val="008F2D34"/>
    <w:rsid w:val="008F42D1"/>
    <w:rsid w:val="008F44BB"/>
    <w:rsid w:val="00901132"/>
    <w:rsid w:val="0090408D"/>
    <w:rsid w:val="00904092"/>
    <w:rsid w:val="00905563"/>
    <w:rsid w:val="00905B43"/>
    <w:rsid w:val="009104D1"/>
    <w:rsid w:val="0091225A"/>
    <w:rsid w:val="00912298"/>
    <w:rsid w:val="00912642"/>
    <w:rsid w:val="009147E2"/>
    <w:rsid w:val="009171C6"/>
    <w:rsid w:val="00917D05"/>
    <w:rsid w:val="00917EB9"/>
    <w:rsid w:val="00920D33"/>
    <w:rsid w:val="00924E91"/>
    <w:rsid w:val="00926278"/>
    <w:rsid w:val="00926DC4"/>
    <w:rsid w:val="00927B02"/>
    <w:rsid w:val="00933799"/>
    <w:rsid w:val="00944061"/>
    <w:rsid w:val="00944A62"/>
    <w:rsid w:val="00945159"/>
    <w:rsid w:val="00947B51"/>
    <w:rsid w:val="00950F12"/>
    <w:rsid w:val="00951A5D"/>
    <w:rsid w:val="009527FE"/>
    <w:rsid w:val="00955062"/>
    <w:rsid w:val="00974208"/>
    <w:rsid w:val="00987F7F"/>
    <w:rsid w:val="009975F8"/>
    <w:rsid w:val="009B2621"/>
    <w:rsid w:val="009B2990"/>
    <w:rsid w:val="009B3B9E"/>
    <w:rsid w:val="009B5989"/>
    <w:rsid w:val="009B78AC"/>
    <w:rsid w:val="009C2CD3"/>
    <w:rsid w:val="009C3BBF"/>
    <w:rsid w:val="009C3D66"/>
    <w:rsid w:val="009C45F4"/>
    <w:rsid w:val="009C602C"/>
    <w:rsid w:val="009D0DB7"/>
    <w:rsid w:val="009D3D12"/>
    <w:rsid w:val="009D3E4E"/>
    <w:rsid w:val="009D5561"/>
    <w:rsid w:val="009D5F7B"/>
    <w:rsid w:val="009D6193"/>
    <w:rsid w:val="009E0B70"/>
    <w:rsid w:val="009E36E7"/>
    <w:rsid w:val="009F0210"/>
    <w:rsid w:val="00A008D7"/>
    <w:rsid w:val="00A0289D"/>
    <w:rsid w:val="00A0551A"/>
    <w:rsid w:val="00A06D07"/>
    <w:rsid w:val="00A111EF"/>
    <w:rsid w:val="00A149BC"/>
    <w:rsid w:val="00A151A5"/>
    <w:rsid w:val="00A16D68"/>
    <w:rsid w:val="00A207EE"/>
    <w:rsid w:val="00A20CD8"/>
    <w:rsid w:val="00A20EBC"/>
    <w:rsid w:val="00A24B20"/>
    <w:rsid w:val="00A25070"/>
    <w:rsid w:val="00A255C3"/>
    <w:rsid w:val="00A27952"/>
    <w:rsid w:val="00A30A6B"/>
    <w:rsid w:val="00A32464"/>
    <w:rsid w:val="00A33B83"/>
    <w:rsid w:val="00A34D52"/>
    <w:rsid w:val="00A361BB"/>
    <w:rsid w:val="00A37A65"/>
    <w:rsid w:val="00A426E7"/>
    <w:rsid w:val="00A45AAB"/>
    <w:rsid w:val="00A50198"/>
    <w:rsid w:val="00A504FE"/>
    <w:rsid w:val="00A5448F"/>
    <w:rsid w:val="00A57A4D"/>
    <w:rsid w:val="00A61AB1"/>
    <w:rsid w:val="00A634C6"/>
    <w:rsid w:val="00A63929"/>
    <w:rsid w:val="00A75B8B"/>
    <w:rsid w:val="00A80B10"/>
    <w:rsid w:val="00A82BC8"/>
    <w:rsid w:val="00A832D0"/>
    <w:rsid w:val="00A83338"/>
    <w:rsid w:val="00A8402C"/>
    <w:rsid w:val="00A8487C"/>
    <w:rsid w:val="00A8597A"/>
    <w:rsid w:val="00A87162"/>
    <w:rsid w:val="00A87B76"/>
    <w:rsid w:val="00A9468B"/>
    <w:rsid w:val="00AA23E9"/>
    <w:rsid w:val="00AA397C"/>
    <w:rsid w:val="00AA4D3B"/>
    <w:rsid w:val="00AA7041"/>
    <w:rsid w:val="00AA7986"/>
    <w:rsid w:val="00AB3912"/>
    <w:rsid w:val="00AB4DBC"/>
    <w:rsid w:val="00AB6E65"/>
    <w:rsid w:val="00AC1BB2"/>
    <w:rsid w:val="00AC66A2"/>
    <w:rsid w:val="00AC7993"/>
    <w:rsid w:val="00AD144C"/>
    <w:rsid w:val="00AD5AC7"/>
    <w:rsid w:val="00AD5D61"/>
    <w:rsid w:val="00AD6DF7"/>
    <w:rsid w:val="00AE0FD7"/>
    <w:rsid w:val="00AE134E"/>
    <w:rsid w:val="00AF1867"/>
    <w:rsid w:val="00AF2C50"/>
    <w:rsid w:val="00AF3773"/>
    <w:rsid w:val="00AF3BCC"/>
    <w:rsid w:val="00AF56F0"/>
    <w:rsid w:val="00B00586"/>
    <w:rsid w:val="00B06BA7"/>
    <w:rsid w:val="00B07511"/>
    <w:rsid w:val="00B11E2F"/>
    <w:rsid w:val="00B15224"/>
    <w:rsid w:val="00B22B6A"/>
    <w:rsid w:val="00B22D94"/>
    <w:rsid w:val="00B304B8"/>
    <w:rsid w:val="00B31878"/>
    <w:rsid w:val="00B45473"/>
    <w:rsid w:val="00B457EB"/>
    <w:rsid w:val="00B46CBB"/>
    <w:rsid w:val="00B523D9"/>
    <w:rsid w:val="00B52833"/>
    <w:rsid w:val="00B548EF"/>
    <w:rsid w:val="00B5540D"/>
    <w:rsid w:val="00B57A37"/>
    <w:rsid w:val="00B622DE"/>
    <w:rsid w:val="00B62502"/>
    <w:rsid w:val="00B62BE8"/>
    <w:rsid w:val="00B65CF1"/>
    <w:rsid w:val="00B6628A"/>
    <w:rsid w:val="00B66D26"/>
    <w:rsid w:val="00B679FF"/>
    <w:rsid w:val="00B70C2B"/>
    <w:rsid w:val="00B73985"/>
    <w:rsid w:val="00B73D75"/>
    <w:rsid w:val="00B742B2"/>
    <w:rsid w:val="00B74AFC"/>
    <w:rsid w:val="00B82C45"/>
    <w:rsid w:val="00B868FC"/>
    <w:rsid w:val="00B90F9A"/>
    <w:rsid w:val="00B91663"/>
    <w:rsid w:val="00B922B1"/>
    <w:rsid w:val="00B96535"/>
    <w:rsid w:val="00BA05E9"/>
    <w:rsid w:val="00BA34B4"/>
    <w:rsid w:val="00BA3E58"/>
    <w:rsid w:val="00BA40C7"/>
    <w:rsid w:val="00BA6FA8"/>
    <w:rsid w:val="00BB0AD7"/>
    <w:rsid w:val="00BC3862"/>
    <w:rsid w:val="00BC3C3F"/>
    <w:rsid w:val="00BC5A09"/>
    <w:rsid w:val="00BC6ED2"/>
    <w:rsid w:val="00BD3BDD"/>
    <w:rsid w:val="00BE0CE7"/>
    <w:rsid w:val="00BE6768"/>
    <w:rsid w:val="00BE7B83"/>
    <w:rsid w:val="00BF287B"/>
    <w:rsid w:val="00BF5539"/>
    <w:rsid w:val="00BF77B1"/>
    <w:rsid w:val="00C04A12"/>
    <w:rsid w:val="00C04EDE"/>
    <w:rsid w:val="00C06BDA"/>
    <w:rsid w:val="00C06E92"/>
    <w:rsid w:val="00C076F0"/>
    <w:rsid w:val="00C07AD8"/>
    <w:rsid w:val="00C13362"/>
    <w:rsid w:val="00C143F7"/>
    <w:rsid w:val="00C1628C"/>
    <w:rsid w:val="00C171D5"/>
    <w:rsid w:val="00C17861"/>
    <w:rsid w:val="00C20260"/>
    <w:rsid w:val="00C27649"/>
    <w:rsid w:val="00C279C1"/>
    <w:rsid w:val="00C27FF1"/>
    <w:rsid w:val="00C3268E"/>
    <w:rsid w:val="00C32FD6"/>
    <w:rsid w:val="00C3536F"/>
    <w:rsid w:val="00C3667D"/>
    <w:rsid w:val="00C41BAC"/>
    <w:rsid w:val="00C43EB2"/>
    <w:rsid w:val="00C471D0"/>
    <w:rsid w:val="00C47F82"/>
    <w:rsid w:val="00C51A12"/>
    <w:rsid w:val="00C52565"/>
    <w:rsid w:val="00C54311"/>
    <w:rsid w:val="00C564D8"/>
    <w:rsid w:val="00C67607"/>
    <w:rsid w:val="00C7197F"/>
    <w:rsid w:val="00C76F66"/>
    <w:rsid w:val="00C80333"/>
    <w:rsid w:val="00C870AC"/>
    <w:rsid w:val="00C91F9C"/>
    <w:rsid w:val="00C9211B"/>
    <w:rsid w:val="00C93D57"/>
    <w:rsid w:val="00C951E3"/>
    <w:rsid w:val="00C97940"/>
    <w:rsid w:val="00CA0140"/>
    <w:rsid w:val="00CA1B95"/>
    <w:rsid w:val="00CA3D97"/>
    <w:rsid w:val="00CA7253"/>
    <w:rsid w:val="00CB10DB"/>
    <w:rsid w:val="00CB5FC1"/>
    <w:rsid w:val="00CB6289"/>
    <w:rsid w:val="00CB7AC6"/>
    <w:rsid w:val="00CC1151"/>
    <w:rsid w:val="00CC1BC0"/>
    <w:rsid w:val="00CC3593"/>
    <w:rsid w:val="00CC738E"/>
    <w:rsid w:val="00CD2D4F"/>
    <w:rsid w:val="00CD5F65"/>
    <w:rsid w:val="00CD7C3C"/>
    <w:rsid w:val="00CE0F62"/>
    <w:rsid w:val="00CE227D"/>
    <w:rsid w:val="00CE3166"/>
    <w:rsid w:val="00CE3321"/>
    <w:rsid w:val="00CE5D91"/>
    <w:rsid w:val="00CF21B4"/>
    <w:rsid w:val="00CF7EEF"/>
    <w:rsid w:val="00D00DF5"/>
    <w:rsid w:val="00D07E0B"/>
    <w:rsid w:val="00D12EBE"/>
    <w:rsid w:val="00D1410E"/>
    <w:rsid w:val="00D15B42"/>
    <w:rsid w:val="00D16414"/>
    <w:rsid w:val="00D17C1E"/>
    <w:rsid w:val="00D22E40"/>
    <w:rsid w:val="00D24986"/>
    <w:rsid w:val="00D25299"/>
    <w:rsid w:val="00D26DAB"/>
    <w:rsid w:val="00D2788B"/>
    <w:rsid w:val="00D367CE"/>
    <w:rsid w:val="00D42020"/>
    <w:rsid w:val="00D4280B"/>
    <w:rsid w:val="00D445BB"/>
    <w:rsid w:val="00D4528C"/>
    <w:rsid w:val="00D453A8"/>
    <w:rsid w:val="00D523F8"/>
    <w:rsid w:val="00D560DD"/>
    <w:rsid w:val="00D57CF1"/>
    <w:rsid w:val="00D63CCE"/>
    <w:rsid w:val="00D651E7"/>
    <w:rsid w:val="00D67D68"/>
    <w:rsid w:val="00D72723"/>
    <w:rsid w:val="00D82017"/>
    <w:rsid w:val="00D84A89"/>
    <w:rsid w:val="00D85BFC"/>
    <w:rsid w:val="00D86A4C"/>
    <w:rsid w:val="00D91B15"/>
    <w:rsid w:val="00D92171"/>
    <w:rsid w:val="00D93E93"/>
    <w:rsid w:val="00D95414"/>
    <w:rsid w:val="00D96608"/>
    <w:rsid w:val="00DA0711"/>
    <w:rsid w:val="00DA5F11"/>
    <w:rsid w:val="00DA7374"/>
    <w:rsid w:val="00DA74BC"/>
    <w:rsid w:val="00DB4254"/>
    <w:rsid w:val="00DC781F"/>
    <w:rsid w:val="00DD1C2B"/>
    <w:rsid w:val="00DD2407"/>
    <w:rsid w:val="00DD35F5"/>
    <w:rsid w:val="00DD7F48"/>
    <w:rsid w:val="00DE04F8"/>
    <w:rsid w:val="00DE744A"/>
    <w:rsid w:val="00DE7E53"/>
    <w:rsid w:val="00DF61DB"/>
    <w:rsid w:val="00E0039E"/>
    <w:rsid w:val="00E0097A"/>
    <w:rsid w:val="00E017DA"/>
    <w:rsid w:val="00E017E3"/>
    <w:rsid w:val="00E02278"/>
    <w:rsid w:val="00E0535B"/>
    <w:rsid w:val="00E11144"/>
    <w:rsid w:val="00E1154D"/>
    <w:rsid w:val="00E136DD"/>
    <w:rsid w:val="00E13D46"/>
    <w:rsid w:val="00E173A5"/>
    <w:rsid w:val="00E17561"/>
    <w:rsid w:val="00E214D2"/>
    <w:rsid w:val="00E22439"/>
    <w:rsid w:val="00E321FA"/>
    <w:rsid w:val="00E348EC"/>
    <w:rsid w:val="00E35566"/>
    <w:rsid w:val="00E4273C"/>
    <w:rsid w:val="00E437BA"/>
    <w:rsid w:val="00E45677"/>
    <w:rsid w:val="00E53B4E"/>
    <w:rsid w:val="00E54208"/>
    <w:rsid w:val="00E5503B"/>
    <w:rsid w:val="00E566AE"/>
    <w:rsid w:val="00E630B8"/>
    <w:rsid w:val="00E67726"/>
    <w:rsid w:val="00E67ADE"/>
    <w:rsid w:val="00E70050"/>
    <w:rsid w:val="00E83F20"/>
    <w:rsid w:val="00E87F92"/>
    <w:rsid w:val="00E92251"/>
    <w:rsid w:val="00E922B2"/>
    <w:rsid w:val="00E9544C"/>
    <w:rsid w:val="00EA0849"/>
    <w:rsid w:val="00EA0D02"/>
    <w:rsid w:val="00EA10D6"/>
    <w:rsid w:val="00EA2F2D"/>
    <w:rsid w:val="00EB0777"/>
    <w:rsid w:val="00EB0E4A"/>
    <w:rsid w:val="00EB0FBB"/>
    <w:rsid w:val="00EB1A87"/>
    <w:rsid w:val="00EB6CE8"/>
    <w:rsid w:val="00EC121D"/>
    <w:rsid w:val="00EC1B13"/>
    <w:rsid w:val="00EC77C3"/>
    <w:rsid w:val="00ED11E2"/>
    <w:rsid w:val="00ED12CE"/>
    <w:rsid w:val="00ED3881"/>
    <w:rsid w:val="00ED3A5B"/>
    <w:rsid w:val="00ED5C1F"/>
    <w:rsid w:val="00EE0A44"/>
    <w:rsid w:val="00EE1ACF"/>
    <w:rsid w:val="00EE234A"/>
    <w:rsid w:val="00EE23C5"/>
    <w:rsid w:val="00EE33F2"/>
    <w:rsid w:val="00EF2C84"/>
    <w:rsid w:val="00EF6CEF"/>
    <w:rsid w:val="00EF6D45"/>
    <w:rsid w:val="00F02616"/>
    <w:rsid w:val="00F02688"/>
    <w:rsid w:val="00F05B45"/>
    <w:rsid w:val="00F06FB1"/>
    <w:rsid w:val="00F11D2F"/>
    <w:rsid w:val="00F11FA9"/>
    <w:rsid w:val="00F209DA"/>
    <w:rsid w:val="00F21CB7"/>
    <w:rsid w:val="00F24324"/>
    <w:rsid w:val="00F31B6F"/>
    <w:rsid w:val="00F31CDE"/>
    <w:rsid w:val="00F3232C"/>
    <w:rsid w:val="00F32BDB"/>
    <w:rsid w:val="00F3347B"/>
    <w:rsid w:val="00F3417D"/>
    <w:rsid w:val="00F3495F"/>
    <w:rsid w:val="00F36657"/>
    <w:rsid w:val="00F4073D"/>
    <w:rsid w:val="00F4196B"/>
    <w:rsid w:val="00F41DDB"/>
    <w:rsid w:val="00F436CA"/>
    <w:rsid w:val="00F44460"/>
    <w:rsid w:val="00F450C9"/>
    <w:rsid w:val="00F45E78"/>
    <w:rsid w:val="00F47B95"/>
    <w:rsid w:val="00F53513"/>
    <w:rsid w:val="00F5408C"/>
    <w:rsid w:val="00F5469B"/>
    <w:rsid w:val="00F5671B"/>
    <w:rsid w:val="00F6034C"/>
    <w:rsid w:val="00F607AA"/>
    <w:rsid w:val="00F60DC7"/>
    <w:rsid w:val="00F633A2"/>
    <w:rsid w:val="00F6571F"/>
    <w:rsid w:val="00F65882"/>
    <w:rsid w:val="00F71A9C"/>
    <w:rsid w:val="00F74ED0"/>
    <w:rsid w:val="00F759FC"/>
    <w:rsid w:val="00F807FC"/>
    <w:rsid w:val="00F83C3E"/>
    <w:rsid w:val="00F85766"/>
    <w:rsid w:val="00F863C7"/>
    <w:rsid w:val="00F91AD6"/>
    <w:rsid w:val="00F9243C"/>
    <w:rsid w:val="00FA1CCE"/>
    <w:rsid w:val="00FA2FBF"/>
    <w:rsid w:val="00FA3B66"/>
    <w:rsid w:val="00FB206C"/>
    <w:rsid w:val="00FB3184"/>
    <w:rsid w:val="00FB383F"/>
    <w:rsid w:val="00FB5E1F"/>
    <w:rsid w:val="00FB7140"/>
    <w:rsid w:val="00FB7B16"/>
    <w:rsid w:val="00FC09D0"/>
    <w:rsid w:val="00FD161A"/>
    <w:rsid w:val="00FD1853"/>
    <w:rsid w:val="00FD2943"/>
    <w:rsid w:val="00FD2B41"/>
    <w:rsid w:val="00FD4B79"/>
    <w:rsid w:val="00FD4C47"/>
    <w:rsid w:val="00FD53E1"/>
    <w:rsid w:val="00FD6E54"/>
    <w:rsid w:val="00FE1218"/>
    <w:rsid w:val="00FE26A5"/>
    <w:rsid w:val="00FE42D7"/>
    <w:rsid w:val="00FE79BE"/>
    <w:rsid w:val="00FF25A7"/>
    <w:rsid w:val="00FF5652"/>
    <w:rsid w:val="00FF6B12"/>
    <w:rsid w:val="00FF6C17"/>
    <w:rsid w:val="00FF6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FD8D1"/>
  <w15:chartTrackingRefBased/>
  <w15:docId w15:val="{70FFA839-4989-47CF-B4FB-3C275D9B3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452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3AB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93ABB"/>
    <w:rPr>
      <w:color w:val="0000FF"/>
      <w:u w:val="single"/>
    </w:rPr>
  </w:style>
  <w:style w:type="character" w:customStyle="1" w:styleId="style4b">
    <w:name w:val="style4b"/>
    <w:basedOn w:val="DefaultParagraphFont"/>
    <w:rsid w:val="0023217C"/>
  </w:style>
  <w:style w:type="paragraph" w:styleId="ListParagraph">
    <w:name w:val="List Paragraph"/>
    <w:basedOn w:val="Normal"/>
    <w:uiPriority w:val="34"/>
    <w:qFormat/>
    <w:rsid w:val="0023217C"/>
    <w:pPr>
      <w:ind w:left="720"/>
      <w:contextualSpacing/>
    </w:pPr>
  </w:style>
  <w:style w:type="character" w:customStyle="1" w:styleId="id-label">
    <w:name w:val="id-label"/>
    <w:basedOn w:val="DefaultParagraphFont"/>
    <w:rsid w:val="00573D73"/>
  </w:style>
  <w:style w:type="character" w:styleId="Strong">
    <w:name w:val="Strong"/>
    <w:basedOn w:val="DefaultParagraphFont"/>
    <w:uiPriority w:val="22"/>
    <w:qFormat/>
    <w:rsid w:val="00573D73"/>
    <w:rPr>
      <w:b/>
      <w:bCs/>
    </w:rPr>
  </w:style>
  <w:style w:type="paragraph" w:styleId="Bibliography">
    <w:name w:val="Bibliography"/>
    <w:basedOn w:val="Normal"/>
    <w:next w:val="Normal"/>
    <w:uiPriority w:val="37"/>
    <w:unhideWhenUsed/>
    <w:rsid w:val="00CF21B4"/>
    <w:pPr>
      <w:tabs>
        <w:tab w:val="left" w:pos="384"/>
      </w:tabs>
      <w:spacing w:after="240" w:line="240" w:lineRule="auto"/>
      <w:ind w:left="384" w:hanging="384"/>
    </w:pPr>
  </w:style>
  <w:style w:type="paragraph" w:styleId="BalloonText">
    <w:name w:val="Balloon Text"/>
    <w:basedOn w:val="Normal"/>
    <w:link w:val="BalloonTextChar"/>
    <w:uiPriority w:val="99"/>
    <w:semiHidden/>
    <w:unhideWhenUsed/>
    <w:rsid w:val="00C43E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EB2"/>
    <w:rPr>
      <w:rFonts w:ascii="Segoe UI" w:hAnsi="Segoe UI" w:cs="Segoe UI"/>
      <w:sz w:val="18"/>
      <w:szCs w:val="18"/>
    </w:rPr>
  </w:style>
  <w:style w:type="character" w:styleId="CommentReference">
    <w:name w:val="annotation reference"/>
    <w:basedOn w:val="DefaultParagraphFont"/>
    <w:uiPriority w:val="99"/>
    <w:semiHidden/>
    <w:unhideWhenUsed/>
    <w:rsid w:val="000560AE"/>
    <w:rPr>
      <w:sz w:val="16"/>
      <w:szCs w:val="16"/>
    </w:rPr>
  </w:style>
  <w:style w:type="paragraph" w:styleId="CommentText">
    <w:name w:val="annotation text"/>
    <w:basedOn w:val="Normal"/>
    <w:link w:val="CommentTextChar"/>
    <w:uiPriority w:val="99"/>
    <w:unhideWhenUsed/>
    <w:rsid w:val="000560AE"/>
    <w:pPr>
      <w:spacing w:line="240" w:lineRule="auto"/>
    </w:pPr>
    <w:rPr>
      <w:sz w:val="20"/>
      <w:szCs w:val="20"/>
    </w:rPr>
  </w:style>
  <w:style w:type="character" w:customStyle="1" w:styleId="CommentTextChar">
    <w:name w:val="Comment Text Char"/>
    <w:basedOn w:val="DefaultParagraphFont"/>
    <w:link w:val="CommentText"/>
    <w:uiPriority w:val="99"/>
    <w:rsid w:val="000560AE"/>
    <w:rPr>
      <w:sz w:val="20"/>
      <w:szCs w:val="20"/>
    </w:rPr>
  </w:style>
  <w:style w:type="paragraph" w:styleId="CommentSubject">
    <w:name w:val="annotation subject"/>
    <w:basedOn w:val="CommentText"/>
    <w:next w:val="CommentText"/>
    <w:link w:val="CommentSubjectChar"/>
    <w:uiPriority w:val="99"/>
    <w:semiHidden/>
    <w:unhideWhenUsed/>
    <w:rsid w:val="000560AE"/>
    <w:rPr>
      <w:b/>
      <w:bCs/>
    </w:rPr>
  </w:style>
  <w:style w:type="character" w:customStyle="1" w:styleId="CommentSubjectChar">
    <w:name w:val="Comment Subject Char"/>
    <w:basedOn w:val="CommentTextChar"/>
    <w:link w:val="CommentSubject"/>
    <w:uiPriority w:val="99"/>
    <w:semiHidden/>
    <w:rsid w:val="000560AE"/>
    <w:rPr>
      <w:b/>
      <w:bCs/>
      <w:sz w:val="20"/>
      <w:szCs w:val="20"/>
    </w:rPr>
  </w:style>
  <w:style w:type="paragraph" w:styleId="Revision">
    <w:name w:val="Revision"/>
    <w:hidden/>
    <w:uiPriority w:val="99"/>
    <w:semiHidden/>
    <w:rsid w:val="002772A1"/>
    <w:pPr>
      <w:spacing w:after="0" w:line="240" w:lineRule="auto"/>
    </w:pPr>
  </w:style>
  <w:style w:type="character" w:styleId="Emphasis">
    <w:name w:val="Emphasis"/>
    <w:basedOn w:val="DefaultParagraphFont"/>
    <w:uiPriority w:val="20"/>
    <w:qFormat/>
    <w:rsid w:val="00A20EBC"/>
    <w:rPr>
      <w:i/>
      <w:iCs/>
    </w:rPr>
  </w:style>
  <w:style w:type="character" w:customStyle="1" w:styleId="cf01">
    <w:name w:val="cf01"/>
    <w:basedOn w:val="DefaultParagraphFont"/>
    <w:rsid w:val="00EF2C84"/>
    <w:rPr>
      <w:rFonts w:ascii="Segoe UI" w:hAnsi="Segoe UI" w:cs="Segoe UI" w:hint="default"/>
      <w:sz w:val="18"/>
      <w:szCs w:val="18"/>
    </w:rPr>
  </w:style>
  <w:style w:type="character" w:customStyle="1" w:styleId="Heading1Char">
    <w:name w:val="Heading 1 Char"/>
    <w:basedOn w:val="DefaultParagraphFont"/>
    <w:link w:val="Heading1"/>
    <w:uiPriority w:val="9"/>
    <w:rsid w:val="00D4528C"/>
    <w:rPr>
      <w:rFonts w:ascii="Times New Roman" w:eastAsia="Times New Roman" w:hAnsi="Times New Roman" w:cs="Times New Roman"/>
      <w:b/>
      <w:bCs/>
      <w:kern w:val="36"/>
      <w:sz w:val="48"/>
      <w:szCs w:val="48"/>
    </w:rPr>
  </w:style>
  <w:style w:type="paragraph" w:styleId="z-TopofForm">
    <w:name w:val="HTML Top of Form"/>
    <w:basedOn w:val="Normal"/>
    <w:next w:val="Normal"/>
    <w:link w:val="z-TopofFormChar"/>
    <w:hidden/>
    <w:uiPriority w:val="99"/>
    <w:semiHidden/>
    <w:unhideWhenUsed/>
    <w:rsid w:val="003122D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122D9"/>
    <w:rPr>
      <w:rFonts w:ascii="Arial" w:eastAsia="Times New Roman" w:hAnsi="Arial" w:cs="Arial"/>
      <w:vanish/>
      <w:sz w:val="16"/>
      <w:szCs w:val="16"/>
    </w:rPr>
  </w:style>
  <w:style w:type="character" w:styleId="UnresolvedMention">
    <w:name w:val="Unresolved Mention"/>
    <w:basedOn w:val="DefaultParagraphFont"/>
    <w:uiPriority w:val="99"/>
    <w:semiHidden/>
    <w:unhideWhenUsed/>
    <w:rsid w:val="00232182"/>
    <w:rPr>
      <w:color w:val="605E5C"/>
      <w:shd w:val="clear" w:color="auto" w:fill="E1DFDD"/>
    </w:rPr>
  </w:style>
  <w:style w:type="character" w:styleId="PlaceholderText">
    <w:name w:val="Placeholder Text"/>
    <w:basedOn w:val="DefaultParagraphFont"/>
    <w:uiPriority w:val="99"/>
    <w:semiHidden/>
    <w:rsid w:val="00B62BE8"/>
    <w:rPr>
      <w:color w:val="808080"/>
    </w:rPr>
  </w:style>
  <w:style w:type="character" w:styleId="FollowedHyperlink">
    <w:name w:val="FollowedHyperlink"/>
    <w:basedOn w:val="DefaultParagraphFont"/>
    <w:uiPriority w:val="99"/>
    <w:semiHidden/>
    <w:unhideWhenUsed/>
    <w:rsid w:val="00D523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839813">
      <w:bodyDiv w:val="1"/>
      <w:marLeft w:val="0"/>
      <w:marRight w:val="0"/>
      <w:marTop w:val="0"/>
      <w:marBottom w:val="0"/>
      <w:divBdr>
        <w:top w:val="none" w:sz="0" w:space="0" w:color="auto"/>
        <w:left w:val="none" w:sz="0" w:space="0" w:color="auto"/>
        <w:bottom w:val="none" w:sz="0" w:space="0" w:color="auto"/>
        <w:right w:val="none" w:sz="0" w:space="0" w:color="auto"/>
      </w:divBdr>
    </w:div>
    <w:div w:id="120274397">
      <w:bodyDiv w:val="1"/>
      <w:marLeft w:val="0"/>
      <w:marRight w:val="0"/>
      <w:marTop w:val="0"/>
      <w:marBottom w:val="0"/>
      <w:divBdr>
        <w:top w:val="none" w:sz="0" w:space="0" w:color="auto"/>
        <w:left w:val="none" w:sz="0" w:space="0" w:color="auto"/>
        <w:bottom w:val="none" w:sz="0" w:space="0" w:color="auto"/>
        <w:right w:val="none" w:sz="0" w:space="0" w:color="auto"/>
      </w:divBdr>
    </w:div>
    <w:div w:id="627010334">
      <w:bodyDiv w:val="1"/>
      <w:marLeft w:val="0"/>
      <w:marRight w:val="0"/>
      <w:marTop w:val="0"/>
      <w:marBottom w:val="0"/>
      <w:divBdr>
        <w:top w:val="none" w:sz="0" w:space="0" w:color="auto"/>
        <w:left w:val="none" w:sz="0" w:space="0" w:color="auto"/>
        <w:bottom w:val="none" w:sz="0" w:space="0" w:color="auto"/>
        <w:right w:val="none" w:sz="0" w:space="0" w:color="auto"/>
      </w:divBdr>
    </w:div>
    <w:div w:id="752237350">
      <w:bodyDiv w:val="1"/>
      <w:marLeft w:val="0"/>
      <w:marRight w:val="0"/>
      <w:marTop w:val="0"/>
      <w:marBottom w:val="0"/>
      <w:divBdr>
        <w:top w:val="none" w:sz="0" w:space="0" w:color="auto"/>
        <w:left w:val="none" w:sz="0" w:space="0" w:color="auto"/>
        <w:bottom w:val="none" w:sz="0" w:space="0" w:color="auto"/>
        <w:right w:val="none" w:sz="0" w:space="0" w:color="auto"/>
      </w:divBdr>
      <w:divsChild>
        <w:div w:id="495608966">
          <w:marLeft w:val="0"/>
          <w:marRight w:val="0"/>
          <w:marTop w:val="0"/>
          <w:marBottom w:val="160"/>
          <w:divBdr>
            <w:top w:val="none" w:sz="0" w:space="0" w:color="auto"/>
            <w:left w:val="none" w:sz="0" w:space="0" w:color="auto"/>
            <w:bottom w:val="none" w:sz="0" w:space="0" w:color="auto"/>
            <w:right w:val="none" w:sz="0" w:space="0" w:color="auto"/>
          </w:divBdr>
        </w:div>
        <w:div w:id="221212177">
          <w:marLeft w:val="0"/>
          <w:marRight w:val="0"/>
          <w:marTop w:val="0"/>
          <w:marBottom w:val="160"/>
          <w:divBdr>
            <w:top w:val="none" w:sz="0" w:space="0" w:color="auto"/>
            <w:left w:val="none" w:sz="0" w:space="0" w:color="auto"/>
            <w:bottom w:val="none" w:sz="0" w:space="0" w:color="auto"/>
            <w:right w:val="none" w:sz="0" w:space="0" w:color="auto"/>
          </w:divBdr>
        </w:div>
      </w:divsChild>
    </w:div>
    <w:div w:id="799223510">
      <w:bodyDiv w:val="1"/>
      <w:marLeft w:val="0"/>
      <w:marRight w:val="0"/>
      <w:marTop w:val="0"/>
      <w:marBottom w:val="0"/>
      <w:divBdr>
        <w:top w:val="none" w:sz="0" w:space="0" w:color="auto"/>
        <w:left w:val="none" w:sz="0" w:space="0" w:color="auto"/>
        <w:bottom w:val="none" w:sz="0" w:space="0" w:color="auto"/>
        <w:right w:val="none" w:sz="0" w:space="0" w:color="auto"/>
      </w:divBdr>
    </w:div>
    <w:div w:id="837113583">
      <w:bodyDiv w:val="1"/>
      <w:marLeft w:val="0"/>
      <w:marRight w:val="0"/>
      <w:marTop w:val="0"/>
      <w:marBottom w:val="0"/>
      <w:divBdr>
        <w:top w:val="none" w:sz="0" w:space="0" w:color="auto"/>
        <w:left w:val="none" w:sz="0" w:space="0" w:color="auto"/>
        <w:bottom w:val="none" w:sz="0" w:space="0" w:color="auto"/>
        <w:right w:val="none" w:sz="0" w:space="0" w:color="auto"/>
      </w:divBdr>
      <w:divsChild>
        <w:div w:id="1343975625">
          <w:marLeft w:val="0"/>
          <w:marRight w:val="0"/>
          <w:marTop w:val="0"/>
          <w:marBottom w:val="0"/>
          <w:divBdr>
            <w:top w:val="single" w:sz="2" w:space="0" w:color="E3E3E3"/>
            <w:left w:val="single" w:sz="2" w:space="0" w:color="E3E3E3"/>
            <w:bottom w:val="single" w:sz="2" w:space="0" w:color="E3E3E3"/>
            <w:right w:val="single" w:sz="2" w:space="0" w:color="E3E3E3"/>
          </w:divBdr>
          <w:divsChild>
            <w:div w:id="1722553291">
              <w:marLeft w:val="0"/>
              <w:marRight w:val="0"/>
              <w:marTop w:val="0"/>
              <w:marBottom w:val="0"/>
              <w:divBdr>
                <w:top w:val="single" w:sz="2" w:space="0" w:color="E3E3E3"/>
                <w:left w:val="single" w:sz="2" w:space="0" w:color="E3E3E3"/>
                <w:bottom w:val="single" w:sz="2" w:space="0" w:color="E3E3E3"/>
                <w:right w:val="single" w:sz="2" w:space="0" w:color="E3E3E3"/>
              </w:divBdr>
              <w:divsChild>
                <w:div w:id="1736736439">
                  <w:marLeft w:val="0"/>
                  <w:marRight w:val="0"/>
                  <w:marTop w:val="0"/>
                  <w:marBottom w:val="0"/>
                  <w:divBdr>
                    <w:top w:val="single" w:sz="2" w:space="0" w:color="E3E3E3"/>
                    <w:left w:val="single" w:sz="2" w:space="0" w:color="E3E3E3"/>
                    <w:bottom w:val="single" w:sz="2" w:space="0" w:color="E3E3E3"/>
                    <w:right w:val="single" w:sz="2" w:space="0" w:color="E3E3E3"/>
                  </w:divBdr>
                  <w:divsChild>
                    <w:div w:id="1539052621">
                      <w:marLeft w:val="0"/>
                      <w:marRight w:val="0"/>
                      <w:marTop w:val="0"/>
                      <w:marBottom w:val="0"/>
                      <w:divBdr>
                        <w:top w:val="single" w:sz="2" w:space="0" w:color="E3E3E3"/>
                        <w:left w:val="single" w:sz="2" w:space="0" w:color="E3E3E3"/>
                        <w:bottom w:val="single" w:sz="2" w:space="0" w:color="E3E3E3"/>
                        <w:right w:val="single" w:sz="2" w:space="0" w:color="E3E3E3"/>
                      </w:divBdr>
                      <w:divsChild>
                        <w:div w:id="856894820">
                          <w:marLeft w:val="0"/>
                          <w:marRight w:val="0"/>
                          <w:marTop w:val="0"/>
                          <w:marBottom w:val="0"/>
                          <w:divBdr>
                            <w:top w:val="single" w:sz="2" w:space="0" w:color="E3E3E3"/>
                            <w:left w:val="single" w:sz="2" w:space="0" w:color="E3E3E3"/>
                            <w:bottom w:val="single" w:sz="2" w:space="0" w:color="E3E3E3"/>
                            <w:right w:val="single" w:sz="2" w:space="0" w:color="E3E3E3"/>
                          </w:divBdr>
                          <w:divsChild>
                            <w:div w:id="1322930403">
                              <w:marLeft w:val="0"/>
                              <w:marRight w:val="0"/>
                              <w:marTop w:val="100"/>
                              <w:marBottom w:val="100"/>
                              <w:divBdr>
                                <w:top w:val="single" w:sz="2" w:space="0" w:color="E3E3E3"/>
                                <w:left w:val="single" w:sz="2" w:space="0" w:color="E3E3E3"/>
                                <w:bottom w:val="single" w:sz="2" w:space="0" w:color="E3E3E3"/>
                                <w:right w:val="single" w:sz="2" w:space="0" w:color="E3E3E3"/>
                              </w:divBdr>
                              <w:divsChild>
                                <w:div w:id="571891651">
                                  <w:marLeft w:val="0"/>
                                  <w:marRight w:val="0"/>
                                  <w:marTop w:val="0"/>
                                  <w:marBottom w:val="0"/>
                                  <w:divBdr>
                                    <w:top w:val="single" w:sz="2" w:space="0" w:color="E3E3E3"/>
                                    <w:left w:val="single" w:sz="2" w:space="0" w:color="E3E3E3"/>
                                    <w:bottom w:val="single" w:sz="2" w:space="0" w:color="E3E3E3"/>
                                    <w:right w:val="single" w:sz="2" w:space="0" w:color="E3E3E3"/>
                                  </w:divBdr>
                                  <w:divsChild>
                                    <w:div w:id="1238248702">
                                      <w:marLeft w:val="0"/>
                                      <w:marRight w:val="0"/>
                                      <w:marTop w:val="0"/>
                                      <w:marBottom w:val="0"/>
                                      <w:divBdr>
                                        <w:top w:val="single" w:sz="2" w:space="0" w:color="E3E3E3"/>
                                        <w:left w:val="single" w:sz="2" w:space="0" w:color="E3E3E3"/>
                                        <w:bottom w:val="single" w:sz="2" w:space="0" w:color="E3E3E3"/>
                                        <w:right w:val="single" w:sz="2" w:space="0" w:color="E3E3E3"/>
                                      </w:divBdr>
                                      <w:divsChild>
                                        <w:div w:id="1121608769">
                                          <w:marLeft w:val="0"/>
                                          <w:marRight w:val="0"/>
                                          <w:marTop w:val="0"/>
                                          <w:marBottom w:val="0"/>
                                          <w:divBdr>
                                            <w:top w:val="single" w:sz="2" w:space="0" w:color="E3E3E3"/>
                                            <w:left w:val="single" w:sz="2" w:space="0" w:color="E3E3E3"/>
                                            <w:bottom w:val="single" w:sz="2" w:space="0" w:color="E3E3E3"/>
                                            <w:right w:val="single" w:sz="2" w:space="0" w:color="E3E3E3"/>
                                          </w:divBdr>
                                          <w:divsChild>
                                            <w:div w:id="1581911363">
                                              <w:marLeft w:val="0"/>
                                              <w:marRight w:val="0"/>
                                              <w:marTop w:val="0"/>
                                              <w:marBottom w:val="0"/>
                                              <w:divBdr>
                                                <w:top w:val="single" w:sz="2" w:space="0" w:color="E3E3E3"/>
                                                <w:left w:val="single" w:sz="2" w:space="0" w:color="E3E3E3"/>
                                                <w:bottom w:val="single" w:sz="2" w:space="0" w:color="E3E3E3"/>
                                                <w:right w:val="single" w:sz="2" w:space="0" w:color="E3E3E3"/>
                                              </w:divBdr>
                                              <w:divsChild>
                                                <w:div w:id="692923464">
                                                  <w:marLeft w:val="0"/>
                                                  <w:marRight w:val="0"/>
                                                  <w:marTop w:val="0"/>
                                                  <w:marBottom w:val="0"/>
                                                  <w:divBdr>
                                                    <w:top w:val="single" w:sz="2" w:space="0" w:color="E3E3E3"/>
                                                    <w:left w:val="single" w:sz="2" w:space="0" w:color="E3E3E3"/>
                                                    <w:bottom w:val="single" w:sz="2" w:space="0" w:color="E3E3E3"/>
                                                    <w:right w:val="single" w:sz="2" w:space="0" w:color="E3E3E3"/>
                                                  </w:divBdr>
                                                  <w:divsChild>
                                                    <w:div w:id="20541850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812210874">
          <w:marLeft w:val="0"/>
          <w:marRight w:val="0"/>
          <w:marTop w:val="0"/>
          <w:marBottom w:val="0"/>
          <w:divBdr>
            <w:top w:val="none" w:sz="0" w:space="0" w:color="auto"/>
            <w:left w:val="none" w:sz="0" w:space="0" w:color="auto"/>
            <w:bottom w:val="none" w:sz="0" w:space="0" w:color="auto"/>
            <w:right w:val="none" w:sz="0" w:space="0" w:color="auto"/>
          </w:divBdr>
        </w:div>
      </w:divsChild>
    </w:div>
    <w:div w:id="1415977369">
      <w:bodyDiv w:val="1"/>
      <w:marLeft w:val="0"/>
      <w:marRight w:val="0"/>
      <w:marTop w:val="0"/>
      <w:marBottom w:val="0"/>
      <w:divBdr>
        <w:top w:val="none" w:sz="0" w:space="0" w:color="auto"/>
        <w:left w:val="none" w:sz="0" w:space="0" w:color="auto"/>
        <w:bottom w:val="none" w:sz="0" w:space="0" w:color="auto"/>
        <w:right w:val="none" w:sz="0" w:space="0" w:color="auto"/>
      </w:divBdr>
    </w:div>
    <w:div w:id="1517185454">
      <w:bodyDiv w:val="1"/>
      <w:marLeft w:val="0"/>
      <w:marRight w:val="0"/>
      <w:marTop w:val="0"/>
      <w:marBottom w:val="0"/>
      <w:divBdr>
        <w:top w:val="none" w:sz="0" w:space="0" w:color="auto"/>
        <w:left w:val="none" w:sz="0" w:space="0" w:color="auto"/>
        <w:bottom w:val="none" w:sz="0" w:space="0" w:color="auto"/>
        <w:right w:val="none" w:sz="0" w:space="0" w:color="auto"/>
      </w:divBdr>
    </w:div>
    <w:div w:id="1809125682">
      <w:bodyDiv w:val="1"/>
      <w:marLeft w:val="0"/>
      <w:marRight w:val="0"/>
      <w:marTop w:val="0"/>
      <w:marBottom w:val="0"/>
      <w:divBdr>
        <w:top w:val="none" w:sz="0" w:space="0" w:color="auto"/>
        <w:left w:val="none" w:sz="0" w:space="0" w:color="auto"/>
        <w:bottom w:val="none" w:sz="0" w:space="0" w:color="auto"/>
        <w:right w:val="none" w:sz="0" w:space="0" w:color="auto"/>
      </w:divBdr>
      <w:divsChild>
        <w:div w:id="1726875841">
          <w:marLeft w:val="0"/>
          <w:marRight w:val="0"/>
          <w:marTop w:val="0"/>
          <w:marBottom w:val="160"/>
          <w:divBdr>
            <w:top w:val="none" w:sz="0" w:space="0" w:color="auto"/>
            <w:left w:val="none" w:sz="0" w:space="0" w:color="auto"/>
            <w:bottom w:val="none" w:sz="0" w:space="0" w:color="auto"/>
            <w:right w:val="none" w:sz="0" w:space="0" w:color="auto"/>
          </w:divBdr>
        </w:div>
        <w:div w:id="1447694333">
          <w:marLeft w:val="0"/>
          <w:marRight w:val="0"/>
          <w:marTop w:val="0"/>
          <w:marBottom w:val="160"/>
          <w:divBdr>
            <w:top w:val="none" w:sz="0" w:space="0" w:color="auto"/>
            <w:left w:val="none" w:sz="0" w:space="0" w:color="auto"/>
            <w:bottom w:val="none" w:sz="0" w:space="0" w:color="auto"/>
            <w:right w:val="none" w:sz="0" w:space="0" w:color="auto"/>
          </w:divBdr>
        </w:div>
      </w:divsChild>
    </w:div>
    <w:div w:id="1849366308">
      <w:bodyDiv w:val="1"/>
      <w:marLeft w:val="0"/>
      <w:marRight w:val="0"/>
      <w:marTop w:val="0"/>
      <w:marBottom w:val="0"/>
      <w:divBdr>
        <w:top w:val="none" w:sz="0" w:space="0" w:color="auto"/>
        <w:left w:val="none" w:sz="0" w:space="0" w:color="auto"/>
        <w:bottom w:val="none" w:sz="0" w:space="0" w:color="auto"/>
        <w:right w:val="none" w:sz="0" w:space="0" w:color="auto"/>
      </w:divBdr>
    </w:div>
    <w:div w:id="1960182329">
      <w:bodyDiv w:val="1"/>
      <w:marLeft w:val="0"/>
      <w:marRight w:val="0"/>
      <w:marTop w:val="0"/>
      <w:marBottom w:val="0"/>
      <w:divBdr>
        <w:top w:val="none" w:sz="0" w:space="0" w:color="auto"/>
        <w:left w:val="none" w:sz="0" w:space="0" w:color="auto"/>
        <w:bottom w:val="none" w:sz="0" w:space="0" w:color="auto"/>
        <w:right w:val="none" w:sz="0" w:space="0" w:color="auto"/>
      </w:divBdr>
    </w:div>
    <w:div w:id="211925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93281-F347-4C3B-9904-DFF9B61DF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Uchechukwu Anyaduba</dc:creator>
  <cp:keywords/>
  <dc:description/>
  <cp:lastModifiedBy>Uchechukwu Anyaduba</cp:lastModifiedBy>
  <cp:revision>4</cp:revision>
  <cp:lastPrinted>2024-05-30T00:21:00Z</cp:lastPrinted>
  <dcterms:created xsi:type="dcterms:W3CDTF">2024-06-13T01:24:00Z</dcterms:created>
  <dcterms:modified xsi:type="dcterms:W3CDTF">2024-06-14T15:51:00Z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3479661d-de39-450e-ae4f-5854541dbc40</vt:lpwstr>
  </property>
  <property fmtid="{D5CDD505-2E9C-101B-9397-08002B2CF9AE}" pid="3" name="ZOTERO_PREF_1">
    <vt:lpwstr>&lt;data data-version="3" zotero-version="6.0.36"&gt;&lt;session id="jZtAwCdq"/&gt;&lt;style id="http://www.zotero.org/styles/vancouver" locale="en-US" hasBibliography="1" bibliographyStyleHasBeenSet="1"/&gt;&lt;prefs&gt;&lt;pref name="fieldType" value="Field"/&gt;&lt;/prefs&gt;&lt;/data&gt;</vt:lpwstr>
  </property>
</Properties>
</file>