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FA4B" w14:textId="7C7C8392" w:rsidR="00735377" w:rsidRPr="007B11B1" w:rsidRDefault="00E73A34">
      <w:pPr>
        <w:rPr>
          <w:rFonts w:ascii="Times New Roman" w:hAnsi="Times New Roman" w:cs="Times New Roman"/>
          <w:b/>
          <w:bCs/>
          <w:noProof/>
          <w:sz w:val="24"/>
        </w:rPr>
      </w:pPr>
      <w:r w:rsidRPr="007B11B1">
        <w:rPr>
          <w:rFonts w:ascii="Times New Roman" w:hAnsi="Times New Roman" w:cs="Times New Roman"/>
          <w:b/>
          <w:bCs/>
          <w:noProof/>
          <w:sz w:val="24"/>
        </w:rPr>
        <w:t>Supplementary Material 1</w:t>
      </w:r>
    </w:p>
    <w:p w14:paraId="37B4C5C5" w14:textId="639CD641" w:rsidR="00735377" w:rsidRPr="007B11B1" w:rsidRDefault="00E73A34">
      <w:pPr>
        <w:rPr>
          <w:rFonts w:ascii="Times New Roman" w:hAnsi="Times New Roman" w:cs="Times New Roman"/>
          <w:noProof/>
          <w:sz w:val="24"/>
        </w:rPr>
      </w:pPr>
      <w:r w:rsidRPr="007B11B1">
        <w:rPr>
          <w:rFonts w:ascii="Times New Roman" w:hAnsi="Times New Roman" w:cs="Times New Roman"/>
          <w:noProof/>
          <w:sz w:val="24"/>
        </w:rPr>
        <w:t>Changes in Peak Torque of Knee Extensors Across Groups Before and After Intervention</w:t>
      </w:r>
    </w:p>
    <w:p w14:paraId="2CC2FF77" w14:textId="640BE749" w:rsidR="00BB6893" w:rsidRDefault="00735377">
      <w:pPr>
        <w:rPr>
          <w:rFonts w:hint="eastAsia"/>
        </w:rPr>
      </w:pPr>
      <w:r>
        <w:rPr>
          <w:noProof/>
        </w:rPr>
        <w:drawing>
          <wp:inline distT="0" distB="0" distL="0" distR="0" wp14:anchorId="44350ECA" wp14:editId="30113F74">
            <wp:extent cx="5274310" cy="3621405"/>
            <wp:effectExtent l="0" t="0" r="2540" b="0"/>
            <wp:docPr id="3405866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86653" name="图片 3405866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B4247" w14:textId="26268D8E" w:rsidR="00CB7D9E" w:rsidRPr="007B11B1" w:rsidRDefault="00CB7D9E">
      <w:pPr>
        <w:rPr>
          <w:rFonts w:ascii="Times New Roman" w:hAnsi="Times New Roman" w:cs="Times New Roman"/>
          <w:sz w:val="24"/>
        </w:rPr>
      </w:pPr>
      <w:r w:rsidRPr="007B11B1">
        <w:rPr>
          <w:rFonts w:ascii="Times New Roman" w:hAnsi="Times New Roman" w:cs="Times New Roman"/>
          <w:sz w:val="24"/>
        </w:rPr>
        <w:t>*P &lt; 0.05 compared to Group C; #P &lt; 0.05 compared to Group LIRT-SI. T1, 1 week before the intervention; T2, week 8 of the intervention; T3, week 16 of the intervention.</w:t>
      </w:r>
    </w:p>
    <w:sectPr w:rsidR="00CB7D9E" w:rsidRPr="007B1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A968" w14:textId="77777777" w:rsidR="001B386F" w:rsidRDefault="001B386F" w:rsidP="0073537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F863FBC" w14:textId="77777777" w:rsidR="001B386F" w:rsidRDefault="001B386F" w:rsidP="0073537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0F1B" w14:textId="77777777" w:rsidR="001B386F" w:rsidRDefault="001B386F" w:rsidP="0073537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EE612A4" w14:textId="77777777" w:rsidR="001B386F" w:rsidRDefault="001B386F" w:rsidP="0073537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93"/>
    <w:rsid w:val="0007208E"/>
    <w:rsid w:val="001B386F"/>
    <w:rsid w:val="00275B5A"/>
    <w:rsid w:val="002E1019"/>
    <w:rsid w:val="00375B88"/>
    <w:rsid w:val="00423612"/>
    <w:rsid w:val="00525D79"/>
    <w:rsid w:val="005E1F55"/>
    <w:rsid w:val="00735377"/>
    <w:rsid w:val="007B11B1"/>
    <w:rsid w:val="00865207"/>
    <w:rsid w:val="00923934"/>
    <w:rsid w:val="00A6252E"/>
    <w:rsid w:val="00BB6893"/>
    <w:rsid w:val="00CB7D9E"/>
    <w:rsid w:val="00E73A34"/>
    <w:rsid w:val="00F07436"/>
    <w:rsid w:val="00F775C9"/>
    <w:rsid w:val="00F9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A40C4"/>
  <w15:chartTrackingRefBased/>
  <w15:docId w15:val="{6A053AD0-DEA3-4C2C-BC30-96666ABA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8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8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8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8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8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8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8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8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8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8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8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8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8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8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8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8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8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8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8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89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3537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3537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3537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353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2025-03-30T15:16:00Z</dcterms:created>
  <dcterms:modified xsi:type="dcterms:W3CDTF">2025-03-30T16:03:00Z</dcterms:modified>
</cp:coreProperties>
</file>