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8918C" w14:textId="0D0A3697" w:rsidR="00950195" w:rsidRPr="00C450BE" w:rsidRDefault="00950195" w:rsidP="00950195">
      <w:pPr>
        <w:contextualSpacing/>
        <w:jc w:val="both"/>
        <w:rPr>
          <w:color w:val="000000" w:themeColor="text1"/>
          <w:lang w:val="en-US"/>
        </w:rPr>
      </w:pPr>
      <w:r w:rsidRPr="00C450BE">
        <w:rPr>
          <w:color w:val="000000" w:themeColor="text1"/>
          <w:lang w:val="en-US"/>
        </w:rPr>
        <w:t>Supplementary Table 1 - Demographic data and management differences between different regions of Brazil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2642"/>
        <w:gridCol w:w="928"/>
        <w:gridCol w:w="994"/>
        <w:gridCol w:w="1154"/>
        <w:gridCol w:w="994"/>
        <w:gridCol w:w="977"/>
        <w:gridCol w:w="1113"/>
        <w:gridCol w:w="980"/>
      </w:tblGrid>
      <w:tr w:rsidR="00950195" w:rsidRPr="00C450BE" w14:paraId="582F491C" w14:textId="77777777" w:rsidTr="00A63155">
        <w:trPr>
          <w:trHeight w:val="574"/>
        </w:trPr>
        <w:tc>
          <w:tcPr>
            <w:tcW w:w="2694" w:type="dxa"/>
            <w:shd w:val="clear" w:color="auto" w:fill="FFC000"/>
            <w:vAlign w:val="center"/>
          </w:tcPr>
          <w:p w14:paraId="394487EB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bookmarkStart w:id="0" w:name="OLE_LINK3"/>
            <w:bookmarkStart w:id="1" w:name="OLE_LINK4"/>
          </w:p>
        </w:tc>
        <w:tc>
          <w:tcPr>
            <w:tcW w:w="940" w:type="dxa"/>
            <w:shd w:val="clear" w:color="auto" w:fill="FFC000"/>
            <w:vAlign w:val="center"/>
          </w:tcPr>
          <w:p w14:paraId="151F16F8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50BE">
              <w:rPr>
                <w:color w:val="000000" w:themeColor="text1"/>
                <w:sz w:val="20"/>
                <w:szCs w:val="20"/>
                <w:lang w:val="en-US"/>
              </w:rPr>
              <w:t>North</w:t>
            </w:r>
          </w:p>
        </w:tc>
        <w:tc>
          <w:tcPr>
            <w:tcW w:w="869" w:type="dxa"/>
            <w:shd w:val="clear" w:color="auto" w:fill="FFC000"/>
            <w:vAlign w:val="center"/>
          </w:tcPr>
          <w:p w14:paraId="64C0DE57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50BE">
              <w:rPr>
                <w:color w:val="000000" w:themeColor="text1"/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1168" w:type="dxa"/>
            <w:shd w:val="clear" w:color="auto" w:fill="FFC000"/>
            <w:vAlign w:val="center"/>
          </w:tcPr>
          <w:p w14:paraId="561E9CED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C450BE">
              <w:rPr>
                <w:color w:val="000000" w:themeColor="text1"/>
                <w:sz w:val="20"/>
                <w:szCs w:val="20"/>
                <w:lang w:val="en-US"/>
              </w:rPr>
              <w:t>Central-west</w:t>
            </w:r>
            <w:proofErr w:type="gramEnd"/>
          </w:p>
        </w:tc>
        <w:tc>
          <w:tcPr>
            <w:tcW w:w="992" w:type="dxa"/>
            <w:shd w:val="clear" w:color="auto" w:fill="FFC000"/>
            <w:vAlign w:val="center"/>
          </w:tcPr>
          <w:p w14:paraId="6F770A75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50BE">
              <w:rPr>
                <w:color w:val="000000" w:themeColor="text1"/>
                <w:sz w:val="20"/>
                <w:szCs w:val="20"/>
                <w:lang w:val="en-US"/>
              </w:rPr>
              <w:t>Southeast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44D92CF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50BE">
              <w:rPr>
                <w:color w:val="000000" w:themeColor="text1"/>
                <w:sz w:val="20"/>
                <w:szCs w:val="20"/>
                <w:lang w:val="en-US"/>
              </w:rPr>
              <w:t>Sao Paulo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5A9E6F9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50BE">
              <w:rPr>
                <w:color w:val="000000" w:themeColor="text1"/>
                <w:sz w:val="20"/>
                <w:szCs w:val="20"/>
                <w:lang w:val="en-US"/>
              </w:rPr>
              <w:t>South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0B2CFE95" w14:textId="0FE83B8E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63155" w:rsidRPr="00C450BE" w14:paraId="31F5110E" w14:textId="77777777" w:rsidTr="00994165">
        <w:trPr>
          <w:trHeight w:val="568"/>
        </w:trPr>
        <w:tc>
          <w:tcPr>
            <w:tcW w:w="9782" w:type="dxa"/>
            <w:gridSpan w:val="8"/>
            <w:vAlign w:val="center"/>
          </w:tcPr>
          <w:p w14:paraId="691A5328" w14:textId="013CADE8" w:rsidR="00A63155" w:rsidRPr="00C450BE" w:rsidRDefault="00A63155" w:rsidP="00A63155">
            <w:pPr>
              <w:contextualSpacing/>
              <w:rPr>
                <w:color w:val="000000" w:themeColor="text1"/>
                <w:lang w:val="en-US"/>
              </w:rPr>
            </w:pPr>
            <w:r w:rsidRPr="00C450BE">
              <w:rPr>
                <w:color w:val="000000" w:themeColor="text1"/>
                <w:lang w:val="en-US"/>
              </w:rPr>
              <w:t>During residency</w:t>
            </w:r>
          </w:p>
        </w:tc>
      </w:tr>
      <w:tr w:rsidR="00950195" w:rsidRPr="00C450BE" w14:paraId="2E9E3806" w14:textId="77777777" w:rsidTr="00A63155">
        <w:tc>
          <w:tcPr>
            <w:tcW w:w="2694" w:type="dxa"/>
            <w:shd w:val="clear" w:color="auto" w:fill="FAE2D5" w:themeFill="accent2" w:themeFillTint="33"/>
          </w:tcPr>
          <w:p w14:paraId="219C12AA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Managed metastatic pts</w:t>
            </w:r>
          </w:p>
        </w:tc>
        <w:tc>
          <w:tcPr>
            <w:tcW w:w="940" w:type="dxa"/>
            <w:shd w:val="clear" w:color="auto" w:fill="FAE2D5" w:themeFill="accent2" w:themeFillTint="33"/>
            <w:vAlign w:val="center"/>
          </w:tcPr>
          <w:p w14:paraId="7B84CFA8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18 (69.2)</w:t>
            </w:r>
          </w:p>
        </w:tc>
        <w:tc>
          <w:tcPr>
            <w:tcW w:w="869" w:type="dxa"/>
            <w:shd w:val="clear" w:color="auto" w:fill="FAE2D5" w:themeFill="accent2" w:themeFillTint="33"/>
            <w:vAlign w:val="center"/>
          </w:tcPr>
          <w:p w14:paraId="311F604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66 (68.8)</w:t>
            </w:r>
          </w:p>
        </w:tc>
        <w:tc>
          <w:tcPr>
            <w:tcW w:w="1168" w:type="dxa"/>
            <w:shd w:val="clear" w:color="auto" w:fill="FAE2D5" w:themeFill="accent2" w:themeFillTint="33"/>
            <w:vAlign w:val="center"/>
          </w:tcPr>
          <w:p w14:paraId="1BBE8F58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22 (78.6)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788DD1D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54 (77)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73B94CF9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115 (71.5)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26CADB21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109 (73.2)</w:t>
            </w:r>
          </w:p>
        </w:tc>
        <w:tc>
          <w:tcPr>
            <w:tcW w:w="993" w:type="dxa"/>
            <w:shd w:val="clear" w:color="auto" w:fill="FAE2D5" w:themeFill="accent2" w:themeFillTint="33"/>
            <w:vAlign w:val="center"/>
          </w:tcPr>
          <w:p w14:paraId="4F453F67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50195" w:rsidRPr="00C450BE" w14:paraId="23C3878B" w14:textId="77777777" w:rsidTr="00A63155">
        <w:tc>
          <w:tcPr>
            <w:tcW w:w="2694" w:type="dxa"/>
          </w:tcPr>
          <w:p w14:paraId="06D7FD59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 xml:space="preserve">Prescribed </w:t>
            </w:r>
            <w:proofErr w:type="spellStart"/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LHRHa</w:t>
            </w:r>
            <w:proofErr w:type="spellEnd"/>
          </w:p>
        </w:tc>
        <w:tc>
          <w:tcPr>
            <w:tcW w:w="940" w:type="dxa"/>
            <w:vAlign w:val="center"/>
          </w:tcPr>
          <w:p w14:paraId="271EF788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12 (46.2)</w:t>
            </w:r>
          </w:p>
        </w:tc>
        <w:tc>
          <w:tcPr>
            <w:tcW w:w="869" w:type="dxa"/>
            <w:vAlign w:val="center"/>
          </w:tcPr>
          <w:p w14:paraId="6A0AD8B9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37 (38.5)</w:t>
            </w:r>
          </w:p>
        </w:tc>
        <w:tc>
          <w:tcPr>
            <w:tcW w:w="1168" w:type="dxa"/>
            <w:vAlign w:val="center"/>
          </w:tcPr>
          <w:p w14:paraId="3D291383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17 (60.7)</w:t>
            </w:r>
          </w:p>
        </w:tc>
        <w:tc>
          <w:tcPr>
            <w:tcW w:w="992" w:type="dxa"/>
            <w:vAlign w:val="center"/>
          </w:tcPr>
          <w:p w14:paraId="6BDE6E6A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32 (44.4)</w:t>
            </w:r>
          </w:p>
        </w:tc>
        <w:tc>
          <w:tcPr>
            <w:tcW w:w="992" w:type="dxa"/>
            <w:vAlign w:val="center"/>
          </w:tcPr>
          <w:p w14:paraId="4F3ED2F1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109 (67.7)</w:t>
            </w:r>
          </w:p>
        </w:tc>
        <w:tc>
          <w:tcPr>
            <w:tcW w:w="1134" w:type="dxa"/>
            <w:vAlign w:val="center"/>
          </w:tcPr>
          <w:p w14:paraId="382F39B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94 (63.1)</w:t>
            </w:r>
          </w:p>
        </w:tc>
        <w:tc>
          <w:tcPr>
            <w:tcW w:w="993" w:type="dxa"/>
            <w:vAlign w:val="center"/>
          </w:tcPr>
          <w:p w14:paraId="06C73832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50195" w:rsidRPr="00C450BE" w14:paraId="7B538C71" w14:textId="77777777" w:rsidTr="00A63155">
        <w:tc>
          <w:tcPr>
            <w:tcW w:w="2694" w:type="dxa"/>
            <w:shd w:val="clear" w:color="auto" w:fill="FAE2D5" w:themeFill="accent2" w:themeFillTint="33"/>
          </w:tcPr>
          <w:p w14:paraId="1F33ADE0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Prescribed 1</w:t>
            </w:r>
            <w:r w:rsidRPr="00C450BE"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  <w:t>st</w:t>
            </w: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 xml:space="preserve"> Gen. antiandrogens</w:t>
            </w:r>
          </w:p>
        </w:tc>
        <w:tc>
          <w:tcPr>
            <w:tcW w:w="940" w:type="dxa"/>
            <w:shd w:val="clear" w:color="auto" w:fill="FAE2D5" w:themeFill="accent2" w:themeFillTint="33"/>
            <w:vAlign w:val="center"/>
          </w:tcPr>
          <w:p w14:paraId="1CA21DB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15 (57.7)</w:t>
            </w:r>
          </w:p>
        </w:tc>
        <w:tc>
          <w:tcPr>
            <w:tcW w:w="869" w:type="dxa"/>
            <w:shd w:val="clear" w:color="auto" w:fill="FAE2D5" w:themeFill="accent2" w:themeFillTint="33"/>
            <w:vAlign w:val="center"/>
          </w:tcPr>
          <w:p w14:paraId="125A4621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43 (44.8)</w:t>
            </w:r>
          </w:p>
        </w:tc>
        <w:tc>
          <w:tcPr>
            <w:tcW w:w="1168" w:type="dxa"/>
            <w:shd w:val="clear" w:color="auto" w:fill="FAE2D5" w:themeFill="accent2" w:themeFillTint="33"/>
            <w:vAlign w:val="center"/>
          </w:tcPr>
          <w:p w14:paraId="2C411B42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19 (67.9)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58BF807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40 (55.6)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45AFB4F0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114 (70.8)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00BD2A0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95 (63.8)</w:t>
            </w:r>
          </w:p>
        </w:tc>
        <w:tc>
          <w:tcPr>
            <w:tcW w:w="993" w:type="dxa"/>
            <w:shd w:val="clear" w:color="auto" w:fill="FAE2D5" w:themeFill="accent2" w:themeFillTint="33"/>
            <w:vAlign w:val="center"/>
          </w:tcPr>
          <w:p w14:paraId="74019239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50195" w:rsidRPr="00C450BE" w14:paraId="1B080A84" w14:textId="77777777" w:rsidTr="00A63155">
        <w:tc>
          <w:tcPr>
            <w:tcW w:w="2694" w:type="dxa"/>
          </w:tcPr>
          <w:p w14:paraId="4F3FBA78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 xml:space="preserve">Prescribed </w:t>
            </w:r>
            <w:proofErr w:type="spellStart"/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ARPi</w:t>
            </w:r>
            <w:proofErr w:type="spellEnd"/>
          </w:p>
        </w:tc>
        <w:tc>
          <w:tcPr>
            <w:tcW w:w="940" w:type="dxa"/>
            <w:vAlign w:val="center"/>
          </w:tcPr>
          <w:p w14:paraId="5AE16B5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2 (7.7)</w:t>
            </w:r>
          </w:p>
        </w:tc>
        <w:tc>
          <w:tcPr>
            <w:tcW w:w="869" w:type="dxa"/>
            <w:vAlign w:val="center"/>
          </w:tcPr>
          <w:p w14:paraId="14DF5846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8 (8.3)</w:t>
            </w:r>
          </w:p>
        </w:tc>
        <w:tc>
          <w:tcPr>
            <w:tcW w:w="1168" w:type="dxa"/>
            <w:vAlign w:val="center"/>
          </w:tcPr>
          <w:p w14:paraId="574A3857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 (10.7)</w:t>
            </w:r>
          </w:p>
        </w:tc>
        <w:tc>
          <w:tcPr>
            <w:tcW w:w="992" w:type="dxa"/>
            <w:vAlign w:val="center"/>
          </w:tcPr>
          <w:p w14:paraId="55604350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15 (20.8)</w:t>
            </w:r>
          </w:p>
        </w:tc>
        <w:tc>
          <w:tcPr>
            <w:tcW w:w="992" w:type="dxa"/>
            <w:vAlign w:val="center"/>
          </w:tcPr>
          <w:p w14:paraId="69032881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30 (18.6)</w:t>
            </w:r>
          </w:p>
        </w:tc>
        <w:tc>
          <w:tcPr>
            <w:tcW w:w="1134" w:type="dxa"/>
            <w:vAlign w:val="center"/>
          </w:tcPr>
          <w:p w14:paraId="3935D1E7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13 (8.7)</w:t>
            </w:r>
          </w:p>
        </w:tc>
        <w:tc>
          <w:tcPr>
            <w:tcW w:w="993" w:type="dxa"/>
            <w:vAlign w:val="center"/>
          </w:tcPr>
          <w:p w14:paraId="60C25A1E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0.07</w:t>
            </w:r>
          </w:p>
        </w:tc>
      </w:tr>
      <w:tr w:rsidR="00950195" w:rsidRPr="00C450BE" w14:paraId="54B76589" w14:textId="77777777" w:rsidTr="00A63155">
        <w:tc>
          <w:tcPr>
            <w:tcW w:w="2694" w:type="dxa"/>
            <w:shd w:val="clear" w:color="auto" w:fill="FAE2D5" w:themeFill="accent2" w:themeFillTint="33"/>
          </w:tcPr>
          <w:p w14:paraId="1E8826B9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Prescribed Chemo</w:t>
            </w:r>
          </w:p>
        </w:tc>
        <w:tc>
          <w:tcPr>
            <w:tcW w:w="940" w:type="dxa"/>
            <w:shd w:val="clear" w:color="auto" w:fill="FAE2D5" w:themeFill="accent2" w:themeFillTint="33"/>
            <w:vAlign w:val="center"/>
          </w:tcPr>
          <w:p w14:paraId="68424698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69" w:type="dxa"/>
            <w:shd w:val="clear" w:color="auto" w:fill="FAE2D5" w:themeFill="accent2" w:themeFillTint="33"/>
            <w:vAlign w:val="center"/>
          </w:tcPr>
          <w:p w14:paraId="519B28A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 (4.2)</w:t>
            </w:r>
          </w:p>
        </w:tc>
        <w:tc>
          <w:tcPr>
            <w:tcW w:w="1168" w:type="dxa"/>
            <w:shd w:val="clear" w:color="auto" w:fill="FAE2D5" w:themeFill="accent2" w:themeFillTint="33"/>
            <w:vAlign w:val="center"/>
          </w:tcPr>
          <w:p w14:paraId="487497E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 (10.7)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3BF3E942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5 (6.9)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1748643E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11 (6.8)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4F3A5B2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6 (4)</w:t>
            </w:r>
          </w:p>
        </w:tc>
        <w:tc>
          <w:tcPr>
            <w:tcW w:w="993" w:type="dxa"/>
            <w:shd w:val="clear" w:color="auto" w:fill="FAE2D5" w:themeFill="accent2" w:themeFillTint="33"/>
            <w:vAlign w:val="center"/>
          </w:tcPr>
          <w:p w14:paraId="0CC74BE6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0.37</w:t>
            </w:r>
          </w:p>
        </w:tc>
      </w:tr>
      <w:tr w:rsidR="00A63155" w:rsidRPr="00C450BE" w14:paraId="239DE59D" w14:textId="77777777" w:rsidTr="00A63155">
        <w:trPr>
          <w:trHeight w:val="598"/>
        </w:trPr>
        <w:tc>
          <w:tcPr>
            <w:tcW w:w="9782" w:type="dxa"/>
            <w:gridSpan w:val="8"/>
            <w:vAlign w:val="center"/>
          </w:tcPr>
          <w:p w14:paraId="7EF1F701" w14:textId="382B2C5F" w:rsidR="00A63155" w:rsidRPr="00C450BE" w:rsidRDefault="00A63155" w:rsidP="00A63155">
            <w:pPr>
              <w:contextualSpacing/>
              <w:rPr>
                <w:color w:val="000000" w:themeColor="text1"/>
                <w:lang w:val="en-US"/>
              </w:rPr>
            </w:pPr>
            <w:r w:rsidRPr="00C450BE">
              <w:rPr>
                <w:color w:val="000000" w:themeColor="text1"/>
                <w:lang w:val="en-US"/>
              </w:rPr>
              <w:t xml:space="preserve">Barriers to prescribe </w:t>
            </w:r>
            <w:proofErr w:type="spellStart"/>
            <w:r w:rsidRPr="00C450BE">
              <w:rPr>
                <w:color w:val="000000" w:themeColor="text1"/>
                <w:lang w:val="en-US"/>
              </w:rPr>
              <w:t>LHRHa</w:t>
            </w:r>
            <w:proofErr w:type="spellEnd"/>
          </w:p>
        </w:tc>
      </w:tr>
      <w:tr w:rsidR="00950195" w:rsidRPr="00C450BE" w14:paraId="1FD897F3" w14:textId="77777777" w:rsidTr="00A63155">
        <w:tc>
          <w:tcPr>
            <w:tcW w:w="2694" w:type="dxa"/>
            <w:shd w:val="clear" w:color="auto" w:fill="C1E4F5" w:themeFill="accent1" w:themeFillTint="33"/>
          </w:tcPr>
          <w:p w14:paraId="7B7E8270" w14:textId="77777777" w:rsidR="00950195" w:rsidRPr="00C450BE" w:rsidRDefault="00950195" w:rsidP="00A63155">
            <w:pPr>
              <w:ind w:left="319" w:hanging="143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 xml:space="preserve">Concerning only about drug’s clinical use </w:t>
            </w:r>
          </w:p>
        </w:tc>
        <w:tc>
          <w:tcPr>
            <w:tcW w:w="940" w:type="dxa"/>
            <w:shd w:val="clear" w:color="auto" w:fill="C1E4F5" w:themeFill="accent1" w:themeFillTint="33"/>
            <w:vAlign w:val="center"/>
          </w:tcPr>
          <w:p w14:paraId="3F5EEAB0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 (21.1)</w:t>
            </w:r>
          </w:p>
        </w:tc>
        <w:tc>
          <w:tcPr>
            <w:tcW w:w="869" w:type="dxa"/>
            <w:shd w:val="clear" w:color="auto" w:fill="C1E4F5" w:themeFill="accent1" w:themeFillTint="33"/>
            <w:vAlign w:val="center"/>
          </w:tcPr>
          <w:p w14:paraId="375E4046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31 (47.1)</w:t>
            </w:r>
          </w:p>
        </w:tc>
        <w:tc>
          <w:tcPr>
            <w:tcW w:w="1168" w:type="dxa"/>
            <w:shd w:val="clear" w:color="auto" w:fill="C1E4F5" w:themeFill="accent1" w:themeFillTint="33"/>
            <w:vAlign w:val="center"/>
          </w:tcPr>
          <w:p w14:paraId="35D48B35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5 (22.7)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35ED3890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12 (23.1)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89FAAA7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14 (11.9)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062A74D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25 (22.1)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73B91E9E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50195" w:rsidRPr="00C450BE" w14:paraId="63156072" w14:textId="77777777" w:rsidTr="00A63155">
        <w:tc>
          <w:tcPr>
            <w:tcW w:w="2694" w:type="dxa"/>
            <w:shd w:val="clear" w:color="auto" w:fill="FAE2D5" w:themeFill="accent2" w:themeFillTint="33"/>
          </w:tcPr>
          <w:p w14:paraId="534A0531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Access and regulatory barriers only</w:t>
            </w:r>
          </w:p>
        </w:tc>
        <w:tc>
          <w:tcPr>
            <w:tcW w:w="940" w:type="dxa"/>
            <w:shd w:val="clear" w:color="auto" w:fill="FAE2D5" w:themeFill="accent2" w:themeFillTint="33"/>
            <w:vAlign w:val="center"/>
          </w:tcPr>
          <w:p w14:paraId="59B60051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14 (73.7)</w:t>
            </w:r>
          </w:p>
        </w:tc>
        <w:tc>
          <w:tcPr>
            <w:tcW w:w="869" w:type="dxa"/>
            <w:shd w:val="clear" w:color="auto" w:fill="FAE2D5" w:themeFill="accent2" w:themeFillTint="33"/>
            <w:vAlign w:val="center"/>
          </w:tcPr>
          <w:p w14:paraId="36370343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43 (65.2)</w:t>
            </w:r>
          </w:p>
        </w:tc>
        <w:tc>
          <w:tcPr>
            <w:tcW w:w="1168" w:type="dxa"/>
            <w:shd w:val="clear" w:color="auto" w:fill="FAE2D5" w:themeFill="accent2" w:themeFillTint="33"/>
            <w:vAlign w:val="center"/>
          </w:tcPr>
          <w:p w14:paraId="7784E107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13 (59.1)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3FB9B285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29 (55.6)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52025E39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42 (35.6)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3FE59C9B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49 (43.4)</w:t>
            </w:r>
          </w:p>
        </w:tc>
        <w:tc>
          <w:tcPr>
            <w:tcW w:w="993" w:type="dxa"/>
            <w:shd w:val="clear" w:color="auto" w:fill="FAE2D5" w:themeFill="accent2" w:themeFillTint="33"/>
            <w:vAlign w:val="center"/>
          </w:tcPr>
          <w:p w14:paraId="66B5AF5D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50195" w:rsidRPr="00C450BE" w14:paraId="76354B0B" w14:textId="77777777" w:rsidTr="00A63155">
        <w:tc>
          <w:tcPr>
            <w:tcW w:w="2694" w:type="dxa"/>
            <w:shd w:val="clear" w:color="auto" w:fill="C1E4F5" w:themeFill="accent1" w:themeFillTint="33"/>
          </w:tcPr>
          <w:p w14:paraId="4621D133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Both limitations</w:t>
            </w:r>
          </w:p>
        </w:tc>
        <w:tc>
          <w:tcPr>
            <w:tcW w:w="940" w:type="dxa"/>
            <w:shd w:val="clear" w:color="auto" w:fill="C1E4F5" w:themeFill="accent1" w:themeFillTint="33"/>
            <w:vAlign w:val="center"/>
          </w:tcPr>
          <w:p w14:paraId="1A637EED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 (21.1)</w:t>
            </w:r>
          </w:p>
        </w:tc>
        <w:tc>
          <w:tcPr>
            <w:tcW w:w="869" w:type="dxa"/>
            <w:shd w:val="clear" w:color="auto" w:fill="C1E4F5" w:themeFill="accent1" w:themeFillTint="33"/>
            <w:vAlign w:val="center"/>
          </w:tcPr>
          <w:p w14:paraId="76090510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21 (31.8)</w:t>
            </w:r>
          </w:p>
        </w:tc>
        <w:tc>
          <w:tcPr>
            <w:tcW w:w="1168" w:type="dxa"/>
            <w:shd w:val="clear" w:color="auto" w:fill="C1E4F5" w:themeFill="accent1" w:themeFillTint="33"/>
            <w:vAlign w:val="center"/>
          </w:tcPr>
          <w:p w14:paraId="53143524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4 (18.2)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4947895C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7 (13.5)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86D5BB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9 (7.6)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665999B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13 (11.5)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32C2CCBD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A63155" w:rsidRPr="00C450BE" w14:paraId="44F4A37F" w14:textId="77777777" w:rsidTr="00A63155">
        <w:trPr>
          <w:trHeight w:val="494"/>
        </w:trPr>
        <w:tc>
          <w:tcPr>
            <w:tcW w:w="9782" w:type="dxa"/>
            <w:gridSpan w:val="8"/>
            <w:vAlign w:val="center"/>
          </w:tcPr>
          <w:p w14:paraId="73F624F4" w14:textId="52D41882" w:rsidR="00A63155" w:rsidRPr="00C450BE" w:rsidRDefault="00A63155" w:rsidP="00A63155">
            <w:pPr>
              <w:contextualSpacing/>
              <w:rPr>
                <w:color w:val="000000" w:themeColor="text1"/>
                <w:lang w:val="en-US"/>
              </w:rPr>
            </w:pPr>
            <w:r w:rsidRPr="00C450BE">
              <w:rPr>
                <w:color w:val="000000" w:themeColor="text1"/>
                <w:lang w:val="en-US"/>
              </w:rPr>
              <w:t xml:space="preserve">Barriers do prescribe </w:t>
            </w:r>
            <w:proofErr w:type="spellStart"/>
            <w:r w:rsidRPr="00C450BE">
              <w:rPr>
                <w:color w:val="000000" w:themeColor="text1"/>
                <w:lang w:val="en-US"/>
              </w:rPr>
              <w:t>ARPi</w:t>
            </w:r>
            <w:proofErr w:type="spellEnd"/>
          </w:p>
        </w:tc>
      </w:tr>
      <w:tr w:rsidR="00950195" w:rsidRPr="00C450BE" w14:paraId="37E5AE8C" w14:textId="77777777" w:rsidTr="00A63155">
        <w:tc>
          <w:tcPr>
            <w:tcW w:w="2694" w:type="dxa"/>
            <w:shd w:val="clear" w:color="auto" w:fill="C1E4F5" w:themeFill="accent1" w:themeFillTint="33"/>
          </w:tcPr>
          <w:p w14:paraId="7831068A" w14:textId="77777777" w:rsidR="00950195" w:rsidRPr="00C450BE" w:rsidRDefault="00950195" w:rsidP="00A63155">
            <w:pPr>
              <w:ind w:left="319" w:hanging="143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 xml:space="preserve">Concerning only about drug’s clinical use </w:t>
            </w:r>
          </w:p>
        </w:tc>
        <w:tc>
          <w:tcPr>
            <w:tcW w:w="940" w:type="dxa"/>
            <w:shd w:val="clear" w:color="auto" w:fill="C1E4F5" w:themeFill="accent1" w:themeFillTint="33"/>
            <w:vAlign w:val="center"/>
          </w:tcPr>
          <w:p w14:paraId="0BD4E04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 (3.8)</w:t>
            </w:r>
          </w:p>
        </w:tc>
        <w:tc>
          <w:tcPr>
            <w:tcW w:w="869" w:type="dxa"/>
            <w:shd w:val="clear" w:color="auto" w:fill="C1E4F5" w:themeFill="accent1" w:themeFillTint="33"/>
            <w:vAlign w:val="center"/>
          </w:tcPr>
          <w:p w14:paraId="00ADFA10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17 (17.7)</w:t>
            </w:r>
          </w:p>
        </w:tc>
        <w:tc>
          <w:tcPr>
            <w:tcW w:w="1168" w:type="dxa"/>
            <w:shd w:val="clear" w:color="auto" w:fill="C1E4F5" w:themeFill="accent1" w:themeFillTint="33"/>
            <w:vAlign w:val="center"/>
          </w:tcPr>
          <w:p w14:paraId="2D5EF69B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 (10.7)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2F275407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9 (12.5)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12CF6CF8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12 (7.5)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A942ED0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11 (7.4)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61D4B30C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0.79</w:t>
            </w:r>
          </w:p>
        </w:tc>
      </w:tr>
      <w:tr w:rsidR="00950195" w:rsidRPr="00C450BE" w14:paraId="55206BB1" w14:textId="77777777" w:rsidTr="00A63155">
        <w:tc>
          <w:tcPr>
            <w:tcW w:w="2694" w:type="dxa"/>
            <w:shd w:val="clear" w:color="auto" w:fill="FAE2D5" w:themeFill="accent2" w:themeFillTint="33"/>
          </w:tcPr>
          <w:p w14:paraId="01660CE0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Access and regulatory barriers only</w:t>
            </w:r>
          </w:p>
        </w:tc>
        <w:tc>
          <w:tcPr>
            <w:tcW w:w="940" w:type="dxa"/>
            <w:shd w:val="clear" w:color="auto" w:fill="FAE2D5" w:themeFill="accent2" w:themeFillTint="33"/>
            <w:vAlign w:val="center"/>
          </w:tcPr>
          <w:p w14:paraId="4308A2F3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7 (26.9)</w:t>
            </w:r>
          </w:p>
        </w:tc>
        <w:tc>
          <w:tcPr>
            <w:tcW w:w="869" w:type="dxa"/>
            <w:shd w:val="clear" w:color="auto" w:fill="FAE2D5" w:themeFill="accent2" w:themeFillTint="33"/>
            <w:vAlign w:val="center"/>
          </w:tcPr>
          <w:p w14:paraId="3D60193F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21 (21.9)</w:t>
            </w:r>
          </w:p>
        </w:tc>
        <w:tc>
          <w:tcPr>
            <w:tcW w:w="1168" w:type="dxa"/>
            <w:shd w:val="clear" w:color="auto" w:fill="FAE2D5" w:themeFill="accent2" w:themeFillTint="33"/>
            <w:vAlign w:val="center"/>
          </w:tcPr>
          <w:p w14:paraId="2AB56A71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5 (17.9)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0CC141C1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15 (20.8)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6D042E46" w14:textId="4404DEF1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 xml:space="preserve">30 </w:t>
            </w:r>
            <w:r w:rsidR="00310FEC" w:rsidRPr="00C450BE">
              <w:rPr>
                <w:color w:val="000000" w:themeColor="text1"/>
                <w:sz w:val="18"/>
                <w:szCs w:val="18"/>
                <w:lang w:val="en-US"/>
              </w:rPr>
              <w:t>(</w:t>
            </w: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18.6)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14:paraId="5470373A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32 (21.5)</w:t>
            </w:r>
          </w:p>
        </w:tc>
        <w:tc>
          <w:tcPr>
            <w:tcW w:w="993" w:type="dxa"/>
            <w:shd w:val="clear" w:color="auto" w:fill="FAE2D5" w:themeFill="accent2" w:themeFillTint="33"/>
            <w:vAlign w:val="center"/>
          </w:tcPr>
          <w:p w14:paraId="70039963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0.15</w:t>
            </w:r>
          </w:p>
        </w:tc>
      </w:tr>
      <w:tr w:rsidR="00950195" w:rsidRPr="00C450BE" w14:paraId="50160AE8" w14:textId="77777777" w:rsidTr="00A63155">
        <w:tc>
          <w:tcPr>
            <w:tcW w:w="2694" w:type="dxa"/>
            <w:shd w:val="clear" w:color="auto" w:fill="C1E4F5" w:themeFill="accent1" w:themeFillTint="33"/>
          </w:tcPr>
          <w:p w14:paraId="57D04163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Both limitations</w:t>
            </w:r>
          </w:p>
        </w:tc>
        <w:tc>
          <w:tcPr>
            <w:tcW w:w="940" w:type="dxa"/>
            <w:shd w:val="clear" w:color="auto" w:fill="C1E4F5" w:themeFill="accent1" w:themeFillTint="33"/>
            <w:vAlign w:val="center"/>
          </w:tcPr>
          <w:p w14:paraId="6B6955DE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6 (23.1)</w:t>
            </w:r>
          </w:p>
        </w:tc>
        <w:tc>
          <w:tcPr>
            <w:tcW w:w="869" w:type="dxa"/>
            <w:shd w:val="clear" w:color="auto" w:fill="C1E4F5" w:themeFill="accent1" w:themeFillTint="33"/>
            <w:vAlign w:val="center"/>
          </w:tcPr>
          <w:p w14:paraId="43101CDC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21 (21.9)</w:t>
            </w:r>
          </w:p>
        </w:tc>
        <w:tc>
          <w:tcPr>
            <w:tcW w:w="1168" w:type="dxa"/>
            <w:shd w:val="clear" w:color="auto" w:fill="C1E4F5" w:themeFill="accent1" w:themeFillTint="33"/>
            <w:vAlign w:val="center"/>
          </w:tcPr>
          <w:p w14:paraId="5C2FFD76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11 (39.3)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381B7408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11 (15.3)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103F1A6B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34 (21.1)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FE54799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36 (24.2)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79F8926B" w14:textId="77777777" w:rsidR="00950195" w:rsidRPr="00C450BE" w:rsidRDefault="00950195" w:rsidP="00A63155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450BE">
              <w:rPr>
                <w:color w:val="000000" w:themeColor="text1"/>
                <w:sz w:val="18"/>
                <w:szCs w:val="18"/>
                <w:lang w:val="en-US"/>
              </w:rPr>
              <w:t>0.39</w:t>
            </w:r>
          </w:p>
        </w:tc>
      </w:tr>
    </w:tbl>
    <w:bookmarkEnd w:id="0"/>
    <w:bookmarkEnd w:id="1"/>
    <w:p w14:paraId="78AD3FAB" w14:textId="77777777" w:rsidR="00950195" w:rsidRPr="00C450BE" w:rsidRDefault="00950195" w:rsidP="00950195">
      <w:pPr>
        <w:pStyle w:val="PargrafodaLista"/>
        <w:jc w:val="both"/>
        <w:rPr>
          <w:color w:val="000000" w:themeColor="text1"/>
          <w:lang w:val="en-US"/>
        </w:rPr>
      </w:pPr>
      <w:r w:rsidRPr="00C450BE">
        <w:rPr>
          <w:color w:val="000000" w:themeColor="text1"/>
          <w:lang w:val="en-US"/>
        </w:rPr>
        <w:t>*ADT neoadjuvant, concurrent and/or adjuvant to radiotherapy.</w:t>
      </w:r>
    </w:p>
    <w:p w14:paraId="297077B6" w14:textId="77777777" w:rsidR="00950195" w:rsidRPr="00C450BE" w:rsidRDefault="00950195" w:rsidP="00950195">
      <w:pPr>
        <w:rPr>
          <w:lang w:val="en-US"/>
        </w:rPr>
      </w:pPr>
    </w:p>
    <w:p w14:paraId="5AAD4CDE" w14:textId="77777777" w:rsidR="00950195" w:rsidRPr="00C450BE" w:rsidRDefault="00950195" w:rsidP="00950195">
      <w:pPr>
        <w:rPr>
          <w:lang w:val="en-US"/>
        </w:rPr>
      </w:pPr>
    </w:p>
    <w:p w14:paraId="456AD2FD" w14:textId="0278B7FF" w:rsidR="00950195" w:rsidRPr="00C450BE" w:rsidRDefault="00950195" w:rsidP="00950195">
      <w:pPr>
        <w:contextualSpacing/>
        <w:jc w:val="both"/>
        <w:rPr>
          <w:color w:val="000000" w:themeColor="text1"/>
          <w:lang w:val="en-US"/>
        </w:rPr>
      </w:pPr>
      <w:r w:rsidRPr="00C450BE">
        <w:rPr>
          <w:color w:val="000000" w:themeColor="text1"/>
          <w:lang w:val="en-US"/>
        </w:rPr>
        <w:t xml:space="preserve">Supplementary Table 2 – Demographic data and management differences between general urologists and </w:t>
      </w:r>
      <w:proofErr w:type="spellStart"/>
      <w:r w:rsidRPr="00C450BE">
        <w:rPr>
          <w:color w:val="000000" w:themeColor="text1"/>
          <w:lang w:val="en-US"/>
        </w:rPr>
        <w:t>uro</w:t>
      </w:r>
      <w:proofErr w:type="spellEnd"/>
      <w:r w:rsidRPr="00C450BE">
        <w:rPr>
          <w:color w:val="000000" w:themeColor="text1"/>
          <w:lang w:val="en-US"/>
        </w:rPr>
        <w:t xml:space="preserve">-oncologists </w:t>
      </w:r>
    </w:p>
    <w:tbl>
      <w:tblPr>
        <w:tblStyle w:val="Tabelacomgrade"/>
        <w:tblW w:w="9625" w:type="dxa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4673"/>
        <w:gridCol w:w="1701"/>
        <w:gridCol w:w="2126"/>
        <w:gridCol w:w="1125"/>
      </w:tblGrid>
      <w:tr w:rsidR="00950195" w:rsidRPr="00C450BE" w14:paraId="1FC6CE76" w14:textId="77777777" w:rsidTr="00A63155">
        <w:trPr>
          <w:trHeight w:val="785"/>
        </w:trPr>
        <w:tc>
          <w:tcPr>
            <w:tcW w:w="4673" w:type="dxa"/>
            <w:shd w:val="clear" w:color="auto" w:fill="FFC000"/>
          </w:tcPr>
          <w:p w14:paraId="2E2D14CB" w14:textId="77777777" w:rsidR="00950195" w:rsidRPr="00C450BE" w:rsidRDefault="00950195" w:rsidP="00EA3B6E">
            <w:pPr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14:paraId="12838445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General urologist</w:t>
            </w:r>
          </w:p>
          <w:p w14:paraId="5A75FA58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395 (80.6)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B11F368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Uro-oncologist</w:t>
            </w:r>
          </w:p>
          <w:p w14:paraId="7AB3DD21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95 (19.4)</w:t>
            </w:r>
          </w:p>
        </w:tc>
        <w:tc>
          <w:tcPr>
            <w:tcW w:w="1125" w:type="dxa"/>
            <w:shd w:val="clear" w:color="auto" w:fill="FFC000"/>
            <w:vAlign w:val="center"/>
          </w:tcPr>
          <w:p w14:paraId="61374109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p value</w:t>
            </w:r>
          </w:p>
        </w:tc>
      </w:tr>
      <w:tr w:rsidR="00950195" w:rsidRPr="00C450BE" w14:paraId="78A8846C" w14:textId="77777777" w:rsidTr="00950195">
        <w:trPr>
          <w:trHeight w:val="603"/>
        </w:trPr>
        <w:tc>
          <w:tcPr>
            <w:tcW w:w="9625" w:type="dxa"/>
            <w:gridSpan w:val="4"/>
            <w:shd w:val="clear" w:color="auto" w:fill="FFFFFF" w:themeFill="background1"/>
            <w:vAlign w:val="center"/>
          </w:tcPr>
          <w:p w14:paraId="0AC9BEC7" w14:textId="74D624A3" w:rsidR="00950195" w:rsidRPr="00C450BE" w:rsidRDefault="00950195" w:rsidP="00950195">
            <w:pPr>
              <w:contextualSpacing/>
              <w:rPr>
                <w:color w:val="000000" w:themeColor="text1"/>
                <w:lang w:val="en-US"/>
              </w:rPr>
            </w:pPr>
            <w:r w:rsidRPr="00C450BE">
              <w:rPr>
                <w:color w:val="000000" w:themeColor="text1"/>
                <w:lang w:val="en-US"/>
              </w:rPr>
              <w:t>Barriers to prescribe LHRH, n (%)</w:t>
            </w:r>
          </w:p>
        </w:tc>
      </w:tr>
      <w:tr w:rsidR="00950195" w:rsidRPr="00C450BE" w14:paraId="1413B351" w14:textId="77777777" w:rsidTr="00A63155">
        <w:tc>
          <w:tcPr>
            <w:tcW w:w="4673" w:type="dxa"/>
            <w:shd w:val="clear" w:color="auto" w:fill="C1E4F5" w:themeFill="accent1" w:themeFillTint="33"/>
          </w:tcPr>
          <w:p w14:paraId="73ED22E9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 xml:space="preserve">Concerning only about drug’s clinical use 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6B613243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75 (25.3)</w:t>
            </w: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0AD22AA8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12 (15.8)</w:t>
            </w:r>
          </w:p>
        </w:tc>
        <w:tc>
          <w:tcPr>
            <w:tcW w:w="1125" w:type="dxa"/>
            <w:shd w:val="clear" w:color="auto" w:fill="C1E4F5" w:themeFill="accent1" w:themeFillTint="33"/>
            <w:vAlign w:val="center"/>
          </w:tcPr>
          <w:p w14:paraId="3BBB1B51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0.08</w:t>
            </w:r>
          </w:p>
        </w:tc>
      </w:tr>
      <w:tr w:rsidR="00950195" w:rsidRPr="00C450BE" w14:paraId="6AE5067F" w14:textId="77777777" w:rsidTr="00A63155">
        <w:tc>
          <w:tcPr>
            <w:tcW w:w="4673" w:type="dxa"/>
            <w:shd w:val="clear" w:color="auto" w:fill="FAE2D5" w:themeFill="accent2" w:themeFillTint="33"/>
          </w:tcPr>
          <w:p w14:paraId="52D2E971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>Access and regulatory barriers only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005264AE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154 (51.9)</w:t>
            </w:r>
          </w:p>
        </w:tc>
        <w:tc>
          <w:tcPr>
            <w:tcW w:w="2126" w:type="dxa"/>
            <w:shd w:val="clear" w:color="auto" w:fill="FAE2D5" w:themeFill="accent2" w:themeFillTint="33"/>
            <w:vAlign w:val="center"/>
          </w:tcPr>
          <w:p w14:paraId="73ED0567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30 (39.5)</w:t>
            </w:r>
          </w:p>
        </w:tc>
        <w:tc>
          <w:tcPr>
            <w:tcW w:w="1125" w:type="dxa"/>
            <w:shd w:val="clear" w:color="auto" w:fill="FAE2D5" w:themeFill="accent2" w:themeFillTint="33"/>
            <w:vAlign w:val="center"/>
          </w:tcPr>
          <w:p w14:paraId="66F54856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0.054</w:t>
            </w:r>
          </w:p>
        </w:tc>
      </w:tr>
      <w:tr w:rsidR="00950195" w:rsidRPr="00C450BE" w14:paraId="05346F9D" w14:textId="77777777" w:rsidTr="00A63155">
        <w:tc>
          <w:tcPr>
            <w:tcW w:w="4673" w:type="dxa"/>
            <w:shd w:val="clear" w:color="auto" w:fill="C1E4F5" w:themeFill="accent1" w:themeFillTint="33"/>
          </w:tcPr>
          <w:p w14:paraId="6F372E9E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>Both limitations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33046699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50 (16.8)</w:t>
            </w: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4AE0D785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6 (7.9)</w:t>
            </w:r>
          </w:p>
        </w:tc>
        <w:tc>
          <w:tcPr>
            <w:tcW w:w="1125" w:type="dxa"/>
            <w:shd w:val="clear" w:color="auto" w:fill="C1E4F5" w:themeFill="accent1" w:themeFillTint="33"/>
            <w:vAlign w:val="center"/>
          </w:tcPr>
          <w:p w14:paraId="2EB8DE49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0.052</w:t>
            </w:r>
          </w:p>
        </w:tc>
      </w:tr>
      <w:tr w:rsidR="00A63155" w:rsidRPr="00C450BE" w14:paraId="17F4ED1D" w14:textId="77777777" w:rsidTr="00A63155">
        <w:tc>
          <w:tcPr>
            <w:tcW w:w="4673" w:type="dxa"/>
            <w:shd w:val="clear" w:color="auto" w:fill="FAE2D5" w:themeFill="accent2" w:themeFillTint="33"/>
          </w:tcPr>
          <w:p w14:paraId="47AA8C63" w14:textId="77777777" w:rsidR="00950195" w:rsidRPr="00C450BE" w:rsidRDefault="00950195" w:rsidP="00C450BE">
            <w:pPr>
              <w:ind w:left="26"/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 xml:space="preserve">A total of 215/373 respondents (57.6% of the valid percentage) reported experiencing clinical or structural </w:t>
            </w:r>
            <w:proofErr w:type="spellStart"/>
            <w:r w:rsidRPr="00C450BE">
              <w:rPr>
                <w:color w:val="000000" w:themeColor="text1"/>
                <w:sz w:val="21"/>
                <w:szCs w:val="21"/>
                <w:lang w:val="en-US"/>
              </w:rPr>
              <w:t>LHRHa</w:t>
            </w:r>
            <w:proofErr w:type="spellEnd"/>
            <w:r w:rsidRPr="00C450BE">
              <w:rPr>
                <w:color w:val="000000" w:themeColor="text1"/>
                <w:sz w:val="21"/>
                <w:szCs w:val="21"/>
                <w:lang w:val="en-US"/>
              </w:rPr>
              <w:t xml:space="preserve"> access difficulties.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74D88E33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179 (60.3)</w:t>
            </w:r>
          </w:p>
        </w:tc>
        <w:tc>
          <w:tcPr>
            <w:tcW w:w="2126" w:type="dxa"/>
            <w:shd w:val="clear" w:color="auto" w:fill="FAE2D5" w:themeFill="accent2" w:themeFillTint="33"/>
            <w:vAlign w:val="center"/>
          </w:tcPr>
          <w:p w14:paraId="32D42B5F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36 (47.4)</w:t>
            </w:r>
          </w:p>
        </w:tc>
        <w:tc>
          <w:tcPr>
            <w:tcW w:w="1125" w:type="dxa"/>
            <w:shd w:val="clear" w:color="auto" w:fill="FAE2D5" w:themeFill="accent2" w:themeFillTint="33"/>
            <w:vAlign w:val="center"/>
          </w:tcPr>
          <w:p w14:paraId="1090A41F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0.04</w:t>
            </w:r>
          </w:p>
        </w:tc>
      </w:tr>
      <w:tr w:rsidR="00950195" w:rsidRPr="00C450BE" w14:paraId="386E1A62" w14:textId="77777777" w:rsidTr="00AF2515">
        <w:trPr>
          <w:trHeight w:val="675"/>
        </w:trPr>
        <w:tc>
          <w:tcPr>
            <w:tcW w:w="9625" w:type="dxa"/>
            <w:gridSpan w:val="4"/>
            <w:shd w:val="clear" w:color="auto" w:fill="FFFFFF" w:themeFill="background1"/>
            <w:vAlign w:val="center"/>
          </w:tcPr>
          <w:p w14:paraId="09CDD4EC" w14:textId="4958B66F" w:rsidR="00950195" w:rsidRPr="00C450BE" w:rsidRDefault="00950195" w:rsidP="00950195">
            <w:pPr>
              <w:contextualSpacing/>
              <w:rPr>
                <w:color w:val="000000" w:themeColor="text1"/>
                <w:lang w:val="pt-PT"/>
              </w:rPr>
            </w:pPr>
            <w:proofErr w:type="spellStart"/>
            <w:r w:rsidRPr="00C450BE">
              <w:rPr>
                <w:color w:val="000000" w:themeColor="text1"/>
                <w:lang w:val="pt-PT"/>
              </w:rPr>
              <w:t>Barriers</w:t>
            </w:r>
            <w:proofErr w:type="spellEnd"/>
            <w:r w:rsidRPr="00C450BE">
              <w:rPr>
                <w:color w:val="000000" w:themeColor="text1"/>
                <w:lang w:val="pt-PT"/>
              </w:rPr>
              <w:t xml:space="preserve"> do </w:t>
            </w:r>
            <w:proofErr w:type="spellStart"/>
            <w:r w:rsidRPr="00C450BE">
              <w:rPr>
                <w:color w:val="000000" w:themeColor="text1"/>
                <w:lang w:val="pt-PT"/>
              </w:rPr>
              <w:t>prescribe</w:t>
            </w:r>
            <w:proofErr w:type="spellEnd"/>
            <w:r w:rsidRPr="00C450BE">
              <w:rPr>
                <w:color w:val="000000" w:themeColor="text1"/>
                <w:lang w:val="pt-PT"/>
              </w:rPr>
              <w:t xml:space="preserve"> </w:t>
            </w:r>
            <w:proofErr w:type="spellStart"/>
            <w:r w:rsidRPr="00C450BE">
              <w:rPr>
                <w:color w:val="000000" w:themeColor="text1"/>
                <w:lang w:val="pt-PT"/>
              </w:rPr>
              <w:t>ARPi</w:t>
            </w:r>
            <w:proofErr w:type="spellEnd"/>
            <w:r w:rsidRPr="00C450BE">
              <w:rPr>
                <w:color w:val="000000" w:themeColor="text1"/>
                <w:lang w:val="pt-PT"/>
              </w:rPr>
              <w:t>, n (%)</w:t>
            </w:r>
          </w:p>
        </w:tc>
      </w:tr>
      <w:tr w:rsidR="00950195" w:rsidRPr="00C450BE" w14:paraId="171D488B" w14:textId="77777777" w:rsidTr="00A63155">
        <w:tc>
          <w:tcPr>
            <w:tcW w:w="4673" w:type="dxa"/>
            <w:shd w:val="clear" w:color="auto" w:fill="C1E4F5" w:themeFill="accent1" w:themeFillTint="33"/>
          </w:tcPr>
          <w:p w14:paraId="72F6E15D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 xml:space="preserve">Concerning only about drug’s clinical use 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04309CBB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147 (63.1)</w:t>
            </w: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57F973A5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23 (50)</w:t>
            </w:r>
          </w:p>
        </w:tc>
        <w:tc>
          <w:tcPr>
            <w:tcW w:w="1125" w:type="dxa"/>
            <w:shd w:val="clear" w:color="auto" w:fill="C1E4F5" w:themeFill="accent1" w:themeFillTint="33"/>
            <w:vAlign w:val="center"/>
          </w:tcPr>
          <w:p w14:paraId="17D6663F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0.09</w:t>
            </w:r>
          </w:p>
        </w:tc>
      </w:tr>
      <w:tr w:rsidR="00A63155" w:rsidRPr="00C450BE" w14:paraId="42D33D69" w14:textId="77777777" w:rsidTr="00A63155">
        <w:tc>
          <w:tcPr>
            <w:tcW w:w="4673" w:type="dxa"/>
            <w:shd w:val="clear" w:color="auto" w:fill="FAE2D5" w:themeFill="accent2" w:themeFillTint="33"/>
          </w:tcPr>
          <w:p w14:paraId="5974C52D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>Access and regulatory barriers only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6FBD3087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184 (79)</w:t>
            </w:r>
          </w:p>
        </w:tc>
        <w:tc>
          <w:tcPr>
            <w:tcW w:w="2126" w:type="dxa"/>
            <w:shd w:val="clear" w:color="auto" w:fill="FAE2D5" w:themeFill="accent2" w:themeFillTint="33"/>
            <w:vAlign w:val="center"/>
          </w:tcPr>
          <w:p w14:paraId="47FB9B6F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36 (78.3)</w:t>
            </w:r>
          </w:p>
        </w:tc>
        <w:tc>
          <w:tcPr>
            <w:tcW w:w="1125" w:type="dxa"/>
            <w:shd w:val="clear" w:color="auto" w:fill="FAE2D5" w:themeFill="accent2" w:themeFillTint="33"/>
            <w:vAlign w:val="center"/>
          </w:tcPr>
          <w:p w14:paraId="1A86DCD9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0.91</w:t>
            </w:r>
          </w:p>
        </w:tc>
      </w:tr>
      <w:tr w:rsidR="00950195" w:rsidRPr="00C450BE" w14:paraId="440223CD" w14:textId="77777777" w:rsidTr="00A63155">
        <w:tc>
          <w:tcPr>
            <w:tcW w:w="4673" w:type="dxa"/>
            <w:shd w:val="clear" w:color="auto" w:fill="C1E4F5" w:themeFill="accent1" w:themeFillTint="33"/>
          </w:tcPr>
          <w:p w14:paraId="3CE7B10C" w14:textId="77777777" w:rsidR="00950195" w:rsidRPr="00C450BE" w:rsidRDefault="00950195" w:rsidP="00EA3B6E">
            <w:pPr>
              <w:ind w:left="319"/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>Both limitations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1F7FF347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99 (42.5)</w:t>
            </w: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0AA49D13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14 (30.4)</w:t>
            </w:r>
          </w:p>
        </w:tc>
        <w:tc>
          <w:tcPr>
            <w:tcW w:w="1125" w:type="dxa"/>
            <w:shd w:val="clear" w:color="auto" w:fill="C1E4F5" w:themeFill="accent1" w:themeFillTint="33"/>
            <w:vAlign w:val="center"/>
          </w:tcPr>
          <w:p w14:paraId="682A90CE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0.12</w:t>
            </w:r>
          </w:p>
        </w:tc>
      </w:tr>
      <w:tr w:rsidR="00A63155" w:rsidRPr="00C450BE" w14:paraId="04CDA54D" w14:textId="77777777" w:rsidTr="00A63155">
        <w:tc>
          <w:tcPr>
            <w:tcW w:w="4673" w:type="dxa"/>
            <w:shd w:val="clear" w:color="auto" w:fill="FAE2D5" w:themeFill="accent2" w:themeFillTint="33"/>
          </w:tcPr>
          <w:p w14:paraId="212437B5" w14:textId="77777777" w:rsidR="00950195" w:rsidRPr="00C450BE" w:rsidRDefault="00950195" w:rsidP="00EA3B6E">
            <w:pPr>
              <w:contextualSpacing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C450BE">
              <w:rPr>
                <w:color w:val="000000" w:themeColor="text1"/>
                <w:sz w:val="21"/>
                <w:szCs w:val="21"/>
                <w:lang w:val="en-US"/>
              </w:rPr>
              <w:t xml:space="preserve">A total of 275 respondents (98.6% of the valid percentage) reported experiencing clinical or structural access difficulties to prescribe </w:t>
            </w:r>
            <w:proofErr w:type="spellStart"/>
            <w:r w:rsidRPr="00C450BE">
              <w:rPr>
                <w:color w:val="000000" w:themeColor="text1"/>
                <w:sz w:val="21"/>
                <w:szCs w:val="21"/>
                <w:lang w:val="en-US"/>
              </w:rPr>
              <w:t>ARPi</w:t>
            </w:r>
            <w:proofErr w:type="spellEnd"/>
            <w:r w:rsidRPr="00C450BE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0579D221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230 (8.7)</w:t>
            </w:r>
          </w:p>
        </w:tc>
        <w:tc>
          <w:tcPr>
            <w:tcW w:w="2126" w:type="dxa"/>
            <w:shd w:val="clear" w:color="auto" w:fill="FAE2D5" w:themeFill="accent2" w:themeFillTint="33"/>
            <w:vAlign w:val="center"/>
          </w:tcPr>
          <w:p w14:paraId="2D7EF862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45 (97.8)</w:t>
            </w:r>
          </w:p>
        </w:tc>
        <w:tc>
          <w:tcPr>
            <w:tcW w:w="1125" w:type="dxa"/>
            <w:shd w:val="clear" w:color="auto" w:fill="FAE2D5" w:themeFill="accent2" w:themeFillTint="33"/>
            <w:vAlign w:val="center"/>
          </w:tcPr>
          <w:p w14:paraId="7B0B8A82" w14:textId="77777777" w:rsidR="00950195" w:rsidRPr="00C450BE" w:rsidRDefault="00950195" w:rsidP="00EA3B6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450BE">
              <w:rPr>
                <w:color w:val="000000" w:themeColor="text1"/>
                <w:sz w:val="22"/>
                <w:szCs w:val="22"/>
                <w:lang w:val="en-US"/>
              </w:rPr>
              <w:t>0.64</w:t>
            </w:r>
          </w:p>
        </w:tc>
      </w:tr>
    </w:tbl>
    <w:p w14:paraId="604B290D" w14:textId="77777777" w:rsidR="00950195" w:rsidRPr="00C450BE" w:rsidRDefault="00950195" w:rsidP="00950195">
      <w:pPr>
        <w:contextualSpacing/>
        <w:jc w:val="both"/>
        <w:rPr>
          <w:color w:val="000000" w:themeColor="text1"/>
          <w:sz w:val="20"/>
          <w:szCs w:val="20"/>
          <w:lang w:val="en-US"/>
        </w:rPr>
      </w:pPr>
      <w:r w:rsidRPr="00C450BE">
        <w:rPr>
          <w:color w:val="000000" w:themeColor="text1"/>
          <w:sz w:val="20"/>
          <w:szCs w:val="20"/>
          <w:lang w:val="en-US"/>
        </w:rPr>
        <w:t xml:space="preserve">Pop: population; y: years; PC: prostate cancer; BCR: biochemical recurrence; </w:t>
      </w:r>
      <w:proofErr w:type="spellStart"/>
      <w:r w:rsidRPr="00C450BE">
        <w:rPr>
          <w:color w:val="000000" w:themeColor="text1"/>
          <w:sz w:val="20"/>
          <w:szCs w:val="20"/>
          <w:lang w:val="en-US"/>
        </w:rPr>
        <w:t>LHRHa</w:t>
      </w:r>
      <w:proofErr w:type="spellEnd"/>
      <w:r w:rsidRPr="00C450BE">
        <w:rPr>
          <w:color w:val="000000" w:themeColor="text1"/>
          <w:sz w:val="20"/>
          <w:szCs w:val="20"/>
          <w:lang w:val="en-US"/>
        </w:rPr>
        <w:t xml:space="preserve">: </w:t>
      </w:r>
      <w:r w:rsidRPr="00C450BE">
        <w:rPr>
          <w:color w:val="222222"/>
          <w:sz w:val="20"/>
          <w:szCs w:val="20"/>
          <w:lang w:val="en"/>
        </w:rPr>
        <w:t xml:space="preserve">luteinizing hormone-releasing hormone agonist; </w:t>
      </w:r>
      <w:proofErr w:type="spellStart"/>
      <w:r w:rsidRPr="00C450BE">
        <w:rPr>
          <w:color w:val="222222"/>
          <w:sz w:val="20"/>
          <w:szCs w:val="20"/>
          <w:lang w:val="en"/>
        </w:rPr>
        <w:t>ARPi</w:t>
      </w:r>
      <w:proofErr w:type="spellEnd"/>
      <w:r w:rsidRPr="00C450BE">
        <w:rPr>
          <w:color w:val="222222"/>
          <w:sz w:val="20"/>
          <w:szCs w:val="20"/>
          <w:lang w:val="en"/>
        </w:rPr>
        <w:t xml:space="preserve">: </w:t>
      </w:r>
      <w:r w:rsidRPr="00C450BE">
        <w:rPr>
          <w:sz w:val="20"/>
          <w:szCs w:val="20"/>
          <w:lang w:val="en-US"/>
        </w:rPr>
        <w:t>androgen receptor pathway inhibitor; ADT: androgen deprivation therapy; RT: radiation therapy; m0: non-metastatic; CRPC: castration-resistant prostate cancer.</w:t>
      </w:r>
    </w:p>
    <w:p w14:paraId="66999C7D" w14:textId="77777777" w:rsidR="00EB53EF" w:rsidRPr="00950195" w:rsidRDefault="00EB53EF">
      <w:pPr>
        <w:rPr>
          <w:lang w:val="en-US"/>
        </w:rPr>
      </w:pPr>
    </w:p>
    <w:sectPr w:rsidR="00EB53EF" w:rsidRPr="00950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95"/>
    <w:rsid w:val="000607B6"/>
    <w:rsid w:val="00076BDE"/>
    <w:rsid w:val="00085F77"/>
    <w:rsid w:val="000907E1"/>
    <w:rsid w:val="001D562A"/>
    <w:rsid w:val="001F45C3"/>
    <w:rsid w:val="0020099F"/>
    <w:rsid w:val="00207E7A"/>
    <w:rsid w:val="00251BB9"/>
    <w:rsid w:val="00252727"/>
    <w:rsid w:val="0028527E"/>
    <w:rsid w:val="002C18A7"/>
    <w:rsid w:val="002F498F"/>
    <w:rsid w:val="00305823"/>
    <w:rsid w:val="00310FEC"/>
    <w:rsid w:val="00405CD5"/>
    <w:rsid w:val="004204A9"/>
    <w:rsid w:val="00442ADA"/>
    <w:rsid w:val="00490521"/>
    <w:rsid w:val="00490F52"/>
    <w:rsid w:val="00491EEB"/>
    <w:rsid w:val="00495665"/>
    <w:rsid w:val="004B6C54"/>
    <w:rsid w:val="004D7DA0"/>
    <w:rsid w:val="005115AB"/>
    <w:rsid w:val="0052338D"/>
    <w:rsid w:val="005B118E"/>
    <w:rsid w:val="005D32CD"/>
    <w:rsid w:val="00606214"/>
    <w:rsid w:val="00617E9C"/>
    <w:rsid w:val="00657AEB"/>
    <w:rsid w:val="006C0FEC"/>
    <w:rsid w:val="006D507B"/>
    <w:rsid w:val="00720C80"/>
    <w:rsid w:val="00737464"/>
    <w:rsid w:val="007949E5"/>
    <w:rsid w:val="007A2054"/>
    <w:rsid w:val="007A391C"/>
    <w:rsid w:val="007B0EB4"/>
    <w:rsid w:val="00827D46"/>
    <w:rsid w:val="00866928"/>
    <w:rsid w:val="008E29B9"/>
    <w:rsid w:val="00950195"/>
    <w:rsid w:val="00951A47"/>
    <w:rsid w:val="00957E91"/>
    <w:rsid w:val="00981D2E"/>
    <w:rsid w:val="009A61B0"/>
    <w:rsid w:val="00A63155"/>
    <w:rsid w:val="00A64A67"/>
    <w:rsid w:val="00B2550A"/>
    <w:rsid w:val="00B30CDD"/>
    <w:rsid w:val="00B73744"/>
    <w:rsid w:val="00B738FA"/>
    <w:rsid w:val="00B74DBD"/>
    <w:rsid w:val="00BE3C83"/>
    <w:rsid w:val="00C1638F"/>
    <w:rsid w:val="00C2085F"/>
    <w:rsid w:val="00C450BE"/>
    <w:rsid w:val="00C620DB"/>
    <w:rsid w:val="00C67B2C"/>
    <w:rsid w:val="00CA5127"/>
    <w:rsid w:val="00CA5D6A"/>
    <w:rsid w:val="00CB6EA9"/>
    <w:rsid w:val="00D30388"/>
    <w:rsid w:val="00D829F7"/>
    <w:rsid w:val="00DC3DE5"/>
    <w:rsid w:val="00DF1815"/>
    <w:rsid w:val="00E44D22"/>
    <w:rsid w:val="00EB53EF"/>
    <w:rsid w:val="00EB55B2"/>
    <w:rsid w:val="00EB680E"/>
    <w:rsid w:val="00F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60F8E"/>
  <w15:chartTrackingRefBased/>
  <w15:docId w15:val="{CC8D95E3-60AF-4142-A1B4-16792EFC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95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0CDD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CD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CDD"/>
    <w:pPr>
      <w:pBdr>
        <w:top w:val="single" w:sz="6" w:space="2" w:color="156082" w:themeColor="accent1"/>
        <w:left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CDD"/>
    <w:pPr>
      <w:pBdr>
        <w:top w:val="dotted" w:sz="6" w:space="2" w:color="156082" w:themeColor="accent1"/>
        <w:left w:val="dotted" w:sz="6" w:space="2" w:color="156082" w:themeColor="accent1"/>
      </w:pBdr>
      <w:spacing w:before="30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CDD"/>
    <w:pPr>
      <w:pBdr>
        <w:bottom w:val="single" w:sz="6" w:space="1" w:color="156082" w:themeColor="accent1"/>
      </w:pBdr>
      <w:spacing w:before="30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CDD"/>
    <w:pPr>
      <w:pBdr>
        <w:bottom w:val="dotted" w:sz="6" w:space="1" w:color="156082" w:themeColor="accent1"/>
      </w:pBdr>
      <w:spacing w:before="30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CDD"/>
    <w:pPr>
      <w:spacing w:before="30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CDD"/>
    <w:pPr>
      <w:spacing w:before="3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CDD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CDD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CDD"/>
    <w:rPr>
      <w:caps/>
      <w:spacing w:val="15"/>
      <w:shd w:val="clear" w:color="auto" w:fill="C1E4F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CDD"/>
    <w:rPr>
      <w:caps/>
      <w:color w:val="0A2F40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CDD"/>
    <w:rPr>
      <w:caps/>
      <w:color w:val="0F4761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CDD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CDD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30CDD"/>
    <w:rPr>
      <w:b/>
      <w:bCs/>
      <w:color w:val="0F476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30CD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30CDD"/>
    <w:rPr>
      <w:caps/>
      <w:color w:val="156082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CDD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tuloChar">
    <w:name w:val="Subtítulo Char"/>
    <w:basedOn w:val="Fontepargpadro"/>
    <w:link w:val="Subttulo"/>
    <w:uiPriority w:val="11"/>
    <w:rsid w:val="00B30CDD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30CDD"/>
    <w:rPr>
      <w:b/>
      <w:bCs/>
    </w:rPr>
  </w:style>
  <w:style w:type="character" w:styleId="nfase">
    <w:name w:val="Emphasis"/>
    <w:uiPriority w:val="20"/>
    <w:qFormat/>
    <w:rsid w:val="00B30CDD"/>
    <w:rPr>
      <w:caps/>
      <w:color w:val="0A2F40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30CDD"/>
  </w:style>
  <w:style w:type="character" w:customStyle="1" w:styleId="SemEspaamentoChar">
    <w:name w:val="Sem Espaçamento Char"/>
    <w:basedOn w:val="Fontepargpadro"/>
    <w:link w:val="SemEspaamento"/>
    <w:uiPriority w:val="1"/>
    <w:rsid w:val="00B30CD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30CD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30CD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30CDD"/>
    <w:rPr>
      <w:i/>
      <w:i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CDD"/>
    <w:pPr>
      <w:pBdr>
        <w:top w:val="single" w:sz="4" w:space="10" w:color="156082" w:themeColor="accent1"/>
        <w:left w:val="single" w:sz="4" w:space="10" w:color="156082" w:themeColor="accent1"/>
      </w:pBdr>
      <w:ind w:left="1296" w:right="1152"/>
      <w:jc w:val="both"/>
    </w:pPr>
    <w:rPr>
      <w:i/>
      <w:iCs/>
      <w:color w:val="15608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CDD"/>
    <w:rPr>
      <w:i/>
      <w:iCs/>
      <w:color w:val="156082" w:themeColor="accent1"/>
      <w:sz w:val="20"/>
      <w:szCs w:val="20"/>
    </w:rPr>
  </w:style>
  <w:style w:type="character" w:styleId="nfaseSutil">
    <w:name w:val="Subtle Emphasis"/>
    <w:uiPriority w:val="19"/>
    <w:qFormat/>
    <w:rsid w:val="00B30CDD"/>
    <w:rPr>
      <w:i/>
      <w:iCs/>
      <w:color w:val="0A2F40" w:themeColor="accent1" w:themeShade="7F"/>
    </w:rPr>
  </w:style>
  <w:style w:type="character" w:styleId="nfaseIntensa">
    <w:name w:val="Intense Emphasis"/>
    <w:uiPriority w:val="21"/>
    <w:qFormat/>
    <w:rsid w:val="00B30CDD"/>
    <w:rPr>
      <w:b/>
      <w:bCs/>
      <w:caps/>
      <w:color w:val="0A2F40" w:themeColor="accent1" w:themeShade="7F"/>
      <w:spacing w:val="10"/>
    </w:rPr>
  </w:style>
  <w:style w:type="character" w:styleId="RefernciaSutil">
    <w:name w:val="Subtle Reference"/>
    <w:uiPriority w:val="31"/>
    <w:qFormat/>
    <w:rsid w:val="00B30CDD"/>
    <w:rPr>
      <w:b/>
      <w:bCs/>
      <w:color w:val="156082" w:themeColor="accent1"/>
    </w:rPr>
  </w:style>
  <w:style w:type="character" w:styleId="RefernciaIntensa">
    <w:name w:val="Intense Reference"/>
    <w:uiPriority w:val="32"/>
    <w:qFormat/>
    <w:rsid w:val="00B30CDD"/>
    <w:rPr>
      <w:b/>
      <w:bCs/>
      <w:i/>
      <w:iCs/>
      <w:caps/>
      <w:color w:val="156082" w:themeColor="accent1"/>
    </w:rPr>
  </w:style>
  <w:style w:type="character" w:styleId="TtulodoLivro">
    <w:name w:val="Book Title"/>
    <w:uiPriority w:val="33"/>
    <w:qFormat/>
    <w:rsid w:val="00B30CDD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0CDD"/>
    <w:pPr>
      <w:outlineLvl w:val="9"/>
    </w:pPr>
  </w:style>
  <w:style w:type="paragraph" w:customStyle="1" w:styleId="Estilo1">
    <w:name w:val="Estilo1"/>
    <w:basedOn w:val="Ttulo1"/>
    <w:next w:val="Normal"/>
    <w:autoRedefine/>
    <w:qFormat/>
    <w:rsid w:val="00B30CDD"/>
  </w:style>
  <w:style w:type="paragraph" w:styleId="Sumrio1">
    <w:name w:val="toc 1"/>
    <w:basedOn w:val="Normal"/>
    <w:next w:val="Normal"/>
    <w:autoRedefine/>
    <w:uiPriority w:val="39"/>
    <w:unhideWhenUsed/>
    <w:qFormat/>
    <w:rsid w:val="002C18A7"/>
    <w:pPr>
      <w:spacing w:before="120" w:after="120"/>
    </w:pPr>
    <w:rPr>
      <w:rFonts w:cstheme="minorHAnsi"/>
      <w:b/>
      <w:bCs/>
      <w:caps/>
      <w:color w:val="000000" w:themeColor="text1"/>
      <w:sz w:val="48"/>
    </w:rPr>
  </w:style>
  <w:style w:type="table" w:styleId="Tabelacomgrade">
    <w:name w:val="Table Grid"/>
    <w:basedOn w:val="Tabelanormal"/>
    <w:uiPriority w:val="39"/>
    <w:rsid w:val="00950195"/>
    <w:pPr>
      <w:spacing w:after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flavio heldwein</cp:lastModifiedBy>
  <cp:revision>2</cp:revision>
  <dcterms:created xsi:type="dcterms:W3CDTF">2024-10-03T08:55:00Z</dcterms:created>
  <dcterms:modified xsi:type="dcterms:W3CDTF">2024-10-03T08:55:00Z</dcterms:modified>
</cp:coreProperties>
</file>