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</w:t>
      </w:r>
      <w:r>
        <w:rPr>
          <w:rFonts w:hint="eastAsia"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a: </w:t>
      </w:r>
      <w:r>
        <w:rPr>
          <w:rFonts w:ascii="Times New Roman" w:hAnsi="Times New Roman"/>
          <w:sz w:val="24"/>
          <w:szCs w:val="24"/>
        </w:rPr>
        <w:t xml:space="preserve">Characteristics of </w:t>
      </w:r>
      <w:r>
        <w:rPr>
          <w:rFonts w:hint="eastAsia" w:ascii="Times New Roman" w:hAnsi="Times New Roman"/>
          <w:sz w:val="24"/>
          <w:szCs w:val="24"/>
        </w:rPr>
        <w:t>subject</w:t>
      </w:r>
      <w:r>
        <w:rPr>
          <w:rFonts w:ascii="Times New Roman" w:hAnsi="Times New Roman"/>
          <w:sz w:val="24"/>
          <w:szCs w:val="24"/>
        </w:rPr>
        <w:t>s in the training and test sets</w:t>
      </w:r>
      <w:r>
        <w:rPr>
          <w:rFonts w:hint="eastAsia" w:ascii="Times New Roman" w:hAnsi="Times New Roman"/>
          <w:sz w:val="24"/>
          <w:szCs w:val="24"/>
        </w:rPr>
        <w:t>.</w:t>
      </w:r>
    </w:p>
    <w:tbl>
      <w:tblPr>
        <w:tblStyle w:val="4"/>
        <w:tblW w:w="874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916"/>
        <w:gridCol w:w="291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Characteristic</w:t>
            </w:r>
          </w:p>
        </w:tc>
        <w:tc>
          <w:tcPr>
            <w:tcW w:w="276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Training set</w:t>
            </w:r>
          </w:p>
        </w:tc>
        <w:tc>
          <w:tcPr>
            <w:tcW w:w="276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Test set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number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(year)*</w:t>
            </w:r>
          </w:p>
        </w:tc>
        <w:tc>
          <w:tcPr>
            <w:tcW w:w="2765" w:type="dxa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41.54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12.79</w:t>
            </w:r>
          </w:p>
        </w:tc>
        <w:tc>
          <w:tcPr>
            <w:tcW w:w="2766" w:type="dxa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41.89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12.41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2765" w:type="dxa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833(56.8</w:t>
            </w:r>
            <w:r>
              <w:rPr>
                <w:rFonts w:hint="eastAsia"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101(64.3</w:t>
            </w:r>
            <w:r>
              <w:rPr>
                <w:rFonts w:hint="eastAsia"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2765" w:type="dxa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633(43.2</w:t>
            </w:r>
            <w:r>
              <w:rPr>
                <w:rFonts w:hint="eastAsia"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56(35.7</w:t>
            </w:r>
            <w:r>
              <w:rPr>
                <w:rFonts w:hint="eastAsia"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b: Subgroup analysis results of </w:t>
      </w:r>
      <w:r>
        <w:rPr>
          <w:rFonts w:ascii="Times New Roman" w:hAnsi="Times New Roman"/>
          <w:sz w:val="24"/>
          <w:szCs w:val="24"/>
        </w:rPr>
        <w:t>test sets</w:t>
      </w:r>
    </w:p>
    <w:tbl>
      <w:tblPr>
        <w:tblStyle w:val="4"/>
        <w:tblpPr w:leftFromText="180" w:rightFromText="180" w:vertAnchor="text" w:horzAnchor="page" w:tblpX="1544" w:tblpY="156"/>
        <w:tblOverlap w:val="never"/>
        <w:tblW w:w="8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5"/>
        <w:gridCol w:w="2916"/>
        <w:gridCol w:w="2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tblHeader/>
          <w:jc w:val="center"/>
        </w:trPr>
        <w:tc>
          <w:tcPr>
            <w:tcW w:w="2915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Subgroup</w:t>
            </w:r>
          </w:p>
        </w:tc>
        <w:tc>
          <w:tcPr>
            <w:tcW w:w="2916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MAE (TPR)</w:t>
            </w:r>
          </w:p>
        </w:tc>
        <w:tc>
          <w:tcPr>
            <w:tcW w:w="2917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ICC (95% CI)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915" w:type="dxa"/>
            <w:tcBorders>
              <w:top w:val="single" w:color="auto" w:sz="8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Age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–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40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Age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61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–80</w:t>
            </w:r>
          </w:p>
        </w:tc>
        <w:tc>
          <w:tcPr>
            <w:tcW w:w="291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0.02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291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0.85 (0.79–0.90)</w:t>
            </w:r>
          </w:p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0.82 (0.75–0.88)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915" w:type="dxa"/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Male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0.88 (0.83–0.92)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2915" w:type="dxa"/>
            <w:tcBorders>
              <w:bottom w:val="single" w:color="auto" w:sz="12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Female</w:t>
            </w:r>
          </w:p>
        </w:tc>
        <w:tc>
          <w:tcPr>
            <w:tcW w:w="291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29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0.86 (0.81–0.90)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Data </w:t>
      </w:r>
      <w:r>
        <w:rPr>
          <w:rFonts w:hint="eastAsia"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expressed as mean ± SD.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ICC (95% CI)</w:t>
      </w:r>
      <w:r>
        <w:rPr>
          <w:rFonts w:hint="eastAsia"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intra-class correlation coefficient (95% confidence interval), MAEs and RMSEs </w:t>
      </w:r>
      <w:r>
        <w:rPr>
          <w:rFonts w:hint="eastAsia"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expressed as the means ± SD</w:t>
      </w:r>
    </w:p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</w:p>
    <w:p>
      <w:pPr>
        <w:rPr>
          <w:rFonts w:hint="eastAsia"/>
        </w:rPr>
      </w:pP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 2</w:t>
      </w:r>
      <w:r>
        <w:rPr>
          <w:rFonts w:hint="eastAsia" w:ascii="Times New Roman" w:hAnsi="Times New Roman"/>
          <w:bCs/>
          <w:sz w:val="24"/>
          <w:szCs w:val="24"/>
        </w:rPr>
        <w:t>.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The distribution of SDD</w:t>
      </w:r>
      <w:r>
        <w:rPr>
          <w:rFonts w:hint="eastAsia" w:ascii="Times New Roman" w:hAnsi="Times New Roman"/>
          <w:bCs/>
          <w:sz w:val="24"/>
          <w:szCs w:val="24"/>
        </w:rPr>
        <w:t xml:space="preserve"> (mm)</w:t>
      </w:r>
      <w:r>
        <w:rPr>
          <w:rFonts w:ascii="Times New Roman" w:hAnsi="Times New Roman"/>
          <w:bCs/>
          <w:sz w:val="24"/>
          <w:szCs w:val="24"/>
        </w:rPr>
        <w:t>, VB</w:t>
      </w:r>
      <w:r>
        <w:rPr>
          <w:rFonts w:hint="eastAsia" w:ascii="Times New Roman" w:hAnsi="Times New Roman"/>
          <w:bCs/>
          <w:sz w:val="24"/>
          <w:szCs w:val="24"/>
        </w:rPr>
        <w:t>D (mm)</w:t>
      </w:r>
      <w:r>
        <w:rPr>
          <w:rFonts w:ascii="Times New Roman" w:hAnsi="Times New Roman"/>
          <w:bCs/>
          <w:sz w:val="24"/>
          <w:szCs w:val="24"/>
        </w:rPr>
        <w:t xml:space="preserve">, and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TPR</w:t>
      </w:r>
      <w:r>
        <w:rPr>
          <w:rFonts w:ascii="Times New Roman" w:hAnsi="Times New Roman"/>
          <w:bCs/>
          <w:sz w:val="24"/>
          <w:szCs w:val="24"/>
        </w:rPr>
        <w:t xml:space="preserve"> in the dataset.</w:t>
      </w: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417"/>
        <w:gridCol w:w="1308"/>
        <w:gridCol w:w="152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n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umber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VB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D</w:t>
            </w:r>
          </w:p>
        </w:tc>
        <w:tc>
          <w:tcPr>
            <w:tcW w:w="130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SDD</w:t>
            </w:r>
          </w:p>
        </w:tc>
        <w:tc>
          <w:tcPr>
            <w:tcW w:w="152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TPR</w:t>
            </w:r>
          </w:p>
        </w:tc>
        <w:tc>
          <w:tcPr>
            <w:tcW w:w="241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The lower 90% limit of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16.63±1.88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21.59±2.24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1.31±0.17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18.52±2.07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17.93±1.78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0.98±0.13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18.47±2.17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17.60±1.74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0.96±0.14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18.48±4.93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18.05±1.73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0.99±0.14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19.03±2.19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18.52±1.83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0.98±0.13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19.69±2.19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18.12±1.80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0.93±0.12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0.73</w:t>
            </w:r>
          </w:p>
        </w:tc>
      </w:tr>
    </w:tbl>
    <w:p>
      <w:pPr>
        <w:rPr>
          <w:rFonts w:hint="eastAsia" w:ascii="Times New Roman" w:hAnsi="Times New Roman" w:eastAsia="等线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hint="eastAsia"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expressed as mean ± SD.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TPR: </w:t>
      </w:r>
      <w:r>
        <w:rPr>
          <w:rFonts w:hint="default" w:ascii="Times New Roman" w:hAnsi="Times New Roman" w:cs="Times New Roman"/>
          <w:sz w:val="24"/>
          <w:szCs w:val="24"/>
        </w:rPr>
        <w:t>Torg-Pavlov ratio</w:t>
      </w:r>
    </w:p>
    <w:p>
      <w:pPr>
        <w:rPr>
          <w:rFonts w:hint="eastAsia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</w:t>
      </w:r>
      <w:r>
        <w:rPr>
          <w:rFonts w:hint="eastAsia"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hint="eastAsia"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Measurement values of the spinal </w:t>
      </w:r>
      <w:r>
        <w:rPr>
          <w:rFonts w:hint="eastAsia" w:ascii="Times New Roman" w:hAnsi="Times New Roman"/>
          <w:sz w:val="24"/>
          <w:szCs w:val="24"/>
        </w:rPr>
        <w:t>surgeon</w:t>
      </w:r>
      <w:r>
        <w:rPr>
          <w:rFonts w:ascii="Times New Roman" w:hAnsi="Times New Roman"/>
          <w:sz w:val="24"/>
          <w:szCs w:val="24"/>
        </w:rPr>
        <w:t xml:space="preserve"> and model estimation </w:t>
      </w:r>
      <w:r>
        <w:rPr>
          <w:rFonts w:hint="eastAsia"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C2-C7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R1</w:t>
            </w:r>
          </w:p>
        </w:tc>
        <w:tc>
          <w:tcPr>
            <w:tcW w:w="16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Model</w:t>
            </w:r>
          </w:p>
        </w:tc>
        <w:tc>
          <w:tcPr>
            <w:tcW w:w="16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t</w:t>
            </w:r>
          </w:p>
        </w:tc>
        <w:tc>
          <w:tcPr>
            <w:tcW w:w="166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TPR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1.26±0.18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1.24±0.15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-1.1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0.92±0.14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0.90±0.14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0.90±0.16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0.89±0.16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0.93±0.16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0.92±0.15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0.92±0.15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0.92±0.15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0.89±0.15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0.88±0.12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0.47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</w:t>
            </w:r>
          </w:p>
        </w:tc>
      </w:tr>
    </w:tbl>
    <w:p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are expressed as the means ± SDs</w:t>
      </w:r>
    </w:p>
    <w:p>
      <w:pPr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&lt; 0.05 indicates significant difference between the model and reference standard</w:t>
      </w:r>
    </w:p>
    <w:p>
      <w:pPr>
        <w:rPr>
          <w:rFonts w:hint="eastAsia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</w:t>
      </w:r>
      <w:r>
        <w:rPr>
          <w:rFonts w:hint="eastAsia"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Comparison consist</w:t>
      </w:r>
      <w:r>
        <w:rPr>
          <w:rFonts w:hint="eastAsia"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z w:val="24"/>
          <w:szCs w:val="24"/>
        </w:rPr>
        <w:t xml:space="preserve"> between the reference standards and the model </w:t>
      </w:r>
      <w:r>
        <w:rPr>
          <w:rFonts w:hint="eastAsia" w:ascii="Times New Roman" w:hAnsi="Times New Roman"/>
          <w:sz w:val="24"/>
          <w:szCs w:val="24"/>
        </w:rPr>
        <w:t>measurement at C2-C7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43"/>
        <w:gridCol w:w="815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Parameter</w:t>
            </w:r>
          </w:p>
        </w:tc>
        <w:tc>
          <w:tcPr>
            <w:tcW w:w="1843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ICC(95%CI)</w:t>
            </w:r>
          </w:p>
        </w:tc>
        <w:tc>
          <w:tcPr>
            <w:tcW w:w="81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r</w:t>
            </w:r>
          </w:p>
        </w:tc>
        <w:tc>
          <w:tcPr>
            <w:tcW w:w="165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MAEs</w:t>
            </w:r>
          </w:p>
        </w:tc>
        <w:tc>
          <w:tcPr>
            <w:tcW w:w="166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RMSEs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TPR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0.77(0.69-0.83)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0.78*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0.02±0.11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0.11±0.03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0.85(0.79-0.89)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0.85*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0.02±0.08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0.08±0.02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0.89(0.85-0.92)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0.90*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0.02±0.07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0.07±0.01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0.90(0.86-0.92)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0.90*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0.01±0.07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0.07±0.01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0.87(0.83-0.91)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0.87*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&lt;0.01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0.07±0.01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0.78(0.71-0.83)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0.79*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0.01±0.09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0.09±0.02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ICC (95% CI)</w:t>
      </w:r>
      <w:r>
        <w:rPr>
          <w:rFonts w:hint="eastAsia"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intra-class correlation coefficient (95% confidence interval), r </w:t>
      </w:r>
      <w:r>
        <w:rPr>
          <w:rFonts w:hint="eastAsia" w:ascii="Times New Roman" w:hAnsi="Times New Roman"/>
          <w:sz w:val="24"/>
          <w:szCs w:val="24"/>
        </w:rPr>
        <w:t xml:space="preserve">represented </w:t>
      </w:r>
      <w:r>
        <w:rPr>
          <w:rFonts w:ascii="Times New Roman" w:hAnsi="Times New Roman"/>
          <w:sz w:val="24"/>
          <w:szCs w:val="24"/>
        </w:rPr>
        <w:t>Pearson correlation coefficient, SD</w:t>
      </w:r>
      <w:r>
        <w:rPr>
          <w:rFonts w:hint="eastAsia"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standard deviation.* p &lt; 0.05</w:t>
      </w:r>
      <w:r>
        <w:rPr>
          <w:rFonts w:hint="eastAsia"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MAEs and RMSEs </w:t>
      </w:r>
      <w:r>
        <w:rPr>
          <w:rFonts w:hint="eastAsia"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expressed as the means ± SD</w:t>
      </w:r>
    </w:p>
    <w:p>
      <w:pPr>
        <w:rPr>
          <w:rFonts w:hint="eastAsia"/>
        </w:rPr>
      </w:pPr>
    </w:p>
    <w:p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</w:t>
      </w:r>
      <w:r>
        <w:rPr>
          <w:rFonts w:hint="eastAsia"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hint="eastAsia"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color w:val="002060"/>
          <w:sz w:val="24"/>
          <w:szCs w:val="24"/>
        </w:rPr>
        <w:t xml:space="preserve">Alignment of </w:t>
      </w:r>
      <w:r>
        <w:rPr>
          <w:rFonts w:hint="eastAsia" w:ascii="Times New Roman" w:hAnsi="Times New Roman"/>
          <w:color w:val="002060"/>
          <w:sz w:val="24"/>
          <w:szCs w:val="24"/>
          <w:lang w:val="en-US" w:eastAsia="zh-CN"/>
        </w:rPr>
        <w:t>m</w:t>
      </w:r>
      <w:r>
        <w:rPr>
          <w:rFonts w:ascii="Times New Roman" w:hAnsi="Times New Roman"/>
          <w:color w:val="002060"/>
          <w:sz w:val="24"/>
          <w:szCs w:val="24"/>
        </w:rPr>
        <w:t xml:space="preserve">odel </w:t>
      </w:r>
      <w:r>
        <w:rPr>
          <w:rFonts w:hint="eastAsia" w:ascii="Times New Roman" w:hAnsi="Times New Roman"/>
          <w:color w:val="002060"/>
          <w:sz w:val="24"/>
          <w:szCs w:val="24"/>
          <w:lang w:val="en-US" w:eastAsia="zh-CN"/>
        </w:rPr>
        <w:t>p</w:t>
      </w:r>
      <w:r>
        <w:rPr>
          <w:rFonts w:ascii="Times New Roman" w:hAnsi="Times New Roman"/>
          <w:color w:val="002060"/>
          <w:sz w:val="24"/>
          <w:szCs w:val="24"/>
        </w:rPr>
        <w:t xml:space="preserve">redictions with </w:t>
      </w:r>
      <w:r>
        <w:rPr>
          <w:rFonts w:hint="eastAsia" w:ascii="Times New Roman" w:hAnsi="Times New Roman"/>
          <w:color w:val="002060"/>
          <w:sz w:val="24"/>
          <w:szCs w:val="24"/>
          <w:lang w:val="en-US" w:eastAsia="zh-CN"/>
        </w:rPr>
        <w:t>s</w:t>
      </w:r>
      <w:r>
        <w:rPr>
          <w:rFonts w:ascii="Times New Roman" w:hAnsi="Times New Roman"/>
          <w:color w:val="002060"/>
          <w:sz w:val="24"/>
          <w:szCs w:val="24"/>
        </w:rPr>
        <w:t xml:space="preserve">urgeon R1 and </w:t>
      </w:r>
      <w:r>
        <w:rPr>
          <w:rFonts w:hint="eastAsia" w:ascii="Times New Roman" w:hAnsi="Times New Roman"/>
          <w:color w:val="002060"/>
          <w:sz w:val="24"/>
          <w:szCs w:val="24"/>
          <w:lang w:val="en-US" w:eastAsia="zh-CN"/>
        </w:rPr>
        <w:t>i</w:t>
      </w:r>
      <w:r>
        <w:rPr>
          <w:rFonts w:ascii="Times New Roman" w:hAnsi="Times New Roman"/>
          <w:color w:val="002060"/>
          <w:sz w:val="24"/>
          <w:szCs w:val="24"/>
        </w:rPr>
        <w:t>nter-</w:t>
      </w:r>
      <w:r>
        <w:rPr>
          <w:rFonts w:hint="eastAsia" w:ascii="Times New Roman" w:hAnsi="Times New Roman"/>
          <w:color w:val="002060"/>
          <w:sz w:val="24"/>
          <w:szCs w:val="24"/>
          <w:lang w:val="en-US" w:eastAsia="zh-CN"/>
        </w:rPr>
        <w:t>s</w:t>
      </w:r>
      <w:r>
        <w:rPr>
          <w:rFonts w:ascii="Times New Roman" w:hAnsi="Times New Roman"/>
          <w:color w:val="002060"/>
          <w:sz w:val="24"/>
          <w:szCs w:val="24"/>
        </w:rPr>
        <w:t xml:space="preserve">urgeon </w:t>
      </w:r>
      <w:r>
        <w:rPr>
          <w:rFonts w:hint="eastAsia" w:ascii="Times New Roman" w:hAnsi="Times New Roman"/>
          <w:color w:val="002060"/>
          <w:sz w:val="24"/>
          <w:szCs w:val="24"/>
          <w:lang w:val="en-US" w:eastAsia="zh-CN"/>
        </w:rPr>
        <w:t>a</w:t>
      </w:r>
      <w:r>
        <w:rPr>
          <w:rFonts w:ascii="Times New Roman" w:hAnsi="Times New Roman"/>
          <w:color w:val="002060"/>
          <w:sz w:val="24"/>
          <w:szCs w:val="24"/>
        </w:rPr>
        <w:t>greement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R1-model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/>
                <w:sz w:val="24"/>
                <w:szCs w:val="24"/>
              </w:rPr>
              <w:t>AE)</w:t>
            </w:r>
          </w:p>
        </w:tc>
        <w:tc>
          <w:tcPr>
            <w:tcW w:w="207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R1-R2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/>
                <w:sz w:val="24"/>
                <w:szCs w:val="24"/>
              </w:rPr>
              <w:t>AE)</w:t>
            </w:r>
          </w:p>
        </w:tc>
        <w:tc>
          <w:tcPr>
            <w:tcW w:w="207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R1-R3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/>
                <w:sz w:val="24"/>
                <w:szCs w:val="24"/>
              </w:rPr>
              <w:t>AE)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0.02±0.11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0.20±0.17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0.19±0.14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0.02±0.08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0.16±0.14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0.15±0.13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0.02±0.07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0.17±0.16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0.17±0.16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0.01±0.07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0.17±0.14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0.16±0.13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＜0.01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0.16±0.13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0.16±0.13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0.01±0.09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0.16±0.12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0.16±0.13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  <w:bookmarkStart w:id="0" w:name="_Hlk135568743"/>
            <w:r>
              <w:rPr>
                <w:rFonts w:ascii="Times New Roman" w:hAnsi="Times New Roman"/>
                <w:sz w:val="24"/>
                <w:szCs w:val="24"/>
              </w:rPr>
              <w:t>±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0.17±0.14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0.17±0.14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Accuracy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84.1%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57.3%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56.7%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/>
          <w:color w:val="002060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 xml:space="preserve">MAE </w:t>
      </w:r>
      <w:r>
        <w:rPr>
          <w:rFonts w:hint="eastAsia"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expressed as the mean ± SD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/>
          <w:color w:val="002060"/>
          <w:sz w:val="24"/>
          <w:szCs w:val="24"/>
        </w:rPr>
        <w:t>Model was trained exclusively on annotations from surgeon R1; R2 and R3 annotations were used only for testing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22A48"/>
    <w:rsid w:val="00722A48"/>
    <w:rsid w:val="007767DC"/>
    <w:rsid w:val="00DE7FF6"/>
    <w:rsid w:val="21836D5C"/>
    <w:rsid w:val="21943095"/>
    <w:rsid w:val="3E36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1927</Characters>
  <Lines>16</Lines>
  <Paragraphs>4</Paragraphs>
  <TotalTime>3</TotalTime>
  <ScaleCrop>false</ScaleCrop>
  <LinksUpToDate>false</LinksUpToDate>
  <CharactersWithSpaces>2260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2023-06-15T14:47:00Z</dcterms:created>
  <dc:creator>Windows 用户</dc:creator>
  <cp:lastModifiedBy>cilearn</cp:lastModifiedBy>
  <dcterms:modified xsi:type="dcterms:W3CDTF">2025-04-06T12:39:35Z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073D7D80DA394D6ABB9DB9595BEBF555_12</vt:lpwstr>
  </property>
</Properties>
</file>