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71573" w14:textId="764C8725" w:rsidR="000D234F" w:rsidRDefault="000D7307">
      <w:pPr>
        <w:widowControl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0D7307">
        <w:rPr>
          <w:rFonts w:ascii="Times New Roman" w:hAnsi="Times New Roman" w:cs="Times New Roman"/>
          <w:i/>
          <w:iCs/>
          <w:sz w:val="36"/>
          <w:szCs w:val="36"/>
        </w:rPr>
        <w:t xml:space="preserve">Supporting Information </w:t>
      </w:r>
      <w:r w:rsidRPr="000D7307">
        <w:rPr>
          <w:rFonts w:ascii="Times New Roman" w:hAnsi="Times New Roman" w:cs="Times New Roman" w:hint="eastAsia"/>
          <w:i/>
          <w:iCs/>
          <w:sz w:val="36"/>
          <w:szCs w:val="36"/>
        </w:rPr>
        <w:t>f</w:t>
      </w:r>
      <w:r w:rsidRPr="000D7307">
        <w:rPr>
          <w:rFonts w:ascii="Times New Roman" w:hAnsi="Times New Roman" w:cs="Times New Roman"/>
          <w:i/>
          <w:iCs/>
          <w:sz w:val="36"/>
          <w:szCs w:val="36"/>
        </w:rPr>
        <w:t>or</w:t>
      </w:r>
    </w:p>
    <w:p w14:paraId="70E97FDD" w14:textId="77777777" w:rsidR="002C29BD" w:rsidRPr="000D7307" w:rsidRDefault="002C29BD">
      <w:pPr>
        <w:widowControl/>
        <w:jc w:val="center"/>
        <w:rPr>
          <w:rFonts w:ascii="Times New Roman" w:hAnsi="Times New Roman" w:cs="Times New Roman"/>
          <w:i/>
          <w:iCs/>
          <w:sz w:val="36"/>
          <w:szCs w:val="36"/>
        </w:rPr>
      </w:pPr>
    </w:p>
    <w:p w14:paraId="15504B45" w14:textId="77777777" w:rsidR="004D4017" w:rsidRDefault="004D4017" w:rsidP="004D4017">
      <w:pPr>
        <w:widowControl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H</w:t>
      </w:r>
      <w:r w:rsidRPr="002C29B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ighly efficient photocatalytic degradation of tetracycline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by i</w:t>
      </w:r>
      <w:r w:rsidRPr="002C29B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n-situ construct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ed</w:t>
      </w:r>
      <w:r w:rsidRPr="002C29B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 bismuth oxyiodide/zeolitic imidazolate framework-8 heterojunction catalysts</w:t>
      </w:r>
    </w:p>
    <w:p w14:paraId="44644040" w14:textId="77777777" w:rsidR="004D4017" w:rsidRPr="00D01D6F" w:rsidRDefault="004D4017" w:rsidP="004D401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AA874" w14:textId="77777777" w:rsidR="00D87B91" w:rsidRDefault="00D87B91" w:rsidP="00D87B9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B430A6" w14:textId="0BAAF974" w:rsidR="003B2A1C" w:rsidRDefault="003B2A1C" w:rsidP="003B2A1C">
      <w:pPr>
        <w:widowControl/>
        <w:ind w:firstLine="44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Rongfei Jiang</w:t>
      </w:r>
      <w:r>
        <w:rPr>
          <w:rFonts w:ascii="Times New Roman" w:hAnsi="Times New Roman" w:cs="Times New Roman" w:hint="eastAsia"/>
          <w:sz w:val="22"/>
          <w:vertAlign w:val="superscript"/>
        </w:rPr>
        <w:t>a</w:t>
      </w:r>
      <w:r>
        <w:rPr>
          <w:rFonts w:ascii="Times New Roman" w:hAnsi="Times New Roman" w:cs="Times New Roman" w:hint="eastAsia"/>
          <w:bCs/>
          <w:sz w:val="22"/>
          <w:vertAlign w:val="superscript"/>
        </w:rPr>
        <w:t>,</w:t>
      </w:r>
      <w:r>
        <w:rPr>
          <w:rFonts w:ascii="Times New Roman" w:hAnsi="Times New Roman" w:cs="Times New Roman"/>
          <w:bCs/>
          <w:sz w:val="22"/>
          <w:vertAlign w:val="superscript"/>
        </w:rPr>
        <w:t xml:space="preserve"> </w:t>
      </w:r>
      <w:r>
        <w:rPr>
          <w:rFonts w:ascii="Times New Roman" w:hAnsi="Times New Roman" w:cs="Times New Roman" w:hint="eastAsia"/>
          <w:bCs/>
          <w:sz w:val="22"/>
          <w:vertAlign w:val="superscript"/>
        </w:rPr>
        <w:t>#</w:t>
      </w:r>
      <w:r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Weiqi Luo</w:t>
      </w:r>
      <w:r>
        <w:rPr>
          <w:rFonts w:ascii="Times New Roman" w:hAnsi="Times New Roman" w:cs="Times New Roman"/>
          <w:bCs/>
          <w:sz w:val="22"/>
          <w:vertAlign w:val="superscript"/>
        </w:rPr>
        <w:t>a</w:t>
      </w:r>
      <w:r>
        <w:rPr>
          <w:rFonts w:ascii="Times New Roman" w:hAnsi="Times New Roman" w:cs="Times New Roman" w:hint="eastAsia"/>
          <w:bCs/>
          <w:sz w:val="22"/>
          <w:vertAlign w:val="superscript"/>
        </w:rPr>
        <w:t>,</w:t>
      </w:r>
      <w:r>
        <w:rPr>
          <w:rFonts w:ascii="Times New Roman" w:hAnsi="Times New Roman" w:cs="Times New Roman"/>
          <w:bCs/>
          <w:sz w:val="22"/>
          <w:vertAlign w:val="superscript"/>
        </w:rPr>
        <w:t xml:space="preserve"> </w:t>
      </w:r>
      <w:r>
        <w:rPr>
          <w:rFonts w:ascii="Times New Roman" w:hAnsi="Times New Roman" w:cs="Times New Roman" w:hint="eastAsia"/>
          <w:bCs/>
          <w:sz w:val="22"/>
          <w:vertAlign w:val="superscript"/>
        </w:rPr>
        <w:t>#</w:t>
      </w:r>
      <w:r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 w:hint="eastAsia"/>
          <w:sz w:val="22"/>
        </w:rPr>
        <w:t xml:space="preserve"> </w:t>
      </w:r>
      <w:bookmarkStart w:id="0" w:name="_Hlk178443875"/>
      <w:r>
        <w:rPr>
          <w:rFonts w:ascii="Times New Roman" w:hAnsi="Times New Roman" w:cs="Times New Roman"/>
          <w:sz w:val="22"/>
        </w:rPr>
        <w:t>Jinyang Peng</w:t>
      </w:r>
      <w:bookmarkEnd w:id="0"/>
      <w:r>
        <w:rPr>
          <w:rFonts w:ascii="Times New Roman" w:hAnsi="Times New Roman" w:cs="Times New Roman"/>
          <w:bCs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>,</w:t>
      </w:r>
      <w:bookmarkStart w:id="1" w:name="_Hlk178443999"/>
      <w:r w:rsidRPr="009D1038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Jijun Tang</w:t>
      </w:r>
      <w:bookmarkEnd w:id="1"/>
      <w:r>
        <w:rPr>
          <w:rFonts w:ascii="Times New Roman" w:hAnsi="Times New Roman" w:cs="Times New Roman"/>
          <w:bCs/>
          <w:sz w:val="22"/>
          <w:vertAlign w:val="superscript"/>
        </w:rPr>
        <w:t xml:space="preserve">a, </w:t>
      </w:r>
      <w:r>
        <w:rPr>
          <w:rFonts w:ascii="Times New Roman" w:hAnsi="Times New Roman" w:cs="Times New Roman"/>
          <w:bCs/>
          <w:sz w:val="22"/>
        </w:rPr>
        <w:t>*</w:t>
      </w:r>
      <w:r>
        <w:rPr>
          <w:rFonts w:ascii="Times New Roman" w:hAnsi="Times New Roman" w:cs="Times New Roman"/>
          <w:sz w:val="22"/>
        </w:rPr>
        <w:t xml:space="preserve">, </w:t>
      </w:r>
      <w:bookmarkStart w:id="2" w:name="_Hlk178443894"/>
      <w:r>
        <w:rPr>
          <w:rFonts w:ascii="Times New Roman" w:hAnsi="Times New Roman" w:cs="Times New Roman" w:hint="eastAsia"/>
          <w:sz w:val="22"/>
        </w:rPr>
        <w:t>Xinyue Wang</w:t>
      </w:r>
      <w:bookmarkEnd w:id="2"/>
      <w:r>
        <w:rPr>
          <w:rFonts w:ascii="Times New Roman" w:hAnsi="Times New Roman" w:cs="Times New Roman" w:hint="eastAsia"/>
          <w:sz w:val="22"/>
          <w:vertAlign w:val="superscript"/>
        </w:rPr>
        <w:t>b</w:t>
      </w:r>
      <w:r>
        <w:rPr>
          <w:rFonts w:ascii="Times New Roman" w:hAnsi="Times New Roman" w:cs="Times New Roman" w:hint="eastAsia"/>
          <w:sz w:val="22"/>
        </w:rPr>
        <w:t xml:space="preserve">, </w:t>
      </w:r>
      <w:r w:rsidRPr="00F80C2C">
        <w:rPr>
          <w:rFonts w:ascii="Times New Roman" w:hAnsi="Times New Roman" w:cs="Times New Roman" w:hint="eastAsia"/>
          <w:sz w:val="22"/>
        </w:rPr>
        <w:t>Adel Qlayel Alkhedaide</w:t>
      </w:r>
      <w:r>
        <w:rPr>
          <w:rFonts w:ascii="Times New Roman" w:hAnsi="Times New Roman" w:cs="Times New Roman"/>
          <w:sz w:val="22"/>
          <w:vertAlign w:val="superscript"/>
        </w:rPr>
        <w:t>c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 w:hint="eastAsia"/>
          <w:sz w:val="22"/>
        </w:rPr>
        <w:t>Yihui Teng</w:t>
      </w:r>
      <w:r>
        <w:rPr>
          <w:rFonts w:ascii="Times New Roman" w:hAnsi="Times New Roman" w:cs="Times New Roman" w:hint="eastAsia"/>
          <w:sz w:val="22"/>
          <w:vertAlign w:val="superscript"/>
        </w:rPr>
        <w:t>b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Yi He</w:t>
      </w:r>
      <w:r>
        <w:rPr>
          <w:rFonts w:ascii="Times New Roman" w:hAnsi="Times New Roman" w:cs="Times New Roman"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 w:hint="eastAsia"/>
          <w:sz w:val="22"/>
        </w:rPr>
        <w:t>Qiuyang Dai</w:t>
      </w:r>
      <w:r>
        <w:rPr>
          <w:rFonts w:ascii="Times New Roman" w:hAnsi="Times New Roman" w:cs="Times New Roman" w:hint="eastAsia"/>
          <w:sz w:val="22"/>
          <w:vertAlign w:val="superscript"/>
        </w:rPr>
        <w:t>a</w:t>
      </w:r>
      <w:r>
        <w:rPr>
          <w:rFonts w:ascii="Times New Roman" w:hAnsi="Times New Roman" w:cs="Times New Roman" w:hint="eastAsia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>Guicheng Gao</w:t>
      </w:r>
      <w:r>
        <w:rPr>
          <w:rFonts w:ascii="Times New Roman" w:hAnsi="Times New Roman" w:cs="Times New Roman"/>
          <w:bCs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</w:rPr>
        <w:t xml:space="preserve">, </w:t>
      </w:r>
      <w:bookmarkStart w:id="3" w:name="_Hlk178444169"/>
      <w:r>
        <w:rPr>
          <w:rFonts w:ascii="Times New Roman" w:hAnsi="Times New Roman" w:cs="Times New Roman"/>
          <w:sz w:val="22"/>
        </w:rPr>
        <w:t>Jiaoxia Zhang</w:t>
      </w:r>
      <w:bookmarkEnd w:id="3"/>
      <w:r>
        <w:rPr>
          <w:rFonts w:ascii="Times New Roman" w:hAnsi="Times New Roman" w:cs="Times New Roman"/>
          <w:bCs/>
          <w:sz w:val="22"/>
          <w:vertAlign w:val="superscript"/>
        </w:rPr>
        <w:t>f</w:t>
      </w:r>
      <w:r w:rsidR="00C46A08">
        <w:rPr>
          <w:rFonts w:ascii="Times New Roman" w:hAnsi="Times New Roman" w:cs="Times New Roman"/>
          <w:sz w:val="22"/>
          <w:vertAlign w:val="superscript"/>
        </w:rPr>
        <w:t>,*</w:t>
      </w:r>
      <w:r>
        <w:rPr>
          <w:rFonts w:ascii="Times New Roman" w:hAnsi="Times New Roman" w:cs="Times New Roman"/>
          <w:bCs/>
          <w:sz w:val="22"/>
        </w:rPr>
        <w:t xml:space="preserve">, </w:t>
      </w:r>
      <w:bookmarkStart w:id="4" w:name="_Hlk162107526"/>
      <w:r>
        <w:rPr>
          <w:rFonts w:ascii="Times New Roman" w:hAnsi="Times New Roman" w:cs="Times New Roman"/>
          <w:sz w:val="22"/>
        </w:rPr>
        <w:t>Zeinhom M. El-Bahy</w:t>
      </w:r>
      <w:r>
        <w:rPr>
          <w:rFonts w:ascii="Times New Roman" w:hAnsi="Times New Roman" w:cs="Times New Roman" w:hint="eastAsia"/>
          <w:sz w:val="22"/>
          <w:vertAlign w:val="superscript"/>
        </w:rPr>
        <w:t>e</w:t>
      </w:r>
      <w:r>
        <w:rPr>
          <w:rFonts w:ascii="Times New Roman" w:hAnsi="Times New Roman" w:cs="Times New Roman"/>
          <w:sz w:val="22"/>
        </w:rPr>
        <w:t>, Mohammed A. Amin</w:t>
      </w:r>
      <w:r>
        <w:rPr>
          <w:rFonts w:ascii="Times New Roman" w:hAnsi="Times New Roman" w:cs="Times New Roman" w:hint="eastAsia"/>
          <w:sz w:val="22"/>
          <w:vertAlign w:val="superscript"/>
        </w:rPr>
        <w:t>f</w:t>
      </w:r>
      <w:r>
        <w:rPr>
          <w:rFonts w:ascii="Times New Roman" w:hAnsi="Times New Roman" w:cs="Times New Roman"/>
          <w:sz w:val="22"/>
        </w:rPr>
        <w:t>,</w:t>
      </w:r>
      <w:r>
        <w:rPr>
          <w:rFonts w:hint="eastAsia"/>
          <w:sz w:val="22"/>
        </w:rPr>
        <w:t xml:space="preserve"> </w:t>
      </w:r>
      <w:bookmarkStart w:id="5" w:name="_Hlk178443978"/>
      <w:bookmarkEnd w:id="4"/>
      <w:r>
        <w:rPr>
          <w:rFonts w:ascii="Times New Roman" w:hAnsi="Times New Roman" w:cs="Times New Roman" w:hint="eastAsia"/>
          <w:sz w:val="22"/>
        </w:rPr>
        <w:t>Yonglin Ye</w:t>
      </w:r>
      <w:bookmarkEnd w:id="5"/>
      <w:r>
        <w:rPr>
          <w:rFonts w:ascii="Times New Roman" w:hAnsi="Times New Roman" w:cs="Times New Roman" w:hint="eastAsia"/>
          <w:sz w:val="22"/>
          <w:vertAlign w:val="superscript"/>
        </w:rPr>
        <w:t>a</w:t>
      </w:r>
      <w:r>
        <w:rPr>
          <w:rFonts w:ascii="Times New Roman" w:hAnsi="Times New Roman" w:cs="Times New Roman"/>
          <w:sz w:val="22"/>
          <w:vertAlign w:val="superscript"/>
        </w:rPr>
        <w:t>,*</w:t>
      </w:r>
    </w:p>
    <w:p w14:paraId="7EFC01F9" w14:textId="77777777" w:rsidR="00D87B91" w:rsidRPr="00C46A08" w:rsidRDefault="00D87B91" w:rsidP="00D87B9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1F50DBA" w14:textId="77777777" w:rsidR="003B2A1C" w:rsidRDefault="003B2A1C" w:rsidP="003B2A1C">
      <w:pPr>
        <w:pStyle w:val="Default"/>
        <w:ind w:firstLine="482"/>
        <w:jc w:val="both"/>
        <w:rPr>
          <w:bCs/>
        </w:rPr>
      </w:pPr>
      <w:r>
        <w:rPr>
          <w:bCs/>
          <w:vertAlign w:val="superscript"/>
        </w:rPr>
        <w:t xml:space="preserve">a </w:t>
      </w:r>
      <w:r>
        <w:rPr>
          <w:bCs/>
        </w:rPr>
        <w:t>School of Materials Science and Engineering, Jiangsu University of Science and Technology, Zhenjiang, 212003, China</w:t>
      </w:r>
      <w:r>
        <w:rPr>
          <w:rFonts w:hint="eastAsia"/>
          <w:bCs/>
        </w:rPr>
        <w:t>.</w:t>
      </w:r>
    </w:p>
    <w:p w14:paraId="611C9D1E" w14:textId="77777777" w:rsidR="003B2A1C" w:rsidRDefault="003B2A1C" w:rsidP="003B2A1C">
      <w:pPr>
        <w:pStyle w:val="Default"/>
        <w:ind w:firstLine="482"/>
        <w:jc w:val="both"/>
        <w:rPr>
          <w:bCs/>
        </w:rPr>
      </w:pPr>
      <w:r>
        <w:rPr>
          <w:rFonts w:hint="eastAsia"/>
          <w:bCs/>
          <w:vertAlign w:val="superscript"/>
        </w:rPr>
        <w:t>b</w:t>
      </w:r>
      <w:r>
        <w:rPr>
          <w:bCs/>
        </w:rPr>
        <w:t xml:space="preserve"> </w:t>
      </w:r>
      <w:r>
        <w:rPr>
          <w:rFonts w:hint="eastAsia"/>
          <w:bCs/>
        </w:rPr>
        <w:t xml:space="preserve">School of Naval Architecture and Ocean engineering, </w:t>
      </w:r>
      <w:r>
        <w:rPr>
          <w:bCs/>
        </w:rPr>
        <w:t>Jiangsu University of Science and Technology, Zhenjiang, 212003, China</w:t>
      </w:r>
    </w:p>
    <w:p w14:paraId="21C46E2D" w14:textId="77777777" w:rsidR="003B2A1C" w:rsidRDefault="003B2A1C" w:rsidP="003B2A1C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De</w:t>
      </w:r>
      <w:r w:rsidRPr="00F80C2C">
        <w:rPr>
          <w:rFonts w:ascii="Times New Roman" w:hAnsi="Times New Roman" w:cs="Times New Roman" w:hint="eastAsia"/>
          <w:sz w:val="24"/>
          <w:szCs w:val="24"/>
        </w:rPr>
        <w:t>partment of Clinical Laboratory Sciences,</w:t>
      </w:r>
      <w:bookmarkStart w:id="6" w:name="_Hlk178765048"/>
      <w:r w:rsidRPr="00F80C2C">
        <w:rPr>
          <w:rFonts w:ascii="Times New Roman" w:hAnsi="Times New Roman" w:cs="Times New Roman" w:hint="eastAsia"/>
          <w:sz w:val="24"/>
          <w:szCs w:val="24"/>
        </w:rPr>
        <w:t xml:space="preserve"> Turabah University College, Taif University,</w:t>
      </w:r>
      <w:bookmarkEnd w:id="6"/>
      <w:r w:rsidRPr="00F80C2C">
        <w:rPr>
          <w:rFonts w:ascii="Times New Roman" w:hAnsi="Times New Roman" w:cs="Times New Roman" w:hint="eastAsia"/>
          <w:sz w:val="24"/>
          <w:szCs w:val="24"/>
        </w:rPr>
        <w:t xml:space="preserve"> P.O. Box 11099, Taif 21944, Saudi Arabia</w:t>
      </w:r>
    </w:p>
    <w:p w14:paraId="07C38BDE" w14:textId="77777777" w:rsidR="003B2A1C" w:rsidRDefault="003B2A1C" w:rsidP="003B2A1C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7" w:name="_Hlk162066331"/>
      <w:bookmarkStart w:id="8" w:name="_Hlk160656786"/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2C">
        <w:rPr>
          <w:rFonts w:ascii="Times New Roman" w:hAnsi="Times New Roman" w:cs="Times New Roman" w:hint="eastAsia"/>
          <w:sz w:val="24"/>
          <w:szCs w:val="24"/>
        </w:rPr>
        <w:t>School of Materials and Chemical Engineering, Ningbo University of Technology, Ningbo, 315211, China</w:t>
      </w:r>
    </w:p>
    <w:p w14:paraId="73D97D1E" w14:textId="77777777" w:rsidR="003B2A1C" w:rsidRDefault="003B2A1C" w:rsidP="003B2A1C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C2C">
        <w:rPr>
          <w:rFonts w:ascii="Times New Roman" w:hAnsi="Times New Roman" w:cs="Times New Roman" w:hint="eastAsia"/>
          <w:sz w:val="24"/>
          <w:szCs w:val="24"/>
        </w:rPr>
        <w:t>Department of Chemistry, Turabah University College, Taif University, P.O. Box 11099, Taif 21944, Saudi Arabia</w:t>
      </w:r>
    </w:p>
    <w:p w14:paraId="79A1CDF3" w14:textId="77777777" w:rsidR="003B2A1C" w:rsidRDefault="003B2A1C" w:rsidP="003B2A1C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bookmarkEnd w:id="8"/>
      <w:r w:rsidRPr="00F80C2C">
        <w:rPr>
          <w:rFonts w:ascii="Times New Roman" w:hAnsi="Times New Roman" w:cs="Times New Roman" w:hint="eastAsia"/>
          <w:sz w:val="24"/>
          <w:szCs w:val="24"/>
        </w:rPr>
        <w:t>Department of Chemistry, Faculty of Arts and Science, Northern Border University, Rafha, Saudi Arabia</w:t>
      </w:r>
    </w:p>
    <w:p w14:paraId="0E650542" w14:textId="77777777" w:rsidR="00D87B91" w:rsidRDefault="00D87B91">
      <w:pPr>
        <w:widowControl/>
        <w:jc w:val="left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br w:type="page"/>
      </w:r>
    </w:p>
    <w:p w14:paraId="0A924C2A" w14:textId="406A27DF" w:rsidR="00F022E6" w:rsidRDefault="00F022E6" w:rsidP="00B2561D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/>
          <w:kern w:val="0"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Experimental</w:t>
      </w:r>
    </w:p>
    <w:p w14:paraId="7AF7CB46" w14:textId="04B20AC9" w:rsidR="00F022E6" w:rsidRPr="00E33563" w:rsidRDefault="00F022E6" w:rsidP="00F022E6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.1Materials</w:t>
      </w:r>
    </w:p>
    <w:p w14:paraId="0F3E48B3" w14:textId="77777777" w:rsidR="00F022E6" w:rsidRPr="00E33563" w:rsidRDefault="00F022E6" w:rsidP="00F022E6">
      <w:pPr>
        <w:spacing w:before="120"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33563">
        <w:rPr>
          <w:rFonts w:ascii="Times New Roman" w:hAnsi="Times New Roman" w:cs="Times New Roman"/>
          <w:sz w:val="24"/>
          <w:szCs w:val="24"/>
        </w:rPr>
        <w:t>Bismuth nitrate pentahydrate (Bi (NO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3563">
        <w:rPr>
          <w:rFonts w:ascii="Times New Roman" w:hAnsi="Times New Roman" w:cs="Times New Roman"/>
          <w:sz w:val="24"/>
          <w:szCs w:val="24"/>
        </w:rPr>
        <w:t>)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3563">
        <w:rPr>
          <w:rFonts w:ascii="MS Mincho" w:eastAsia="MS Mincho" w:hAnsi="MS Mincho" w:cs="MS Mincho" w:hint="eastAsia"/>
          <w:sz w:val="24"/>
          <w:szCs w:val="24"/>
        </w:rPr>
        <w:t>⋅</w:t>
      </w:r>
      <w:r w:rsidRPr="00E33563">
        <w:rPr>
          <w:rFonts w:ascii="Times New Roman" w:hAnsi="Times New Roman" w:cs="Times New Roman" w:hint="eastAsia"/>
          <w:sz w:val="24"/>
          <w:szCs w:val="24"/>
        </w:rPr>
        <w:t>5</w:t>
      </w:r>
      <w:r w:rsidRPr="00E33563">
        <w:rPr>
          <w:rFonts w:ascii="Times New Roman" w:hAnsi="Times New Roman" w:cs="Times New Roman"/>
          <w:sz w:val="24"/>
          <w:szCs w:val="24"/>
        </w:rPr>
        <w:t>H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O, AR, ≥ 99%), potassium iodide (KI, AR, ≥ 99%), zinc acetate (Zn (CH3COO)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MS Mincho" w:eastAsia="MS Mincho" w:hAnsi="MS Mincho" w:cs="MS Mincho" w:hint="eastAsia"/>
          <w:sz w:val="24"/>
          <w:szCs w:val="24"/>
        </w:rPr>
        <w:t>⋅</w:t>
      </w:r>
      <w:r w:rsidRPr="00E33563">
        <w:rPr>
          <w:rFonts w:ascii="Times New Roman" w:hAnsi="Times New Roman" w:cs="Times New Roman"/>
          <w:sz w:val="24"/>
          <w:szCs w:val="24"/>
        </w:rPr>
        <w:t>2H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O, AR, ≥ 99%), 2-methylimidazole (C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33563">
        <w:rPr>
          <w:rFonts w:ascii="Times New Roman" w:hAnsi="Times New Roman" w:cs="Times New Roman"/>
          <w:sz w:val="24"/>
          <w:szCs w:val="24"/>
        </w:rPr>
        <w:t>H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E33563">
        <w:rPr>
          <w:rFonts w:ascii="Times New Roman" w:hAnsi="Times New Roman" w:cs="Times New Roman"/>
          <w:sz w:val="24"/>
          <w:szCs w:val="24"/>
        </w:rPr>
        <w:t>N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, AR, ≥ 99%), and methanol (CH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3563">
        <w:rPr>
          <w:rFonts w:ascii="Times New Roman" w:hAnsi="Times New Roman" w:cs="Times New Roman"/>
          <w:sz w:val="24"/>
          <w:szCs w:val="24"/>
        </w:rPr>
        <w:t>OH, analytical reagent) were purchased from China National Pharmaceutical Chemical Reagent Co. Ltd. Tetracycline (C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22</w:t>
      </w:r>
      <w:r w:rsidRPr="00E33563">
        <w:rPr>
          <w:rFonts w:ascii="Times New Roman" w:hAnsi="Times New Roman" w:cs="Times New Roman"/>
          <w:sz w:val="24"/>
          <w:szCs w:val="24"/>
        </w:rPr>
        <w:t>H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Pr="00E33563">
        <w:rPr>
          <w:rFonts w:ascii="Times New Roman" w:hAnsi="Times New Roman" w:cs="Times New Roman"/>
          <w:sz w:val="24"/>
          <w:szCs w:val="24"/>
        </w:rPr>
        <w:t>N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O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E33563">
        <w:rPr>
          <w:rFonts w:ascii="Times New Roman" w:hAnsi="Times New Roman" w:cs="Times New Roman"/>
          <w:sz w:val="24"/>
          <w:szCs w:val="24"/>
        </w:rPr>
        <w:t>, TC, AR, ≥ 99%) was purchased from Shanghai McLean Company, and ethylene glycol ((CH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OH)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, analytical reagent) was from Shanghai Myriad Company.</w:t>
      </w:r>
    </w:p>
    <w:p w14:paraId="6377AFB3" w14:textId="6B50E5F4" w:rsidR="00F022E6" w:rsidRPr="00E33563" w:rsidRDefault="00F022E6" w:rsidP="00F022E6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.2 Preparation of BiOI</w:t>
      </w:r>
    </w:p>
    <w:p w14:paraId="019C5A78" w14:textId="77777777" w:rsidR="00F022E6" w:rsidRPr="00E33563" w:rsidRDefault="00F022E6" w:rsidP="00F022E6">
      <w:pPr>
        <w:spacing w:before="120"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33563">
        <w:rPr>
          <w:rFonts w:ascii="Times New Roman" w:hAnsi="Times New Roman" w:cs="Times New Roman"/>
          <w:sz w:val="24"/>
          <w:szCs w:val="24"/>
        </w:rPr>
        <w:t>BiOI was prepared by a hydrothermal method. Briefly, 2.4 g Bi (NO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3563">
        <w:rPr>
          <w:rFonts w:ascii="Times New Roman" w:hAnsi="Times New Roman" w:cs="Times New Roman"/>
          <w:sz w:val="24"/>
          <w:szCs w:val="24"/>
        </w:rPr>
        <w:t>)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3563">
        <w:rPr>
          <w:rFonts w:ascii="MS Mincho" w:eastAsia="MS Mincho" w:hAnsi="MS Mincho" w:cs="MS Mincho" w:hint="eastAsia"/>
          <w:sz w:val="24"/>
          <w:szCs w:val="24"/>
        </w:rPr>
        <w:t>⋅</w:t>
      </w:r>
      <w:r w:rsidRPr="00E33563">
        <w:rPr>
          <w:rFonts w:ascii="Times New Roman" w:hAnsi="Times New Roman" w:cs="Times New Roman"/>
          <w:sz w:val="24"/>
          <w:szCs w:val="24"/>
        </w:rPr>
        <w:t>5H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O and 1.2 g KI were dissolved in 50 mg ethylene glycol under sonication. The obtained clear orange solution was placed in 100 mL of PTFE liner and held under reaction at 180°C in a blast drying oven for 2 hours. Centrifugation at 8000 r/min was used to separate the resultant solid, which was then washed three times with ethanol and water. An overnight drying at 80°C caused the form of a brick-red solid BiOI.</w:t>
      </w:r>
    </w:p>
    <w:p w14:paraId="66476B68" w14:textId="2CBBFD75" w:rsidR="00F022E6" w:rsidRPr="00E33563" w:rsidRDefault="00F022E6" w:rsidP="00F022E6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.3 Preparation of Bi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vertAlign w:val="subscript"/>
        </w:rPr>
        <w:t>5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vertAlign w:val="subscript"/>
        </w:rPr>
        <w:t>7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</w:t>
      </w:r>
    </w:p>
    <w:p w14:paraId="5CF06F5D" w14:textId="77777777" w:rsidR="00F022E6" w:rsidRPr="00E33563" w:rsidRDefault="00F022E6" w:rsidP="00F022E6">
      <w:pPr>
        <w:spacing w:before="120"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33563">
        <w:rPr>
          <w:rFonts w:ascii="Times New Roman" w:hAnsi="Times New Roman" w:cs="Times New Roman"/>
          <w:sz w:val="24"/>
          <w:szCs w:val="24"/>
        </w:rPr>
        <w:t>The prepared BiOI powder was ground and placed in a ceramic crucible calcined at 600°C for 5 hours in a muffle furnace, and pure Bi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33563">
        <w:rPr>
          <w:rFonts w:ascii="Times New Roman" w:hAnsi="Times New Roman" w:cs="Times New Roman"/>
          <w:sz w:val="24"/>
          <w:szCs w:val="24"/>
        </w:rPr>
        <w:t>O</w:t>
      </w:r>
      <w:r w:rsidRPr="00E3356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E33563">
        <w:rPr>
          <w:rFonts w:ascii="Times New Roman" w:hAnsi="Times New Roman" w:cs="Times New Roman"/>
          <w:sz w:val="24"/>
          <w:szCs w:val="24"/>
        </w:rPr>
        <w:t>I was obtained after natural cooling.</w:t>
      </w:r>
    </w:p>
    <w:p w14:paraId="0EED2E63" w14:textId="22CD6F42" w:rsidR="00F022E6" w:rsidRPr="00E33563" w:rsidRDefault="00F022E6" w:rsidP="00F022E6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.4 Preparation of Bi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vertAlign w:val="subscript"/>
        </w:rPr>
        <w:t>5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vertAlign w:val="subscript"/>
        </w:rPr>
        <w:t>7</w:t>
      </w:r>
      <w:r w:rsidRPr="00E3356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I/ZIF-8</w:t>
      </w:r>
    </w:p>
    <w:p w14:paraId="3C193926" w14:textId="77777777" w:rsidR="00F022E6" w:rsidRDefault="00F022E6" w:rsidP="00F022E6">
      <w:pPr>
        <w:widowControl/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E33563">
        <w:rPr>
          <w:rFonts w:ascii="Times New Roman" w:hAnsi="Times New Roman" w:cs="Times New Roman"/>
          <w:sz w:val="24"/>
          <w:szCs w:val="24"/>
        </w:rPr>
        <w:lastRenderedPageBreak/>
        <w:t>Bi</w:t>
      </w:r>
      <w:r w:rsidRPr="00B2561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33563">
        <w:rPr>
          <w:rFonts w:ascii="Times New Roman" w:hAnsi="Times New Roman" w:cs="Times New Roman"/>
          <w:sz w:val="24"/>
          <w:szCs w:val="24"/>
        </w:rPr>
        <w:t>O</w:t>
      </w:r>
      <w:r w:rsidRPr="00B2561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E33563">
        <w:rPr>
          <w:rFonts w:ascii="Times New Roman" w:hAnsi="Times New Roman" w:cs="Times New Roman"/>
          <w:sz w:val="24"/>
          <w:szCs w:val="24"/>
        </w:rPr>
        <w:t>I/ZIF-8 was prepared via an in-situ growth method. Briefly, at room temperature 0.40 g Bi</w:t>
      </w:r>
      <w:r w:rsidRPr="00B2561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33563">
        <w:rPr>
          <w:rFonts w:ascii="Times New Roman" w:hAnsi="Times New Roman" w:cs="Times New Roman"/>
          <w:sz w:val="24"/>
          <w:szCs w:val="24"/>
        </w:rPr>
        <w:t>O</w:t>
      </w:r>
      <w:r w:rsidRPr="00B2561D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E33563">
        <w:rPr>
          <w:rFonts w:ascii="Times New Roman" w:hAnsi="Times New Roman" w:cs="Times New Roman"/>
          <w:sz w:val="24"/>
          <w:szCs w:val="24"/>
        </w:rPr>
        <w:t>I was dissolved in 40 mL methanol under 5-minute sonication, and then 1.65 g Zn (CH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3563">
        <w:rPr>
          <w:rFonts w:ascii="Times New Roman" w:hAnsi="Times New Roman" w:cs="Times New Roman"/>
          <w:sz w:val="24"/>
          <w:szCs w:val="24"/>
        </w:rPr>
        <w:t>COO)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27793">
        <w:rPr>
          <w:rFonts w:ascii="MS Mincho" w:eastAsia="MS Mincho" w:hAnsi="MS Mincho" w:cs="MS Mincho" w:hint="eastAsia"/>
          <w:sz w:val="24"/>
          <w:szCs w:val="24"/>
        </w:rPr>
        <w:t>⋅</w:t>
      </w:r>
      <w:r w:rsidRPr="00E33563">
        <w:rPr>
          <w:rFonts w:ascii="Times New Roman" w:hAnsi="Times New Roman" w:cs="Times New Roman"/>
          <w:sz w:val="24"/>
          <w:szCs w:val="24"/>
        </w:rPr>
        <w:t>2H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 xml:space="preserve">O and 2.463 g 2-dimethylimidazole (molar ratio 1:4) were added and stirred at 1000 r/min for 24 h. The resulting turbid solution was washed with anhydrous ethanol </w:t>
      </w:r>
      <w:r w:rsidRPr="00E33563">
        <w:rPr>
          <w:rFonts w:ascii="Times New Roman" w:hAnsi="Times New Roman" w:cs="Times New Roman" w:hint="eastAsia"/>
          <w:sz w:val="24"/>
          <w:szCs w:val="24"/>
        </w:rPr>
        <w:t>and</w:t>
      </w:r>
      <w:r w:rsidRPr="00E33563">
        <w:rPr>
          <w:rFonts w:ascii="Times New Roman" w:hAnsi="Times New Roman" w:cs="Times New Roman"/>
          <w:sz w:val="24"/>
          <w:szCs w:val="24"/>
        </w:rPr>
        <w:t xml:space="preserve"> separated three times by centrifugation (8000 r/min). The material obtained after drying in an oven at 80°C overnight was named as 1.0BZ, whereas 0.5BZ refers to the material obtained by the reaction of 0.40 g of Bi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33563">
        <w:rPr>
          <w:rFonts w:ascii="Times New Roman" w:hAnsi="Times New Roman" w:cs="Times New Roman"/>
          <w:sz w:val="24"/>
          <w:szCs w:val="24"/>
        </w:rPr>
        <w:t>O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E33563">
        <w:rPr>
          <w:rFonts w:ascii="Times New Roman" w:hAnsi="Times New Roman" w:cs="Times New Roman"/>
          <w:sz w:val="24"/>
          <w:szCs w:val="24"/>
        </w:rPr>
        <w:t>I with 0.825 Zn (CH</w:t>
      </w:r>
      <w:r w:rsidRPr="00B2561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33563">
        <w:rPr>
          <w:rFonts w:ascii="Times New Roman" w:hAnsi="Times New Roman" w:cs="Times New Roman"/>
          <w:sz w:val="24"/>
          <w:szCs w:val="24"/>
        </w:rPr>
        <w:t>COO)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27793">
        <w:rPr>
          <w:rFonts w:ascii="MS Mincho" w:eastAsia="MS Mincho" w:hAnsi="MS Mincho" w:cs="MS Mincho" w:hint="eastAsia"/>
          <w:sz w:val="24"/>
          <w:szCs w:val="24"/>
        </w:rPr>
        <w:t>⋅</w:t>
      </w:r>
      <w:r w:rsidRPr="00E33563">
        <w:rPr>
          <w:rFonts w:ascii="Times New Roman" w:hAnsi="Times New Roman" w:cs="Times New Roman"/>
          <w:sz w:val="24"/>
          <w:szCs w:val="24"/>
        </w:rPr>
        <w:t>2H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33563">
        <w:rPr>
          <w:rFonts w:ascii="Times New Roman" w:hAnsi="Times New Roman" w:cs="Times New Roman"/>
          <w:sz w:val="24"/>
          <w:szCs w:val="24"/>
        </w:rPr>
        <w:t>O and 1.23 g 2-dimethylimidazole, 0.75BZ, 1.25BZ, 1.5BZ, 2.0BZ, and 2.5BZ were</w:t>
      </w:r>
      <w:r w:rsidRPr="00027793">
        <w:rPr>
          <w:rFonts w:ascii="Times New Roman" w:hAnsi="Times New Roman" w:cs="Times New Roman"/>
          <w:sz w:val="24"/>
          <w:szCs w:val="24"/>
        </w:rPr>
        <w:t xml:space="preserve"> </w:t>
      </w:r>
      <w:r w:rsidRPr="00E33563">
        <w:rPr>
          <w:rFonts w:ascii="Times New Roman" w:hAnsi="Times New Roman" w:cs="Times New Roman"/>
          <w:sz w:val="24"/>
          <w:szCs w:val="24"/>
        </w:rPr>
        <w:t>0.4 g of Bi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33563">
        <w:rPr>
          <w:rFonts w:ascii="Times New Roman" w:hAnsi="Times New Roman" w:cs="Times New Roman"/>
          <w:sz w:val="24"/>
          <w:szCs w:val="24"/>
        </w:rPr>
        <w:t>O</w:t>
      </w:r>
      <w:r w:rsidRPr="0002779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E33563">
        <w:rPr>
          <w:rFonts w:ascii="Times New Roman" w:hAnsi="Times New Roman" w:cs="Times New Roman"/>
          <w:sz w:val="24"/>
          <w:szCs w:val="24"/>
        </w:rPr>
        <w:t>I and the corresponding proportion of ZIF-8 reactants were prepared to give. The synthetic schematic diagram is shown in the supporting information</w:t>
      </w:r>
    </w:p>
    <w:p w14:paraId="438869DB" w14:textId="77777777" w:rsidR="00F022E6" w:rsidRDefault="00F022E6" w:rsidP="00B2561D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14:paraId="054E9D72" w14:textId="1CB70D69" w:rsidR="000D234F" w:rsidRPr="00FE0581" w:rsidRDefault="00527554" w:rsidP="00B2561D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bCs/>
          <w:sz w:val="28"/>
          <w:szCs w:val="28"/>
        </w:rPr>
      </w:pPr>
      <w:r w:rsidRPr="00E01735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1.</w:t>
      </w:r>
      <w:r w:rsidR="00F022E6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 xml:space="preserve"> </w:t>
      </w:r>
      <w:r w:rsidR="000D7307" w:rsidRPr="00FE0581">
        <w:rPr>
          <w:rFonts w:ascii="Times New Roman" w:hAnsi="Times New Roman" w:cs="Times New Roman"/>
          <w:b/>
          <w:bCs/>
          <w:sz w:val="28"/>
          <w:szCs w:val="28"/>
        </w:rPr>
        <w:t>Characterization</w:t>
      </w:r>
      <w:r w:rsidR="00FE0581" w:rsidRPr="00FE0581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5EE10A55" w14:textId="70461777" w:rsidR="00527554" w:rsidRPr="00527554" w:rsidRDefault="000D7307" w:rsidP="00B2561D">
      <w:pPr>
        <w:widowControl/>
        <w:spacing w:line="48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X-ray diffraction (XRD) data were collected with Cu-Ka radiation (λ = 1.54 Å) on a Shimadzu XRD-6000 instrument (voltage: 40 KV, current: 30 mA, scan angle: 5°~ 80°, scan speed: 5°/min). Scanning electron microscopy (SEM) was performed on a Japan Electronics JSM-6480 microscope. High-resolution transmission electron microscopy (HRTEM) and scanning TEM elemental mapping were achieved by an FEI Tecnai G2 F30 microscope (accelerating voltage = 300 kV). X-ray Spectroscopy (XPS) was used to study the binding energies of composite material and all the elements</w:t>
      </w:r>
      <w:r>
        <w:rPr>
          <w:rFonts w:ascii="AdvOT3c2d9f11" w:hAnsi="AdvOT3c2d9f11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(VG ESCALAB 250Xi, Thermo Fisher Scientific, Waltham, Massachusetts)</w:t>
      </w:r>
      <w:r>
        <w:rPr>
          <w:rFonts w:ascii="Times New Roman" w:hAnsi="Times New Roman" w:cs="Times New Roman"/>
          <w:sz w:val="24"/>
          <w:szCs w:val="24"/>
        </w:rPr>
        <w:t>. Fourier transform infrared (FT-IR) spectra were obtained using an Agilent spectrometer in a frequency range of 4000–400</w:t>
      </w:r>
      <w:r w:rsidR="00FE0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cm</w:t>
      </w:r>
      <w:r w:rsidRPr="00FE0581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 xml:space="preserve">. The UV-vis </w:t>
      </w:r>
      <w:r w:rsidR="00FE058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iffuse </w:t>
      </w:r>
      <w:r w:rsidR="00FE058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eflection </w:t>
      </w:r>
      <w:r w:rsidR="00FE058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pectroscopy (DRS) absorption </w:t>
      </w:r>
      <w:r>
        <w:rPr>
          <w:rFonts w:ascii="Times New Roman" w:hAnsi="Times New Roman" w:cs="Times New Roman"/>
          <w:sz w:val="24"/>
          <w:szCs w:val="24"/>
        </w:rPr>
        <w:lastRenderedPageBreak/>
        <w:t>spectra were recorded on a Hitachi U4100 UV spectrometer. Fluorescent spectra were obtained on a FS5 spectrofluorometer. The transient photo-current measurements were performed using a DH-7000 Electrochemical Workstation (Jiangsu Dong Hua Analysis Instruments Co., Ltd, China).</w:t>
      </w:r>
    </w:p>
    <w:p w14:paraId="7A563B1D" w14:textId="104DCD0C" w:rsidR="00527554" w:rsidRPr="00527554" w:rsidRDefault="00527554" w:rsidP="00B2561D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527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1.</w:t>
      </w:r>
      <w:r w:rsidR="00F022E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6</w:t>
      </w:r>
      <w:r w:rsidRPr="00527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Photocatalytic reaction test</w:t>
      </w:r>
    </w:p>
    <w:p w14:paraId="5926B860" w14:textId="77777777" w:rsidR="00527554" w:rsidRPr="00527554" w:rsidRDefault="00527554" w:rsidP="00B2561D">
      <w:pPr>
        <w:widowControl/>
        <w:spacing w:before="120"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27554">
        <w:rPr>
          <w:rFonts w:ascii="Times New Roman" w:hAnsi="Times New Roman" w:cs="Times New Roman"/>
          <w:sz w:val="24"/>
          <w:szCs w:val="24"/>
        </w:rPr>
        <w:t>The photocatalytic activity of the created materials was assessed through the breakdown of TC while subjected to a 250 W visible light source from a xenon lamp (λ &gt; 420 nm). To achieve the adsorption-degradation equilibrium, the photocatalyst (20 mg) was dissolved in 100 mL aqueous TC solution (30</w:t>
      </w:r>
      <w:r w:rsidRPr="005275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Pr="005275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</w:t>
      </w:r>
      <w:r w:rsidRPr="00527554">
        <w:rPr>
          <w:rFonts w:ascii="Times New Roman" w:hAnsi="Times New Roman" w:cs="Times New Roman"/>
          <w:sz w:val="24"/>
          <w:szCs w:val="24"/>
        </w:rPr>
        <w:t>/L) and stirred for 30 minutes while shielded from light. To determine the rate of TC degradation, the absorbance of TC was calculated at 357 nm using a UV-visible photometer (Persee TU -1901, China).</w:t>
      </w:r>
    </w:p>
    <w:p w14:paraId="3D7C29FE" w14:textId="4A8E2F50" w:rsidR="00527554" w:rsidRPr="00527554" w:rsidRDefault="00527554" w:rsidP="00B2561D">
      <w:pPr>
        <w:widowControl/>
        <w:spacing w:line="480" w:lineRule="auto"/>
        <w:ind w:firstLineChars="200" w:firstLine="480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1.</w:t>
      </w:r>
      <w:r w:rsidR="00F022E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7</w:t>
      </w:r>
      <w:r w:rsidRPr="00527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C</w:t>
      </w:r>
      <w:r w:rsidRPr="00527554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4"/>
        </w:rPr>
        <w:t>o</w:t>
      </w:r>
      <w:r w:rsidRPr="00527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mputational details</w:t>
      </w:r>
    </w:p>
    <w:p w14:paraId="73303701" w14:textId="7B0F5A47" w:rsidR="00B04DA7" w:rsidRDefault="00527554" w:rsidP="00B2561D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27554">
        <w:rPr>
          <w:rFonts w:ascii="Times New Roman" w:hAnsi="Times New Roman" w:cs="Times New Roman"/>
          <w:sz w:val="24"/>
          <w:szCs w:val="24"/>
        </w:rPr>
        <w:t>Vienna Ab initio Simulation Package (VASP) was utilized for all spin-polarized first-principles numbers</w:t>
      </w:r>
      <w:r w:rsidR="005165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7554">
        <w:rPr>
          <w:rFonts w:ascii="Times New Roman" w:hAnsi="Times New Roman" w:cs="Times New Roman"/>
          <w:sz w:val="24"/>
          <w:szCs w:val="24"/>
        </w:rPr>
        <w:t>. For structure optimization, the Perdew–Burke–Ernzerhof (PBE) functional was utilized along with the generalized gradient approximation (GGA)</w:t>
      </w:r>
      <w:r w:rsidR="00742C9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42C93">
        <w:rPr>
          <w:rFonts w:ascii="Times New Roman" w:hAnsi="Times New Roman" w:cs="Times New Roman"/>
          <w:sz w:val="24"/>
          <w:szCs w:val="24"/>
        </w:rPr>
        <w:fldChar w:fldCharType="begin"/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 w:hint="eastAsia"/>
          <w:sz w:val="24"/>
          <w:szCs w:val="24"/>
        </w:rPr>
        <w:instrText>REF _Ref178500800 \r \h</w:instrText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/>
          <w:sz w:val="24"/>
          <w:szCs w:val="24"/>
        </w:rPr>
      </w:r>
      <w:r w:rsidR="00742C93">
        <w:rPr>
          <w:rFonts w:ascii="Times New Roman" w:hAnsi="Times New Roman" w:cs="Times New Roman"/>
          <w:sz w:val="24"/>
          <w:szCs w:val="24"/>
        </w:rPr>
        <w:fldChar w:fldCharType="separate"/>
      </w:r>
      <w:r w:rsidR="00E01735">
        <w:rPr>
          <w:rFonts w:ascii="Times New Roman" w:hAnsi="Times New Roman" w:cs="Times New Roman"/>
          <w:sz w:val="24"/>
          <w:szCs w:val="24"/>
        </w:rPr>
        <w:t>[1]</w:t>
      </w:r>
      <w:r w:rsidR="00742C93">
        <w:rPr>
          <w:rFonts w:ascii="Times New Roman" w:hAnsi="Times New Roman" w:cs="Times New Roman"/>
          <w:sz w:val="24"/>
          <w:szCs w:val="24"/>
        </w:rPr>
        <w:fldChar w:fldCharType="end"/>
      </w:r>
      <w:r w:rsidRPr="00527554">
        <w:rPr>
          <w:rFonts w:ascii="Times New Roman" w:hAnsi="Times New Roman" w:cs="Times New Roman"/>
          <w:sz w:val="24"/>
          <w:szCs w:val="24"/>
        </w:rPr>
        <w:t>. The wave function of the core region was described by the projector augmented wave (PAW) approach</w:t>
      </w:r>
      <w:r w:rsidR="00742C9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42C93">
        <w:rPr>
          <w:rFonts w:ascii="Times New Roman" w:hAnsi="Times New Roman" w:cs="Times New Roman"/>
          <w:sz w:val="24"/>
          <w:szCs w:val="24"/>
        </w:rPr>
        <w:fldChar w:fldCharType="begin"/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 w:hint="eastAsia"/>
          <w:sz w:val="24"/>
          <w:szCs w:val="24"/>
        </w:rPr>
        <w:instrText>REF _Ref178500788 \r \h</w:instrText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/>
          <w:sz w:val="24"/>
          <w:szCs w:val="24"/>
        </w:rPr>
      </w:r>
      <w:r w:rsidR="00742C93">
        <w:rPr>
          <w:rFonts w:ascii="Times New Roman" w:hAnsi="Times New Roman" w:cs="Times New Roman"/>
          <w:sz w:val="24"/>
          <w:szCs w:val="24"/>
        </w:rPr>
        <w:fldChar w:fldCharType="separate"/>
      </w:r>
      <w:r w:rsidR="00E01735">
        <w:rPr>
          <w:rFonts w:ascii="Times New Roman" w:hAnsi="Times New Roman" w:cs="Times New Roman"/>
          <w:sz w:val="24"/>
          <w:szCs w:val="24"/>
        </w:rPr>
        <w:t>[2]</w:t>
      </w:r>
      <w:r w:rsidR="00742C93">
        <w:rPr>
          <w:rFonts w:ascii="Times New Roman" w:hAnsi="Times New Roman" w:cs="Times New Roman"/>
          <w:sz w:val="24"/>
          <w:szCs w:val="24"/>
        </w:rPr>
        <w:fldChar w:fldCharType="end"/>
      </w:r>
      <w:r w:rsidRPr="00527554">
        <w:rPr>
          <w:rFonts w:ascii="Times New Roman" w:hAnsi="Times New Roman" w:cs="Times New Roman"/>
          <w:sz w:val="24"/>
          <w:szCs w:val="24"/>
        </w:rPr>
        <w:t>, while the valence wave function was extended to a linear combination of plane waves with an energy cut-off of 400 eV</w:t>
      </w:r>
      <w:r w:rsidR="00742C9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42C93">
        <w:rPr>
          <w:rFonts w:ascii="Times New Roman" w:hAnsi="Times New Roman" w:cs="Times New Roman"/>
          <w:sz w:val="24"/>
          <w:szCs w:val="24"/>
        </w:rPr>
        <w:fldChar w:fldCharType="begin"/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 w:hint="eastAsia"/>
          <w:sz w:val="24"/>
          <w:szCs w:val="24"/>
        </w:rPr>
        <w:instrText>REF _Ref178500772 \r \h</w:instrText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/>
          <w:sz w:val="24"/>
          <w:szCs w:val="24"/>
        </w:rPr>
      </w:r>
      <w:r w:rsidR="00742C93">
        <w:rPr>
          <w:rFonts w:ascii="Times New Roman" w:hAnsi="Times New Roman" w:cs="Times New Roman"/>
          <w:sz w:val="24"/>
          <w:szCs w:val="24"/>
        </w:rPr>
        <w:fldChar w:fldCharType="separate"/>
      </w:r>
      <w:r w:rsidR="00E01735">
        <w:rPr>
          <w:rFonts w:ascii="Times New Roman" w:hAnsi="Times New Roman" w:cs="Times New Roman"/>
          <w:sz w:val="24"/>
          <w:szCs w:val="24"/>
        </w:rPr>
        <w:t>[3]</w:t>
      </w:r>
      <w:r w:rsidR="00742C93">
        <w:rPr>
          <w:rFonts w:ascii="Times New Roman" w:hAnsi="Times New Roman" w:cs="Times New Roman"/>
          <w:sz w:val="24"/>
          <w:szCs w:val="24"/>
        </w:rPr>
        <w:fldChar w:fldCharType="end"/>
      </w:r>
      <w:r w:rsidR="00742C93" w:rsidRPr="00527554">
        <w:rPr>
          <w:rFonts w:ascii="Times New Roman" w:hAnsi="Times New Roman" w:cs="Times New Roman"/>
          <w:sz w:val="24"/>
          <w:szCs w:val="24"/>
        </w:rPr>
        <w:t xml:space="preserve"> </w:t>
      </w:r>
      <w:r w:rsidRPr="00527554">
        <w:rPr>
          <w:rFonts w:ascii="Times New Roman" w:hAnsi="Times New Roman" w:cs="Times New Roman"/>
          <w:sz w:val="24"/>
          <w:szCs w:val="24"/>
        </w:rPr>
        <w:t>.</w:t>
      </w:r>
      <w:r w:rsidR="00742C9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7554">
        <w:rPr>
          <w:rFonts w:ascii="Times New Roman" w:hAnsi="Times New Roman" w:cs="Times New Roman"/>
          <w:sz w:val="24"/>
          <w:szCs w:val="24"/>
        </w:rPr>
        <w:t>The dispersion correction PBE + D3 describes the weak Van der Waals communication</w:t>
      </w:r>
      <w:r w:rsidR="00742C9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42C93">
        <w:rPr>
          <w:rFonts w:ascii="Times New Roman" w:hAnsi="Times New Roman" w:cs="Times New Roman"/>
          <w:sz w:val="24"/>
          <w:szCs w:val="24"/>
        </w:rPr>
        <w:fldChar w:fldCharType="begin"/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 w:hint="eastAsia"/>
          <w:sz w:val="24"/>
          <w:szCs w:val="24"/>
        </w:rPr>
        <w:instrText>REF _Ref178500754 \r \h</w:instrText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/>
          <w:sz w:val="24"/>
          <w:szCs w:val="24"/>
        </w:rPr>
      </w:r>
      <w:r w:rsidR="00742C93">
        <w:rPr>
          <w:rFonts w:ascii="Times New Roman" w:hAnsi="Times New Roman" w:cs="Times New Roman"/>
          <w:sz w:val="24"/>
          <w:szCs w:val="24"/>
        </w:rPr>
        <w:fldChar w:fldCharType="separate"/>
      </w:r>
      <w:r w:rsidR="00E01735">
        <w:rPr>
          <w:rFonts w:ascii="Times New Roman" w:hAnsi="Times New Roman" w:cs="Times New Roman"/>
          <w:sz w:val="24"/>
          <w:szCs w:val="24"/>
        </w:rPr>
        <w:t>[4]</w:t>
      </w:r>
      <w:r w:rsidR="00742C93">
        <w:rPr>
          <w:rFonts w:ascii="Times New Roman" w:hAnsi="Times New Roman" w:cs="Times New Roman"/>
          <w:sz w:val="24"/>
          <w:szCs w:val="24"/>
        </w:rPr>
        <w:fldChar w:fldCharType="end"/>
      </w:r>
      <w:r w:rsidR="00742C93" w:rsidRPr="00527554">
        <w:rPr>
          <w:rFonts w:ascii="Times New Roman" w:hAnsi="Times New Roman" w:cs="Times New Roman"/>
          <w:sz w:val="24"/>
          <w:szCs w:val="24"/>
        </w:rPr>
        <w:t xml:space="preserve"> </w:t>
      </w:r>
      <w:r w:rsidRPr="00527554">
        <w:rPr>
          <w:rFonts w:ascii="Times New Roman" w:hAnsi="Times New Roman" w:cs="Times New Roman"/>
          <w:sz w:val="24"/>
          <w:szCs w:val="24"/>
        </w:rPr>
        <w:t>. The overall energy in geometric optimization approached 10</w:t>
      </w:r>
      <w:r w:rsidRPr="00527554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527554">
        <w:rPr>
          <w:rFonts w:ascii="Times New Roman" w:hAnsi="Times New Roman" w:cs="Times New Roman"/>
          <w:sz w:val="24"/>
          <w:szCs w:val="24"/>
        </w:rPr>
        <w:t xml:space="preserve"> eV, whereas the Hellmann-Feynman force given to each relaxed atom was less than 0.03 eV/</w:t>
      </w:r>
      <w:r w:rsidRPr="00527554">
        <w:rPr>
          <w:rFonts w:ascii="Times New Roman" w:hAnsi="Times New Roman"/>
          <w:sz w:val="24"/>
          <w:szCs w:val="24"/>
        </w:rPr>
        <w:t>Å</w:t>
      </w:r>
      <w:r w:rsidRPr="00527554">
        <w:rPr>
          <w:rFonts w:ascii="Times New Roman" w:hAnsi="Times New Roman" w:cs="Times New Roman"/>
          <w:sz w:val="24"/>
          <w:szCs w:val="24"/>
        </w:rPr>
        <w:t xml:space="preserve">. The Gamma point was used for performing the integration of the Brillouin zone. The VASPKIT code was </w:t>
      </w:r>
      <w:r w:rsidRPr="00527554">
        <w:rPr>
          <w:rFonts w:ascii="Times New Roman" w:hAnsi="Times New Roman" w:cs="Times New Roman"/>
          <w:sz w:val="24"/>
          <w:szCs w:val="24"/>
        </w:rPr>
        <w:lastRenderedPageBreak/>
        <w:t>executed for the postprocessing of the VASP calculated data</w:t>
      </w:r>
      <w:r w:rsidR="005165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42C93">
        <w:rPr>
          <w:rFonts w:ascii="Times New Roman" w:hAnsi="Times New Roman" w:cs="Times New Roman"/>
          <w:sz w:val="24"/>
          <w:szCs w:val="24"/>
        </w:rPr>
        <w:fldChar w:fldCharType="begin"/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 w:hint="eastAsia"/>
          <w:sz w:val="24"/>
          <w:szCs w:val="24"/>
        </w:rPr>
        <w:instrText>REF _Ref178500716 \r \h</w:instrText>
      </w:r>
      <w:r w:rsidR="00742C9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742C93">
        <w:rPr>
          <w:rFonts w:ascii="Times New Roman" w:hAnsi="Times New Roman" w:cs="Times New Roman"/>
          <w:sz w:val="24"/>
          <w:szCs w:val="24"/>
        </w:rPr>
      </w:r>
      <w:r w:rsidR="00742C93">
        <w:rPr>
          <w:rFonts w:ascii="Times New Roman" w:hAnsi="Times New Roman" w:cs="Times New Roman"/>
          <w:sz w:val="24"/>
          <w:szCs w:val="24"/>
        </w:rPr>
        <w:fldChar w:fldCharType="separate"/>
      </w:r>
      <w:r w:rsidR="00E01735">
        <w:rPr>
          <w:rFonts w:ascii="Times New Roman" w:hAnsi="Times New Roman" w:cs="Times New Roman"/>
          <w:sz w:val="24"/>
          <w:szCs w:val="24"/>
        </w:rPr>
        <w:t>[5]</w:t>
      </w:r>
      <w:r w:rsidR="00742C93">
        <w:rPr>
          <w:rFonts w:ascii="Times New Roman" w:hAnsi="Times New Roman" w:cs="Times New Roman"/>
          <w:sz w:val="24"/>
          <w:szCs w:val="24"/>
        </w:rPr>
        <w:fldChar w:fldCharType="end"/>
      </w:r>
      <w:r w:rsidRPr="00527554">
        <w:rPr>
          <w:rFonts w:ascii="Times New Roman" w:hAnsi="Times New Roman" w:cs="Times New Roman"/>
          <w:sz w:val="24"/>
          <w:szCs w:val="24"/>
        </w:rPr>
        <w:t>.</w:t>
      </w:r>
      <w:r w:rsidR="00B04D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9FAE2" w14:textId="4BB9F79D" w:rsidR="00F022E6" w:rsidRDefault="00F022E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5D1CED" w14:textId="77777777" w:rsidR="00E33563" w:rsidRDefault="00E33563" w:rsidP="0002779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035DD57" w14:textId="77777777" w:rsidR="00E33563" w:rsidRPr="00B04DA7" w:rsidRDefault="00E33563" w:rsidP="00E3356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8E7692A" w14:textId="3DFECB3E" w:rsidR="00FD13D6" w:rsidRDefault="00C32CAB" w:rsidP="00FD13D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bookmarkStart w:id="9" w:name="_GoBack"/>
      <w:r>
        <w:rPr>
          <w:noProof/>
        </w:rPr>
        <w:drawing>
          <wp:inline distT="0" distB="0" distL="0" distR="0" wp14:anchorId="72C7D8A5" wp14:editId="7A6AFC91">
            <wp:extent cx="5468252" cy="4069397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257" cy="407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46327A38" w14:textId="0CF929B0" w:rsidR="00720467" w:rsidRDefault="00C32CAB" w:rsidP="00FD13D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drawing>
          <wp:inline distT="0" distB="0" distL="0" distR="0" wp14:anchorId="4DC0EB9A" wp14:editId="14AD548A">
            <wp:extent cx="6192000" cy="2595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5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C439" w14:textId="1400D276" w:rsidR="008F23DE" w:rsidRPr="008F23DE" w:rsidRDefault="00FD13D6" w:rsidP="008F23DE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 xml:space="preserve">Fig. S 1 </w:t>
      </w:r>
      <w:r w:rsidR="00C32CAB" w:rsidRPr="00C32CAB">
        <w:rPr>
          <w:rFonts w:ascii="Times New Roman" w:hAnsi="Times New Roman" w:cs="Times New Roman"/>
          <w:b/>
          <w:bCs/>
          <w:sz w:val="28"/>
          <w:szCs w:val="32"/>
        </w:rPr>
        <w:t>2.0BZ EDX sample scan area (a), X-ray spectra (b).</w:t>
      </w:r>
    </w:p>
    <w:p w14:paraId="0B257F72" w14:textId="0E573DF0" w:rsidR="00BB654A" w:rsidRDefault="00BB654A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3896FD0D" w14:textId="6A24FD82" w:rsidR="00BB654A" w:rsidRDefault="00E25DA7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E25DA7">
        <w:rPr>
          <w:rFonts w:ascii="Times New Roman" w:hAnsi="Times New Roman" w:cs="Times New Roman"/>
          <w:b/>
          <w:bCs/>
          <w:noProof/>
          <w:sz w:val="28"/>
          <w:szCs w:val="32"/>
        </w:rPr>
        <w:lastRenderedPageBreak/>
        <w:drawing>
          <wp:inline distT="0" distB="0" distL="0" distR="0" wp14:anchorId="281E634F" wp14:editId="5890F2DF">
            <wp:extent cx="6192000" cy="4741200"/>
            <wp:effectExtent l="0" t="0" r="0" b="2540"/>
            <wp:docPr id="3259750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9750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474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4893D" w14:textId="091250F3" w:rsidR="004A1432" w:rsidRPr="00FE0581" w:rsidRDefault="004A1432" w:rsidP="00B04DA7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Fig. S</w:t>
      </w:r>
      <w:r w:rsidR="00FD13D6">
        <w:rPr>
          <w:rFonts w:ascii="Times New Roman" w:hAnsi="Times New Roman" w:cs="Times New Roman"/>
          <w:b/>
          <w:bCs/>
          <w:sz w:val="28"/>
          <w:szCs w:val="32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871ACB" w:rsidRPr="00871ACB">
        <w:rPr>
          <w:rFonts w:ascii="Times New Roman" w:hAnsi="Times New Roman" w:cs="Times New Roman" w:hint="eastAsia"/>
          <w:b/>
          <w:bCs/>
          <w:sz w:val="28"/>
          <w:szCs w:val="32"/>
        </w:rPr>
        <w:t>The effect of dark reaction adsorption of TC in each sample</w:t>
      </w:r>
    </w:p>
    <w:p w14:paraId="6EAA45CC" w14:textId="77777777" w:rsidR="004A1432" w:rsidRPr="00871ACB" w:rsidRDefault="004A1432">
      <w:pPr>
        <w:rPr>
          <w:rFonts w:ascii="Times New Roman" w:hAnsi="Times New Roman" w:cs="Times New Roman"/>
          <w:b/>
          <w:bCs/>
          <w:sz w:val="28"/>
          <w:szCs w:val="32"/>
        </w:rPr>
      </w:pPr>
    </w:p>
    <w:p w14:paraId="0AC13FB5" w14:textId="0D840B75" w:rsidR="001108F9" w:rsidRDefault="00091FD8">
      <w:r w:rsidRPr="00091FD8">
        <w:rPr>
          <w:noProof/>
        </w:rPr>
        <w:lastRenderedPageBreak/>
        <w:drawing>
          <wp:inline distT="0" distB="0" distL="0" distR="0" wp14:anchorId="5D935856" wp14:editId="0F9D5757">
            <wp:extent cx="6192000" cy="4741200"/>
            <wp:effectExtent l="0" t="0" r="0" b="2540"/>
            <wp:docPr id="21295972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5972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474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9DDB" w14:textId="38BEC181" w:rsidR="00BB654A" w:rsidRPr="00FE0581" w:rsidRDefault="00BB654A" w:rsidP="00091FD8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Fig. S</w:t>
      </w:r>
      <w:r w:rsidR="00FD13D6">
        <w:rPr>
          <w:rFonts w:ascii="Times New Roman" w:hAnsi="Times New Roman" w:cs="Times New Roman"/>
          <w:b/>
          <w:bCs/>
          <w:sz w:val="28"/>
          <w:szCs w:val="32"/>
        </w:rPr>
        <w:t xml:space="preserve"> 3</w:t>
      </w:r>
      <w:r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FE0581">
        <w:rPr>
          <w:rFonts w:ascii="Times New Roman" w:hAnsi="Times New Roman" w:cs="Times New Roman"/>
          <w:b/>
          <w:bCs/>
          <w:sz w:val="28"/>
          <w:szCs w:val="32"/>
        </w:rPr>
        <w:t>ZIF -8</w:t>
      </w:r>
      <w:r w:rsidRPr="00FE0581">
        <w:rPr>
          <w:b/>
          <w:bCs/>
        </w:rPr>
        <w:t xml:space="preserve"> </w:t>
      </w:r>
      <w:r w:rsidRPr="00FE0581">
        <w:rPr>
          <w:rFonts w:ascii="Times New Roman" w:hAnsi="Times New Roman" w:cs="Times New Roman"/>
          <w:b/>
          <w:bCs/>
          <w:sz w:val="28"/>
          <w:szCs w:val="28"/>
        </w:rPr>
        <w:t>Photocatalytic performance</w:t>
      </w:r>
    </w:p>
    <w:p w14:paraId="001147A1" w14:textId="31F588A3" w:rsidR="001108F9" w:rsidRDefault="001108F9"/>
    <w:p w14:paraId="3387A1F2" w14:textId="755C8206" w:rsidR="001108F9" w:rsidRDefault="001108F9"/>
    <w:p w14:paraId="78F51A76" w14:textId="4DEE8600" w:rsidR="001108F9" w:rsidRDefault="001108F9"/>
    <w:p w14:paraId="6220DA6C" w14:textId="5D08DA88" w:rsidR="008F0C35" w:rsidRDefault="008F0C35" w:rsidP="008F0C35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5296A688" w14:textId="48C1653C" w:rsidR="001108F9" w:rsidRDefault="001108F9"/>
    <w:p w14:paraId="50620051" w14:textId="5AB2FC5D" w:rsidR="001108F9" w:rsidRDefault="001108F9"/>
    <w:p w14:paraId="36FA28A9" w14:textId="6203BF82" w:rsidR="001108F9" w:rsidRDefault="001108F9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4D6BD03" w14:textId="7D1DED4F" w:rsidR="00122573" w:rsidRDefault="00122573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025EC02" w14:textId="49DBC964" w:rsidR="00122573" w:rsidRDefault="00122573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FC9D1CE" w14:textId="4C8290D8" w:rsidR="00122573" w:rsidRDefault="00122573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7FB9379" w14:textId="19555D1B" w:rsidR="00122573" w:rsidRDefault="00122573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7AE1879B" w14:textId="391C4B5B" w:rsidR="00122573" w:rsidRDefault="00122573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0D83BA41" w14:textId="118CFB13" w:rsidR="00122573" w:rsidRDefault="00122573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3E87EEB2" w14:textId="77777777" w:rsidR="00091FD8" w:rsidRPr="00E477CE" w:rsidRDefault="00091FD8" w:rsidP="001108F9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4C3E065E" w14:textId="0EDE5F85" w:rsidR="00E477CE" w:rsidRPr="00E477CE" w:rsidRDefault="00E477CE" w:rsidP="001108F9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E477C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0066382" w14:textId="77777777" w:rsidR="001108F9" w:rsidRPr="00E477CE" w:rsidRDefault="001108F9" w:rsidP="001108F9">
      <w:pPr>
        <w:rPr>
          <w:rFonts w:ascii="Times New Roman" w:hAnsi="Times New Roman" w:cs="Times New Roman"/>
          <w:sz w:val="24"/>
          <w:szCs w:val="24"/>
        </w:rPr>
      </w:pPr>
    </w:p>
    <w:p w14:paraId="1BC192FF" w14:textId="32F43696" w:rsidR="008071E0" w:rsidRPr="008071E0" w:rsidRDefault="00037A2C" w:rsidP="005165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0" w:name="_Ref178500800"/>
      <w:r w:rsidRPr="00037A2C">
        <w:rPr>
          <w:rFonts w:ascii="Times New Roman" w:hAnsi="Times New Roman" w:cs="Times New Roman" w:hint="eastAsia"/>
          <w:sz w:val="24"/>
          <w:szCs w:val="24"/>
        </w:rPr>
        <w:t>Guo, Z. (2005). Fabrication of Core-Shell Nanoparticles: Louisiana State University and Agricultural &amp; Mechanical College.</w:t>
      </w:r>
      <w:bookmarkEnd w:id="10"/>
    </w:p>
    <w:p w14:paraId="6C3110CF" w14:textId="6E40E1F1" w:rsidR="008071E0" w:rsidRPr="008071E0" w:rsidRDefault="00037A2C" w:rsidP="005165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1" w:name="_Ref178500788"/>
      <w:r w:rsidRPr="00037A2C">
        <w:rPr>
          <w:rFonts w:ascii="Times New Roman" w:hAnsi="Times New Roman" w:cs="Times New Roman" w:hint="eastAsia"/>
          <w:sz w:val="24"/>
          <w:szCs w:val="24"/>
        </w:rPr>
        <w:t>Zhuravlev, M. Y., Schepper, W., Heitmann, S., Vinzelberg, H., Zahn, P., Mertig, I.</w:t>
      </w:r>
      <w:r w:rsidR="00173771" w:rsidRPr="00173771">
        <w:rPr>
          <w:rFonts w:ascii="Times New Roman" w:hAnsi="Times New Roman" w:cs="Times New Roman"/>
          <w:sz w:val="24"/>
          <w:szCs w:val="24"/>
        </w:rPr>
        <w:t xml:space="preserve"> et al</w:t>
      </w:r>
      <w:r w:rsidRPr="00037A2C">
        <w:rPr>
          <w:rFonts w:ascii="Times New Roman" w:hAnsi="Times New Roman" w:cs="Times New Roman" w:hint="eastAsia"/>
          <w:sz w:val="24"/>
          <w:szCs w:val="24"/>
        </w:rPr>
        <w:t xml:space="preserve"> (2002). Reliable prediction of giant magnetoresistance characteristics. Physical Review B, 65(14), 144428. doi:10.1103/PhysRevB.65.144428</w:t>
      </w:r>
      <w:bookmarkEnd w:id="11"/>
    </w:p>
    <w:p w14:paraId="315EBCAD" w14:textId="0967C922" w:rsidR="008071E0" w:rsidRPr="008071E0" w:rsidRDefault="00037A2C" w:rsidP="005165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2" w:name="_Ref178500772"/>
      <w:r w:rsidRPr="00037A2C">
        <w:rPr>
          <w:rFonts w:ascii="Times New Roman" w:hAnsi="Times New Roman" w:cs="Times New Roman" w:hint="eastAsia"/>
          <w:sz w:val="24"/>
          <w:szCs w:val="24"/>
        </w:rPr>
        <w:t>Grimme, S., Antony, J., Ehrlich, S., Krieg, H. (2010). A consistent and accurate ab initio parametrization of density functional dispersion correction (DFT-D) for the 94 elements H-Pu. The Journal of chemical physics, 132(15). doi:10.1063/1.3382344</w:t>
      </w:r>
      <w:bookmarkEnd w:id="12"/>
    </w:p>
    <w:p w14:paraId="1A790CD8" w14:textId="6D9BE235" w:rsidR="008071E0" w:rsidRPr="008071E0" w:rsidRDefault="00037A2C" w:rsidP="005165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3" w:name="_Ref178500754"/>
      <w:r w:rsidRPr="00037A2C">
        <w:rPr>
          <w:rFonts w:ascii="Times New Roman" w:hAnsi="Times New Roman" w:cs="Times New Roman"/>
          <w:sz w:val="24"/>
          <w:szCs w:val="24"/>
        </w:rPr>
        <w:t>Kopač, D., Jurković, D. L. i., Likozar, B., Huš, M. (2020). First-principles-based multiscale modelling of nonoxidative butane dehydrogenation on Cr2O3 (0001). ACS catalysis, 10(24), 14732-14746. doi:10.1021/acscatal.0c03197</w:t>
      </w:r>
      <w:bookmarkEnd w:id="13"/>
    </w:p>
    <w:p w14:paraId="30EE85B3" w14:textId="104208B0" w:rsidR="008071E0" w:rsidRPr="008071E0" w:rsidRDefault="00037A2C" w:rsidP="0051659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14" w:name="_Ref178500716"/>
      <w:r w:rsidRPr="00037A2C">
        <w:rPr>
          <w:rFonts w:ascii="Times New Roman" w:hAnsi="Times New Roman" w:cs="Times New Roman"/>
          <w:sz w:val="24"/>
          <w:szCs w:val="24"/>
        </w:rPr>
        <w:t>Garc</w:t>
      </w:r>
      <w:r w:rsidRPr="00037A2C">
        <w:rPr>
          <w:rFonts w:ascii="Times New Roman" w:hAnsi="Times New Roman" w:cs="Times New Roman" w:hint="cs"/>
          <w:sz w:val="24"/>
          <w:szCs w:val="24"/>
        </w:rPr>
        <w:t>ı</w:t>
      </w:r>
      <w:r w:rsidRPr="00037A2C">
        <w:rPr>
          <w:rFonts w:ascii="Times New Roman" w:hAnsi="Times New Roman" w:cs="Times New Roman"/>
          <w:sz w:val="24"/>
          <w:szCs w:val="24"/>
        </w:rPr>
        <w:t>a-Otero, J., Garc</w:t>
      </w:r>
      <w:r w:rsidRPr="00037A2C">
        <w:rPr>
          <w:rFonts w:ascii="Times New Roman" w:hAnsi="Times New Roman" w:cs="Times New Roman" w:hint="cs"/>
          <w:sz w:val="24"/>
          <w:szCs w:val="24"/>
        </w:rPr>
        <w:t>ı</w:t>
      </w:r>
      <w:r w:rsidRPr="00037A2C">
        <w:rPr>
          <w:rFonts w:ascii="Times New Roman" w:hAnsi="Times New Roman" w:cs="Times New Roman"/>
          <w:sz w:val="24"/>
          <w:szCs w:val="24"/>
        </w:rPr>
        <w:t>a-Bastida, A., Rivas, J. (1998). Influence of temperature on the coercive field of non-interacting fine magnetic particles. Journal of magnetism and magnetic materials, 189(3), 377-383. doi:10.1016/s0304-8853(98)00243-1</w:t>
      </w:r>
      <w:bookmarkEnd w:id="14"/>
    </w:p>
    <w:p w14:paraId="563BCC30" w14:textId="77777777" w:rsidR="008071E0" w:rsidRPr="008071E0" w:rsidRDefault="008071E0" w:rsidP="008071E0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071E0" w:rsidRPr="008071E0" w:rsidSect="002C29BD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F5524" w14:textId="77777777" w:rsidR="00992B0A" w:rsidRDefault="00992B0A"/>
  </w:endnote>
  <w:endnote w:type="continuationSeparator" w:id="0">
    <w:p w14:paraId="33BADA2E" w14:textId="77777777" w:rsidR="00992B0A" w:rsidRDefault="00992B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vOT3c2d9f11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2875" w14:textId="77777777" w:rsidR="00992B0A" w:rsidRDefault="00992B0A"/>
  </w:footnote>
  <w:footnote w:type="continuationSeparator" w:id="0">
    <w:p w14:paraId="6D64D726" w14:textId="77777777" w:rsidR="00992B0A" w:rsidRDefault="00992B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73B13"/>
    <w:multiLevelType w:val="hybridMultilevel"/>
    <w:tmpl w:val="46D4C1BE"/>
    <w:lvl w:ilvl="0" w:tplc="E6A4BEBC">
      <w:start w:val="1"/>
      <w:numFmt w:val="decimal"/>
      <w:lvlText w:val="[%1]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31DE5"/>
    <w:multiLevelType w:val="hybridMultilevel"/>
    <w:tmpl w:val="106AF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dmYWY0NzkyZWU2N2M5NDIyMjQ5YjlhYmIxMjkxOTYifQ=="/>
  </w:docVars>
  <w:rsids>
    <w:rsidRoot w:val="000A13AE"/>
    <w:rsid w:val="00027793"/>
    <w:rsid w:val="00037A2C"/>
    <w:rsid w:val="00082CE3"/>
    <w:rsid w:val="00091FD8"/>
    <w:rsid w:val="000A13AE"/>
    <w:rsid w:val="000D234F"/>
    <w:rsid w:val="000D4DBD"/>
    <w:rsid w:val="000D7307"/>
    <w:rsid w:val="001108F9"/>
    <w:rsid w:val="00122573"/>
    <w:rsid w:val="00133770"/>
    <w:rsid w:val="00135CBC"/>
    <w:rsid w:val="00173771"/>
    <w:rsid w:val="00236128"/>
    <w:rsid w:val="002C29BD"/>
    <w:rsid w:val="002D40E1"/>
    <w:rsid w:val="002E65EF"/>
    <w:rsid w:val="002F6A1A"/>
    <w:rsid w:val="003553E9"/>
    <w:rsid w:val="00376A26"/>
    <w:rsid w:val="00377C93"/>
    <w:rsid w:val="003B2A1C"/>
    <w:rsid w:val="00477A92"/>
    <w:rsid w:val="004A1432"/>
    <w:rsid w:val="004D4017"/>
    <w:rsid w:val="00516590"/>
    <w:rsid w:val="00527554"/>
    <w:rsid w:val="00536019"/>
    <w:rsid w:val="006F79F1"/>
    <w:rsid w:val="00720467"/>
    <w:rsid w:val="00734CF5"/>
    <w:rsid w:val="00742C93"/>
    <w:rsid w:val="00771A0C"/>
    <w:rsid w:val="00772A52"/>
    <w:rsid w:val="008071E0"/>
    <w:rsid w:val="00871ACB"/>
    <w:rsid w:val="008A11B4"/>
    <w:rsid w:val="008B4B0A"/>
    <w:rsid w:val="008B4CC9"/>
    <w:rsid w:val="008E1125"/>
    <w:rsid w:val="008E2209"/>
    <w:rsid w:val="008F0C35"/>
    <w:rsid w:val="008F23DE"/>
    <w:rsid w:val="009661D8"/>
    <w:rsid w:val="00992B0A"/>
    <w:rsid w:val="009C7EA9"/>
    <w:rsid w:val="00A550F8"/>
    <w:rsid w:val="00A5516E"/>
    <w:rsid w:val="00A67DCE"/>
    <w:rsid w:val="00AC24C0"/>
    <w:rsid w:val="00B0077E"/>
    <w:rsid w:val="00B00AF5"/>
    <w:rsid w:val="00B04DA7"/>
    <w:rsid w:val="00B2561D"/>
    <w:rsid w:val="00B74BAC"/>
    <w:rsid w:val="00BB654A"/>
    <w:rsid w:val="00C25571"/>
    <w:rsid w:val="00C32CAB"/>
    <w:rsid w:val="00C46A08"/>
    <w:rsid w:val="00D82089"/>
    <w:rsid w:val="00D87B91"/>
    <w:rsid w:val="00DE5197"/>
    <w:rsid w:val="00DF50AD"/>
    <w:rsid w:val="00E01735"/>
    <w:rsid w:val="00E04AF8"/>
    <w:rsid w:val="00E25DA7"/>
    <w:rsid w:val="00E33563"/>
    <w:rsid w:val="00E477CE"/>
    <w:rsid w:val="00E90DD9"/>
    <w:rsid w:val="00ED5401"/>
    <w:rsid w:val="00F022E6"/>
    <w:rsid w:val="00F22B55"/>
    <w:rsid w:val="00F85726"/>
    <w:rsid w:val="00FB4A9F"/>
    <w:rsid w:val="00FD0D09"/>
    <w:rsid w:val="00FD13D6"/>
    <w:rsid w:val="00FE0581"/>
    <w:rsid w:val="30C1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8F015"/>
  <w15:docId w15:val="{D0E75108-B424-435F-BCAB-63800875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unhideWhenUsed/>
    <w:qFormat/>
    <w:rsid w:val="000D7307"/>
    <w:rPr>
      <w:color w:val="0563C1" w:themeColor="hyperlink"/>
      <w:u w:val="single"/>
    </w:rPr>
  </w:style>
  <w:style w:type="paragraph" w:customStyle="1" w:styleId="Default">
    <w:name w:val="Default"/>
    <w:basedOn w:val="a"/>
    <w:autoRedefine/>
    <w:qFormat/>
    <w:rsid w:val="000D7307"/>
    <w:pPr>
      <w:autoSpaceDE w:val="0"/>
      <w:autoSpaceDN w:val="0"/>
      <w:adjustRightInd w:val="0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rsid w:val="00771A0C"/>
    <w:rPr>
      <w:color w:val="605E5C"/>
      <w:shd w:val="clear" w:color="auto" w:fill="E1DFDD"/>
    </w:rPr>
  </w:style>
  <w:style w:type="table" w:customStyle="1" w:styleId="a4">
    <w:name w:val="三线表"/>
    <w:basedOn w:val="a1"/>
    <w:uiPriority w:val="99"/>
    <w:rsid w:val="001108F9"/>
    <w:rPr>
      <w:rFonts w:ascii="Times New Roman" w:eastAsia="宋体" w:hAnsi="Times New Roman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line="240" w:lineRule="auto"/>
        <w:jc w:val="center"/>
      </w:pPr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List Paragraph"/>
    <w:basedOn w:val="a"/>
    <w:uiPriority w:val="99"/>
    <w:rsid w:val="001108F9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4A14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4A1432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4A1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4A143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CB33A-B4D9-4489-A27A-4BA73E6C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WQ L</dc:creator>
  <cp:lastModifiedBy>Administrator</cp:lastModifiedBy>
  <cp:revision>4</cp:revision>
  <cp:lastPrinted>2024-10-02T04:47:00Z</cp:lastPrinted>
  <dcterms:created xsi:type="dcterms:W3CDTF">2024-10-02T04:49:00Z</dcterms:created>
  <dcterms:modified xsi:type="dcterms:W3CDTF">2024-10-02T04:52:00Z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2AA1ECF08E044AAF98595ABBA433F252_12</vt:lpwstr>
  </property>
</Properties>
</file>