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68DCFC" w14:textId="77777777" w:rsidR="000A667F" w:rsidRPr="003F2B82" w:rsidRDefault="000A667F" w:rsidP="000A667F">
      <w:pPr>
        <w:spacing w:line="360" w:lineRule="auto"/>
        <w:jc w:val="both"/>
        <w:rPr>
          <w:bCs/>
          <w:sz w:val="24"/>
          <w:szCs w:val="24"/>
        </w:rPr>
      </w:pPr>
    </w:p>
    <w:p w14:paraId="02F28BB6" w14:textId="77777777" w:rsidR="000A667F" w:rsidRPr="003F2B82" w:rsidRDefault="000A667F" w:rsidP="000A667F">
      <w:pPr>
        <w:spacing w:line="360" w:lineRule="auto"/>
        <w:jc w:val="both"/>
        <w:rPr>
          <w:bCs/>
          <w:sz w:val="24"/>
          <w:szCs w:val="24"/>
        </w:rPr>
      </w:pPr>
      <w:r w:rsidRPr="003F2B82">
        <w:rPr>
          <w:bCs/>
          <w:noProof/>
          <w:sz w:val="24"/>
          <w:szCs w:val="24"/>
        </w:rPr>
        <w:drawing>
          <wp:inline distT="0" distB="0" distL="0" distR="0" wp14:anchorId="1E66EA3B" wp14:editId="612B6979">
            <wp:extent cx="5943600" cy="5668010"/>
            <wp:effectExtent l="0" t="0" r="0" b="8890"/>
            <wp:docPr id="29" name="图片 29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A collage of graph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6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688A1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S1.</w:t>
      </w:r>
      <w:r w:rsidRPr="003F2B82">
        <w:rPr>
          <w:sz w:val="24"/>
          <w:szCs w:val="24"/>
        </w:rPr>
        <w:t xml:space="preserve"> T</w:t>
      </w:r>
      <w:r w:rsidRPr="003F2B82">
        <w:rPr>
          <w:rFonts w:hint="eastAsia"/>
          <w:sz w:val="24"/>
          <w:szCs w:val="24"/>
        </w:rPr>
        <w:t>he</w:t>
      </w:r>
      <w:r w:rsidRPr="003F2B82">
        <w:rPr>
          <w:sz w:val="24"/>
          <w:szCs w:val="24"/>
        </w:rPr>
        <w:t xml:space="preserve"> </w:t>
      </w:r>
      <w:r w:rsidRPr="003F2B82">
        <w:rPr>
          <w:rFonts w:hint="eastAsia"/>
          <w:sz w:val="24"/>
          <w:szCs w:val="24"/>
          <w:lang w:eastAsia="zh-CN"/>
        </w:rPr>
        <w:t>information</w:t>
      </w:r>
      <w:r w:rsidRPr="003F2B82">
        <w:rPr>
          <w:sz w:val="24"/>
          <w:szCs w:val="24"/>
        </w:rPr>
        <w:t xml:space="preserve"> </w:t>
      </w:r>
      <w:r w:rsidRPr="003F2B82">
        <w:rPr>
          <w:rFonts w:hint="eastAsia"/>
          <w:sz w:val="24"/>
          <w:szCs w:val="24"/>
          <w:lang w:eastAsia="zh-CN"/>
        </w:rPr>
        <w:t>of</w:t>
      </w:r>
      <w:r w:rsidRPr="003F2B82">
        <w:rPr>
          <w:sz w:val="24"/>
          <w:szCs w:val="24"/>
        </w:rPr>
        <w:t xml:space="preserve"> samples and variants in the discovery study</w:t>
      </w:r>
    </w:p>
    <w:p w14:paraId="00145539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  <w:r w:rsidRPr="003F2B82">
        <w:rPr>
          <w:b/>
          <w:bCs/>
          <w:sz w:val="24"/>
          <w:szCs w:val="24"/>
          <w:lang w:eastAsia="zh-CN"/>
        </w:rPr>
        <w:t>A</w:t>
      </w:r>
      <w:r w:rsidRPr="003F2B82">
        <w:rPr>
          <w:sz w:val="24"/>
          <w:szCs w:val="24"/>
          <w:lang w:eastAsia="zh-CN"/>
        </w:rPr>
        <w:t xml:space="preserve">) number of participants by sampling year, </w:t>
      </w:r>
      <w:r w:rsidRPr="003F2B82">
        <w:rPr>
          <w:b/>
          <w:bCs/>
          <w:sz w:val="24"/>
          <w:szCs w:val="24"/>
          <w:lang w:eastAsia="zh-CN"/>
        </w:rPr>
        <w:t>B</w:t>
      </w:r>
      <w:r w:rsidRPr="003F2B82">
        <w:rPr>
          <w:sz w:val="24"/>
          <w:szCs w:val="24"/>
          <w:lang w:eastAsia="zh-CN"/>
        </w:rPr>
        <w:t xml:space="preserve">) age distribution of participants, </w:t>
      </w:r>
      <w:r w:rsidRPr="003F2B82">
        <w:rPr>
          <w:b/>
          <w:bCs/>
          <w:sz w:val="24"/>
          <w:szCs w:val="24"/>
          <w:lang w:eastAsia="zh-CN"/>
        </w:rPr>
        <w:t>C</w:t>
      </w:r>
      <w:r w:rsidRPr="003F2B82">
        <w:rPr>
          <w:sz w:val="24"/>
          <w:szCs w:val="24"/>
          <w:lang w:eastAsia="zh-CN"/>
        </w:rPr>
        <w:t xml:space="preserve">) gestational weeks at the time of NIPT testing, </w:t>
      </w:r>
      <w:r w:rsidRPr="003F2B82">
        <w:rPr>
          <w:b/>
          <w:bCs/>
          <w:sz w:val="24"/>
          <w:szCs w:val="24"/>
          <w:lang w:eastAsia="zh-CN"/>
        </w:rPr>
        <w:t>D</w:t>
      </w:r>
      <w:r w:rsidRPr="003F2B82">
        <w:rPr>
          <w:sz w:val="24"/>
          <w:szCs w:val="24"/>
          <w:lang w:eastAsia="zh-CN"/>
        </w:rPr>
        <w:t xml:space="preserve">) types of blood collection tubes used, </w:t>
      </w:r>
      <w:r w:rsidRPr="003F2B82">
        <w:rPr>
          <w:b/>
          <w:bCs/>
          <w:sz w:val="24"/>
          <w:szCs w:val="24"/>
          <w:lang w:eastAsia="zh-CN"/>
        </w:rPr>
        <w:t>E</w:t>
      </w:r>
      <w:r w:rsidRPr="003F2B82">
        <w:rPr>
          <w:sz w:val="24"/>
          <w:szCs w:val="24"/>
          <w:lang w:eastAsia="zh-CN"/>
        </w:rPr>
        <w:t xml:space="preserve">) gender distribution of newborns, </w:t>
      </w:r>
      <w:r w:rsidRPr="003F2B82">
        <w:rPr>
          <w:b/>
          <w:bCs/>
          <w:sz w:val="24"/>
          <w:szCs w:val="24"/>
          <w:lang w:eastAsia="zh-CN"/>
        </w:rPr>
        <w:t>F</w:t>
      </w:r>
      <w:r w:rsidRPr="003F2B82">
        <w:rPr>
          <w:sz w:val="24"/>
          <w:szCs w:val="24"/>
          <w:lang w:eastAsia="zh-CN"/>
        </w:rPr>
        <w:t xml:space="preserve">) maternal and fetal DNA fractions by NIPT test week, </w:t>
      </w:r>
      <w:r w:rsidRPr="003F2B82">
        <w:rPr>
          <w:b/>
          <w:bCs/>
          <w:sz w:val="24"/>
          <w:szCs w:val="24"/>
          <w:lang w:eastAsia="zh-CN"/>
        </w:rPr>
        <w:t>G</w:t>
      </w:r>
      <w:r w:rsidRPr="003F2B82">
        <w:rPr>
          <w:sz w:val="24"/>
          <w:szCs w:val="24"/>
          <w:lang w:eastAsia="zh-CN"/>
        </w:rPr>
        <w:t xml:space="preserve">) sequencing depth by sampling year, </w:t>
      </w:r>
      <w:r w:rsidRPr="003F2B82">
        <w:rPr>
          <w:b/>
          <w:bCs/>
          <w:sz w:val="24"/>
          <w:szCs w:val="24"/>
          <w:lang w:eastAsia="zh-CN"/>
        </w:rPr>
        <w:t>H</w:t>
      </w:r>
      <w:r w:rsidRPr="003F2B82">
        <w:rPr>
          <w:sz w:val="24"/>
          <w:szCs w:val="24"/>
          <w:lang w:eastAsia="zh-CN"/>
        </w:rPr>
        <w:t xml:space="preserve">) imputation performance of imputed variants, and </w:t>
      </w:r>
      <w:r w:rsidRPr="003F2B82">
        <w:rPr>
          <w:b/>
          <w:bCs/>
          <w:sz w:val="24"/>
          <w:szCs w:val="24"/>
          <w:lang w:eastAsia="zh-CN"/>
        </w:rPr>
        <w:t>I</w:t>
      </w:r>
      <w:r w:rsidRPr="003F2B82">
        <w:rPr>
          <w:sz w:val="24"/>
          <w:szCs w:val="24"/>
          <w:lang w:eastAsia="zh-CN"/>
        </w:rPr>
        <w:t xml:space="preserve">) comparison of alternate allele frequencies between the discovery study and the 1000 Genomes Project East Asian population. </w:t>
      </w:r>
    </w:p>
    <w:p w14:paraId="27160FD3" w14:textId="77777777" w:rsidR="000A667F" w:rsidRPr="003F2B82" w:rsidRDefault="000A667F" w:rsidP="000A667F">
      <w:pPr>
        <w:rPr>
          <w:bCs/>
          <w:sz w:val="24"/>
          <w:szCs w:val="24"/>
        </w:rPr>
      </w:pPr>
      <w:r w:rsidRPr="003F2B82">
        <w:rPr>
          <w:bCs/>
          <w:sz w:val="24"/>
          <w:szCs w:val="24"/>
        </w:rPr>
        <w:br w:type="page"/>
      </w:r>
    </w:p>
    <w:p w14:paraId="1469DA43" w14:textId="77777777" w:rsidR="000A667F" w:rsidRPr="003F2B82" w:rsidRDefault="000A667F" w:rsidP="000A667F">
      <w:pPr>
        <w:spacing w:line="360" w:lineRule="auto"/>
        <w:rPr>
          <w:b/>
          <w:sz w:val="24"/>
          <w:szCs w:val="24"/>
        </w:rPr>
      </w:pPr>
      <w:r w:rsidRPr="003F2B82">
        <w:rPr>
          <w:b/>
          <w:noProof/>
          <w:sz w:val="24"/>
          <w:szCs w:val="24"/>
        </w:rPr>
        <w:lastRenderedPageBreak/>
        <w:drawing>
          <wp:inline distT="0" distB="0" distL="0" distR="0" wp14:anchorId="18FC7F8C" wp14:editId="68D175EF">
            <wp:extent cx="5943600" cy="3476625"/>
            <wp:effectExtent l="0" t="0" r="0" b="9525"/>
            <wp:docPr id="2" name="图片 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 close-up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6FDD4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S2.</w:t>
      </w:r>
      <w:r w:rsidRPr="003F2B82">
        <w:rPr>
          <w:sz w:val="24"/>
          <w:szCs w:val="24"/>
        </w:rPr>
        <w:t xml:space="preserve"> T</w:t>
      </w:r>
      <w:r w:rsidRPr="003F2B82">
        <w:rPr>
          <w:rFonts w:hint="eastAsia"/>
          <w:sz w:val="24"/>
          <w:szCs w:val="24"/>
        </w:rPr>
        <w:t>he</w:t>
      </w:r>
      <w:r w:rsidRPr="003F2B82">
        <w:rPr>
          <w:sz w:val="24"/>
          <w:szCs w:val="24"/>
        </w:rPr>
        <w:t xml:space="preserve"> </w:t>
      </w:r>
      <w:r w:rsidRPr="003F2B82">
        <w:rPr>
          <w:rFonts w:hint="eastAsia"/>
          <w:sz w:val="24"/>
          <w:szCs w:val="24"/>
        </w:rPr>
        <w:t>QQ</w:t>
      </w:r>
      <w:r w:rsidRPr="003F2B82">
        <w:rPr>
          <w:sz w:val="24"/>
          <w:szCs w:val="24"/>
        </w:rPr>
        <w:t>-</w:t>
      </w:r>
      <w:r w:rsidRPr="003F2B82">
        <w:rPr>
          <w:rFonts w:hint="eastAsia"/>
          <w:sz w:val="24"/>
          <w:szCs w:val="24"/>
        </w:rPr>
        <w:t>plot</w:t>
      </w:r>
      <w:r w:rsidRPr="003F2B82">
        <w:rPr>
          <w:sz w:val="24"/>
          <w:szCs w:val="24"/>
        </w:rPr>
        <w:t xml:space="preserve">s </w:t>
      </w:r>
      <w:r w:rsidRPr="003F2B82">
        <w:rPr>
          <w:rFonts w:hint="eastAsia"/>
          <w:sz w:val="24"/>
          <w:szCs w:val="24"/>
        </w:rPr>
        <w:t>and</w:t>
      </w:r>
      <w:r w:rsidRPr="003F2B82">
        <w:rPr>
          <w:sz w:val="24"/>
          <w:szCs w:val="24"/>
        </w:rPr>
        <w:t xml:space="preserve"> genomic inflation factors of GWAS results for 256 cfDNA motif frequencies</w:t>
      </w:r>
    </w:p>
    <w:p w14:paraId="27A47E6A" w14:textId="77777777" w:rsidR="000A667F" w:rsidRPr="003F2B82" w:rsidRDefault="000A667F" w:rsidP="000A667F">
      <w:pPr>
        <w:jc w:val="both"/>
        <w:rPr>
          <w:b/>
          <w:sz w:val="24"/>
          <w:szCs w:val="24"/>
        </w:rPr>
      </w:pPr>
      <w:r w:rsidRPr="003F2B82">
        <w:rPr>
          <w:b/>
          <w:sz w:val="24"/>
          <w:szCs w:val="24"/>
        </w:rPr>
        <w:br w:type="page"/>
      </w:r>
    </w:p>
    <w:p w14:paraId="6C927E86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b/>
          <w:noProof/>
          <w:sz w:val="24"/>
          <w:szCs w:val="24"/>
        </w:rPr>
        <w:lastRenderedPageBreak/>
        <w:drawing>
          <wp:inline distT="0" distB="0" distL="0" distR="0" wp14:anchorId="3E356D09" wp14:editId="780C5211">
            <wp:extent cx="5943600" cy="4561900"/>
            <wp:effectExtent l="0" t="0" r="0" b="0"/>
            <wp:docPr id="24" name="图片 24" descr="C:\Users\test\AppData\Local\Temp\Rar$DRa21804.20223\Figure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est\AppData\Local\Temp\Rar$DRa21804.20223\Figure S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CC899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S3.</w:t>
      </w:r>
      <w:r w:rsidRPr="003F2B82">
        <w:rPr>
          <w:sz w:val="24"/>
          <w:szCs w:val="24"/>
        </w:rPr>
        <w:t xml:space="preserve"> The regional plots of the top 4 GWAS signals</w:t>
      </w:r>
    </w:p>
    <w:p w14:paraId="44788167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5E0934DE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288490D8" wp14:editId="41793AAE">
            <wp:extent cx="5943600" cy="6686550"/>
            <wp:effectExtent l="0" t="0" r="0" b="0"/>
            <wp:docPr id="5" name="图片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 screenshot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8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E0A6F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S4.</w:t>
      </w:r>
      <w:r w:rsidRPr="003F2B82">
        <w:rPr>
          <w:sz w:val="24"/>
          <w:szCs w:val="24"/>
        </w:rPr>
        <w:t xml:space="preserve"> T</w:t>
      </w:r>
      <w:r w:rsidRPr="003F2B82">
        <w:rPr>
          <w:rFonts w:hint="eastAsia"/>
          <w:sz w:val="24"/>
          <w:szCs w:val="24"/>
        </w:rPr>
        <w:t>he</w:t>
      </w:r>
      <w:r w:rsidRPr="003F2B82">
        <w:rPr>
          <w:sz w:val="24"/>
          <w:szCs w:val="24"/>
        </w:rPr>
        <w:t xml:space="preserve"> Manhattan plot and QQ-plots of six secondary phenotypes</w:t>
      </w:r>
    </w:p>
    <w:p w14:paraId="4122F960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  <w:r w:rsidRPr="003F2B82">
        <w:rPr>
          <w:rFonts w:hint="eastAsia"/>
          <w:i/>
          <w:iCs/>
          <w:sz w:val="24"/>
          <w:szCs w:val="24"/>
          <w:lang w:eastAsia="zh-CN"/>
        </w:rPr>
        <w:t>N</w:t>
      </w:r>
      <w:r w:rsidRPr="003F2B82">
        <w:rPr>
          <w:i/>
          <w:iCs/>
          <w:sz w:val="24"/>
          <w:szCs w:val="24"/>
          <w:lang w:eastAsia="zh-CN"/>
        </w:rPr>
        <w:t>otes</w:t>
      </w:r>
      <w:r w:rsidRPr="003F2B82">
        <w:rPr>
          <w:sz w:val="24"/>
          <w:szCs w:val="24"/>
          <w:lang w:eastAsia="zh-CN"/>
        </w:rPr>
        <w:t xml:space="preserve">: MPC represents the principal components of cfDNA motifs, and MDS represents the motif diversity score. Genes shown in black have passed the study-wide significance threshold of 1.95e-10, while genes in red have not reached this threshold. The percentage in parentheses represents the proportion of variance in cfDNA motif frequencies explained by each MPC. </w:t>
      </w:r>
    </w:p>
    <w:p w14:paraId="75C5A26D" w14:textId="77777777" w:rsidR="000A667F" w:rsidRPr="003F2B82" w:rsidRDefault="000A667F" w:rsidP="000A667F">
      <w:pPr>
        <w:spacing w:line="360" w:lineRule="auto"/>
        <w:jc w:val="center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4C836FAB" wp14:editId="597A376C">
            <wp:extent cx="4849610" cy="6967182"/>
            <wp:effectExtent l="0" t="0" r="8255" b="5715"/>
            <wp:docPr id="26" name="图片 26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A close-up of a graph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50605" cy="6968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52589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S5.</w:t>
      </w:r>
      <w:r w:rsidRPr="003F2B82">
        <w:rPr>
          <w:sz w:val="24"/>
          <w:szCs w:val="24"/>
        </w:rPr>
        <w:t xml:space="preserve"> T</w:t>
      </w:r>
      <w:r w:rsidRPr="003F2B82">
        <w:rPr>
          <w:rFonts w:hint="eastAsia"/>
          <w:sz w:val="24"/>
          <w:szCs w:val="24"/>
        </w:rPr>
        <w:t>he</w:t>
      </w:r>
      <w:r w:rsidRPr="003F2B82">
        <w:rPr>
          <w:sz w:val="24"/>
          <w:szCs w:val="24"/>
        </w:rPr>
        <w:t xml:space="preserve"> sample information in the three replication studies</w:t>
      </w:r>
    </w:p>
    <w:p w14:paraId="0CADCF04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  <w:r w:rsidRPr="003F2B82">
        <w:rPr>
          <w:b/>
          <w:bCs/>
          <w:sz w:val="24"/>
          <w:szCs w:val="24"/>
          <w:lang w:eastAsia="zh-CN"/>
        </w:rPr>
        <w:t>A-B</w:t>
      </w:r>
      <w:r w:rsidRPr="003F2B82">
        <w:rPr>
          <w:sz w:val="24"/>
          <w:szCs w:val="24"/>
          <w:lang w:eastAsia="zh-CN"/>
        </w:rPr>
        <w:t xml:space="preserve">) number of samples collected in 2020 and 2021, and age distributions of participants in the first replication study, based on approximately 25,000 Chinese NIPT samples; </w:t>
      </w:r>
      <w:r w:rsidRPr="003F2B82">
        <w:rPr>
          <w:b/>
          <w:bCs/>
          <w:sz w:val="24"/>
          <w:szCs w:val="24"/>
          <w:lang w:eastAsia="zh-CN"/>
        </w:rPr>
        <w:t>C</w:t>
      </w:r>
      <w:r w:rsidRPr="003F2B82">
        <w:rPr>
          <w:sz w:val="24"/>
          <w:szCs w:val="24"/>
          <w:lang w:eastAsia="zh-CN"/>
        </w:rPr>
        <w:t xml:space="preserve">) sample sizes used for GWAS analysis of six cfDNA features in the second replication study, based on Dutch </w:t>
      </w:r>
      <w:r w:rsidRPr="003F2B82">
        <w:rPr>
          <w:sz w:val="24"/>
          <w:szCs w:val="24"/>
          <w:lang w:eastAsia="zh-CN"/>
        </w:rPr>
        <w:lastRenderedPageBreak/>
        <w:t xml:space="preserve">NIPT samples; </w:t>
      </w:r>
      <w:r w:rsidRPr="003F2B82">
        <w:rPr>
          <w:b/>
          <w:bCs/>
          <w:sz w:val="24"/>
          <w:szCs w:val="24"/>
          <w:lang w:eastAsia="zh-CN"/>
        </w:rPr>
        <w:t>D-E</w:t>
      </w:r>
      <w:r w:rsidRPr="003F2B82">
        <w:rPr>
          <w:sz w:val="24"/>
          <w:szCs w:val="24"/>
          <w:lang w:eastAsia="zh-CN"/>
        </w:rPr>
        <w:t>) gender and age distributions of participants in the third replication study, based on approximately 400 healthy individuals from the general population.</w:t>
      </w:r>
    </w:p>
    <w:p w14:paraId="02EB828E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drawing>
          <wp:inline distT="0" distB="0" distL="0" distR="0" wp14:anchorId="1B2FD78A" wp14:editId="3F3EEF08">
            <wp:extent cx="5943600" cy="5160010"/>
            <wp:effectExtent l="0" t="0" r="0" b="2540"/>
            <wp:docPr id="6" name="图片 6" descr="A white sheet of paper with many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 white sheet of paper with many lines and dot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6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C3A9C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S6.</w:t>
      </w:r>
      <w:r w:rsidRPr="003F2B82">
        <w:rPr>
          <w:sz w:val="24"/>
          <w:szCs w:val="24"/>
        </w:rPr>
        <w:t xml:space="preserve"> Regional plots of 23 study-wide significant loci in the discovery study and three replication studies</w:t>
      </w:r>
    </w:p>
    <w:p w14:paraId="2A612EEB" w14:textId="77777777" w:rsidR="000A667F" w:rsidRPr="003F2B82" w:rsidRDefault="000A667F" w:rsidP="000A667F">
      <w:pPr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6D51B959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01A1340F" wp14:editId="46A652B3">
            <wp:extent cx="5943600" cy="3297555"/>
            <wp:effectExtent l="0" t="0" r="0" b="0"/>
            <wp:docPr id="15" name="图片 15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 graph of different colored bar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06C36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S7.</w:t>
      </w:r>
      <w:r w:rsidRPr="003F2B82">
        <w:rPr>
          <w:sz w:val="24"/>
          <w:szCs w:val="24"/>
        </w:rPr>
        <w:t xml:space="preserve"> T</w:t>
      </w:r>
      <w:r w:rsidRPr="003F2B82">
        <w:rPr>
          <w:rFonts w:hint="eastAsia"/>
          <w:sz w:val="24"/>
          <w:szCs w:val="24"/>
        </w:rPr>
        <w:t>he</w:t>
      </w:r>
      <w:r w:rsidRPr="003F2B82">
        <w:rPr>
          <w:sz w:val="24"/>
          <w:szCs w:val="24"/>
        </w:rPr>
        <w:t xml:space="preserve"> median value of transcripts per million (TPM) of gene </w:t>
      </w:r>
      <w:r w:rsidRPr="003F2B82">
        <w:rPr>
          <w:i/>
          <w:iCs/>
          <w:sz w:val="24"/>
          <w:szCs w:val="24"/>
        </w:rPr>
        <w:t>FCHO2</w:t>
      </w:r>
      <w:r w:rsidRPr="003F2B82">
        <w:rPr>
          <w:sz w:val="24"/>
          <w:szCs w:val="24"/>
        </w:rPr>
        <w:t xml:space="preserve"> from the GTEx database</w:t>
      </w:r>
    </w:p>
    <w:p w14:paraId="09844E94" w14:textId="77777777" w:rsidR="000A667F" w:rsidRPr="003F2B82" w:rsidRDefault="000A667F" w:rsidP="000A667F">
      <w:pPr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33C73A17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3DB3FCF4" wp14:editId="3CFBF339">
            <wp:extent cx="5943600" cy="29718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C5247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S8.</w:t>
      </w:r>
      <w:r w:rsidRPr="003F2B82">
        <w:rPr>
          <w:sz w:val="24"/>
          <w:szCs w:val="24"/>
        </w:rPr>
        <w:t xml:space="preserve"> Replication performance of the three studies at the 1e-4 threshold</w:t>
      </w:r>
    </w:p>
    <w:p w14:paraId="5CBD6A66" w14:textId="77777777" w:rsidR="000A667F" w:rsidRPr="003F2B82" w:rsidRDefault="000A667F" w:rsidP="000A667F">
      <w:pPr>
        <w:spacing w:line="360" w:lineRule="auto"/>
        <w:rPr>
          <w:sz w:val="24"/>
          <w:szCs w:val="24"/>
          <w:lang w:eastAsia="zh-CN"/>
        </w:rPr>
      </w:pPr>
      <w:r w:rsidRPr="003F2B82">
        <w:rPr>
          <w:rFonts w:hint="eastAsia"/>
          <w:b/>
          <w:bCs/>
          <w:sz w:val="24"/>
          <w:szCs w:val="24"/>
          <w:lang w:eastAsia="zh-CN"/>
        </w:rPr>
        <w:t>A</w:t>
      </w:r>
      <w:r w:rsidRPr="003F2B82">
        <w:rPr>
          <w:sz w:val="24"/>
          <w:szCs w:val="24"/>
          <w:lang w:eastAsia="zh-CN"/>
        </w:rPr>
        <w:t xml:space="preserve">) number of replicated genes in each replication study, </w:t>
      </w:r>
      <w:r w:rsidRPr="003F2B82">
        <w:rPr>
          <w:b/>
          <w:bCs/>
          <w:sz w:val="24"/>
          <w:szCs w:val="24"/>
          <w:lang w:eastAsia="zh-CN"/>
        </w:rPr>
        <w:t>B</w:t>
      </w:r>
      <w:r w:rsidRPr="003F2B82">
        <w:rPr>
          <w:sz w:val="24"/>
          <w:szCs w:val="24"/>
          <w:lang w:eastAsia="zh-CN"/>
        </w:rPr>
        <w:t>) names of replicated genes in each replication study</w:t>
      </w:r>
    </w:p>
    <w:p w14:paraId="69A7A797" w14:textId="77777777" w:rsidR="000A667F" w:rsidRPr="003F2B82" w:rsidRDefault="000A667F" w:rsidP="000A667F">
      <w:pPr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5FD53235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28AE93F2" wp14:editId="75BF870C">
            <wp:extent cx="5943600" cy="2974340"/>
            <wp:effectExtent l="0" t="0" r="0" b="0"/>
            <wp:docPr id="18" name="图片 18" descr="A diagram of a mouse and a m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A diagram of a mouse and a mous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3F9BE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S9.</w:t>
      </w:r>
      <w:r w:rsidRPr="003F2B82">
        <w:rPr>
          <w:sz w:val="24"/>
          <w:szCs w:val="24"/>
        </w:rPr>
        <w:t xml:space="preserve"> The fold change of cfDNA concentration in mouse and cell line experiments</w:t>
      </w:r>
    </w:p>
    <w:p w14:paraId="7AC0A35E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4B4859F0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446F4E3D" wp14:editId="40AD1CBA">
            <wp:extent cx="5943600" cy="3566160"/>
            <wp:effectExtent l="0" t="0" r="0" b="0"/>
            <wp:docPr id="27" name="图片 27" descr="A graph with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 graph with different colored lines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F31B7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Figure</w:t>
      </w:r>
      <w:r w:rsidRPr="003F2B82">
        <w:rPr>
          <w:b/>
          <w:sz w:val="24"/>
          <w:szCs w:val="24"/>
        </w:rPr>
        <w:t xml:space="preserve"> </w:t>
      </w:r>
      <w:r w:rsidRPr="003F2B82">
        <w:rPr>
          <w:rFonts w:hint="eastAsia"/>
          <w:b/>
          <w:sz w:val="24"/>
          <w:szCs w:val="24"/>
        </w:rPr>
        <w:t>S</w:t>
      </w:r>
      <w:r w:rsidRPr="003F2B82">
        <w:rPr>
          <w:b/>
          <w:sz w:val="24"/>
          <w:szCs w:val="24"/>
        </w:rPr>
        <w:t>10.</w:t>
      </w:r>
      <w:r w:rsidRPr="003F2B82">
        <w:rPr>
          <w:sz w:val="24"/>
          <w:szCs w:val="24"/>
        </w:rPr>
        <w:t xml:space="preserve"> </w:t>
      </w:r>
      <w:r w:rsidRPr="003F2B82">
        <w:rPr>
          <w:rFonts w:hint="eastAsia"/>
          <w:sz w:val="24"/>
          <w:szCs w:val="24"/>
        </w:rPr>
        <w:t>The</w:t>
      </w:r>
      <w:r w:rsidRPr="003F2B82">
        <w:rPr>
          <w:sz w:val="24"/>
          <w:szCs w:val="24"/>
        </w:rPr>
        <w:t xml:space="preserve"> heritability and number of study-wide significant loci of 256 motifs</w:t>
      </w:r>
    </w:p>
    <w:p w14:paraId="2913180B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5C8E1A50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4D8AAEC3" wp14:editId="4C33D407">
            <wp:extent cx="5943600" cy="6362700"/>
            <wp:effectExtent l="0" t="0" r="0" b="0"/>
            <wp:docPr id="28" name="图片 28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A graph of different colored line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6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4515E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S11.</w:t>
      </w:r>
      <w:r w:rsidRPr="003F2B82">
        <w:rPr>
          <w:sz w:val="24"/>
          <w:szCs w:val="24"/>
        </w:rPr>
        <w:t xml:space="preserve"> Results of partition heritability analysis</w:t>
      </w:r>
    </w:p>
    <w:p w14:paraId="1F0268FA" w14:textId="77777777" w:rsidR="000A667F" w:rsidRPr="003F2B82" w:rsidRDefault="000A667F" w:rsidP="000A667F">
      <w:pPr>
        <w:spacing w:line="360" w:lineRule="auto"/>
        <w:rPr>
          <w:sz w:val="24"/>
          <w:szCs w:val="24"/>
          <w:lang w:eastAsia="zh-CN"/>
        </w:rPr>
      </w:pPr>
      <w:r w:rsidRPr="003F2B82">
        <w:rPr>
          <w:b/>
          <w:bCs/>
          <w:sz w:val="24"/>
          <w:szCs w:val="24"/>
          <w:lang w:eastAsia="zh-CN"/>
        </w:rPr>
        <w:t>A</w:t>
      </w:r>
      <w:r w:rsidRPr="003F2B82">
        <w:rPr>
          <w:sz w:val="24"/>
          <w:szCs w:val="24"/>
          <w:lang w:eastAsia="zh-CN"/>
        </w:rPr>
        <w:t xml:space="preserve">) number of associated cfDNA motifs for tissues/cell types with significant associations, </w:t>
      </w:r>
      <w:r w:rsidRPr="003F2B82">
        <w:rPr>
          <w:b/>
          <w:bCs/>
          <w:sz w:val="24"/>
          <w:szCs w:val="24"/>
          <w:lang w:eastAsia="zh-CN"/>
        </w:rPr>
        <w:t>B</w:t>
      </w:r>
      <w:r w:rsidRPr="003F2B82">
        <w:rPr>
          <w:sz w:val="24"/>
          <w:szCs w:val="24"/>
          <w:lang w:eastAsia="zh-CN"/>
        </w:rPr>
        <w:t xml:space="preserve">) heritability partition results for three cfDNA motifs, with the most significantly associated cell types labeled. </w:t>
      </w:r>
    </w:p>
    <w:p w14:paraId="3A8212E4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2B1B8707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4D771843" wp14:editId="2726014B">
            <wp:extent cx="5943600" cy="2971800"/>
            <wp:effectExtent l="0" t="0" r="0" b="0"/>
            <wp:docPr id="10" name="图片 10" descr="C:\Users\test\AppData\Local\Temp\Rar$DRa21804.25896\Figure 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est\AppData\Local\Temp\Rar$DRa21804.25896\Figure S6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7D4FC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S12.</w:t>
      </w:r>
      <w:r w:rsidRPr="003F2B82">
        <w:rPr>
          <w:sz w:val="24"/>
          <w:szCs w:val="24"/>
        </w:rPr>
        <w:t xml:space="preserve"> Significant count and p-value distribution in pathway-based analysis</w:t>
      </w:r>
    </w:p>
    <w:p w14:paraId="5F529F49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7FB5A841" w14:textId="77777777" w:rsidR="000A667F" w:rsidRPr="003F2B82" w:rsidRDefault="000A667F" w:rsidP="000A667F">
      <w:pPr>
        <w:spacing w:line="360" w:lineRule="auto"/>
        <w:jc w:val="center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02000529" wp14:editId="4FACD863">
            <wp:extent cx="5486411" cy="5486411"/>
            <wp:effectExtent l="0" t="0" r="0" b="0"/>
            <wp:docPr id="19" name="图片 19" descr="A graph with colorful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A graph with colorful squares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86411" cy="548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4C5AA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>igure S13.</w:t>
      </w:r>
      <w:r w:rsidRPr="003F2B82">
        <w:rPr>
          <w:sz w:val="24"/>
          <w:szCs w:val="24"/>
        </w:rPr>
        <w:t xml:space="preserve"> Count of significantly genetic-correlated motifs for each phenotype</w:t>
      </w:r>
    </w:p>
    <w:p w14:paraId="0D1FF4EF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  <w:r w:rsidRPr="003F2B82">
        <w:rPr>
          <w:rFonts w:hint="eastAsia"/>
          <w:i/>
          <w:iCs/>
          <w:sz w:val="24"/>
          <w:szCs w:val="24"/>
          <w:lang w:eastAsia="zh-CN"/>
        </w:rPr>
        <w:t>N</w:t>
      </w:r>
      <w:r w:rsidRPr="003F2B82">
        <w:rPr>
          <w:i/>
          <w:iCs/>
          <w:sz w:val="24"/>
          <w:szCs w:val="24"/>
          <w:lang w:eastAsia="zh-CN"/>
        </w:rPr>
        <w:t>otes</w:t>
      </w:r>
      <w:r w:rsidRPr="003F2B82">
        <w:rPr>
          <w:sz w:val="24"/>
          <w:szCs w:val="24"/>
          <w:lang w:eastAsia="zh-CN"/>
        </w:rPr>
        <w:t xml:space="preserve">: BMI represents maternal body mass index, PreWeight represents maternal pre-pregnancy weight, WBC represents white blood cell counts, NEU represents neutrophil count, UA indicates uric acid, and NEU% represents the percentage of neutrophils. </w:t>
      </w:r>
    </w:p>
    <w:p w14:paraId="1E043723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22C40A0A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0C0F0654" wp14:editId="34F61FB6">
            <wp:extent cx="5943600" cy="4406900"/>
            <wp:effectExtent l="0" t="0" r="0" b="0"/>
            <wp:docPr id="20" name="图片 20" descr="A graph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A graph of different colored lines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1F0AE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 xml:space="preserve">Figure S14. </w:t>
      </w:r>
      <w:r w:rsidRPr="003F2B82">
        <w:rPr>
          <w:sz w:val="24"/>
          <w:szCs w:val="24"/>
        </w:rPr>
        <w:t xml:space="preserve">The Mendelian randomization regression lines of the 5 </w:t>
      </w:r>
      <w:r w:rsidRPr="003F2B82">
        <w:rPr>
          <w:rFonts w:hint="eastAsia"/>
          <w:sz w:val="24"/>
          <w:szCs w:val="24"/>
        </w:rPr>
        <w:t>casually</w:t>
      </w:r>
      <w:r w:rsidRPr="003F2B82">
        <w:rPr>
          <w:sz w:val="24"/>
          <w:szCs w:val="24"/>
        </w:rPr>
        <w:t xml:space="preserve"> </w:t>
      </w:r>
      <w:r w:rsidRPr="003F2B82">
        <w:rPr>
          <w:rFonts w:hint="eastAsia"/>
          <w:sz w:val="24"/>
          <w:szCs w:val="24"/>
        </w:rPr>
        <w:t>related</w:t>
      </w:r>
      <w:r w:rsidRPr="003F2B82">
        <w:rPr>
          <w:sz w:val="24"/>
          <w:szCs w:val="24"/>
        </w:rPr>
        <w:t xml:space="preserve"> phenotype</w:t>
      </w:r>
    </w:p>
    <w:p w14:paraId="0C3B3541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  <w:r w:rsidRPr="003F2B82">
        <w:rPr>
          <w:rFonts w:hint="eastAsia"/>
          <w:i/>
          <w:iCs/>
          <w:sz w:val="24"/>
          <w:szCs w:val="24"/>
          <w:lang w:eastAsia="zh-CN"/>
        </w:rPr>
        <w:t>N</w:t>
      </w:r>
      <w:r w:rsidRPr="003F2B82">
        <w:rPr>
          <w:i/>
          <w:iCs/>
          <w:sz w:val="24"/>
          <w:szCs w:val="24"/>
          <w:lang w:eastAsia="zh-CN"/>
        </w:rPr>
        <w:t>otes</w:t>
      </w:r>
      <w:r w:rsidRPr="003F2B82">
        <w:rPr>
          <w:sz w:val="24"/>
          <w:szCs w:val="24"/>
          <w:lang w:eastAsia="zh-CN"/>
        </w:rPr>
        <w:t xml:space="preserve">: NEU% represents percentage of neutrophils, NEU presents neutrophil counts, LYM% presents percentage of lymphocytes, WBC represents white blood cell count, and MCH represents mean corpuscular hemoglobin. </w:t>
      </w:r>
    </w:p>
    <w:p w14:paraId="5676C39F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253B8FC4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b/>
          <w:noProof/>
          <w:sz w:val="24"/>
          <w:szCs w:val="24"/>
        </w:rPr>
        <w:lastRenderedPageBreak/>
        <w:drawing>
          <wp:inline distT="0" distB="0" distL="0" distR="0" wp14:anchorId="403DDCBE" wp14:editId="7B59DCD1">
            <wp:extent cx="5943600" cy="3467735"/>
            <wp:effectExtent l="0" t="0" r="0" b="0"/>
            <wp:docPr id="22" name="图片 22" descr="A group of images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A group of images of different colored squares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72658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 xml:space="preserve">igure S15. </w:t>
      </w:r>
      <w:r w:rsidRPr="003F2B82">
        <w:rPr>
          <w:sz w:val="24"/>
          <w:szCs w:val="24"/>
        </w:rPr>
        <w:t>Colocalization regional plot for four loci between cfDNA motifs and pregnancy phenotypes</w:t>
      </w:r>
    </w:p>
    <w:p w14:paraId="2256FD80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  <w:r w:rsidRPr="003F2B82">
        <w:rPr>
          <w:rFonts w:hint="eastAsia"/>
          <w:i/>
          <w:iCs/>
          <w:sz w:val="24"/>
          <w:szCs w:val="24"/>
          <w:lang w:eastAsia="zh-CN"/>
        </w:rPr>
        <w:t>N</w:t>
      </w:r>
      <w:r w:rsidRPr="003F2B82">
        <w:rPr>
          <w:i/>
          <w:iCs/>
          <w:sz w:val="24"/>
          <w:szCs w:val="24"/>
          <w:lang w:eastAsia="zh-CN"/>
        </w:rPr>
        <w:t>otes</w:t>
      </w:r>
      <w:r w:rsidRPr="003F2B82">
        <w:rPr>
          <w:sz w:val="24"/>
          <w:szCs w:val="24"/>
          <w:lang w:eastAsia="zh-CN"/>
        </w:rPr>
        <w:t>: ALP represents alkaline phosphatase, GLB represents globulin, LYM% presents percentage of lymphocytes, and PDW represents platelet distribution width.</w:t>
      </w:r>
    </w:p>
    <w:p w14:paraId="7E47D0F7" w14:textId="77777777" w:rsidR="000A667F" w:rsidRPr="003F2B82" w:rsidRDefault="000A667F" w:rsidP="000A667F">
      <w:pPr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2428A026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5CBC060C" wp14:editId="6C64DCE5">
            <wp:extent cx="5908627" cy="2127957"/>
            <wp:effectExtent l="0" t="0" r="0" b="5715"/>
            <wp:docPr id="13" name="图片 1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 screenshot of a graph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08627" cy="2127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49491" w14:textId="77777777" w:rsidR="000A667F" w:rsidRPr="003F2B82" w:rsidRDefault="000A667F" w:rsidP="000A667F">
      <w:pPr>
        <w:spacing w:line="360" w:lineRule="auto"/>
        <w:jc w:val="both"/>
        <w:rPr>
          <w:b/>
          <w:bCs/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 xml:space="preserve">igure 16. </w:t>
      </w:r>
      <w:r w:rsidRPr="003F2B82">
        <w:rPr>
          <w:sz w:val="24"/>
          <w:szCs w:val="24"/>
        </w:rPr>
        <w:t xml:space="preserve">The </w:t>
      </w:r>
      <w:r w:rsidRPr="003F2B82">
        <w:rPr>
          <w:bCs/>
          <w:sz w:val="24"/>
          <w:szCs w:val="24"/>
        </w:rPr>
        <w:t xml:space="preserve">pleiotropy analysis results with GWAS catalog and OMIM </w:t>
      </w:r>
      <w:r w:rsidRPr="003F2B82">
        <w:rPr>
          <w:rFonts w:hint="eastAsia"/>
          <w:bCs/>
          <w:sz w:val="24"/>
          <w:szCs w:val="24"/>
        </w:rPr>
        <w:t>database</w:t>
      </w:r>
    </w:p>
    <w:p w14:paraId="70145271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bCs/>
          <w:sz w:val="24"/>
          <w:szCs w:val="24"/>
        </w:rPr>
        <w:t>A</w:t>
      </w:r>
      <w:r w:rsidRPr="003F2B82">
        <w:rPr>
          <w:sz w:val="24"/>
          <w:szCs w:val="24"/>
        </w:rPr>
        <w:t xml:space="preserve">) the enriched phenotypes from the GWAS catalog that are associated with study-wide significant SNPs linked to cfDNA motif frequencies; </w:t>
      </w:r>
      <w:r w:rsidRPr="003F2B82">
        <w:rPr>
          <w:b/>
          <w:bCs/>
          <w:sz w:val="24"/>
          <w:szCs w:val="24"/>
        </w:rPr>
        <w:t>B</w:t>
      </w:r>
      <w:r w:rsidRPr="003F2B82">
        <w:rPr>
          <w:sz w:val="24"/>
          <w:szCs w:val="24"/>
        </w:rPr>
        <w:t>) the Sankey diagram, from left to right, sequentially displays the study-wide significant loci associated with cfDNA motif frequencies, the associated disease in OMIM datab</w:t>
      </w:r>
      <w:r w:rsidRPr="003F2B82">
        <w:rPr>
          <w:sz w:val="24"/>
          <w:szCs w:val="24"/>
          <w:lang w:eastAsia="zh-CN"/>
        </w:rPr>
        <w:t>ase, and the disease categories.</w:t>
      </w:r>
    </w:p>
    <w:p w14:paraId="56ABBC19" w14:textId="77777777" w:rsidR="000A667F" w:rsidRPr="003F2B82" w:rsidRDefault="000A667F" w:rsidP="000A667F">
      <w:pPr>
        <w:rPr>
          <w:sz w:val="24"/>
          <w:szCs w:val="24"/>
        </w:rPr>
      </w:pPr>
      <w:r w:rsidRPr="003F2B82">
        <w:rPr>
          <w:sz w:val="24"/>
          <w:szCs w:val="24"/>
        </w:rPr>
        <w:br w:type="page"/>
      </w:r>
    </w:p>
    <w:p w14:paraId="155BFF73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noProof/>
          <w:sz w:val="24"/>
          <w:szCs w:val="24"/>
        </w:rPr>
        <w:lastRenderedPageBreak/>
        <w:drawing>
          <wp:inline distT="0" distB="0" distL="0" distR="0" wp14:anchorId="3A8EA6DC" wp14:editId="62CD0FAF">
            <wp:extent cx="5943257" cy="3323230"/>
            <wp:effectExtent l="0" t="0" r="635" b="0"/>
            <wp:docPr id="23" name="图片 2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 screenshot of a computer&#10;&#10;Description automatically generated"/>
                    <pic:cNvPicPr/>
                  </pic:nvPicPr>
                  <pic:blipFill rotWithShape="1">
                    <a:blip r:embed="rId20"/>
                    <a:srcRect t="14263" b="13378"/>
                    <a:stretch/>
                  </pic:blipFill>
                  <pic:spPr bwMode="auto">
                    <a:xfrm>
                      <a:off x="0" y="0"/>
                      <a:ext cx="5943600" cy="3323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6395A1" w14:textId="77777777" w:rsidR="000A667F" w:rsidRPr="003F2B82" w:rsidRDefault="000A667F" w:rsidP="000A667F">
      <w:pPr>
        <w:jc w:val="both"/>
        <w:rPr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F</w:t>
      </w:r>
      <w:r w:rsidRPr="003F2B82">
        <w:rPr>
          <w:b/>
          <w:sz w:val="24"/>
          <w:szCs w:val="24"/>
        </w:rPr>
        <w:t xml:space="preserve">igure S17. </w:t>
      </w:r>
      <w:r w:rsidRPr="003F2B82">
        <w:rPr>
          <w:rFonts w:eastAsia="SimSun"/>
          <w:sz w:val="24"/>
          <w:szCs w:val="24"/>
          <w:lang w:eastAsia="zh-CN"/>
        </w:rPr>
        <w:t xml:space="preserve">The plasma cfDNA sequencing and alignment results verified the </w:t>
      </w:r>
      <w:r w:rsidRPr="003F2B82">
        <w:rPr>
          <w:rFonts w:eastAsia="SimSun"/>
          <w:i/>
          <w:iCs/>
          <w:sz w:val="24"/>
          <w:szCs w:val="24"/>
          <w:lang w:eastAsia="zh-CN"/>
        </w:rPr>
        <w:t>Panx1</w:t>
      </w:r>
      <w:r w:rsidRPr="003F2B82">
        <w:rPr>
          <w:rFonts w:eastAsia="SimSun"/>
          <w:sz w:val="24"/>
          <w:szCs w:val="24"/>
          <w:lang w:eastAsia="zh-CN"/>
        </w:rPr>
        <w:t>-deficient mice model</w:t>
      </w:r>
      <w:r w:rsidRPr="003F2B82">
        <w:rPr>
          <w:sz w:val="24"/>
          <w:szCs w:val="24"/>
        </w:rPr>
        <w:t xml:space="preserve"> </w:t>
      </w:r>
      <w:r w:rsidRPr="003F2B82">
        <w:rPr>
          <w:sz w:val="24"/>
          <w:szCs w:val="24"/>
        </w:rPr>
        <w:br w:type="page"/>
      </w:r>
    </w:p>
    <w:p w14:paraId="586FF377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b/>
          <w:sz w:val="24"/>
          <w:szCs w:val="24"/>
        </w:rPr>
        <w:lastRenderedPageBreak/>
        <w:t>Table S1.</w:t>
      </w:r>
      <w:r w:rsidRPr="003F2B82">
        <w:rPr>
          <w:sz w:val="24"/>
          <w:szCs w:val="24"/>
        </w:rPr>
        <w:t xml:space="preserve"> 84 Genome-wide significant loci associated with cfDNA motif frequencies in GWAS analysis</w:t>
      </w:r>
    </w:p>
    <w:p w14:paraId="59DBFBFD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S2.</w:t>
      </w:r>
      <w:r w:rsidRPr="003F2B82">
        <w:rPr>
          <w:sz w:val="24"/>
          <w:szCs w:val="24"/>
        </w:rPr>
        <w:t xml:space="preserve"> 23 S</w:t>
      </w:r>
      <w:r w:rsidRPr="003F2B82">
        <w:rPr>
          <w:rFonts w:hint="eastAsia"/>
          <w:sz w:val="24"/>
          <w:szCs w:val="24"/>
          <w:lang w:eastAsia="zh-CN"/>
        </w:rPr>
        <w:t>tudy</w:t>
      </w:r>
      <w:r w:rsidRPr="003F2B82">
        <w:rPr>
          <w:sz w:val="24"/>
          <w:szCs w:val="24"/>
        </w:rPr>
        <w:t>-wide significant loci associated with cfDNA motif frequencies in GWAS analysis</w:t>
      </w:r>
    </w:p>
    <w:p w14:paraId="675EF7FE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  <w:lang w:eastAsia="zh-CN"/>
        </w:rPr>
      </w:pPr>
      <w:r w:rsidRPr="003F2B82">
        <w:rPr>
          <w:rFonts w:hint="eastAsia"/>
          <w:b/>
          <w:bCs/>
          <w:sz w:val="24"/>
          <w:szCs w:val="24"/>
          <w:lang w:eastAsia="zh-CN"/>
        </w:rPr>
        <w:t>T</w:t>
      </w:r>
      <w:r w:rsidRPr="003F2B82">
        <w:rPr>
          <w:b/>
          <w:bCs/>
          <w:sz w:val="24"/>
          <w:szCs w:val="24"/>
          <w:lang w:eastAsia="zh-CN"/>
        </w:rPr>
        <w:t>able S3.</w:t>
      </w:r>
      <w:r w:rsidRPr="003F2B82">
        <w:rPr>
          <w:sz w:val="24"/>
          <w:szCs w:val="24"/>
          <w:lang w:eastAsia="zh-CN"/>
        </w:rPr>
        <w:t xml:space="preserve"> Heritability and number of significant loci for each cfDNA motif</w:t>
      </w:r>
    </w:p>
    <w:p w14:paraId="415CB85F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b/>
          <w:sz w:val="24"/>
          <w:szCs w:val="24"/>
        </w:rPr>
        <w:t>Table S4.</w:t>
      </w:r>
      <w:r w:rsidRPr="003F2B82">
        <w:rPr>
          <w:sz w:val="24"/>
          <w:szCs w:val="24"/>
        </w:rPr>
        <w:t xml:space="preserve"> P-values of heritability partition analysis</w:t>
      </w:r>
    </w:p>
    <w:p w14:paraId="1D19D9F9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b/>
          <w:sz w:val="24"/>
          <w:szCs w:val="24"/>
        </w:rPr>
        <w:t>Table S5.</w:t>
      </w:r>
      <w:r w:rsidRPr="003F2B82">
        <w:rPr>
          <w:sz w:val="24"/>
          <w:szCs w:val="24"/>
        </w:rPr>
        <w:t xml:space="preserve"> Number of associated motifs for tissues/cell types with significant associations in heritability partition analysis</w:t>
      </w:r>
    </w:p>
    <w:p w14:paraId="03CBE78C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b/>
          <w:sz w:val="24"/>
          <w:szCs w:val="24"/>
        </w:rPr>
        <w:t>Table S6.</w:t>
      </w:r>
      <w:r w:rsidRPr="003F2B82">
        <w:rPr>
          <w:sz w:val="24"/>
          <w:szCs w:val="24"/>
        </w:rPr>
        <w:t xml:space="preserve"> P-values for pathway-based analysis</w:t>
      </w:r>
    </w:p>
    <w:p w14:paraId="407EA147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S7.</w:t>
      </w:r>
      <w:r w:rsidRPr="003F2B82">
        <w:rPr>
          <w:sz w:val="24"/>
          <w:szCs w:val="24"/>
        </w:rPr>
        <w:t xml:space="preserve"> Number of associated cfDNA motifs for each pathway in the pathway-based analysis</w:t>
      </w:r>
    </w:p>
    <w:p w14:paraId="54FDFC34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S8.</w:t>
      </w:r>
      <w:r w:rsidRPr="003F2B82">
        <w:rPr>
          <w:sz w:val="24"/>
          <w:szCs w:val="24"/>
        </w:rPr>
        <w:t xml:space="preserve"> Results for genetic correlation analysis</w:t>
      </w:r>
    </w:p>
    <w:p w14:paraId="2EC147CF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S9.</w:t>
      </w:r>
      <w:r w:rsidRPr="003F2B82">
        <w:rPr>
          <w:sz w:val="24"/>
          <w:szCs w:val="24"/>
        </w:rPr>
        <w:t xml:space="preserve"> Number of associated motifs for six pregnancy phenotypes in genetic correlation analysis</w:t>
      </w:r>
    </w:p>
    <w:p w14:paraId="47EC9FC6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S10.</w:t>
      </w:r>
      <w:r w:rsidRPr="003F2B82">
        <w:rPr>
          <w:sz w:val="24"/>
          <w:szCs w:val="24"/>
        </w:rPr>
        <w:t xml:space="preserve"> Results for P-&gt;M Mendelian Randomization analysis</w:t>
      </w:r>
    </w:p>
    <w:p w14:paraId="5BBA4505" w14:textId="77777777" w:rsidR="000A667F" w:rsidRPr="003F2B82" w:rsidRDefault="000A667F" w:rsidP="000A667F">
      <w:pPr>
        <w:spacing w:line="360" w:lineRule="auto"/>
        <w:jc w:val="both"/>
        <w:rPr>
          <w:b/>
          <w:sz w:val="24"/>
          <w:szCs w:val="24"/>
        </w:rPr>
      </w:pPr>
      <w:r w:rsidRPr="003F2B82">
        <w:rPr>
          <w:rFonts w:hint="eastAsia"/>
          <w:b/>
          <w:sz w:val="24"/>
          <w:szCs w:val="24"/>
        </w:rPr>
        <w:t>T</w:t>
      </w:r>
      <w:r w:rsidRPr="003F2B82">
        <w:rPr>
          <w:b/>
          <w:sz w:val="24"/>
          <w:szCs w:val="24"/>
        </w:rPr>
        <w:t>able S11.</w:t>
      </w:r>
      <w:r w:rsidRPr="003F2B82">
        <w:rPr>
          <w:bCs/>
          <w:sz w:val="24"/>
          <w:szCs w:val="24"/>
        </w:rPr>
        <w:t xml:space="preserve"> Results of sensitivity tests for 156 causal associations in Mendelian randomization</w:t>
      </w:r>
    </w:p>
    <w:p w14:paraId="13F6C5B5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S12.</w:t>
      </w:r>
      <w:r w:rsidRPr="003F2B82">
        <w:rPr>
          <w:sz w:val="24"/>
          <w:szCs w:val="24"/>
        </w:rPr>
        <w:t xml:space="preserve"> Colocalization results between cfDNA motifs and pregnancy phenotypes</w:t>
      </w:r>
    </w:p>
    <w:p w14:paraId="7D0B7203" w14:textId="77777777" w:rsidR="000A667F" w:rsidRDefault="000A667F" w:rsidP="000A667F">
      <w:pPr>
        <w:spacing w:line="360" w:lineRule="auto"/>
        <w:jc w:val="both"/>
        <w:rPr>
          <w:sz w:val="24"/>
          <w:szCs w:val="24"/>
        </w:rPr>
      </w:pPr>
      <w:r w:rsidRPr="003F2B82">
        <w:rPr>
          <w:b/>
          <w:sz w:val="24"/>
          <w:szCs w:val="24"/>
        </w:rPr>
        <w:t>Table S13.</w:t>
      </w:r>
      <w:r w:rsidRPr="003F2B82">
        <w:rPr>
          <w:sz w:val="24"/>
          <w:szCs w:val="24"/>
        </w:rPr>
        <w:t xml:space="preserve"> Genes associated with both cfDNA motif frequencies and diseases from OMIM database</w:t>
      </w:r>
    </w:p>
    <w:p w14:paraId="3B21E54F" w14:textId="77777777" w:rsidR="000A667F" w:rsidRPr="003F2B82" w:rsidRDefault="000A667F" w:rsidP="000A667F">
      <w:pPr>
        <w:spacing w:line="360" w:lineRule="auto"/>
        <w:jc w:val="both"/>
        <w:rPr>
          <w:sz w:val="24"/>
          <w:szCs w:val="24"/>
          <w:lang w:eastAsia="zh-CN"/>
        </w:rPr>
      </w:pPr>
    </w:p>
    <w:p w14:paraId="68124CB6" w14:textId="77777777" w:rsidR="00F553FF" w:rsidRDefault="00F553FF"/>
    <w:sectPr w:rsidR="00F553FF" w:rsidSect="000A667F">
      <w:pgSz w:w="12240" w:h="15840"/>
      <w:pgMar w:top="1440" w:right="1440" w:bottom="1440" w:left="1440" w:header="720" w:footer="720" w:gutter="0"/>
      <w:lnNumType w:countBy="1" w:restart="newSection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F"/>
    <w:rsid w:val="000A667F"/>
    <w:rsid w:val="003C2EF4"/>
    <w:rsid w:val="00B74216"/>
    <w:rsid w:val="00D62F8C"/>
    <w:rsid w:val="00D7569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9EFAD"/>
  <w15:chartTrackingRefBased/>
  <w15:docId w15:val="{BBD48A0F-EBD5-459D-B115-FFE0D4BF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67F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67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67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67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67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67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67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67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67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67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6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6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6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6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6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6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6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6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6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6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A66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67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A66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67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A66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67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A66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6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6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67F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0A66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766</Words>
  <Characters>4371</Characters>
  <Application>Microsoft Office Word</Application>
  <DocSecurity>0</DocSecurity>
  <Lines>36</Lines>
  <Paragraphs>10</Paragraphs>
  <ScaleCrop>false</ScaleCrop>
  <Company>Springer Nature</Company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2024-11-08T05:51:00Z</dcterms:created>
  <dcterms:modified xsi:type="dcterms:W3CDTF">2024-11-08T05:52:00Z</dcterms:modified>
</cp:coreProperties>
</file>