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2DF364" w14:textId="77777777" w:rsidR="0045178A" w:rsidRPr="009C2E4C" w:rsidRDefault="0045178A" w:rsidP="0045178A">
      <w:pPr>
        <w:pStyle w:val="P1"/>
        <w:spacing w:before="120" w:after="120" w:line="360" w:lineRule="auto"/>
        <w:rPr>
          <w:rFonts w:ascii="Times New Roman" w:hAnsi="Times New Roman"/>
          <w:b/>
          <w:sz w:val="24"/>
        </w:rPr>
      </w:pPr>
      <w:r w:rsidRPr="009C2E4C">
        <w:rPr>
          <w:rFonts w:ascii="Times New Roman" w:hAnsi="Times New Roman"/>
          <w:b/>
          <w:sz w:val="24"/>
        </w:rPr>
        <w:t>Entry for the Table of Contents</w:t>
      </w:r>
    </w:p>
    <w:p w14:paraId="33DF2077" w14:textId="77777777" w:rsidR="0045178A" w:rsidRPr="009C2E4C" w:rsidRDefault="0045178A" w:rsidP="0045178A">
      <w:pPr>
        <w:pStyle w:val="NormalWeb"/>
        <w:spacing w:before="120" w:beforeAutospacing="0" w:after="120" w:afterAutospacing="0" w:line="360" w:lineRule="auto"/>
      </w:pPr>
      <w:r w:rsidRPr="009C2E4C">
        <w:rPr>
          <w:noProof/>
        </w:rPr>
        <w:drawing>
          <wp:inline distT="0" distB="0" distL="0" distR="0" wp14:anchorId="47E12E5D" wp14:editId="24BC700B">
            <wp:extent cx="6371590" cy="1449070"/>
            <wp:effectExtent l="0" t="0" r="0" b="0"/>
            <wp:docPr id="1764000576" name="Picture 3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000576" name="Picture 3" descr="A close-up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D469B" w14:textId="77777777" w:rsidR="0045178A" w:rsidRPr="009C2E4C" w:rsidRDefault="0045178A" w:rsidP="0045178A">
      <w:pPr>
        <w:pStyle w:val="TableOfContentText"/>
        <w:spacing w:after="120" w:line="360" w:lineRule="auto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56BA65D3" w14:textId="77777777" w:rsidR="0045178A" w:rsidRPr="009C2E4C" w:rsidRDefault="0045178A" w:rsidP="0045178A">
      <w:pPr>
        <w:pStyle w:val="TableOfContentText"/>
        <w:spacing w:after="120" w:line="360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  <w:r w:rsidRPr="009C2E4C">
        <w:rPr>
          <w:rFonts w:ascii="Times New Roman" w:hAnsi="Times New Roman"/>
          <w:sz w:val="24"/>
          <w:szCs w:val="24"/>
          <w:lang w:val="en-US"/>
        </w:rPr>
        <w:t>Truncation of the 68GAVV71 hydrophobic stretch within the NAC region of α-synuclein (αSyn) disrupts β-sheet-rich fibril formation and prion-like seeding activity. This work highlights the importance of targeting this sequence for inhibiting aggregation, providing insights into potential therapeutic approaches for synucleinopathies.</w:t>
      </w:r>
    </w:p>
    <w:p w14:paraId="4D4FADA1" w14:textId="77777777" w:rsidR="00755780" w:rsidRDefault="00755780"/>
    <w:sectPr w:rsidR="00755780" w:rsidSect="0045178A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78A"/>
    <w:rsid w:val="00331A6B"/>
    <w:rsid w:val="0045178A"/>
    <w:rsid w:val="00626D82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75F9A"/>
  <w15:chartTrackingRefBased/>
  <w15:docId w15:val="{BA9CA0BE-8870-487A-AF66-BE3D692B0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1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7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7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7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7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7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7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7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7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7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7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7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1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1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17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7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17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7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7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78A"/>
    <w:rPr>
      <w:b/>
      <w:bCs/>
      <w:smallCaps/>
      <w:color w:val="0F4761" w:themeColor="accent1" w:themeShade="BF"/>
      <w:spacing w:val="5"/>
    </w:rPr>
  </w:style>
  <w:style w:type="paragraph" w:customStyle="1" w:styleId="TableOfContentText">
    <w:name w:val="TableOfContentText"/>
    <w:basedOn w:val="Normal"/>
    <w:rsid w:val="0045178A"/>
    <w:pPr>
      <w:spacing w:before="120" w:after="0" w:line="225" w:lineRule="atLeast"/>
    </w:pPr>
    <w:rPr>
      <w:rFonts w:ascii="Arial" w:eastAsia="MS Mincho" w:hAnsi="Arial" w:cs="Times New Roman"/>
      <w:color w:val="000000"/>
      <w:kern w:val="0"/>
      <w:sz w:val="17"/>
      <w:szCs w:val="20"/>
      <w:lang w:val="en-GB" w:eastAsia="ja-JP"/>
      <w14:ligatures w14:val="none"/>
    </w:rPr>
  </w:style>
  <w:style w:type="paragraph" w:customStyle="1" w:styleId="P1">
    <w:name w:val="P1"/>
    <w:basedOn w:val="Normal"/>
    <w:qFormat/>
    <w:rsid w:val="0045178A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451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Springer Nature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2024-10-03T16:55:00Z</dcterms:created>
  <dcterms:modified xsi:type="dcterms:W3CDTF">2024-10-03T16:55:00Z</dcterms:modified>
</cp:coreProperties>
</file>