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0FA24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>Fig</w:t>
      </w:r>
      <w:r w:rsidRPr="009C4340">
        <w:rPr>
          <w:rFonts w:hint="eastAsia"/>
          <w:b/>
          <w:bCs/>
        </w:rPr>
        <w:t>ure</w:t>
      </w:r>
      <w:r w:rsidRPr="009C4340">
        <w:rPr>
          <w:b/>
          <w:bCs/>
        </w:rPr>
        <w:t xml:space="preserve"> S1 to Fig</w:t>
      </w:r>
      <w:r w:rsidRPr="009C4340">
        <w:rPr>
          <w:rFonts w:hint="eastAsia"/>
          <w:b/>
          <w:bCs/>
        </w:rPr>
        <w:t>ure</w:t>
      </w:r>
      <w:r w:rsidRPr="009C4340">
        <w:rPr>
          <w:b/>
          <w:bCs/>
        </w:rPr>
        <w:t xml:space="preserve"> </w:t>
      </w:r>
      <w:r w:rsidRPr="009C4340">
        <w:rPr>
          <w:rFonts w:hint="eastAsia"/>
          <w:b/>
          <w:bCs/>
        </w:rPr>
        <w:t>4</w:t>
      </w:r>
      <w:r w:rsidRPr="009C4340">
        <w:rPr>
          <w:b/>
          <w:bCs/>
        </w:rPr>
        <w:t>. Distributions of TGF</w:t>
      </w:r>
      <w:r w:rsidRPr="009C4340">
        <w:rPr>
          <w:b/>
          <w:bCs/>
        </w:rPr>
        <w:sym w:font="Symbol" w:char="F062"/>
      </w:r>
      <w:r w:rsidRPr="009C4340">
        <w:rPr>
          <w:b/>
          <w:bCs/>
        </w:rPr>
        <w:t xml:space="preserve"> and BMP signaling components in the early developing molar tooth germs. </w:t>
      </w:r>
    </w:p>
    <w:p w14:paraId="4898EAC7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t>(</w:t>
      </w:r>
      <w:r w:rsidRPr="009C4340">
        <w:rPr>
          <w:b/>
          <w:bCs/>
        </w:rPr>
        <w:t>a</w:t>
      </w:r>
      <w:r w:rsidRPr="009C4340">
        <w:t>-</w:t>
      </w:r>
      <w:r w:rsidRPr="009C4340">
        <w:rPr>
          <w:b/>
          <w:bCs/>
        </w:rPr>
        <w:t>h</w:t>
      </w:r>
      <w:r w:rsidRPr="009C4340">
        <w:t xml:space="preserve">) In situ hybridization of </w:t>
      </w:r>
      <w:r w:rsidRPr="009C4340">
        <w:rPr>
          <w:i/>
          <w:iCs/>
        </w:rPr>
        <w:t>Bmp4</w:t>
      </w:r>
      <w:r w:rsidRPr="009C4340">
        <w:t xml:space="preserve">,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>1</w:t>
      </w:r>
      <w:r w:rsidRPr="009C4340">
        <w:t xml:space="preserve">,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>3</w:t>
      </w:r>
      <w:r w:rsidRPr="009C4340">
        <w:t xml:space="preserve">, and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>r1</w:t>
      </w:r>
      <w:r w:rsidRPr="009C4340">
        <w:t xml:space="preserve"> on the frontal sections of molar tooth germs at E12.5 and E13.5. </w:t>
      </w:r>
      <w:r w:rsidRPr="009C4340">
        <w:rPr>
          <w:i/>
          <w:iCs/>
        </w:rPr>
        <w:t>Bmp4</w:t>
      </w:r>
      <w:r w:rsidRPr="009C4340">
        <w:t xml:space="preserve"> is wildly expressed in the dental mesenchyme cells with a particular bias toward the buccal site (</w:t>
      </w:r>
      <w:r w:rsidRPr="009C4340">
        <w:rPr>
          <w:b/>
          <w:bCs/>
        </w:rPr>
        <w:t>a</w:t>
      </w:r>
      <w:r w:rsidRPr="009C4340">
        <w:t xml:space="preserve">, </w:t>
      </w:r>
      <w:r w:rsidRPr="009C4340">
        <w:rPr>
          <w:b/>
          <w:bCs/>
        </w:rPr>
        <w:t>b</w:t>
      </w:r>
      <w:r w:rsidRPr="009C4340">
        <w:t xml:space="preserve">).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>1</w:t>
      </w:r>
      <w:r w:rsidRPr="009C4340">
        <w:t xml:space="preserve"> is expressed weakly in the dental mesenchyme at E12.5 and is slightly increased in the condensed dental mesenchyme at E13.5 (</w:t>
      </w:r>
      <w:r w:rsidRPr="009C4340">
        <w:rPr>
          <w:b/>
          <w:bCs/>
        </w:rPr>
        <w:t>c</w:t>
      </w:r>
      <w:r w:rsidRPr="009C4340">
        <w:t xml:space="preserve">, </w:t>
      </w:r>
      <w:r w:rsidRPr="009C4340">
        <w:rPr>
          <w:b/>
          <w:bCs/>
        </w:rPr>
        <w:t>d</w:t>
      </w:r>
      <w:r w:rsidRPr="009C4340">
        <w:t xml:space="preserve">).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 xml:space="preserve">3 </w:t>
      </w:r>
      <w:r w:rsidRPr="009C4340">
        <w:t>is broadly expressed in the dental mesenchyme at E12.5 and E13.5 (</w:t>
      </w:r>
      <w:r w:rsidRPr="009C4340">
        <w:rPr>
          <w:b/>
          <w:bCs/>
        </w:rPr>
        <w:t>e</w:t>
      </w:r>
      <w:r w:rsidRPr="009C4340">
        <w:t xml:space="preserve">, </w:t>
      </w:r>
      <w:r w:rsidRPr="009C4340">
        <w:rPr>
          <w:b/>
          <w:bCs/>
        </w:rPr>
        <w:t>f</w:t>
      </w:r>
      <w:r w:rsidRPr="009C4340">
        <w:t>), with a pronounced presence in the cells surrounding the condensed dental mesenchyme at E13.5 (</w:t>
      </w:r>
      <w:r w:rsidRPr="009C4340">
        <w:rPr>
          <w:b/>
          <w:bCs/>
        </w:rPr>
        <w:t>f</w:t>
      </w:r>
      <w:r w:rsidRPr="009C4340">
        <w:t xml:space="preserve">). </w:t>
      </w:r>
      <w:r w:rsidRPr="009C4340">
        <w:rPr>
          <w:i/>
          <w:iCs/>
        </w:rPr>
        <w:t>TGF</w:t>
      </w:r>
      <w:r w:rsidRPr="009C4340">
        <w:rPr>
          <w:i/>
          <w:iCs/>
        </w:rPr>
        <w:sym w:font="Symbol" w:char="F062"/>
      </w:r>
      <w:r w:rsidRPr="009C4340">
        <w:rPr>
          <w:i/>
          <w:iCs/>
        </w:rPr>
        <w:t>r1</w:t>
      </w:r>
      <w:r w:rsidRPr="009C4340">
        <w:t xml:space="preserve"> is weakly expressed in a broad pattern in the dental mesenchyme (</w:t>
      </w:r>
      <w:r w:rsidRPr="009C4340">
        <w:rPr>
          <w:b/>
          <w:bCs/>
        </w:rPr>
        <w:t>g</w:t>
      </w:r>
      <w:r w:rsidRPr="009C4340">
        <w:t xml:space="preserve">, </w:t>
      </w:r>
      <w:r w:rsidRPr="009C4340">
        <w:rPr>
          <w:b/>
          <w:bCs/>
        </w:rPr>
        <w:t>h</w:t>
      </w:r>
      <w:r w:rsidRPr="009C4340">
        <w:t xml:space="preserve">). </w:t>
      </w:r>
      <w:r w:rsidRPr="009C4340">
        <w:rPr>
          <w:i/>
          <w:iCs/>
        </w:rPr>
        <w:t>Inhha</w:t>
      </w:r>
      <w:r w:rsidRPr="009C4340">
        <w:t xml:space="preserve"> is strongly expressed throughout the dental mesenchyme (</w:t>
      </w:r>
      <w:r w:rsidRPr="009C4340">
        <w:rPr>
          <w:b/>
          <w:bCs/>
        </w:rPr>
        <w:t>i</w:t>
      </w:r>
      <w:r w:rsidRPr="009C4340">
        <w:t xml:space="preserve">, </w:t>
      </w:r>
      <w:r w:rsidRPr="009C4340">
        <w:rPr>
          <w:b/>
          <w:bCs/>
        </w:rPr>
        <w:t>j</w:t>
      </w:r>
      <w:r w:rsidRPr="009C4340">
        <w:t>). Scale bar, 100μm.</w:t>
      </w:r>
    </w:p>
    <w:p w14:paraId="2D73BADF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4BD4CA0A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>Fig</w:t>
      </w:r>
      <w:r w:rsidRPr="009C4340">
        <w:rPr>
          <w:rFonts w:hint="eastAsia"/>
          <w:b/>
          <w:bCs/>
        </w:rPr>
        <w:t>ure</w:t>
      </w:r>
      <w:r w:rsidRPr="009C4340">
        <w:rPr>
          <w:b/>
          <w:bCs/>
        </w:rPr>
        <w:t xml:space="preserve"> S2 to Fig</w:t>
      </w:r>
      <w:r w:rsidRPr="009C4340">
        <w:rPr>
          <w:rFonts w:hint="eastAsia"/>
          <w:b/>
          <w:bCs/>
        </w:rPr>
        <w:t>ure</w:t>
      </w:r>
      <w:r w:rsidRPr="009C4340">
        <w:rPr>
          <w:b/>
          <w:bCs/>
        </w:rPr>
        <w:t xml:space="preserve"> 5. Identification and characterization of common pSmad1/5 and pSmad3 peaks. </w:t>
      </w:r>
    </w:p>
    <w:p w14:paraId="3D57B0FB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 xml:space="preserve">(a) </w:t>
      </w:r>
      <w:r w:rsidRPr="009C4340">
        <w:t>Venn diagrams depict</w:t>
      </w:r>
      <w:r w:rsidRPr="009C4340">
        <w:rPr>
          <w:b/>
          <w:bCs/>
        </w:rPr>
        <w:t xml:space="preserve"> </w:t>
      </w:r>
      <w:r w:rsidRPr="009C4340">
        <w:t>the number of common pSmad1/5 and pSmad3 peaks identified from individual replicates. (</w:t>
      </w:r>
      <w:r w:rsidRPr="009C4340">
        <w:rPr>
          <w:b/>
          <w:bCs/>
        </w:rPr>
        <w:t>b</w:t>
      </w:r>
      <w:r w:rsidRPr="009C4340">
        <w:t>) Bar plot shows similar distributions of pSmad1/5 and pSmad3 common peaks relative to the TSS. (</w:t>
      </w:r>
      <w:r w:rsidRPr="009C4340">
        <w:rPr>
          <w:b/>
          <w:bCs/>
        </w:rPr>
        <w:t>c</w:t>
      </w:r>
      <w:r w:rsidRPr="009C4340">
        <w:t xml:space="preserve">, </w:t>
      </w:r>
      <w:r w:rsidRPr="009C4340">
        <w:rPr>
          <w:b/>
          <w:bCs/>
        </w:rPr>
        <w:t>d</w:t>
      </w:r>
      <w:r w:rsidRPr="009C4340">
        <w:t>) GO analyses of the pSmad1/5 and pSmad3 bound genes reveal a similar enrichment of GO terms in cellular component (</w:t>
      </w:r>
      <w:r w:rsidRPr="009C4340">
        <w:rPr>
          <w:b/>
          <w:bCs/>
        </w:rPr>
        <w:t>c</w:t>
      </w:r>
      <w:r w:rsidRPr="009C4340">
        <w:t>) and molecular function (</w:t>
      </w:r>
      <w:r w:rsidRPr="009C4340">
        <w:rPr>
          <w:b/>
          <w:bCs/>
        </w:rPr>
        <w:t>d</w:t>
      </w:r>
      <w:r w:rsidRPr="009C4340">
        <w:t>) category.</w:t>
      </w:r>
    </w:p>
    <w:p w14:paraId="682D74BB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32E42B30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 xml:space="preserve">Figure S3 to Figure 6. Characterization of </w:t>
      </w:r>
      <w:r w:rsidRPr="009C4340">
        <w:rPr>
          <w:b/>
          <w:bCs/>
          <w:i/>
          <w:iCs/>
        </w:rPr>
        <w:t>de novo</w:t>
      </w:r>
      <w:r w:rsidRPr="009C4340">
        <w:rPr>
          <w:b/>
          <w:bCs/>
        </w:rPr>
        <w:t xml:space="preserve"> discovered pSmad1/5 and pSmad3 STREME motifs. </w:t>
      </w:r>
    </w:p>
    <w:p w14:paraId="76599093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>(a</w:t>
      </w:r>
      <w:r w:rsidRPr="009C4340">
        <w:t xml:space="preserve">, </w:t>
      </w:r>
      <w:r w:rsidRPr="009C4340">
        <w:rPr>
          <w:b/>
          <w:bCs/>
        </w:rPr>
        <w:t xml:space="preserve">b) </w:t>
      </w:r>
      <w:r w:rsidRPr="009C4340">
        <w:t>Motif comparison shows that the majority of the discovered pSmad1/5 (</w:t>
      </w:r>
      <w:r w:rsidRPr="009C4340">
        <w:rPr>
          <w:b/>
          <w:bCs/>
        </w:rPr>
        <w:t>a</w:t>
      </w:r>
      <w:r w:rsidRPr="009C4340">
        <w:t>, 8/10) and pSmad3 (</w:t>
      </w:r>
      <w:r w:rsidRPr="009C4340">
        <w:rPr>
          <w:b/>
          <w:bCs/>
        </w:rPr>
        <w:t>b</w:t>
      </w:r>
      <w:r w:rsidRPr="009C4340">
        <w:t xml:space="preserve">, 8/10) STREME motifs align with the SMAD1 motif in the Embryonic Stem Cell TFs (Chen2008) motif database. </w:t>
      </w:r>
      <w:r w:rsidRPr="009C4340">
        <w:rPr>
          <w:b/>
          <w:bCs/>
        </w:rPr>
        <w:t>(c)</w:t>
      </w:r>
      <w:r w:rsidRPr="009C4340">
        <w:t xml:space="preserve"> Screen snapshot shows the top 10 secondary motifs that potentially form TF complex with pSmad1/5 STREME motif 1.</w:t>
      </w:r>
    </w:p>
    <w:p w14:paraId="650C43D2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2292C933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 xml:space="preserve">Figure S4 to Figure 6. Disruption of atypical BMP signaling results in the failure of tooth sensory innervation in early developing molar tooth germs. </w:t>
      </w:r>
    </w:p>
    <w:p w14:paraId="743D714E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>(a</w:t>
      </w:r>
      <w:r w:rsidRPr="009C4340">
        <w:t>-</w:t>
      </w:r>
      <w:r w:rsidRPr="009C4340">
        <w:rPr>
          <w:b/>
          <w:bCs/>
        </w:rPr>
        <w:t xml:space="preserve">f) </w:t>
      </w:r>
      <w:r w:rsidRPr="009C4340">
        <w:t xml:space="preserve">Immunofluorescence staining of GFP (BRE) and 2H3 on E11.5 embryonic heads and mandibles after treatment with DMSO or SIS3 for 3 days in roller culture. SIS3 treatment induced ectopic </w:t>
      </w:r>
      <w:r w:rsidRPr="009C4340">
        <w:rPr>
          <w:i/>
          <w:iCs/>
        </w:rPr>
        <w:t>BRE-GFP</w:t>
      </w:r>
      <w:r w:rsidRPr="009C4340">
        <w:t xml:space="preserve"> activities (</w:t>
      </w:r>
      <w:r w:rsidRPr="009C4340">
        <w:rPr>
          <w:b/>
          <w:bCs/>
        </w:rPr>
        <w:t>a</w:t>
      </w:r>
      <w:r w:rsidRPr="009C4340">
        <w:t xml:space="preserve">, </w:t>
      </w:r>
      <w:r w:rsidRPr="009C4340">
        <w:rPr>
          <w:b/>
          <w:bCs/>
        </w:rPr>
        <w:t>b</w:t>
      </w:r>
      <w:r w:rsidRPr="009C4340">
        <w:t>) and abolished peripheral innervation of the trigeminal ganglion (</w:t>
      </w:r>
      <w:r w:rsidRPr="009C4340">
        <w:rPr>
          <w:b/>
          <w:bCs/>
        </w:rPr>
        <w:t>d</w:t>
      </w:r>
      <w:r w:rsidRPr="009C4340">
        <w:t>,</w:t>
      </w:r>
      <w:r w:rsidRPr="009C4340">
        <w:rPr>
          <w:b/>
          <w:bCs/>
        </w:rPr>
        <w:t xml:space="preserve"> </w:t>
      </w:r>
      <w:r w:rsidRPr="009C4340">
        <w:t xml:space="preserve">arrowheads), including tooth innervation, as manifested by the absence of the lingual nerve </w:t>
      </w:r>
      <w:r w:rsidRPr="009C4340">
        <w:lastRenderedPageBreak/>
        <w:t>adjacent to the molar tooth germs (</w:t>
      </w:r>
      <w:r w:rsidRPr="009C4340">
        <w:rPr>
          <w:b/>
          <w:bCs/>
        </w:rPr>
        <w:t>f</w:t>
      </w:r>
      <w:r w:rsidRPr="009C4340">
        <w:t>), compared to DMSO controls (</w:t>
      </w:r>
      <w:r w:rsidRPr="009C4340">
        <w:rPr>
          <w:b/>
          <w:bCs/>
        </w:rPr>
        <w:t>c</w:t>
      </w:r>
      <w:r w:rsidRPr="009C4340">
        <w:t xml:space="preserve">, </w:t>
      </w:r>
      <w:r w:rsidRPr="009C4340">
        <w:rPr>
          <w:b/>
          <w:bCs/>
        </w:rPr>
        <w:t>e</w:t>
      </w:r>
      <w:r w:rsidRPr="009C4340">
        <w:t>). (</w:t>
      </w:r>
      <w:r w:rsidRPr="009C4340">
        <w:rPr>
          <w:b/>
          <w:bCs/>
        </w:rPr>
        <w:t>g</w:t>
      </w:r>
      <w:r w:rsidRPr="009C4340">
        <w:t>-</w:t>
      </w:r>
      <w:r w:rsidRPr="009C4340">
        <w:rPr>
          <w:b/>
          <w:bCs/>
        </w:rPr>
        <w:t>j</w:t>
      </w:r>
      <w:r w:rsidRPr="009C4340">
        <w:t>) Immunofluorescence staining of 2H3 on the E12.5 (</w:t>
      </w:r>
      <w:r w:rsidRPr="009C4340">
        <w:rPr>
          <w:b/>
          <w:bCs/>
        </w:rPr>
        <w:t>g</w:t>
      </w:r>
      <w:r w:rsidRPr="009C4340">
        <w:t xml:space="preserve">, </w:t>
      </w:r>
      <w:r w:rsidRPr="009C4340">
        <w:rPr>
          <w:b/>
          <w:bCs/>
        </w:rPr>
        <w:t>h</w:t>
      </w:r>
      <w:r w:rsidRPr="009C4340">
        <w:t>) and E13.5 (</w:t>
      </w:r>
      <w:r w:rsidRPr="009C4340">
        <w:rPr>
          <w:b/>
          <w:bCs/>
        </w:rPr>
        <w:t>i</w:t>
      </w:r>
      <w:r w:rsidRPr="009C4340">
        <w:t xml:space="preserve">, </w:t>
      </w:r>
      <w:r w:rsidRPr="009C4340">
        <w:rPr>
          <w:b/>
          <w:bCs/>
        </w:rPr>
        <w:t>j</w:t>
      </w:r>
      <w:r w:rsidRPr="009C4340">
        <w:t xml:space="preserve">) </w:t>
      </w:r>
      <w:r w:rsidRPr="009C4340">
        <w:rPr>
          <w:i/>
          <w:iCs/>
        </w:rPr>
        <w:t>in vitro</w:t>
      </w:r>
      <w:r w:rsidRPr="009C4340">
        <w:t xml:space="preserve"> roller cultured mandibles after treatment with SIS3 for 3 days. SIS3 treatment completely disrupted tooth innervation at E12.5 and significantly reduced tooth innervation at E13.5. This is evident by the complete disappearance of the incisive nerve (</w:t>
      </w:r>
      <w:r w:rsidRPr="009C4340">
        <w:rPr>
          <w:b/>
          <w:bCs/>
        </w:rPr>
        <w:t>h</w:t>
      </w:r>
      <w:r w:rsidRPr="009C4340">
        <w:t>) and the shortened buccal and lingual nerves (</w:t>
      </w:r>
      <w:r w:rsidRPr="009C4340">
        <w:rPr>
          <w:b/>
          <w:bCs/>
        </w:rPr>
        <w:t>j</w:t>
      </w:r>
      <w:r w:rsidRPr="009C4340">
        <w:t>), compared to the intact nerves observed in DMSO-treated controls (</w:t>
      </w:r>
      <w:r w:rsidRPr="009C4340">
        <w:rPr>
          <w:b/>
          <w:bCs/>
        </w:rPr>
        <w:t>g</w:t>
      </w:r>
      <w:r w:rsidRPr="009C4340">
        <w:t xml:space="preserve">, </w:t>
      </w:r>
      <w:r w:rsidRPr="009C4340">
        <w:rPr>
          <w:b/>
          <w:bCs/>
        </w:rPr>
        <w:t>i</w:t>
      </w:r>
      <w:r w:rsidRPr="009C4340">
        <w:t>). (</w:t>
      </w:r>
      <w:r w:rsidRPr="009C4340">
        <w:rPr>
          <w:b/>
          <w:bCs/>
        </w:rPr>
        <w:t>k</w:t>
      </w:r>
      <w:r w:rsidRPr="009C4340">
        <w:t>-</w:t>
      </w:r>
      <w:r w:rsidRPr="009C4340">
        <w:rPr>
          <w:b/>
          <w:bCs/>
        </w:rPr>
        <w:t>l</w:t>
      </w:r>
      <w:r w:rsidRPr="009C4340">
        <w:t xml:space="preserve">) Bright views of the E13.5 </w:t>
      </w:r>
      <w:r w:rsidRPr="009C4340">
        <w:rPr>
          <w:i/>
          <w:iCs/>
        </w:rPr>
        <w:t xml:space="preserve">in vitro </w:t>
      </w:r>
      <w:r w:rsidRPr="009C4340">
        <w:t>roller cultured mandibles with DMSO (</w:t>
      </w:r>
      <w:r w:rsidRPr="009C4340">
        <w:rPr>
          <w:b/>
          <w:bCs/>
        </w:rPr>
        <w:t>k</w:t>
      </w:r>
      <w:r w:rsidRPr="009C4340">
        <w:t>) or SIS3 (</w:t>
      </w:r>
      <w:r w:rsidRPr="009C4340">
        <w:rPr>
          <w:b/>
          <w:bCs/>
        </w:rPr>
        <w:t>l</w:t>
      </w:r>
      <w:r w:rsidRPr="009C4340">
        <w:t>) treatment. TG, Trigeminal ganglion; M, Molar; I, Incisor; Scale bar, 300μm.</w:t>
      </w:r>
    </w:p>
    <w:p w14:paraId="7430BDFC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14:paraId="0CF5681B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>Figure S</w:t>
      </w:r>
      <w:r w:rsidRPr="009C4340">
        <w:rPr>
          <w:rFonts w:hint="eastAsia"/>
          <w:b/>
          <w:bCs/>
        </w:rPr>
        <w:t>5</w:t>
      </w:r>
      <w:r w:rsidRPr="009C4340">
        <w:rPr>
          <w:b/>
          <w:bCs/>
        </w:rPr>
        <w:t xml:space="preserve"> to Figure </w:t>
      </w:r>
      <w:r w:rsidRPr="009C4340">
        <w:rPr>
          <w:rFonts w:hint="eastAsia"/>
          <w:b/>
          <w:bCs/>
        </w:rPr>
        <w:t>8</w:t>
      </w:r>
      <w:r w:rsidRPr="009C4340">
        <w:rPr>
          <w:b/>
          <w:bCs/>
        </w:rPr>
        <w:t>.</w:t>
      </w:r>
      <w:r w:rsidRPr="009C4340">
        <w:t xml:space="preserve"> </w:t>
      </w:r>
      <w:r w:rsidRPr="009C4340">
        <w:rPr>
          <w:b/>
          <w:bCs/>
        </w:rPr>
        <w:t xml:space="preserve">Kidney </w:t>
      </w:r>
      <w:r w:rsidRPr="009C4340">
        <w:rPr>
          <w:rFonts w:hint="eastAsia"/>
          <w:b/>
          <w:bCs/>
        </w:rPr>
        <w:t xml:space="preserve">capsule </w:t>
      </w:r>
      <w:r w:rsidRPr="009C4340">
        <w:rPr>
          <w:b/>
          <w:bCs/>
        </w:rPr>
        <w:t>transplantation of tooth germs after disruption of atypical B</w:t>
      </w:r>
      <w:r w:rsidRPr="009C4340">
        <w:rPr>
          <w:rFonts w:hint="eastAsia"/>
          <w:b/>
          <w:bCs/>
        </w:rPr>
        <w:t>MP</w:t>
      </w:r>
      <w:r w:rsidRPr="009C4340">
        <w:rPr>
          <w:b/>
          <w:bCs/>
        </w:rPr>
        <w:t xml:space="preserve"> signaling with SB431542. </w:t>
      </w:r>
    </w:p>
    <w:p w14:paraId="3DA79B84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9C4340">
        <w:rPr>
          <w:b/>
          <w:bCs/>
        </w:rPr>
        <w:t>(a</w:t>
      </w:r>
      <w:r w:rsidRPr="009C4340">
        <w:t>-</w:t>
      </w:r>
      <w:r w:rsidRPr="009C4340">
        <w:rPr>
          <w:b/>
          <w:bCs/>
        </w:rPr>
        <w:t xml:space="preserve">d) </w:t>
      </w:r>
      <w:r w:rsidRPr="009C4340">
        <w:t xml:space="preserve">Kidney </w:t>
      </w:r>
      <w:r w:rsidRPr="009C4340">
        <w:rPr>
          <w:rFonts w:hint="eastAsia"/>
        </w:rPr>
        <w:t xml:space="preserve">capsule </w:t>
      </w:r>
      <w:r w:rsidRPr="009C4340">
        <w:t xml:space="preserve">transplantation of E13.5 tooth germs after treatment with </w:t>
      </w:r>
      <w:bookmarkStart w:id="0" w:name="_Hlk172525411"/>
      <w:r w:rsidRPr="009C4340">
        <w:t>SB431542</w:t>
      </w:r>
      <w:bookmarkEnd w:id="0"/>
      <w:r w:rsidRPr="009C4340">
        <w:t xml:space="preserve"> for 2 days shows normal tooth development (</w:t>
      </w:r>
      <w:r w:rsidRPr="009C4340">
        <w:rPr>
          <w:b/>
          <w:bCs/>
        </w:rPr>
        <w:t>d</w:t>
      </w:r>
      <w:r w:rsidRPr="009C4340">
        <w:t>) after disruption of atypical B</w:t>
      </w:r>
      <w:r w:rsidRPr="009C4340">
        <w:rPr>
          <w:rFonts w:hint="eastAsia"/>
        </w:rPr>
        <w:t>MP</w:t>
      </w:r>
      <w:r w:rsidRPr="009C4340">
        <w:t xml:space="preserve"> signaling (</w:t>
      </w:r>
      <w:r w:rsidRPr="009C4340">
        <w:rPr>
          <w:b/>
          <w:bCs/>
        </w:rPr>
        <w:t>c</w:t>
      </w:r>
      <w:r w:rsidRPr="009C4340">
        <w:t>), in comparison with DMSO treatment (</w:t>
      </w:r>
      <w:r w:rsidRPr="009C4340">
        <w:rPr>
          <w:b/>
          <w:bCs/>
        </w:rPr>
        <w:t>a</w:t>
      </w:r>
      <w:r w:rsidRPr="009C4340">
        <w:rPr>
          <w:rFonts w:hint="eastAsia"/>
        </w:rPr>
        <w:t xml:space="preserve">, </w:t>
      </w:r>
      <w:r w:rsidRPr="009C4340">
        <w:rPr>
          <w:b/>
          <w:bCs/>
        </w:rPr>
        <w:t>b</w:t>
      </w:r>
      <w:r w:rsidRPr="009C4340">
        <w:t xml:space="preserve">). n, number of biological replicates. Scale bars: </w:t>
      </w:r>
      <w:r w:rsidRPr="009C4340">
        <w:rPr>
          <w:b/>
          <w:bCs/>
        </w:rPr>
        <w:t>a</w:t>
      </w:r>
      <w:r w:rsidRPr="009C4340">
        <w:t xml:space="preserve">, </w:t>
      </w:r>
      <w:r w:rsidRPr="009C4340">
        <w:rPr>
          <w:b/>
          <w:bCs/>
        </w:rPr>
        <w:t>c</w:t>
      </w:r>
      <w:r w:rsidRPr="009C4340">
        <w:t xml:space="preserve">, 100μm; </w:t>
      </w:r>
      <w:r w:rsidRPr="009C4340">
        <w:rPr>
          <w:b/>
          <w:bCs/>
        </w:rPr>
        <w:t>b</w:t>
      </w:r>
      <w:r w:rsidRPr="009C4340">
        <w:t xml:space="preserve">, </w:t>
      </w:r>
      <w:r w:rsidRPr="009C4340">
        <w:rPr>
          <w:b/>
          <w:bCs/>
        </w:rPr>
        <w:t>d</w:t>
      </w:r>
      <w:r w:rsidRPr="009C4340">
        <w:t>, 200μm.</w:t>
      </w:r>
    </w:p>
    <w:p w14:paraId="6205EA46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17F958AC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9C4340">
        <w:rPr>
          <w:b/>
          <w:bCs/>
        </w:rPr>
        <w:t xml:space="preserve">Figure S6 to Figure </w:t>
      </w:r>
      <w:r w:rsidRPr="009C4340">
        <w:rPr>
          <w:rFonts w:hint="eastAsia"/>
          <w:b/>
          <w:bCs/>
        </w:rPr>
        <w:t>8</w:t>
      </w:r>
      <w:r w:rsidRPr="009C4340">
        <w:rPr>
          <w:b/>
          <w:bCs/>
        </w:rPr>
        <w:t>. Identification of the atypical B</w:t>
      </w:r>
      <w:r w:rsidRPr="009C4340">
        <w:rPr>
          <w:rFonts w:hint="eastAsia"/>
          <w:b/>
          <w:bCs/>
        </w:rPr>
        <w:t>MP</w:t>
      </w:r>
      <w:r w:rsidRPr="009C4340">
        <w:rPr>
          <w:b/>
          <w:bCs/>
        </w:rPr>
        <w:t xml:space="preserve"> signaling directly regulated genes that are potentially </w:t>
      </w:r>
      <w:r w:rsidRPr="009C4340">
        <w:rPr>
          <w:rFonts w:hint="eastAsia"/>
          <w:b/>
          <w:bCs/>
        </w:rPr>
        <w:t>crucial</w:t>
      </w:r>
      <w:r w:rsidRPr="009C4340">
        <w:rPr>
          <w:b/>
          <w:bCs/>
        </w:rPr>
        <w:t xml:space="preserve"> for maintaining odontogenic inductive potential in dental mesenchyme. (a) </w:t>
      </w:r>
      <w:r w:rsidRPr="009C4340">
        <w:t>Hierarchical clustering heatmap shows</w:t>
      </w:r>
      <w:r w:rsidRPr="009C4340">
        <w:rPr>
          <w:b/>
          <w:bCs/>
        </w:rPr>
        <w:t xml:space="preserve"> </w:t>
      </w:r>
      <w:r w:rsidRPr="009C4340">
        <w:t>similarity of</w:t>
      </w:r>
      <w:r w:rsidRPr="009C4340">
        <w:rPr>
          <w:b/>
          <w:bCs/>
        </w:rPr>
        <w:t xml:space="preserve"> </w:t>
      </w:r>
      <w:r w:rsidRPr="009C4340">
        <w:t xml:space="preserve">RNA-seq replicates performed on </w:t>
      </w:r>
      <w:r w:rsidRPr="009C4340">
        <w:rPr>
          <w:i/>
          <w:iCs/>
        </w:rPr>
        <w:t>in vitro</w:t>
      </w:r>
      <w:r w:rsidRPr="009C4340">
        <w:t xml:space="preserve"> cultured E12.5 and E13.5 tooth germs with DMSO (E12_con and E13_con) or SB431542 (E12_SB) treatment for 1 day. </w:t>
      </w:r>
      <w:r w:rsidRPr="009C4340">
        <w:rPr>
          <w:b/>
          <w:bCs/>
        </w:rPr>
        <w:t xml:space="preserve">(b) </w:t>
      </w:r>
      <w:r w:rsidRPr="009C4340">
        <w:t>Venn diagram</w:t>
      </w:r>
      <w:r w:rsidRPr="009C4340">
        <w:rPr>
          <w:b/>
          <w:bCs/>
        </w:rPr>
        <w:t xml:space="preserve"> </w:t>
      </w:r>
      <w:r w:rsidRPr="009C4340">
        <w:t>displays the number of overlapped genes between significant stage DEGs (E13_vs_E12_DEGs), SB431542 treatment induced significant DEGs (E12_SB_DEGs) and the atypical BMP-pSmad1/5 signaling directly targeted genes (pSmad15_bound_genes). There are 611 stage DEGs that are directly regulated by atypical BMP signaling after SB431542 treatment. (</w:t>
      </w:r>
      <w:r w:rsidRPr="009C4340">
        <w:rPr>
          <w:b/>
          <w:bCs/>
        </w:rPr>
        <w:t>c</w:t>
      </w:r>
      <w:r w:rsidRPr="009C4340">
        <w:t>) Hierarchical clustering on enriched terms of the above 611 genes shows their association with mesenchymal development and the Wnt signaling. (</w:t>
      </w:r>
      <w:r w:rsidRPr="009C4340">
        <w:rPr>
          <w:b/>
          <w:bCs/>
        </w:rPr>
        <w:t>d</w:t>
      </w:r>
      <w:r w:rsidRPr="009C4340">
        <w:t>) Heatplot showing genes that are classified into odontogenesis- and mesenchymal development-related biological processes from the 611 genes. (</w:t>
      </w:r>
      <w:r w:rsidRPr="009C4340">
        <w:rPr>
          <w:b/>
          <w:bCs/>
        </w:rPr>
        <w:t>e</w:t>
      </w:r>
      <w:r w:rsidRPr="009C4340">
        <w:t>-</w:t>
      </w:r>
      <w:r w:rsidRPr="009C4340">
        <w:rPr>
          <w:b/>
          <w:bCs/>
        </w:rPr>
        <w:t>g</w:t>
      </w:r>
      <w:r w:rsidRPr="009C4340">
        <w:t>) UCSC genome browser visualization of Cut&amp;Run and RNA-seq signals for the representative genes that are directly regulated by atypical BMP-pSmad1/5 signaling. Atypical BMP signaling regulates genes in three different ways: pSmad1/5 binding alone (</w:t>
      </w:r>
      <w:r w:rsidRPr="009C4340">
        <w:rPr>
          <w:b/>
          <w:bCs/>
        </w:rPr>
        <w:t>e</w:t>
      </w:r>
      <w:r w:rsidRPr="009C4340">
        <w:t>), pSmad1/5 binding with pSmad3 but not on the same position (</w:t>
      </w:r>
      <w:r w:rsidRPr="009C4340">
        <w:rPr>
          <w:b/>
          <w:bCs/>
        </w:rPr>
        <w:t>f</w:t>
      </w:r>
      <w:r w:rsidRPr="009C4340">
        <w:t xml:space="preserve">), and </w:t>
      </w:r>
      <w:r w:rsidRPr="009C4340">
        <w:lastRenderedPageBreak/>
        <w:t>pSmad1/5 co-binding with pSmad3 in the same genomic locus (</w:t>
      </w:r>
      <w:r w:rsidRPr="009C4340">
        <w:rPr>
          <w:b/>
          <w:bCs/>
        </w:rPr>
        <w:t>g</w:t>
      </w:r>
      <w:r w:rsidRPr="009C4340">
        <w:t>).</w:t>
      </w:r>
    </w:p>
    <w:p w14:paraId="53CB7EC6" w14:textId="77777777" w:rsidR="001D348D" w:rsidRPr="009C4340" w:rsidRDefault="001D348D" w:rsidP="001D348D">
      <w:pPr>
        <w:widowControl w:val="0"/>
        <w:autoSpaceDE w:val="0"/>
        <w:autoSpaceDN w:val="0"/>
        <w:adjustRightInd w:val="0"/>
        <w:spacing w:line="360" w:lineRule="auto"/>
        <w:jc w:val="both"/>
      </w:pPr>
    </w:p>
    <w:p w14:paraId="480F0868" w14:textId="77777777" w:rsidR="00755780" w:rsidRDefault="00755780"/>
    <w:sectPr w:rsidR="00755780" w:rsidSect="001D348D">
      <w:footerReference w:type="default" r:id="rId4"/>
      <w:pgSz w:w="12240" w:h="15840"/>
      <w:pgMar w:top="1440" w:right="1440" w:bottom="1440" w:left="1440" w:header="720" w:footer="720" w:gutter="0"/>
      <w:lnNumType w:countBy="1"/>
      <w:pgNumType w:fmt="numberInDash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906671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CB45ED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466053" w14:textId="77777777" w:rsidR="00000000" w:rsidRPr="00626731" w:rsidRDefault="00000000" w:rsidP="00626731">
    <w:pPr>
      <w:pStyle w:val="Footer"/>
      <w:tabs>
        <w:tab w:val="clear" w:pos="4153"/>
        <w:tab w:val="clear" w:pos="8306"/>
        <w:tab w:val="center" w:pos="4680"/>
      </w:tabs>
      <w:rPr>
        <w:rFonts w:eastAsiaTheme="minor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48D"/>
    <w:rsid w:val="001D348D"/>
    <w:rsid w:val="00331A6B"/>
    <w:rsid w:val="00755780"/>
    <w:rsid w:val="00857596"/>
    <w:rsid w:val="00F2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A7BC1"/>
  <w15:chartTrackingRefBased/>
  <w15:docId w15:val="{7E90AD8F-2D53-4131-BD99-7E58BBE09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48D"/>
    <w:pPr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48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48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48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48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48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48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48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48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48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4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4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4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4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4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4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4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3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48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3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48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34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48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34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4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4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48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1D348D"/>
    <w:pPr>
      <w:tabs>
        <w:tab w:val="center" w:pos="4153"/>
        <w:tab w:val="right" w:pos="8306"/>
      </w:tabs>
      <w:snapToGrid w:val="0"/>
    </w:pPr>
    <w:rPr>
      <w:rFonts w:eastAsia="Times New Roman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1D348D"/>
    <w:rPr>
      <w:rFonts w:ascii="Times New Roman" w:eastAsia="Times New Roman" w:hAnsi="Times New Roman" w:cs="Times New Roman"/>
      <w:kern w:val="0"/>
      <w:sz w:val="18"/>
      <w:szCs w:val="24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D34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719</Words>
  <Characters>4099</Characters>
  <Application>Microsoft Office Word</Application>
  <DocSecurity>0</DocSecurity>
  <Lines>34</Lines>
  <Paragraphs>9</Paragraphs>
  <ScaleCrop>false</ScaleCrop>
  <Company>Springer Nature</Company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2024-11-05T07:33:00Z</dcterms:created>
  <dcterms:modified xsi:type="dcterms:W3CDTF">2024-11-05T07:34:00Z</dcterms:modified>
</cp:coreProperties>
</file>