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 xml:space="preserve">Additional File : </w:t>
      </w:r>
      <w:r>
        <w:rPr>
          <w:rFonts w:hint="eastAsia" w:cs="Times New Roman"/>
          <w:b/>
          <w:bCs/>
          <w:szCs w:val="21"/>
          <w:lang w:val="en-US" w:eastAsia="zh-CN"/>
        </w:rPr>
        <w:t>completed a</w:t>
      </w:r>
      <w:r>
        <w:rPr>
          <w:rFonts w:hint="eastAsia" w:ascii="Times New Roman" w:hAnsi="Times New Roman" w:cs="Times New Roman"/>
          <w:b/>
          <w:bCs/>
          <w:szCs w:val="21"/>
          <w:lang w:val="en-US" w:eastAsia="zh-CN"/>
        </w:rPr>
        <w:t>rrive checklist</w:t>
      </w:r>
      <w:bookmarkStart w:id="0" w:name="_GoBack"/>
      <w:bookmarkEnd w:id="0"/>
    </w:p>
    <w:p>
      <w:pPr>
        <w:numPr>
          <w:ilvl w:val="0"/>
          <w:numId w:val="1"/>
        </w:numPr>
        <w:spacing w:line="360" w:lineRule="auto"/>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Study design</w:t>
      </w:r>
    </w:p>
    <w:p>
      <w:pPr>
        <w:spacing w:line="360" w:lineRule="auto"/>
        <w:rPr>
          <w:rFonts w:hint="eastAsia"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Methods, paragraph 1</w:t>
      </w:r>
    </w:p>
    <w:p>
      <w:pPr>
        <w:numPr>
          <w:ilvl w:val="0"/>
          <w:numId w:val="0"/>
        </w:numPr>
        <w:spacing w:line="360" w:lineRule="auto"/>
        <w:rPr>
          <w:rFonts w:hint="default" w:ascii="Times New Roman" w:hAnsi="Times New Roman" w:cs="Times New Roman"/>
          <w:bCs/>
          <w:sz w:val="24"/>
          <w:szCs w:val="24"/>
        </w:rPr>
      </w:pPr>
      <w:r>
        <w:rPr>
          <w:rFonts w:hint="eastAsia" w:ascii="Times New Roman" w:hAnsi="Times New Roman" w:cs="Times New Roman"/>
          <w:bCs/>
          <w:sz w:val="24"/>
          <w:szCs w:val="24"/>
          <w:lang w:val="en-US" w:eastAsia="zh-CN"/>
        </w:rPr>
        <w:t>T</w:t>
      </w:r>
      <w:r>
        <w:rPr>
          <w:rFonts w:hint="default" w:ascii="Times New Roman" w:hAnsi="Times New Roman" w:cs="Times New Roman"/>
          <w:bCs/>
          <w:sz w:val="24"/>
          <w:szCs w:val="24"/>
        </w:rPr>
        <w:t xml:space="preserve">housands of juvenile turtles in similar size of approximately 340 g were </w:t>
      </w:r>
      <w:r>
        <w:rPr>
          <w:rFonts w:hint="eastAsia" w:ascii="Times New Roman" w:hAnsi="Times New Roman" w:cs="Times New Roman"/>
          <w:bCs/>
          <w:sz w:val="24"/>
          <w:szCs w:val="24"/>
          <w:lang w:val="en-US" w:eastAsia="zh-CN"/>
        </w:rPr>
        <w:t xml:space="preserve">purchased and </w:t>
      </w:r>
      <w:r>
        <w:rPr>
          <w:rFonts w:hint="default" w:ascii="Times New Roman" w:hAnsi="Times New Roman" w:cs="Times New Roman"/>
          <w:bCs/>
          <w:sz w:val="24"/>
          <w:szCs w:val="24"/>
        </w:rPr>
        <w:t>randomly divided into three groups that allocated to different experimental culture habitats as follows.</w:t>
      </w:r>
      <w:r>
        <w:rPr>
          <w:rFonts w:hint="eastAsia" w:ascii="Times New Roman" w:hAnsi="Times New Roman" w:cs="Times New Roman"/>
          <w:bCs/>
          <w:sz w:val="24"/>
          <w:szCs w:val="24"/>
          <w:lang w:val="en-US" w:eastAsia="zh-CN"/>
        </w:rPr>
        <w:t xml:space="preserve"> </w:t>
      </w:r>
      <w:r>
        <w:rPr>
          <w:rFonts w:hint="default" w:ascii="Times New Roman" w:hAnsi="Times New Roman" w:cs="Times New Roman"/>
          <w:bCs/>
          <w:sz w:val="24"/>
          <w:szCs w:val="24"/>
        </w:rPr>
        <w:t>Natural Lake (L): Bohu Lake was located in Anqing, Anhui Province, China (E116°22′, N30°13′), which belonged to the Yangtze River basin. It covered 217 km</w:t>
      </w:r>
      <w:r>
        <w:rPr>
          <w:rFonts w:hint="default" w:ascii="Times New Roman" w:hAnsi="Times New Roman" w:cs="Times New Roman"/>
          <w:bCs/>
          <w:sz w:val="24"/>
          <w:szCs w:val="24"/>
          <w:vertAlign w:val="superscript"/>
        </w:rPr>
        <w:t>2</w:t>
      </w:r>
      <w:r>
        <w:rPr>
          <w:rFonts w:hint="default" w:ascii="Times New Roman" w:hAnsi="Times New Roman" w:cs="Times New Roman"/>
          <w:bCs/>
          <w:sz w:val="24"/>
          <w:szCs w:val="24"/>
        </w:rPr>
        <w:t xml:space="preserve"> and the average water depth was about 3.5 m during July to October. It was abundant in fish, shellfish and other aquatic species. Two thousand marked turtles were released to the lake and no artificial feeds were provided. The artificial releasing would be conducive to the recovery of wild turtle population.</w:t>
      </w:r>
      <w:r>
        <w:rPr>
          <w:rFonts w:hint="eastAsia" w:ascii="Times New Roman" w:hAnsi="Times New Roman" w:cs="Times New Roman"/>
          <w:bCs/>
          <w:sz w:val="24"/>
          <w:szCs w:val="24"/>
          <w:lang w:val="en-US" w:eastAsia="zh-CN"/>
        </w:rPr>
        <w:t xml:space="preserve"> </w:t>
      </w:r>
      <w:r>
        <w:rPr>
          <w:rFonts w:hint="default" w:ascii="Times New Roman" w:hAnsi="Times New Roman" w:cs="Times New Roman"/>
          <w:bCs/>
          <w:sz w:val="24"/>
          <w:szCs w:val="24"/>
        </w:rPr>
        <w:t>Artificial Pond (P): The quadrate artificial ponds equipped with feeding and basking facilities was located in a standard aquafarm (116°54′E, 30°28′N, Xijiang Aquaculture co. LTD, Anhui, China). The experimental ponds were about 2000 m</w:t>
      </w:r>
      <w:r>
        <w:rPr>
          <w:rFonts w:hint="default" w:ascii="Times New Roman" w:hAnsi="Times New Roman" w:cs="Times New Roman"/>
          <w:bCs/>
          <w:sz w:val="24"/>
          <w:szCs w:val="24"/>
          <w:vertAlign w:val="superscript"/>
        </w:rPr>
        <w:t>2</w:t>
      </w:r>
      <w:r>
        <w:rPr>
          <w:rFonts w:hint="default" w:ascii="Times New Roman" w:hAnsi="Times New Roman" w:cs="Times New Roman"/>
          <w:bCs/>
          <w:sz w:val="24"/>
          <w:szCs w:val="24"/>
        </w:rPr>
        <w:t xml:space="preserve"> and 1.5 m deep. One thousand turtles were allocated to the pond. The turtles were fed with commercial feed which contained 43% crude protein (Haihuang, Hangzhou, China) twice daily at 09:00 AM and 16:00 PM, respectively.</w:t>
      </w:r>
      <w:r>
        <w:rPr>
          <w:rFonts w:hint="eastAsia" w:ascii="Times New Roman" w:hAnsi="Times New Roman" w:cs="Times New Roman"/>
          <w:bCs/>
          <w:sz w:val="24"/>
          <w:szCs w:val="24"/>
          <w:lang w:val="en-US" w:eastAsia="zh-CN"/>
        </w:rPr>
        <w:t xml:space="preserve"> </w:t>
      </w:r>
      <w:r>
        <w:rPr>
          <w:rFonts w:hint="default" w:ascii="Times New Roman" w:hAnsi="Times New Roman" w:cs="Times New Roman"/>
          <w:bCs/>
          <w:sz w:val="24"/>
          <w:szCs w:val="24"/>
        </w:rPr>
        <w:t>Paddy Field (F): The experimental paddy fields (E116°21′, N30°18′) were about 2000 m</w:t>
      </w:r>
      <w:r>
        <w:rPr>
          <w:rFonts w:hint="default" w:ascii="Times New Roman" w:hAnsi="Times New Roman" w:cs="Times New Roman"/>
          <w:bCs/>
          <w:sz w:val="24"/>
          <w:szCs w:val="24"/>
          <w:vertAlign w:val="superscript"/>
        </w:rPr>
        <w:t>2</w:t>
      </w:r>
      <w:r>
        <w:rPr>
          <w:rFonts w:hint="default" w:ascii="Times New Roman" w:hAnsi="Times New Roman" w:cs="Times New Roman"/>
          <w:bCs/>
          <w:sz w:val="24"/>
          <w:szCs w:val="24"/>
        </w:rPr>
        <w:t xml:space="preserve"> and surrounded by facilities to prevent escape. It was modified for turtle cultivation with a 200 m</w:t>
      </w:r>
      <w:r>
        <w:rPr>
          <w:rFonts w:hint="default" w:ascii="Times New Roman" w:hAnsi="Times New Roman" w:cs="Times New Roman"/>
          <w:bCs/>
          <w:sz w:val="24"/>
          <w:szCs w:val="24"/>
          <w:vertAlign w:val="superscript"/>
        </w:rPr>
        <w:t>2</w:t>
      </w:r>
      <w:r>
        <w:rPr>
          <w:rFonts w:hint="default" w:ascii="Times New Roman" w:hAnsi="Times New Roman" w:cs="Times New Roman"/>
          <w:bCs/>
          <w:sz w:val="24"/>
          <w:szCs w:val="24"/>
        </w:rPr>
        <w:t xml:space="preserve"> pond (1.5m deep), which was about 10% of the total field area. Two hundred turtles were allocated to each paddy field. The turtles were fed with commercial feed twice a day same as ponds.</w:t>
      </w:r>
    </w:p>
    <w:p>
      <w:pPr>
        <w:numPr>
          <w:ilvl w:val="0"/>
          <w:numId w:val="1"/>
        </w:numPr>
        <w:spacing w:line="360" w:lineRule="auto"/>
        <w:ind w:left="0" w:leftChars="0" w:firstLine="0" w:firstLineChars="0"/>
        <w:rPr>
          <w:rFonts w:hint="default"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Sample size</w:t>
      </w:r>
    </w:p>
    <w:p>
      <w:pPr>
        <w:spacing w:line="360" w:lineRule="auto"/>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R</w:t>
      </w:r>
      <w:r>
        <w:rPr>
          <w:rFonts w:hint="eastAsia" w:ascii="Times New Roman" w:hAnsi="Times New Roman" w:cs="Times New Roman"/>
          <w:bCs/>
          <w:sz w:val="24"/>
          <w:szCs w:val="24"/>
          <w:lang w:val="en-US" w:eastAsia="zh-CN"/>
        </w:rPr>
        <w:t xml:space="preserve">esults paragraph 1. </w:t>
      </w:r>
    </w:p>
    <w:p>
      <w:pPr>
        <w:spacing w:line="360" w:lineRule="auto"/>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 xml:space="preserve">Grouping details </w:t>
      </w:r>
      <w:r>
        <w:rPr>
          <w:rFonts w:hint="eastAsia" w:ascii="Times New Roman" w:hAnsi="Times New Roman" w:cs="Times New Roman"/>
          <w:bCs/>
          <w:sz w:val="24"/>
          <w:szCs w:val="24"/>
          <w:lang w:val="en-US" w:eastAsia="zh-CN"/>
        </w:rPr>
        <w:t xml:space="preserve">were listed in Table 2 and and every three individuals were collected for each group sample size, there was no samples from lake habitats at 120d because no </w:t>
      </w:r>
      <w:r>
        <w:rPr>
          <w:rFonts w:hint="default" w:ascii="Times New Roman" w:hAnsi="Times New Roman" w:cs="Times New Roman"/>
          <w:bCs/>
          <w:sz w:val="24"/>
          <w:szCs w:val="24"/>
        </w:rPr>
        <w:t>marked turtles were recaptured at 120d</w:t>
      </w:r>
      <w:r>
        <w:rPr>
          <w:rFonts w:hint="eastAsia" w:ascii="Times New Roman" w:hAnsi="Times New Roman" w:cs="Times New Roman"/>
          <w:bCs/>
          <w:sz w:val="24"/>
          <w:szCs w:val="24"/>
          <w:lang w:val="en-US" w:eastAsia="zh-CN"/>
        </w:rPr>
        <w:t xml:space="preserve"> from lake. We selected a small sample size for turtle resource protection purpose and the difficult in sample collection from nature lake, and the differences on growth, physiology and gut microbiota were distinct among different groups.</w:t>
      </w:r>
    </w:p>
    <w:tbl>
      <w:tblPr>
        <w:tblStyle w:val="3"/>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13"/>
        <w:gridCol w:w="1585"/>
        <w:gridCol w:w="1327"/>
        <w:gridCol w:w="1437"/>
        <w:gridCol w:w="143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bottom w:val="single" w:color="000000" w:sz="4" w:space="0"/>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Groups</w:t>
            </w:r>
          </w:p>
        </w:tc>
        <w:tc>
          <w:tcPr>
            <w:tcW w:w="1585" w:type="dxa"/>
            <w:tcBorders>
              <w:bottom w:val="single" w:color="000000" w:sz="4" w:space="0"/>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Living habitats</w:t>
            </w:r>
          </w:p>
        </w:tc>
        <w:tc>
          <w:tcPr>
            <w:tcW w:w="1327" w:type="dxa"/>
            <w:tcBorders>
              <w:bottom w:val="single" w:color="000000" w:sz="4" w:space="0"/>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Cultured days</w:t>
            </w:r>
          </w:p>
        </w:tc>
        <w:tc>
          <w:tcPr>
            <w:tcW w:w="1437" w:type="dxa"/>
            <w:tcBorders>
              <w:bottom w:val="single" w:color="000000" w:sz="4" w:space="0"/>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Sampled gut segment</w:t>
            </w:r>
          </w:p>
        </w:tc>
        <w:tc>
          <w:tcPr>
            <w:tcW w:w="1437" w:type="dxa"/>
            <w:tcBorders>
              <w:bottom w:val="single" w:color="000000" w:sz="4" w:space="0"/>
              <w:tl2br w:val="nil"/>
              <w:tr2bl w:val="nil"/>
            </w:tcBorders>
            <w:noWrap w:val="0"/>
            <w:vAlign w:val="center"/>
          </w:tcPr>
          <w:p>
            <w:pPr>
              <w:widowControl/>
              <w:jc w:val="center"/>
              <w:rPr>
                <w:rFonts w:hint="default"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op w:val="single" w:color="000000" w:sz="4" w:space="0"/>
              <w:tl2br w:val="nil"/>
              <w:tr2bl w:val="nil"/>
            </w:tcBorders>
            <w:noWrap w:val="0"/>
            <w:vAlign w:val="center"/>
          </w:tcPr>
          <w:p>
            <w:pPr>
              <w:widowControl/>
              <w:jc w:val="center"/>
              <w:rPr>
                <w:rFonts w:hint="default" w:ascii="Times New Roman" w:hAnsi="Times New Roman" w:eastAsia="等线" w:cs="Times New Roman"/>
                <w:color w:val="000000"/>
                <w:szCs w:val="21"/>
                <w:lang w:val="en-US" w:eastAsia="zh-CN"/>
              </w:rPr>
            </w:pPr>
            <w:r>
              <w:rPr>
                <w:rFonts w:hint="default" w:ascii="Times New Roman" w:hAnsi="Times New Roman" w:cs="Times New Roman"/>
                <w:color w:val="000000"/>
                <w:szCs w:val="21"/>
                <w:lang w:val="en-US" w:eastAsia="zh-CN"/>
              </w:rPr>
              <w:t>IF</w:t>
            </w:r>
          </w:p>
        </w:tc>
        <w:tc>
          <w:tcPr>
            <w:tcW w:w="1585" w:type="dxa"/>
            <w:tcBorders>
              <w:top w:val="single" w:color="000000" w:sz="4" w:space="0"/>
              <w:tl2br w:val="nil"/>
              <w:tr2bl w:val="nil"/>
            </w:tcBorders>
            <w:noWrap w:val="0"/>
            <w:vAlign w:val="center"/>
          </w:tcPr>
          <w:p>
            <w:pPr>
              <w:widowControl/>
              <w:jc w:val="center"/>
              <w:rPr>
                <w:rFonts w:hint="default" w:ascii="Times New Roman" w:hAnsi="Times New Roman" w:eastAsia="等线" w:cs="Times New Roman"/>
                <w:color w:val="000000"/>
                <w:szCs w:val="21"/>
                <w:lang w:val="en-US" w:eastAsia="zh-CN"/>
              </w:rPr>
            </w:pPr>
            <w:r>
              <w:rPr>
                <w:rFonts w:hint="default" w:ascii="Times New Roman" w:hAnsi="Times New Roman" w:cs="Times New Roman"/>
                <w:color w:val="000000"/>
                <w:szCs w:val="21"/>
                <w:lang w:val="en-US" w:eastAsia="zh-CN"/>
              </w:rPr>
              <w:t>Greenhouse</w:t>
            </w:r>
          </w:p>
        </w:tc>
        <w:tc>
          <w:tcPr>
            <w:tcW w:w="1327" w:type="dxa"/>
            <w:tcBorders>
              <w:top w:val="single" w:color="000000" w:sz="4" w:space="0"/>
              <w:tl2br w:val="nil"/>
              <w:tr2bl w:val="nil"/>
            </w:tcBorders>
            <w:noWrap w:val="0"/>
            <w:vAlign w:val="center"/>
          </w:tcPr>
          <w:p>
            <w:pPr>
              <w:widowControl/>
              <w:jc w:val="center"/>
              <w:rPr>
                <w:rFonts w:hint="default" w:ascii="Times New Roman" w:hAnsi="Times New Roman" w:eastAsia="等线" w:cs="Times New Roman"/>
                <w:color w:val="000000"/>
                <w:szCs w:val="21"/>
                <w:lang w:val="en-US" w:eastAsia="zh-CN"/>
              </w:rPr>
            </w:pPr>
            <w:r>
              <w:rPr>
                <w:rFonts w:hint="default" w:ascii="Times New Roman" w:hAnsi="Times New Roman" w:cs="Times New Roman"/>
                <w:color w:val="000000"/>
                <w:szCs w:val="21"/>
                <w:lang w:val="en-US" w:eastAsia="zh-CN"/>
              </w:rPr>
              <w:t>0d</w:t>
            </w:r>
          </w:p>
        </w:tc>
        <w:tc>
          <w:tcPr>
            <w:tcW w:w="1437" w:type="dxa"/>
            <w:tcBorders>
              <w:top w:val="single" w:color="000000" w:sz="4" w:space="0"/>
              <w:tl2br w:val="nil"/>
              <w:tr2bl w:val="nil"/>
            </w:tcBorders>
            <w:noWrap w:val="0"/>
            <w:vAlign w:val="center"/>
          </w:tcPr>
          <w:p>
            <w:pPr>
              <w:widowControl/>
              <w:jc w:val="center"/>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szCs w:val="21"/>
              </w:rPr>
              <w:t>Gastric area</w:t>
            </w:r>
          </w:p>
        </w:tc>
        <w:tc>
          <w:tcPr>
            <w:tcW w:w="1437" w:type="dxa"/>
            <w:tcBorders>
              <w:top w:val="single" w:color="000000" w:sz="4" w:space="0"/>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eastAsia="等线" w:cs="Times New Roman"/>
                <w:color w:val="000000"/>
                <w:szCs w:val="21"/>
                <w:lang w:val="en-US" w:eastAsia="zh-CN"/>
              </w:rPr>
            </w:pPr>
            <w:r>
              <w:rPr>
                <w:rFonts w:hint="default" w:ascii="Times New Roman" w:hAnsi="Times New Roman" w:cs="Times New Roman"/>
                <w:color w:val="000000"/>
                <w:szCs w:val="21"/>
                <w:lang w:val="en-US" w:eastAsia="zh-CN"/>
              </w:rPr>
              <w:t>IL</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Greenhouse</w:t>
            </w:r>
          </w:p>
        </w:tc>
        <w:tc>
          <w:tcPr>
            <w:tcW w:w="1327" w:type="dxa"/>
            <w:tcBorders>
              <w:tl2br w:val="nil"/>
              <w:tr2bl w:val="nil"/>
            </w:tcBorders>
            <w:noWrap w:val="0"/>
            <w:vAlign w:val="center"/>
          </w:tcPr>
          <w:p>
            <w:pPr>
              <w:widowControl/>
              <w:jc w:val="center"/>
              <w:rPr>
                <w:rFonts w:hint="default" w:ascii="Times New Roman" w:hAnsi="Times New Roman" w:eastAsia="等线" w:cs="Times New Roman"/>
                <w:color w:val="000000"/>
                <w:szCs w:val="21"/>
                <w:lang w:val="en-US" w:eastAsia="zh-CN"/>
              </w:rPr>
            </w:pPr>
            <w:r>
              <w:rPr>
                <w:rFonts w:hint="default" w:ascii="Times New Roman" w:hAnsi="Times New Roman" w:cs="Times New Roman"/>
                <w:color w:val="000000"/>
                <w:szCs w:val="21"/>
                <w:lang w:val="en-US" w:eastAsia="zh-CN"/>
              </w:rPr>
              <w:t>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 w:val="21"/>
                <w:szCs w:val="21"/>
                <w:lang w:val="en-US" w:eastAsia="zh-CN" w:bidi="ar-SA"/>
              </w:rPr>
            </w:pPr>
            <w:r>
              <w:rPr>
                <w:rFonts w:hint="default" w:ascii="Times New Roman" w:hAnsi="Times New Roman" w:cs="Times New Roman"/>
                <w:color w:val="000000"/>
                <w:szCs w:val="21"/>
              </w:rPr>
              <w:t>Rectum</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F1F</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Paddy Field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60d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Gastric area</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F1L</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Paddy Field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60d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Rectum</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F2F</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Paddy Field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120d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Gastric area</w:t>
            </w:r>
          </w:p>
        </w:tc>
        <w:tc>
          <w:tcPr>
            <w:tcW w:w="1437" w:type="dxa"/>
            <w:tcBorders>
              <w:tl2br w:val="nil"/>
              <w:tr2bl w:val="nil"/>
            </w:tcBorders>
            <w:noWrap w:val="0"/>
            <w:vAlign w:val="center"/>
          </w:tcPr>
          <w:p>
            <w:pPr>
              <w:widowControl/>
              <w:jc w:val="center"/>
              <w:rPr>
                <w:rFonts w:hint="default"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F2L</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Paddy Field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120d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Rectum</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P1F</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Artificial Pond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60d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Gastric area</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P1L</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Artificial Pond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60d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Rectum</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P2F</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Artificial Pond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120d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Gastric area</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P2L</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Artificial Pond</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120d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Rectum</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L1F</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Natural Lake</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60d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Gastric area</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13"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L1L</w:t>
            </w:r>
          </w:p>
        </w:tc>
        <w:tc>
          <w:tcPr>
            <w:tcW w:w="1585"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Natural Lake</w:t>
            </w:r>
          </w:p>
        </w:tc>
        <w:tc>
          <w:tcPr>
            <w:tcW w:w="132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60d</w:t>
            </w:r>
          </w:p>
        </w:tc>
        <w:tc>
          <w:tcPr>
            <w:tcW w:w="1437" w:type="dxa"/>
            <w:tcBorders>
              <w:tl2br w:val="nil"/>
              <w:tr2bl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szCs w:val="21"/>
              </w:rPr>
              <w:t>Rectum</w:t>
            </w:r>
          </w:p>
        </w:tc>
        <w:tc>
          <w:tcPr>
            <w:tcW w:w="1437" w:type="dxa"/>
            <w:tcBorders>
              <w:tl2br w:val="nil"/>
              <w:tr2bl w:val="nil"/>
            </w:tcBorders>
            <w:noWrap w:val="0"/>
            <w:vAlign w:val="center"/>
          </w:tcPr>
          <w:p>
            <w:pPr>
              <w:widowControl/>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3</w:t>
            </w:r>
          </w:p>
        </w:tc>
      </w:tr>
    </w:tbl>
    <w:p>
      <w:pPr>
        <w:numPr>
          <w:ilvl w:val="0"/>
          <w:numId w:val="0"/>
        </w:numPr>
        <w:spacing w:line="360" w:lineRule="auto"/>
        <w:ind w:leftChars="0"/>
        <w:rPr>
          <w:rFonts w:hint="default" w:ascii="Times New Roman" w:hAnsi="Times New Roman" w:cs="Times New Roman"/>
          <w:bCs/>
          <w:sz w:val="24"/>
          <w:szCs w:val="24"/>
          <w:lang w:val="en-US" w:eastAsia="zh-CN"/>
        </w:rPr>
      </w:pPr>
    </w:p>
    <w:p>
      <w:pPr>
        <w:numPr>
          <w:ilvl w:val="0"/>
          <w:numId w:val="1"/>
        </w:numPr>
        <w:spacing w:line="360" w:lineRule="auto"/>
        <w:ind w:left="0" w:leftChars="0" w:firstLine="0" w:firstLineChars="0"/>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Inclusion and exclusion criteria</w:t>
      </w:r>
    </w:p>
    <w:p>
      <w:pPr>
        <w:numPr>
          <w:ilvl w:val="0"/>
          <w:numId w:val="0"/>
        </w:numPr>
        <w:spacing w:line="360" w:lineRule="auto"/>
        <w:ind w:leftChars="0"/>
        <w:rPr>
          <w:rFonts w:hint="eastAsia"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Methods, paragraph 2</w:t>
      </w:r>
    </w:p>
    <w:p>
      <w:pPr>
        <w:numPr>
          <w:ilvl w:val="0"/>
          <w:numId w:val="0"/>
        </w:numPr>
        <w:spacing w:line="360" w:lineRule="auto"/>
        <w:ind w:leftChars="0"/>
        <w:rPr>
          <w:rFonts w:hint="eastAsia"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 xml:space="preserve">Initial juvenile turtles were </w:t>
      </w:r>
      <w:r>
        <w:rPr>
          <w:rFonts w:hint="default" w:ascii="Times New Roman" w:hAnsi="Times New Roman" w:cs="Times New Roman"/>
          <w:bCs/>
          <w:sz w:val="24"/>
          <w:szCs w:val="24"/>
        </w:rPr>
        <w:t>with no trauma, bruises or scars</w:t>
      </w:r>
      <w:r>
        <w:rPr>
          <w:rFonts w:hint="eastAsia" w:ascii="Times New Roman" w:hAnsi="Times New Roman" w:cs="Times New Roman"/>
          <w:bCs/>
          <w:sz w:val="24"/>
          <w:szCs w:val="24"/>
          <w:lang w:val="en-US" w:eastAsia="zh-CN"/>
        </w:rPr>
        <w:t>, all of collected turtles were measured for s</w:t>
      </w:r>
      <w:r>
        <w:rPr>
          <w:rFonts w:hint="default" w:ascii="Times New Roman" w:hAnsi="Times New Roman" w:cs="Times New Roman"/>
          <w:bCs/>
          <w:sz w:val="24"/>
          <w:szCs w:val="24"/>
        </w:rPr>
        <w:t>omatotype index</w:t>
      </w:r>
      <w:r>
        <w:rPr>
          <w:rFonts w:hint="eastAsia" w:ascii="Times New Roman" w:hAnsi="Times New Roman" w:cs="Times New Roman"/>
          <w:bCs/>
          <w:sz w:val="24"/>
          <w:szCs w:val="24"/>
          <w:lang w:val="en-US" w:eastAsia="zh-CN"/>
        </w:rPr>
        <w:t xml:space="preserve"> and the samples for anatomy and gut microbiota analysis were individual </w:t>
      </w:r>
      <w:r>
        <w:rPr>
          <w:rFonts w:hint="default" w:ascii="Times New Roman" w:hAnsi="Times New Roman" w:cs="Times New Roman"/>
          <w:bCs/>
          <w:sz w:val="24"/>
          <w:szCs w:val="24"/>
        </w:rPr>
        <w:t>with no trauma, bruises or scars</w:t>
      </w:r>
      <w:r>
        <w:rPr>
          <w:rFonts w:hint="eastAsia" w:ascii="Times New Roman" w:hAnsi="Times New Roman" w:cs="Times New Roman"/>
          <w:bCs/>
          <w:sz w:val="24"/>
          <w:szCs w:val="24"/>
          <w:lang w:val="en-US" w:eastAsia="zh-CN"/>
        </w:rPr>
        <w:t xml:space="preserve"> and in similar body size and sex(male in this study)</w:t>
      </w:r>
    </w:p>
    <w:p>
      <w:pPr>
        <w:numPr>
          <w:ilvl w:val="0"/>
          <w:numId w:val="1"/>
        </w:numPr>
        <w:spacing w:line="360" w:lineRule="auto"/>
        <w:ind w:left="0" w:leftChars="0" w:firstLine="0" w:firstLineChars="0"/>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Randomisation</w:t>
      </w:r>
    </w:p>
    <w:p>
      <w:pPr>
        <w:numPr>
          <w:ilvl w:val="0"/>
          <w:numId w:val="0"/>
        </w:numPr>
        <w:spacing w:line="360" w:lineRule="auto"/>
        <w:rPr>
          <w:rStyle w:val="6"/>
          <w:rFonts w:hint="default" w:ascii="Arial" w:hAnsi="Arial" w:eastAsia="宋体" w:cs="Arial"/>
          <w:i/>
          <w:caps w:val="0"/>
          <w:color w:val="555555"/>
          <w:spacing w:val="0"/>
          <w:sz w:val="24"/>
          <w:szCs w:val="24"/>
          <w:vertAlign w:val="baseline"/>
          <w:lang w:val="en-US" w:eastAsia="zh-CN"/>
        </w:rPr>
      </w:pPr>
      <w:r>
        <w:rPr>
          <w:rFonts w:hint="eastAsia" w:ascii="Times New Roman" w:hAnsi="Times New Roman" w:cs="Times New Roman"/>
          <w:bCs/>
          <w:sz w:val="24"/>
          <w:szCs w:val="24"/>
          <w:lang w:val="en-US" w:eastAsia="zh-CN"/>
        </w:rPr>
        <w:t>Methods, paragraph 1 and 2.</w:t>
      </w:r>
    </w:p>
    <w:p>
      <w:pPr>
        <w:numPr>
          <w:ilvl w:val="0"/>
          <w:numId w:val="0"/>
        </w:numPr>
        <w:spacing w:line="360" w:lineRule="auto"/>
        <w:rPr>
          <w:rFonts w:hint="eastAsia"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T</w:t>
      </w:r>
      <w:r>
        <w:rPr>
          <w:rFonts w:hint="default" w:ascii="Times New Roman" w:hAnsi="Times New Roman" w:cs="Times New Roman"/>
          <w:bCs/>
          <w:sz w:val="24"/>
          <w:szCs w:val="24"/>
        </w:rPr>
        <w:t xml:space="preserve">housands of juvenile turtles in similar size of approximately 340 g were </w:t>
      </w:r>
      <w:r>
        <w:rPr>
          <w:rFonts w:hint="eastAsia" w:ascii="Times New Roman" w:hAnsi="Times New Roman" w:cs="Times New Roman"/>
          <w:bCs/>
          <w:sz w:val="24"/>
          <w:szCs w:val="24"/>
          <w:lang w:val="en-US" w:eastAsia="zh-CN"/>
        </w:rPr>
        <w:t xml:space="preserve">purchased and </w:t>
      </w:r>
      <w:r>
        <w:rPr>
          <w:rFonts w:hint="default" w:ascii="Times New Roman" w:hAnsi="Times New Roman" w:cs="Times New Roman"/>
          <w:bCs/>
          <w:sz w:val="24"/>
          <w:szCs w:val="24"/>
        </w:rPr>
        <w:t>randomly divided into three groups that allocated to different experimental culture habitats</w:t>
      </w:r>
      <w:r>
        <w:rPr>
          <w:rFonts w:hint="eastAsia" w:ascii="Times New Roman" w:hAnsi="Times New Roman" w:cs="Times New Roman"/>
          <w:bCs/>
          <w:sz w:val="24"/>
          <w:szCs w:val="24"/>
          <w:lang w:val="en-US" w:eastAsia="zh-CN"/>
        </w:rPr>
        <w:t xml:space="preserve">. </w:t>
      </w:r>
      <w:r>
        <w:rPr>
          <w:rFonts w:hint="default" w:ascii="Times New Roman" w:hAnsi="Times New Roman" w:cs="Times New Roman"/>
          <w:bCs/>
          <w:sz w:val="24"/>
          <w:szCs w:val="24"/>
        </w:rPr>
        <w:t>Turtles were randomly collected at initial 0d and 60d, then totally collected as much as possible at 120d.</w:t>
      </w:r>
      <w:r>
        <w:rPr>
          <w:rFonts w:hint="eastAsia" w:ascii="Times New Roman" w:hAnsi="Times New Roman" w:cs="Times New Roman"/>
          <w:bCs/>
          <w:sz w:val="24"/>
          <w:szCs w:val="24"/>
          <w:lang w:val="en-US" w:eastAsia="zh-CN"/>
        </w:rPr>
        <w:t xml:space="preserve"> </w:t>
      </w:r>
    </w:p>
    <w:p>
      <w:pPr>
        <w:numPr>
          <w:ilvl w:val="0"/>
          <w:numId w:val="1"/>
        </w:numPr>
        <w:spacing w:line="360" w:lineRule="auto"/>
        <w:ind w:left="0" w:leftChars="0" w:firstLine="0" w:firstLineChars="0"/>
        <w:rPr>
          <w:rFonts w:hint="default"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Blinding</w:t>
      </w:r>
    </w:p>
    <w:p>
      <w:pPr>
        <w:numPr>
          <w:ilvl w:val="0"/>
          <w:numId w:val="0"/>
        </w:numPr>
        <w:spacing w:line="360" w:lineRule="auto"/>
        <w:rPr>
          <w:rFonts w:hint="eastAsia"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Methods, paragraph 2</w:t>
      </w:r>
    </w:p>
    <w:p>
      <w:pPr>
        <w:numPr>
          <w:ilvl w:val="0"/>
          <w:numId w:val="0"/>
        </w:numPr>
        <w:spacing w:line="360" w:lineRule="auto"/>
        <w:rPr>
          <w:rFonts w:hint="default"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 xml:space="preserve">The turtles collected was randomly numbered from different habitats, the investigator who selected individuals for analysis was unaware of the grouping details, and an other investigator (also unaware of grouping details) conducted the anaesthetic and anatomy procedure. </w:t>
      </w:r>
    </w:p>
    <w:p>
      <w:pPr>
        <w:numPr>
          <w:ilvl w:val="0"/>
          <w:numId w:val="1"/>
        </w:numPr>
        <w:spacing w:line="360" w:lineRule="auto"/>
        <w:ind w:left="0" w:leftChars="0" w:firstLine="0" w:firstLineChars="0"/>
        <w:rPr>
          <w:rFonts w:hint="eastAsia"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Outcome measures</w:t>
      </w:r>
    </w:p>
    <w:p>
      <w:pPr>
        <w:numPr>
          <w:ilvl w:val="0"/>
          <w:numId w:val="0"/>
        </w:numPr>
        <w:spacing w:line="360" w:lineRule="auto"/>
        <w:ind w:leftChars="0"/>
        <w:rPr>
          <w:rFonts w:hint="default" w:ascii="Times New Roman" w:hAnsi="Times New Roman" w:cs="Times New Roman"/>
          <w:bCs/>
          <w:sz w:val="24"/>
          <w:szCs w:val="24"/>
        </w:rPr>
      </w:pPr>
      <w:r>
        <w:rPr>
          <w:rFonts w:hint="eastAsia" w:ascii="Times New Roman" w:hAnsi="Times New Roman" w:cs="Times New Roman"/>
          <w:bCs/>
          <w:sz w:val="24"/>
          <w:szCs w:val="24"/>
          <w:lang w:val="en-US" w:eastAsia="zh-CN"/>
        </w:rPr>
        <w:t>Methods, paragraph 2</w:t>
      </w:r>
    </w:p>
    <w:p>
      <w:pPr>
        <w:numPr>
          <w:ilvl w:val="0"/>
          <w:numId w:val="0"/>
        </w:numPr>
        <w:spacing w:line="360" w:lineRule="auto"/>
        <w:rPr>
          <w:rFonts w:hint="default" w:ascii="Times New Roman" w:hAnsi="Times New Roman" w:cs="Times New Roman"/>
          <w:bCs/>
          <w:sz w:val="24"/>
          <w:szCs w:val="24"/>
        </w:rPr>
      </w:pPr>
      <w:r>
        <w:rPr>
          <w:rFonts w:hint="default" w:ascii="Times New Roman" w:hAnsi="Times New Roman" w:cs="Times New Roman"/>
          <w:bCs/>
          <w:sz w:val="24"/>
          <w:szCs w:val="24"/>
        </w:rPr>
        <w:t>The mortality was negligible both in paddy fields and ponds during the experiment period. However, only a small number of turtles were caught from lake at 60d and no marked turtles were recaptured at 120d, resulting in incomplete statistics on mortality and growth for turtles in lake. Somatotype index including body weight, carapace length,</w:t>
      </w:r>
      <w:r>
        <w:rPr>
          <w:rFonts w:hint="default" w:ascii="Times New Roman" w:hAnsi="Times New Roman" w:cs="Times New Roman"/>
          <w:kern w:val="0"/>
          <w:sz w:val="24"/>
          <w:szCs w:val="24"/>
          <w:shd w:val="clear" w:color="auto" w:fill="FFFFFF"/>
        </w:rPr>
        <w:t xml:space="preserve"> </w:t>
      </w:r>
      <w:r>
        <w:rPr>
          <w:rFonts w:hint="default" w:ascii="Times New Roman" w:hAnsi="Times New Roman" w:cs="Times New Roman"/>
          <w:bCs/>
          <w:sz w:val="24"/>
          <w:szCs w:val="24"/>
        </w:rPr>
        <w:t>carapace width</w:t>
      </w:r>
      <w:r>
        <w:rPr>
          <w:rFonts w:hint="default" w:ascii="Times New Roman" w:hAnsi="Times New Roman" w:cs="Times New Roman"/>
          <w:kern w:val="0"/>
          <w:sz w:val="24"/>
          <w:szCs w:val="24"/>
          <w:shd w:val="clear" w:color="auto" w:fill="FFFFFF"/>
        </w:rPr>
        <w:t xml:space="preserve"> and calipash lateral width</w:t>
      </w:r>
      <w:r>
        <w:rPr>
          <w:rFonts w:hint="default" w:ascii="Times New Roman" w:hAnsi="Times New Roman" w:cs="Times New Roman"/>
          <w:bCs/>
          <w:sz w:val="24"/>
          <w:szCs w:val="24"/>
        </w:rPr>
        <w:t xml:space="preserve"> were measured after 48h fasting. Every three </w:t>
      </w:r>
      <w:r>
        <w:rPr>
          <w:rFonts w:hint="eastAsia" w:ascii="Times New Roman" w:hAnsi="Times New Roman" w:cs="Times New Roman"/>
          <w:bCs/>
          <w:sz w:val="24"/>
          <w:szCs w:val="24"/>
          <w:lang w:val="en-US" w:eastAsia="zh-CN"/>
        </w:rPr>
        <w:t xml:space="preserve">male </w:t>
      </w:r>
      <w:r>
        <w:rPr>
          <w:rFonts w:hint="default" w:ascii="Times New Roman" w:hAnsi="Times New Roman" w:cs="Times New Roman"/>
          <w:bCs/>
          <w:sz w:val="24"/>
          <w:szCs w:val="24"/>
        </w:rPr>
        <w:t>individuals with no trauma, bruises or scars from each habitat and cultural periods were sacrificed and the livers, clumpy fat, guts were carefully removed and weighted under sterile condition. Gut length, i.e. the length from end of esophagus to end of rectum was also measured without external tension. The gastric area (expressed as former gut “F”) and rectum (expressed as later gut “L”) were separated, rapidly frozen in liquid nitrogen, and then stored at -80°C until DNA extraction for microbial analysis.</w:t>
      </w:r>
      <w:r>
        <w:rPr>
          <w:rFonts w:hint="eastAsia" w:ascii="Times New Roman" w:hAnsi="Times New Roman" w:cs="Times New Roman"/>
          <w:bCs/>
          <w:sz w:val="24"/>
          <w:szCs w:val="24"/>
          <w:lang w:val="en-US" w:eastAsia="zh-CN"/>
        </w:rPr>
        <w:t xml:space="preserve"> </w:t>
      </w:r>
      <w:r>
        <w:rPr>
          <w:rFonts w:hint="default" w:ascii="Times New Roman" w:hAnsi="Times New Roman" w:cs="Times New Roman"/>
          <w:bCs/>
          <w:sz w:val="24"/>
          <w:szCs w:val="24"/>
        </w:rPr>
        <w:t>The specific growth rate (SGR), hepato-smatic index (HSI), fat-smatic index (FSI), gut-smatic index on weight (DSI</w:t>
      </w:r>
      <w:r>
        <w:rPr>
          <w:rFonts w:hint="default" w:ascii="Times New Roman" w:hAnsi="Times New Roman" w:cs="Times New Roman"/>
          <w:bCs/>
          <w:sz w:val="24"/>
          <w:szCs w:val="24"/>
          <w:vertAlign w:val="subscript"/>
        </w:rPr>
        <w:t>W</w:t>
      </w:r>
      <w:r>
        <w:rPr>
          <w:rFonts w:hint="default" w:ascii="Times New Roman" w:hAnsi="Times New Roman" w:cs="Times New Roman"/>
          <w:bCs/>
          <w:sz w:val="24"/>
          <w:szCs w:val="24"/>
        </w:rPr>
        <w:t>) and length (DSI</w:t>
      </w:r>
      <w:r>
        <w:rPr>
          <w:rFonts w:hint="default" w:ascii="Times New Roman" w:hAnsi="Times New Roman" w:cs="Times New Roman"/>
          <w:bCs/>
          <w:sz w:val="24"/>
          <w:szCs w:val="24"/>
          <w:vertAlign w:val="subscript"/>
        </w:rPr>
        <w:t>L</w:t>
      </w:r>
      <w:r>
        <w:rPr>
          <w:rFonts w:hint="default" w:ascii="Times New Roman" w:hAnsi="Times New Roman" w:cs="Times New Roman"/>
          <w:bCs/>
          <w:sz w:val="24"/>
          <w:szCs w:val="24"/>
        </w:rPr>
        <w:t xml:space="preserve">) were calculated. </w:t>
      </w:r>
    </w:p>
    <w:p>
      <w:pPr>
        <w:numPr>
          <w:ilvl w:val="0"/>
          <w:numId w:val="1"/>
        </w:numPr>
        <w:spacing w:line="360" w:lineRule="auto"/>
        <w:ind w:left="0" w:leftChars="0" w:firstLine="0" w:firstLineChars="0"/>
        <w:rPr>
          <w:rFonts w:hint="eastAsia"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Statistical methods</w:t>
      </w:r>
    </w:p>
    <w:p>
      <w:pPr>
        <w:numPr>
          <w:ilvl w:val="0"/>
          <w:numId w:val="0"/>
        </w:numPr>
        <w:spacing w:line="360" w:lineRule="auto"/>
        <w:ind w:leftChars="0"/>
        <w:rPr>
          <w:rFonts w:hint="default" w:ascii="Times New Roman" w:hAnsi="Times New Roman" w:eastAsia="宋体" w:cs="Times New Roman"/>
          <w:bCs/>
          <w:sz w:val="24"/>
          <w:szCs w:val="24"/>
          <w:lang w:val="en-US" w:eastAsia="zh-CN"/>
        </w:rPr>
      </w:pPr>
      <w:r>
        <w:rPr>
          <w:rFonts w:hint="eastAsia" w:ascii="Times New Roman" w:hAnsi="Times New Roman" w:cs="Times New Roman"/>
          <w:bCs/>
          <w:sz w:val="24"/>
          <w:szCs w:val="24"/>
          <w:lang w:val="en-US" w:eastAsia="zh-CN"/>
        </w:rPr>
        <w:t>Methods, paragraph 4</w:t>
      </w:r>
    </w:p>
    <w:p>
      <w:pPr>
        <w:spacing w:line="360" w:lineRule="auto"/>
        <w:rPr>
          <w:rFonts w:hint="default" w:ascii="Times New Roman" w:hAnsi="Times New Roman" w:cs="Times New Roman"/>
          <w:bCs/>
          <w:sz w:val="24"/>
          <w:szCs w:val="24"/>
        </w:rPr>
      </w:pPr>
      <w:r>
        <w:rPr>
          <w:rFonts w:hint="default" w:ascii="Times New Roman" w:hAnsi="Times New Roman" w:cs="Times New Roman"/>
          <w:bCs/>
          <w:sz w:val="24"/>
          <w:szCs w:val="24"/>
        </w:rPr>
        <w:t xml:space="preserve">All differences among biometric measurements were determined by analysis of variance using SPSS20.0. The measured data were subjected to one-way analysis of variance (ANOVA). Differences among treatments were tested by Tukey's multiple range test and results of </w:t>
      </w:r>
      <w:r>
        <w:rPr>
          <w:rFonts w:hint="default" w:ascii="Times New Roman" w:hAnsi="Times New Roman" w:cs="Times New Roman"/>
          <w:bCs/>
          <w:i/>
          <w:iCs/>
          <w:sz w:val="24"/>
          <w:szCs w:val="24"/>
        </w:rPr>
        <w:t>p</w:t>
      </w:r>
      <w:r>
        <w:rPr>
          <w:rFonts w:hint="default" w:ascii="Times New Roman" w:hAnsi="Times New Roman" w:cs="Times New Roman"/>
          <w:bCs/>
          <w:sz w:val="24"/>
          <w:szCs w:val="24"/>
        </w:rPr>
        <w:t xml:space="preserve"> &lt; 0.05 were deemed statistically significant. Duncan's multiple comparison was carried out to determine the difference among repeated groups. All statistics on gut microbiota were conducted by using R (version 3.2.2). </w:t>
      </w:r>
    </w:p>
    <w:p>
      <w:pPr>
        <w:numPr>
          <w:ilvl w:val="0"/>
          <w:numId w:val="1"/>
        </w:numPr>
        <w:spacing w:line="360" w:lineRule="auto"/>
        <w:ind w:left="0" w:leftChars="0" w:firstLine="0" w:firstLineChars="0"/>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Experimental animals</w:t>
      </w:r>
    </w:p>
    <w:p>
      <w:pPr>
        <w:numPr>
          <w:ilvl w:val="0"/>
          <w:numId w:val="0"/>
        </w:numPr>
        <w:spacing w:line="360" w:lineRule="auto"/>
        <w:ind w:leftChars="0"/>
        <w:rPr>
          <w:rFonts w:hint="default" w:ascii="Times New Roman" w:hAnsi="Times New Roman" w:cs="Times New Roman"/>
          <w:bCs/>
          <w:sz w:val="24"/>
          <w:szCs w:val="24"/>
          <w:lang w:val="en-US"/>
        </w:rPr>
      </w:pPr>
      <w:r>
        <w:rPr>
          <w:rFonts w:hint="eastAsia" w:ascii="Times New Roman" w:hAnsi="Times New Roman" w:cs="Times New Roman"/>
          <w:bCs/>
          <w:sz w:val="24"/>
          <w:szCs w:val="24"/>
          <w:lang w:val="en-US" w:eastAsia="zh-CN"/>
        </w:rPr>
        <w:t>Methods, paragraph 1; Table 1</w:t>
      </w:r>
    </w:p>
    <w:p>
      <w:pPr>
        <w:numPr>
          <w:ilvl w:val="0"/>
          <w:numId w:val="0"/>
        </w:numPr>
        <w:spacing w:line="360" w:lineRule="auto"/>
        <w:rPr>
          <w:rFonts w:hint="default" w:ascii="Times New Roman" w:hAnsi="Times New Roman" w:eastAsia="宋体" w:cs="Times New Roman"/>
          <w:bCs/>
          <w:sz w:val="24"/>
          <w:szCs w:val="24"/>
          <w:lang w:val="en-US" w:eastAsia="zh-CN"/>
        </w:rPr>
      </w:pPr>
      <w:r>
        <w:rPr>
          <w:rFonts w:hint="default" w:ascii="Times New Roman" w:hAnsi="Times New Roman" w:cs="Times New Roman"/>
          <w:bCs/>
          <w:sz w:val="24"/>
          <w:szCs w:val="24"/>
        </w:rPr>
        <w:t>The juvenile turtles (</w:t>
      </w:r>
      <w:r>
        <w:rPr>
          <w:rFonts w:hint="default" w:ascii="Times New Roman" w:hAnsi="Times New Roman" w:cs="Times New Roman"/>
          <w:bCs/>
          <w:i/>
          <w:sz w:val="24"/>
          <w:szCs w:val="24"/>
        </w:rPr>
        <w:t>Pelodiscus sinensis</w:t>
      </w:r>
      <w:r>
        <w:rPr>
          <w:rFonts w:hint="default" w:ascii="Times New Roman" w:hAnsi="Times New Roman" w:cs="Times New Roman"/>
          <w:bCs/>
          <w:sz w:val="24"/>
          <w:szCs w:val="24"/>
        </w:rPr>
        <w:t xml:space="preserve">) were initially stocked at cement tanks in hothouse </w:t>
      </w:r>
      <w:r>
        <w:rPr>
          <w:rFonts w:hint="eastAsia" w:ascii="Times New Roman" w:hAnsi="Times New Roman" w:cs="Times New Roman"/>
          <w:bCs/>
          <w:sz w:val="24"/>
          <w:szCs w:val="24"/>
          <w:lang w:val="en-US" w:eastAsia="zh-CN"/>
        </w:rPr>
        <w:t>(</w:t>
      </w:r>
      <w:r>
        <w:rPr>
          <w:rFonts w:hint="default" w:ascii="Times New Roman" w:hAnsi="Times New Roman" w:cs="Times New Roman"/>
          <w:bCs/>
          <w:sz w:val="24"/>
          <w:szCs w:val="24"/>
        </w:rPr>
        <w:t>Xijiang Aquaculture co. LTD, Anhui, China</w:t>
      </w:r>
      <w:r>
        <w:rPr>
          <w:rFonts w:hint="eastAsia" w:ascii="Times New Roman" w:hAnsi="Times New Roman" w:cs="Times New Roman"/>
          <w:bCs/>
          <w:sz w:val="24"/>
          <w:szCs w:val="24"/>
          <w:lang w:val="en-US" w:eastAsia="zh-CN"/>
        </w:rPr>
        <w:t xml:space="preserve">) </w:t>
      </w:r>
      <w:r>
        <w:rPr>
          <w:rFonts w:hint="default" w:ascii="Times New Roman" w:hAnsi="Times New Roman" w:cs="Times New Roman"/>
          <w:bCs/>
          <w:sz w:val="24"/>
          <w:szCs w:val="24"/>
        </w:rPr>
        <w:t>with relative stable conditions (temperature was 30.0±1.0°C and water depth was about 0.5</w:t>
      </w:r>
      <w:r>
        <w:rPr>
          <w:rFonts w:hint="eastAsia" w:ascii="Times New Roman" w:hAnsi="Times New Roman" w:cs="Times New Roman"/>
          <w:bCs/>
          <w:sz w:val="24"/>
          <w:szCs w:val="24"/>
          <w:lang w:val="en-US" w:eastAsia="zh-CN"/>
        </w:rPr>
        <w:t xml:space="preserve"> </w:t>
      </w:r>
      <w:r>
        <w:rPr>
          <w:rFonts w:hint="default" w:ascii="Times New Roman" w:hAnsi="Times New Roman" w:cs="Times New Roman"/>
          <w:bCs/>
          <w:sz w:val="24"/>
          <w:szCs w:val="24"/>
        </w:rPr>
        <w:t xml:space="preserve">m) before being allocated to different experimental habitats. </w:t>
      </w:r>
      <w:r>
        <w:rPr>
          <w:rFonts w:hint="eastAsia" w:ascii="Times New Roman" w:hAnsi="Times New Roman" w:cs="Times New Roman"/>
          <w:bCs/>
          <w:sz w:val="24"/>
          <w:szCs w:val="24"/>
          <w:lang w:val="en-US" w:eastAsia="zh-CN"/>
        </w:rPr>
        <w:t>T</w:t>
      </w:r>
      <w:r>
        <w:rPr>
          <w:rFonts w:hint="default" w:ascii="Times New Roman" w:hAnsi="Times New Roman" w:cs="Times New Roman"/>
          <w:bCs/>
          <w:sz w:val="24"/>
          <w:szCs w:val="24"/>
        </w:rPr>
        <w:t xml:space="preserve">housands of juvenile turtles in similar size of approximately 340 g were </w:t>
      </w:r>
      <w:r>
        <w:rPr>
          <w:rFonts w:hint="eastAsia" w:ascii="Times New Roman" w:hAnsi="Times New Roman" w:cs="Times New Roman"/>
          <w:bCs/>
          <w:sz w:val="24"/>
          <w:szCs w:val="24"/>
          <w:lang w:val="en-US" w:eastAsia="zh-CN"/>
        </w:rPr>
        <w:t xml:space="preserve">purchased and </w:t>
      </w:r>
      <w:r>
        <w:rPr>
          <w:rFonts w:hint="default" w:ascii="Times New Roman" w:hAnsi="Times New Roman" w:cs="Times New Roman"/>
          <w:bCs/>
          <w:sz w:val="24"/>
          <w:szCs w:val="24"/>
        </w:rPr>
        <w:t>randomly divided into three groups that allocated to different experimental culture habitats</w:t>
      </w:r>
      <w:r>
        <w:rPr>
          <w:rFonts w:hint="eastAsia" w:ascii="Times New Roman" w:hAnsi="Times New Roman" w:cs="Times New Roman"/>
          <w:bCs/>
          <w:sz w:val="24"/>
          <w:szCs w:val="24"/>
          <w:lang w:val="en-US" w:eastAsia="zh-CN"/>
        </w:rPr>
        <w:t>. The body size and sample details were listed in Table 2.</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bottom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Groups</w:t>
            </w:r>
          </w:p>
        </w:tc>
        <w:tc>
          <w:tcPr>
            <w:tcW w:w="1704" w:type="dxa"/>
            <w:tcBorders>
              <w:bottom w:val="single" w:color="000000" w:sz="4" w:space="0"/>
              <w:tl2br w:val="nil"/>
              <w:tr2bl w:val="nil"/>
            </w:tcBorders>
            <w:noWrap w:val="0"/>
            <w:vAlign w:val="top"/>
          </w:tcPr>
          <w:p>
            <w:pPr>
              <w:widowControl/>
              <w:jc w:val="center"/>
              <w:rPr>
                <w:rFonts w:hint="default" w:ascii="Times New Roman" w:hAnsi="Times New Roman" w:cs="Times New Roman"/>
                <w:color w:val="000000"/>
                <w:szCs w:val="21"/>
              </w:rPr>
            </w:pPr>
            <w:r>
              <w:rPr>
                <w:rFonts w:hint="default" w:ascii="Times New Roman" w:hAnsi="Times New Roman" w:cs="Times New Roman"/>
                <w:color w:val="000000"/>
                <w:szCs w:val="21"/>
              </w:rPr>
              <w:t>Body weight</w:t>
            </w:r>
          </w:p>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w:t>
            </w:r>
          </w:p>
        </w:tc>
        <w:tc>
          <w:tcPr>
            <w:tcW w:w="1704" w:type="dxa"/>
            <w:tcBorders>
              <w:bottom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Living habitats</w:t>
            </w:r>
          </w:p>
        </w:tc>
        <w:tc>
          <w:tcPr>
            <w:tcW w:w="1705" w:type="dxa"/>
            <w:tcBorders>
              <w:bottom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Cultured days</w:t>
            </w:r>
          </w:p>
        </w:tc>
        <w:tc>
          <w:tcPr>
            <w:tcW w:w="1705" w:type="dxa"/>
            <w:tcBorders>
              <w:bottom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Sampled gut segment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op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lang w:val="en-US" w:eastAsia="zh-CN"/>
              </w:rPr>
              <w:t>IF</w:t>
            </w:r>
          </w:p>
        </w:tc>
        <w:tc>
          <w:tcPr>
            <w:tcW w:w="1704" w:type="dxa"/>
            <w:vMerge w:val="restart"/>
            <w:tcBorders>
              <w:top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lang w:val="en-US" w:eastAsia="zh-CN"/>
              </w:rPr>
              <w:t>340.5</w:t>
            </w:r>
            <w:r>
              <w:rPr>
                <w:rFonts w:hint="default" w:ascii="Times New Roman" w:hAnsi="Times New Roman" w:cs="Times New Roman"/>
                <w:color w:val="000000"/>
                <w:kern w:val="0"/>
                <w:szCs w:val="21"/>
              </w:rPr>
              <w:t>±</w:t>
            </w:r>
            <w:r>
              <w:rPr>
                <w:rFonts w:hint="default" w:ascii="Times New Roman" w:hAnsi="Times New Roman" w:cs="Times New Roman"/>
                <w:color w:val="000000"/>
                <w:kern w:val="0"/>
                <w:szCs w:val="21"/>
                <w:lang w:val="en-US" w:eastAsia="zh-CN"/>
              </w:rPr>
              <w:t>6.7</w:t>
            </w:r>
          </w:p>
        </w:tc>
        <w:tc>
          <w:tcPr>
            <w:tcW w:w="1704" w:type="dxa"/>
            <w:tcBorders>
              <w:top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lang w:val="en-US" w:eastAsia="zh-CN"/>
              </w:rPr>
              <w:t>Greenhouse</w:t>
            </w:r>
          </w:p>
        </w:tc>
        <w:tc>
          <w:tcPr>
            <w:tcW w:w="1705" w:type="dxa"/>
            <w:tcBorders>
              <w:top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lang w:val="en-US" w:eastAsia="zh-CN"/>
              </w:rPr>
              <w:t>0d</w:t>
            </w:r>
          </w:p>
        </w:tc>
        <w:tc>
          <w:tcPr>
            <w:tcW w:w="1705" w:type="dxa"/>
            <w:tcBorders>
              <w:top w:val="single" w:color="000000" w:sz="4" w:space="0"/>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Gastric area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lang w:val="en-US" w:eastAsia="zh-CN"/>
              </w:rPr>
              <w:t>IL</w:t>
            </w:r>
          </w:p>
        </w:tc>
        <w:tc>
          <w:tcPr>
            <w:tcW w:w="1704" w:type="dxa"/>
            <w:vMerge w:val="continue"/>
            <w:tcBorders>
              <w:tl2br w:val="nil"/>
              <w:tr2bl w:val="nil"/>
            </w:tcBorders>
            <w:noWrap w:val="0"/>
            <w:vAlign w:val="top"/>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default" w:ascii="Times New Roman" w:hAnsi="Times New Roman" w:cs="Times New Roman"/>
                <w:b/>
                <w:bCs/>
                <w:color w:val="000000"/>
                <w:kern w:val="0"/>
                <w:szCs w:val="21"/>
                <w:vertAlign w:val="baseline"/>
              </w:rPr>
            </w:pP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lang w:val="en-US" w:eastAsia="zh-CN"/>
              </w:rPr>
              <w:t>Greenhouse</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lang w:val="en-US" w:eastAsia="zh-CN"/>
              </w:rPr>
              <w:t>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Rectum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F1F</w:t>
            </w:r>
          </w:p>
        </w:tc>
        <w:tc>
          <w:tcPr>
            <w:tcW w:w="1704" w:type="dxa"/>
            <w:vMerge w:val="restart"/>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530.3</w:t>
            </w:r>
            <w:r>
              <w:rPr>
                <w:rFonts w:hint="default" w:ascii="Times New Roman" w:hAnsi="Times New Roman" w:cs="Times New Roman"/>
                <w:color w:val="000000"/>
                <w:kern w:val="0"/>
                <w:szCs w:val="21"/>
              </w:rPr>
              <w:t>±5.6</w:t>
            </w: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Paddy Field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60d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Gastric area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F1L</w:t>
            </w:r>
          </w:p>
        </w:tc>
        <w:tc>
          <w:tcPr>
            <w:tcW w:w="1704" w:type="dxa"/>
            <w:vMerge w:val="continue"/>
            <w:tcBorders>
              <w:tl2br w:val="nil"/>
              <w:tr2bl w:val="nil"/>
            </w:tcBorders>
            <w:noWrap w:val="0"/>
            <w:vAlign w:val="top"/>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default" w:ascii="Times New Roman" w:hAnsi="Times New Roman" w:cs="Times New Roman"/>
                <w:b/>
                <w:bCs/>
                <w:color w:val="000000"/>
                <w:kern w:val="0"/>
                <w:szCs w:val="21"/>
                <w:vertAlign w:val="baseline"/>
              </w:rPr>
            </w:pP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Paddy Field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60d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Rectum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F2F</w:t>
            </w:r>
          </w:p>
        </w:tc>
        <w:tc>
          <w:tcPr>
            <w:tcW w:w="1704" w:type="dxa"/>
            <w:vMerge w:val="restart"/>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806.6</w:t>
            </w:r>
            <w:r>
              <w:rPr>
                <w:rFonts w:hint="default" w:ascii="Times New Roman" w:hAnsi="Times New Roman" w:cs="Times New Roman"/>
                <w:color w:val="000000"/>
                <w:kern w:val="0"/>
                <w:szCs w:val="21"/>
              </w:rPr>
              <w:t>±10.2</w:t>
            </w: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Paddy Field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120d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Gastric area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F2L</w:t>
            </w:r>
          </w:p>
        </w:tc>
        <w:tc>
          <w:tcPr>
            <w:tcW w:w="1704" w:type="dxa"/>
            <w:vMerge w:val="continue"/>
            <w:tcBorders>
              <w:tl2br w:val="nil"/>
              <w:tr2bl w:val="nil"/>
            </w:tcBorders>
            <w:noWrap w:val="0"/>
            <w:vAlign w:val="top"/>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default" w:ascii="Times New Roman" w:hAnsi="Times New Roman" w:cs="Times New Roman"/>
                <w:b/>
                <w:bCs/>
                <w:color w:val="000000"/>
                <w:kern w:val="0"/>
                <w:szCs w:val="21"/>
                <w:vertAlign w:val="baseline"/>
              </w:rPr>
            </w:pP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Paddy Field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120d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Rectum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P1F</w:t>
            </w:r>
          </w:p>
        </w:tc>
        <w:tc>
          <w:tcPr>
            <w:tcW w:w="1704" w:type="dxa"/>
            <w:vMerge w:val="restart"/>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515.0</w:t>
            </w:r>
            <w:r>
              <w:rPr>
                <w:rFonts w:hint="default" w:ascii="Times New Roman" w:hAnsi="Times New Roman" w:cs="Times New Roman"/>
                <w:color w:val="000000"/>
                <w:kern w:val="0"/>
                <w:szCs w:val="21"/>
              </w:rPr>
              <w:t>±7.3</w:t>
            </w: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Artificial Pond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60d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Gastric area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P1L</w:t>
            </w:r>
          </w:p>
        </w:tc>
        <w:tc>
          <w:tcPr>
            <w:tcW w:w="1704" w:type="dxa"/>
            <w:vMerge w:val="continue"/>
            <w:tcBorders>
              <w:tl2br w:val="nil"/>
              <w:tr2bl w:val="nil"/>
            </w:tcBorders>
            <w:noWrap w:val="0"/>
            <w:vAlign w:val="top"/>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default" w:ascii="Times New Roman" w:hAnsi="Times New Roman" w:cs="Times New Roman"/>
                <w:b/>
                <w:bCs/>
                <w:color w:val="000000"/>
                <w:kern w:val="0"/>
                <w:szCs w:val="21"/>
                <w:vertAlign w:val="baseline"/>
              </w:rPr>
            </w:pP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Artificial Pond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60d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Rectum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P2F</w:t>
            </w:r>
          </w:p>
        </w:tc>
        <w:tc>
          <w:tcPr>
            <w:tcW w:w="1704" w:type="dxa"/>
            <w:vMerge w:val="restart"/>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720.4</w:t>
            </w:r>
            <w:r>
              <w:rPr>
                <w:rFonts w:hint="default" w:ascii="Times New Roman" w:hAnsi="Times New Roman" w:cs="Times New Roman"/>
                <w:color w:val="000000"/>
                <w:kern w:val="0"/>
                <w:szCs w:val="21"/>
              </w:rPr>
              <w:t>±3.3</w:t>
            </w: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Artificial Pond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120d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Gastric area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P2L</w:t>
            </w:r>
          </w:p>
        </w:tc>
        <w:tc>
          <w:tcPr>
            <w:tcW w:w="1704" w:type="dxa"/>
            <w:vMerge w:val="continue"/>
            <w:tcBorders>
              <w:tl2br w:val="nil"/>
              <w:tr2bl w:val="nil"/>
            </w:tcBorders>
            <w:noWrap w:val="0"/>
            <w:vAlign w:val="top"/>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default" w:ascii="Times New Roman" w:hAnsi="Times New Roman" w:cs="Times New Roman"/>
                <w:b/>
                <w:bCs/>
                <w:color w:val="000000"/>
                <w:kern w:val="0"/>
                <w:szCs w:val="21"/>
                <w:vertAlign w:val="baseline"/>
              </w:rPr>
            </w:pP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Artificial Pond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120d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Rectum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L1F</w:t>
            </w:r>
          </w:p>
        </w:tc>
        <w:tc>
          <w:tcPr>
            <w:tcW w:w="1704" w:type="dxa"/>
            <w:vMerge w:val="restart"/>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350.3</w:t>
            </w:r>
            <w:r>
              <w:rPr>
                <w:rFonts w:hint="default" w:ascii="Times New Roman" w:hAnsi="Times New Roman" w:cs="Times New Roman"/>
                <w:color w:val="000000"/>
                <w:kern w:val="0"/>
                <w:szCs w:val="21"/>
              </w:rPr>
              <w:t>±5.1</w:t>
            </w: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Natural Lake</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60d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Gastric area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L1L</w:t>
            </w:r>
          </w:p>
        </w:tc>
        <w:tc>
          <w:tcPr>
            <w:tcW w:w="1704" w:type="dxa"/>
            <w:vMerge w:val="continue"/>
            <w:tcBorders>
              <w:tl2br w:val="nil"/>
              <w:tr2bl w:val="nil"/>
            </w:tcBorders>
            <w:noWrap w:val="0"/>
            <w:vAlign w:val="top"/>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default" w:ascii="Times New Roman" w:hAnsi="Times New Roman" w:cs="Times New Roman"/>
                <w:b/>
                <w:bCs/>
                <w:color w:val="000000"/>
                <w:kern w:val="0"/>
                <w:szCs w:val="21"/>
                <w:vertAlign w:val="baseline"/>
              </w:rPr>
            </w:pPr>
          </w:p>
        </w:tc>
        <w:tc>
          <w:tcPr>
            <w:tcW w:w="1704"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Natural Lake</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60d</w:t>
            </w:r>
          </w:p>
        </w:tc>
        <w:tc>
          <w:tcPr>
            <w:tcW w:w="1705" w:type="dxa"/>
            <w:tcBorders>
              <w:tl2br w:val="nil"/>
              <w:tr2bl w:val="nil"/>
            </w:tcBorders>
            <w:noWrap w:val="0"/>
            <w:vAlign w:val="center"/>
          </w:tcPr>
          <w:p>
            <w:pPr>
              <w:widowControl/>
              <w:jc w:val="center"/>
              <w:rPr>
                <w:rFonts w:hint="default" w:ascii="Times New Roman" w:hAnsi="Times New Roman" w:cs="Times New Roman"/>
                <w:b/>
                <w:bCs/>
                <w:color w:val="000000"/>
                <w:kern w:val="0"/>
                <w:szCs w:val="21"/>
                <w:vertAlign w:val="baseline"/>
              </w:rPr>
            </w:pPr>
            <w:r>
              <w:rPr>
                <w:rFonts w:hint="default" w:ascii="Times New Roman" w:hAnsi="Times New Roman" w:cs="Times New Roman"/>
                <w:color w:val="000000"/>
                <w:szCs w:val="21"/>
              </w:rPr>
              <w:t>Rectum</w:t>
            </w:r>
          </w:p>
        </w:tc>
      </w:tr>
    </w:tbl>
    <w:p>
      <w:pPr>
        <w:numPr>
          <w:ilvl w:val="0"/>
          <w:numId w:val="0"/>
        </w:numPr>
        <w:spacing w:line="360" w:lineRule="auto"/>
        <w:rPr>
          <w:rFonts w:hint="default" w:ascii="Times New Roman" w:hAnsi="Times New Roman" w:cs="Times New Roman"/>
          <w:bCs/>
          <w:sz w:val="24"/>
          <w:szCs w:val="24"/>
          <w:lang w:val="en-US" w:eastAsia="zh-CN"/>
        </w:rPr>
      </w:pPr>
    </w:p>
    <w:p>
      <w:pPr>
        <w:numPr>
          <w:ilvl w:val="0"/>
          <w:numId w:val="1"/>
        </w:numPr>
        <w:spacing w:line="360" w:lineRule="auto"/>
        <w:ind w:left="0" w:leftChars="0" w:firstLine="0" w:firstLineChars="0"/>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Experimental procedures</w:t>
      </w:r>
    </w:p>
    <w:p>
      <w:pPr>
        <w:numPr>
          <w:ilvl w:val="0"/>
          <w:numId w:val="0"/>
        </w:numPr>
        <w:spacing w:line="360" w:lineRule="auto"/>
        <w:rPr>
          <w:rFonts w:hint="default" w:ascii="Times New Roman" w:hAnsi="Times New Roman" w:cs="Times New Roman"/>
          <w:bCs/>
          <w:sz w:val="24"/>
          <w:szCs w:val="24"/>
          <w:lang w:val="en-US"/>
        </w:rPr>
      </w:pPr>
      <w:r>
        <w:rPr>
          <w:rFonts w:hint="eastAsia" w:ascii="Times New Roman" w:hAnsi="Times New Roman" w:cs="Times New Roman"/>
          <w:bCs/>
          <w:sz w:val="24"/>
          <w:szCs w:val="24"/>
          <w:lang w:val="en-US" w:eastAsia="zh-CN"/>
        </w:rPr>
        <w:t>Methods, paragraph 1,2.</w:t>
      </w:r>
    </w:p>
    <w:p>
      <w:pPr>
        <w:numPr>
          <w:ilvl w:val="0"/>
          <w:numId w:val="0"/>
        </w:numPr>
        <w:spacing w:line="360" w:lineRule="auto"/>
        <w:rPr>
          <w:rFonts w:hint="default" w:ascii="Times New Roman" w:hAnsi="Times New Roman" w:cs="Times New Roman"/>
          <w:bCs/>
          <w:sz w:val="24"/>
          <w:szCs w:val="24"/>
        </w:rPr>
      </w:pPr>
      <w:r>
        <w:rPr>
          <w:rFonts w:hint="default" w:ascii="Times New Roman" w:hAnsi="Times New Roman" w:cs="Times New Roman"/>
          <w:bCs/>
          <w:sz w:val="24"/>
          <w:szCs w:val="24"/>
        </w:rPr>
        <w:t xml:space="preserve">The rearing experiment was conducted for 120 days from July to November. Air temperature was monitored at 11:00 AM every day during experiment, which varied in range of 22.5°C~35.8°C. Turtles were randomly collected at initial 0d and 60d, then totally collected as much as possible at 120d. Every three </w:t>
      </w:r>
      <w:r>
        <w:rPr>
          <w:rFonts w:hint="eastAsia" w:ascii="Times New Roman" w:hAnsi="Times New Roman" w:cs="Times New Roman"/>
          <w:bCs/>
          <w:sz w:val="24"/>
          <w:szCs w:val="24"/>
          <w:lang w:val="en-US" w:eastAsia="zh-CN"/>
        </w:rPr>
        <w:t xml:space="preserve">male </w:t>
      </w:r>
      <w:r>
        <w:rPr>
          <w:rFonts w:hint="default" w:ascii="Times New Roman" w:hAnsi="Times New Roman" w:cs="Times New Roman"/>
          <w:bCs/>
          <w:sz w:val="24"/>
          <w:szCs w:val="24"/>
        </w:rPr>
        <w:t xml:space="preserve">individuals with no trauma, bruises or scars from each habitat and cultural periods were sacrificed and the livers, clumpy fat, guts were carefully removed and weighted under sterile condition. </w:t>
      </w:r>
    </w:p>
    <w:p>
      <w:pPr>
        <w:numPr>
          <w:ilvl w:val="0"/>
          <w:numId w:val="1"/>
        </w:numPr>
        <w:spacing w:line="360" w:lineRule="auto"/>
        <w:ind w:left="0" w:leftChars="0" w:firstLine="0" w:firstLineChars="0"/>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lang w:val="en-US" w:eastAsia="zh-CN"/>
        </w:rPr>
        <w:t>Results</w:t>
      </w:r>
    </w:p>
    <w:p>
      <w:pPr>
        <w:numPr>
          <w:ilvl w:val="0"/>
          <w:numId w:val="0"/>
        </w:numPr>
        <w:spacing w:line="360" w:lineRule="auto"/>
        <w:rPr>
          <w:rFonts w:hint="default"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Results, paragraph 1,3 (Table 1, Fig.1)</w:t>
      </w:r>
    </w:p>
    <w:p>
      <w:pPr>
        <w:numPr>
          <w:ilvl w:val="0"/>
          <w:numId w:val="0"/>
        </w:numPr>
        <w:spacing w:line="360" w:lineRule="auto"/>
        <w:rPr>
          <w:rFonts w:hint="default" w:ascii="Times New Roman" w:hAnsi="Times New Roman" w:cs="Times New Roman"/>
          <w:bCs/>
          <w:sz w:val="24"/>
          <w:szCs w:val="24"/>
          <w:lang w:val="en-US" w:eastAsia="zh-CN"/>
        </w:rPr>
      </w:pPr>
      <w:r>
        <w:rPr>
          <w:rFonts w:hint="default" w:ascii="Times New Roman" w:hAnsi="Times New Roman" w:cs="Times New Roman"/>
          <w:bCs/>
          <w:sz w:val="24"/>
          <w:szCs w:val="24"/>
        </w:rPr>
        <w:t>The body weight of turtles in paddy fields and ponds were obviously higher than those in lake (</w:t>
      </w:r>
      <w:r>
        <w:rPr>
          <w:rFonts w:hint="default" w:ascii="Times New Roman" w:hAnsi="Times New Roman" w:cs="Times New Roman"/>
          <w:bCs/>
          <w:i/>
          <w:iCs/>
          <w:sz w:val="24"/>
          <w:szCs w:val="24"/>
        </w:rPr>
        <w:t>p</w:t>
      </w:r>
      <w:r>
        <w:rPr>
          <w:rFonts w:hint="default" w:ascii="Times New Roman" w:hAnsi="Times New Roman" w:cs="Times New Roman"/>
          <w:sz w:val="24"/>
          <w:szCs w:val="24"/>
        </w:rPr>
        <w:t>&lt;</w:t>
      </w:r>
      <w:r>
        <w:rPr>
          <w:rFonts w:hint="default" w:ascii="Times New Roman" w:hAnsi="Times New Roman" w:cs="Times New Roman"/>
          <w:bCs/>
          <w:sz w:val="24"/>
          <w:szCs w:val="24"/>
        </w:rPr>
        <w:t>0.05) and the divergence occurred in the early days. The growth rates of turtles were</w:t>
      </w:r>
      <w:r>
        <w:rPr>
          <w:rFonts w:hint="eastAsia" w:ascii="Times New Roman" w:hAnsi="Times New Roman" w:cs="Times New Roman"/>
          <w:bCs/>
          <w:sz w:val="24"/>
          <w:szCs w:val="24"/>
          <w:lang w:val="en-US" w:eastAsia="zh-CN"/>
        </w:rPr>
        <w:t>...</w:t>
      </w:r>
      <w:r>
        <w:rPr>
          <w:rFonts w:hint="default" w:ascii="Times New Roman" w:hAnsi="Times New Roman" w:cs="Times New Roman"/>
          <w:bCs/>
          <w:sz w:val="24"/>
          <w:szCs w:val="24"/>
        </w:rPr>
        <w:t xml:space="preserve"> </w:t>
      </w:r>
      <w:r>
        <w:rPr>
          <w:rFonts w:hint="eastAsia" w:ascii="Times New Roman" w:hAnsi="Times New Roman" w:cs="Times New Roman"/>
          <w:bCs/>
          <w:sz w:val="24"/>
          <w:szCs w:val="24"/>
          <w:lang w:val="en-US" w:eastAsia="zh-CN"/>
        </w:rPr>
        <w:t>Measured v</w:t>
      </w:r>
      <w:r>
        <w:rPr>
          <w:rFonts w:hint="default" w:ascii="Times New Roman" w:hAnsi="Times New Roman" w:cs="Times New Roman"/>
          <w:bCs/>
          <w:sz w:val="24"/>
          <w:szCs w:val="24"/>
        </w:rPr>
        <w:t xml:space="preserve">alues are presented as mean ± standard deviation, </w:t>
      </w:r>
      <w:r>
        <w:rPr>
          <w:rFonts w:hint="eastAsia" w:ascii="Times New Roman" w:hAnsi="Times New Roman" w:cs="Times New Roman"/>
          <w:bCs/>
          <w:sz w:val="24"/>
          <w:szCs w:val="24"/>
          <w:lang w:val="en-US" w:eastAsia="zh-CN"/>
        </w:rPr>
        <w:t>t</w:t>
      </w:r>
      <w:r>
        <w:rPr>
          <w:rFonts w:hint="default" w:ascii="Times New Roman" w:hAnsi="Times New Roman" w:cs="Times New Roman"/>
          <w:bCs/>
          <w:sz w:val="24"/>
          <w:szCs w:val="24"/>
        </w:rPr>
        <w:t>he different superscript letters in same row indicated significant difference(</w:t>
      </w:r>
      <w:r>
        <w:rPr>
          <w:rFonts w:hint="default" w:ascii="Times New Roman" w:hAnsi="Times New Roman" w:cs="Times New Roman"/>
          <w:bCs/>
          <w:i/>
          <w:iCs/>
          <w:sz w:val="24"/>
          <w:szCs w:val="24"/>
        </w:rPr>
        <w:t>p</w:t>
      </w:r>
      <w:r>
        <w:rPr>
          <w:rFonts w:hint="default" w:ascii="Times New Roman" w:hAnsi="Times New Roman" w:cs="Times New Roman"/>
          <w:bCs/>
          <w:sz w:val="24"/>
          <w:szCs w:val="24"/>
        </w:rPr>
        <w:t xml:space="preserve">&lt;0.05). </w:t>
      </w:r>
    </w:p>
    <w:tbl>
      <w:tblPr>
        <w:tblStyle w:val="3"/>
        <w:tblW w:w="10604" w:type="dxa"/>
        <w:jc w:val="center"/>
        <w:tblLayout w:type="autofit"/>
        <w:tblCellMar>
          <w:top w:w="0" w:type="dxa"/>
          <w:left w:w="108" w:type="dxa"/>
          <w:bottom w:w="0" w:type="dxa"/>
          <w:right w:w="108" w:type="dxa"/>
        </w:tblCellMar>
      </w:tblPr>
      <w:tblGrid>
        <w:gridCol w:w="824"/>
        <w:gridCol w:w="1172"/>
        <w:gridCol w:w="1172"/>
        <w:gridCol w:w="1172"/>
        <w:gridCol w:w="1264"/>
        <w:gridCol w:w="1242"/>
        <w:gridCol w:w="1268"/>
        <w:gridCol w:w="1240"/>
        <w:gridCol w:w="1250"/>
      </w:tblGrid>
      <w:tr>
        <w:tblPrEx>
          <w:tblCellMar>
            <w:top w:w="0" w:type="dxa"/>
            <w:left w:w="108" w:type="dxa"/>
            <w:bottom w:w="0" w:type="dxa"/>
            <w:right w:w="108" w:type="dxa"/>
          </w:tblCellMar>
        </w:tblPrEx>
        <w:trPr>
          <w:trHeight w:val="300" w:hRule="atLeast"/>
          <w:jc w:val="center"/>
        </w:trPr>
        <w:tc>
          <w:tcPr>
            <w:tcW w:w="824" w:type="dxa"/>
            <w:vMerge w:val="restart"/>
            <w:tcBorders>
              <w:top w:val="nil"/>
              <w:left w:val="nil"/>
              <w:bottom w:val="single" w:color="000000"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Indices</w:t>
            </w:r>
          </w:p>
        </w:tc>
        <w:tc>
          <w:tcPr>
            <w:tcW w:w="3516" w:type="dxa"/>
            <w:gridSpan w:val="3"/>
            <w:tcBorders>
              <w:top w:val="single" w:color="auto" w:sz="8" w:space="0"/>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0d</w:t>
            </w:r>
          </w:p>
        </w:tc>
        <w:tc>
          <w:tcPr>
            <w:tcW w:w="3774" w:type="dxa"/>
            <w:gridSpan w:val="3"/>
            <w:tcBorders>
              <w:top w:val="single" w:color="auto" w:sz="8" w:space="0"/>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60d</w:t>
            </w:r>
          </w:p>
        </w:tc>
        <w:tc>
          <w:tcPr>
            <w:tcW w:w="2490" w:type="dxa"/>
            <w:gridSpan w:val="2"/>
            <w:tcBorders>
              <w:top w:val="single" w:color="auto" w:sz="8" w:space="0"/>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120d</w:t>
            </w:r>
          </w:p>
        </w:tc>
      </w:tr>
      <w:tr>
        <w:tblPrEx>
          <w:tblCellMar>
            <w:top w:w="0" w:type="dxa"/>
            <w:left w:w="108" w:type="dxa"/>
            <w:bottom w:w="0" w:type="dxa"/>
            <w:right w:w="108" w:type="dxa"/>
          </w:tblCellMar>
        </w:tblPrEx>
        <w:trPr>
          <w:trHeight w:val="300" w:hRule="atLeast"/>
          <w:jc w:val="center"/>
        </w:trPr>
        <w:tc>
          <w:tcPr>
            <w:tcW w:w="824" w:type="dxa"/>
            <w:vMerge w:val="continue"/>
            <w:tcBorders>
              <w:top w:val="nil"/>
              <w:left w:val="nil"/>
              <w:bottom w:val="single" w:color="000000" w:sz="8" w:space="0"/>
              <w:right w:val="nil"/>
            </w:tcBorders>
            <w:noWrap w:val="0"/>
            <w:vAlign w:val="center"/>
          </w:tcPr>
          <w:p>
            <w:pPr>
              <w:widowControl/>
              <w:jc w:val="left"/>
              <w:rPr>
                <w:rFonts w:hint="default" w:ascii="Times New Roman" w:hAnsi="Times New Roman" w:cs="Times New Roman"/>
                <w:color w:val="000000"/>
                <w:kern w:val="0"/>
                <w:szCs w:val="21"/>
              </w:rPr>
            </w:pPr>
          </w:p>
        </w:tc>
        <w:tc>
          <w:tcPr>
            <w:tcW w:w="1172"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Field</w:t>
            </w:r>
          </w:p>
        </w:tc>
        <w:tc>
          <w:tcPr>
            <w:tcW w:w="1172"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Pond</w:t>
            </w:r>
          </w:p>
        </w:tc>
        <w:tc>
          <w:tcPr>
            <w:tcW w:w="1172"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Lake</w:t>
            </w:r>
          </w:p>
        </w:tc>
        <w:tc>
          <w:tcPr>
            <w:tcW w:w="1264"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Field</w:t>
            </w:r>
          </w:p>
        </w:tc>
        <w:tc>
          <w:tcPr>
            <w:tcW w:w="1242"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Pond</w:t>
            </w:r>
          </w:p>
        </w:tc>
        <w:tc>
          <w:tcPr>
            <w:tcW w:w="1268"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Lake</w:t>
            </w:r>
          </w:p>
        </w:tc>
        <w:tc>
          <w:tcPr>
            <w:tcW w:w="1240"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Field</w:t>
            </w:r>
          </w:p>
        </w:tc>
        <w:tc>
          <w:tcPr>
            <w:tcW w:w="1250"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Pond</w:t>
            </w:r>
          </w:p>
        </w:tc>
      </w:tr>
      <w:tr>
        <w:tblPrEx>
          <w:tblCellMar>
            <w:top w:w="0" w:type="dxa"/>
            <w:left w:w="108" w:type="dxa"/>
            <w:bottom w:w="0" w:type="dxa"/>
            <w:right w:w="108" w:type="dxa"/>
          </w:tblCellMar>
        </w:tblPrEx>
        <w:trPr>
          <w:trHeight w:val="330"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BW</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335.8±22.2</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341.3±32.6</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344.9±26.8</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529.7±35.5</w:t>
            </w:r>
            <w:r>
              <w:rPr>
                <w:rFonts w:hint="default" w:ascii="Times New Roman" w:hAnsi="Times New Roman" w:cs="Times New Roman"/>
                <w:color w:val="000000"/>
                <w:kern w:val="0"/>
                <w:szCs w:val="21"/>
                <w:vertAlign w:val="superscript"/>
              </w:rPr>
              <w:t>b</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512.2±39.3</w:t>
            </w:r>
            <w:r>
              <w:rPr>
                <w:rFonts w:hint="default" w:ascii="Times New Roman" w:hAnsi="Times New Roman" w:cs="Times New Roman"/>
                <w:color w:val="000000"/>
                <w:kern w:val="0"/>
                <w:szCs w:val="21"/>
                <w:vertAlign w:val="superscript"/>
              </w:rPr>
              <w:t>b</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438.8±27.4</w:t>
            </w:r>
            <w:r>
              <w:rPr>
                <w:rFonts w:hint="default" w:ascii="Times New Roman" w:hAnsi="Times New Roman" w:cs="Times New Roman"/>
                <w:color w:val="000000"/>
                <w:kern w:val="0"/>
                <w:szCs w:val="21"/>
                <w:vertAlign w:val="superscript"/>
              </w:rPr>
              <w:t>a</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796.6±58.2</w:t>
            </w:r>
            <w:r>
              <w:rPr>
                <w:rFonts w:hint="default" w:ascii="Times New Roman" w:hAnsi="Times New Roman" w:cs="Times New Roman"/>
                <w:color w:val="000000"/>
                <w:kern w:val="0"/>
                <w:szCs w:val="21"/>
                <w:vertAlign w:val="superscript"/>
              </w:rPr>
              <w:t>b</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717.2±64.6</w:t>
            </w:r>
            <w:r>
              <w:rPr>
                <w:rFonts w:hint="default" w:ascii="Times New Roman" w:hAnsi="Times New Roman" w:cs="Times New Roman"/>
                <w:color w:val="000000"/>
                <w:kern w:val="0"/>
                <w:szCs w:val="21"/>
                <w:vertAlign w:val="superscript"/>
              </w:rPr>
              <w:t>a</w:t>
            </w:r>
          </w:p>
        </w:tc>
      </w:tr>
      <w:tr>
        <w:tblPrEx>
          <w:tblCellMar>
            <w:top w:w="0" w:type="dxa"/>
            <w:left w:w="108" w:type="dxa"/>
            <w:bottom w:w="0" w:type="dxa"/>
            <w:right w:w="108" w:type="dxa"/>
          </w:tblCellMar>
        </w:tblPrEx>
        <w:trPr>
          <w:trHeight w:val="330"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CL</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12.89±0.09</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12.91±0.06</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12.92±0.07</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15.96±0.26</w:t>
            </w:r>
            <w:r>
              <w:rPr>
                <w:rFonts w:hint="default" w:ascii="Times New Roman" w:hAnsi="Times New Roman" w:cs="Times New Roman"/>
                <w:color w:val="000000"/>
                <w:kern w:val="0"/>
                <w:szCs w:val="21"/>
                <w:vertAlign w:val="superscript"/>
              </w:rPr>
              <w:t>b</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15.87±0.30</w:t>
            </w:r>
            <w:r>
              <w:rPr>
                <w:rFonts w:hint="default" w:ascii="Times New Roman" w:hAnsi="Times New Roman" w:cs="Times New Roman"/>
                <w:color w:val="000000"/>
                <w:kern w:val="0"/>
                <w:szCs w:val="21"/>
                <w:vertAlign w:val="superscript"/>
              </w:rPr>
              <w:t>b</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15.30±0.28</w:t>
            </w:r>
            <w:r>
              <w:rPr>
                <w:rFonts w:hint="default" w:ascii="Times New Roman" w:hAnsi="Times New Roman" w:cs="Times New Roman"/>
                <w:color w:val="000000"/>
                <w:kern w:val="0"/>
                <w:szCs w:val="21"/>
                <w:vertAlign w:val="superscript"/>
              </w:rPr>
              <w:t xml:space="preserve"> a</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17.71±0.35</w:t>
            </w:r>
            <w:r>
              <w:rPr>
                <w:rFonts w:hint="default" w:ascii="Times New Roman" w:hAnsi="Times New Roman" w:cs="Times New Roman"/>
                <w:color w:val="000000"/>
                <w:kern w:val="0"/>
                <w:szCs w:val="21"/>
                <w:vertAlign w:val="superscript"/>
              </w:rPr>
              <w:t>b</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17.13±0.38</w:t>
            </w:r>
            <w:r>
              <w:rPr>
                <w:rFonts w:hint="default" w:ascii="Times New Roman" w:hAnsi="Times New Roman" w:cs="Times New Roman"/>
                <w:color w:val="000000"/>
                <w:kern w:val="0"/>
                <w:szCs w:val="21"/>
                <w:vertAlign w:val="superscript"/>
              </w:rPr>
              <w:t>a</w:t>
            </w:r>
          </w:p>
        </w:tc>
      </w:tr>
      <w:tr>
        <w:tblPrEx>
          <w:tblCellMar>
            <w:top w:w="0" w:type="dxa"/>
            <w:left w:w="108" w:type="dxa"/>
            <w:bottom w:w="0" w:type="dxa"/>
            <w:right w:w="108" w:type="dxa"/>
          </w:tblCellMar>
        </w:tblPrEx>
        <w:trPr>
          <w:trHeight w:val="330"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CW</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11.72±0.07</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11.80±0.03</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11.81±0.03</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12.26±0.09</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12.15±0.10</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11.92±0.08</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13.84±0.12</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13.46±0.22</w:t>
            </w:r>
          </w:p>
        </w:tc>
      </w:tr>
      <w:tr>
        <w:tblPrEx>
          <w:tblCellMar>
            <w:top w:w="0" w:type="dxa"/>
            <w:left w:w="108" w:type="dxa"/>
            <w:bottom w:w="0" w:type="dxa"/>
            <w:right w:w="108" w:type="dxa"/>
          </w:tblCellMar>
        </w:tblPrEx>
        <w:trPr>
          <w:trHeight w:val="330"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CLW</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1.93±0.08</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1.92±0.03</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1.93±0.04</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2.62±0.08</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2.82±0.11</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2.66±0.18</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3.59±0.15</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3.71±0.20</w:t>
            </w:r>
          </w:p>
        </w:tc>
      </w:tr>
      <w:tr>
        <w:tblPrEx>
          <w:tblCellMar>
            <w:top w:w="0" w:type="dxa"/>
            <w:left w:w="108" w:type="dxa"/>
            <w:bottom w:w="0" w:type="dxa"/>
            <w:right w:w="108" w:type="dxa"/>
          </w:tblCellMar>
        </w:tblPrEx>
        <w:trPr>
          <w:trHeight w:val="330"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SGR</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0.76</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0.68</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0.40</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0.72</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0.62</w:t>
            </w:r>
          </w:p>
        </w:tc>
      </w:tr>
      <w:tr>
        <w:tblPrEx>
          <w:tblCellMar>
            <w:top w:w="0" w:type="dxa"/>
            <w:left w:w="108" w:type="dxa"/>
            <w:bottom w:w="0" w:type="dxa"/>
            <w:right w:w="108" w:type="dxa"/>
          </w:tblCellMar>
        </w:tblPrEx>
        <w:trPr>
          <w:trHeight w:val="330"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HSI</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2.9±0.2</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2.9±0.2</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2.9±0.2</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3.0±0.3</w:t>
            </w:r>
            <w:r>
              <w:rPr>
                <w:rFonts w:hint="default" w:ascii="Times New Roman" w:hAnsi="Times New Roman" w:cs="Times New Roman"/>
                <w:color w:val="000000"/>
                <w:kern w:val="0"/>
                <w:szCs w:val="21"/>
                <w:vertAlign w:val="superscript"/>
              </w:rPr>
              <w:t>b</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3.1±0.2</w:t>
            </w:r>
            <w:r>
              <w:rPr>
                <w:rFonts w:hint="default" w:ascii="Times New Roman" w:hAnsi="Times New Roman" w:cs="Times New Roman"/>
                <w:color w:val="000000"/>
                <w:kern w:val="0"/>
                <w:szCs w:val="21"/>
                <w:vertAlign w:val="superscript"/>
              </w:rPr>
              <w:t>b</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2.8±0.3</w:t>
            </w:r>
            <w:r>
              <w:rPr>
                <w:rFonts w:hint="default" w:ascii="Times New Roman" w:hAnsi="Times New Roman" w:cs="Times New Roman"/>
                <w:color w:val="000000"/>
                <w:kern w:val="0"/>
                <w:szCs w:val="21"/>
                <w:vertAlign w:val="superscript"/>
              </w:rPr>
              <w:t>a</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2.6±0.2</w:t>
            </w:r>
            <w:r>
              <w:rPr>
                <w:rFonts w:hint="default" w:ascii="Times New Roman" w:hAnsi="Times New Roman" w:cs="Times New Roman"/>
                <w:color w:val="000000"/>
                <w:kern w:val="0"/>
                <w:szCs w:val="21"/>
                <w:vertAlign w:val="superscript"/>
              </w:rPr>
              <w:t>a</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2.7±0.2</w:t>
            </w:r>
            <w:r>
              <w:rPr>
                <w:rFonts w:hint="default" w:ascii="Times New Roman" w:hAnsi="Times New Roman" w:cs="Times New Roman"/>
                <w:color w:val="000000"/>
                <w:kern w:val="0"/>
                <w:szCs w:val="21"/>
                <w:vertAlign w:val="superscript"/>
              </w:rPr>
              <w:t>b</w:t>
            </w:r>
          </w:p>
        </w:tc>
      </w:tr>
      <w:tr>
        <w:tblPrEx>
          <w:tblCellMar>
            <w:top w:w="0" w:type="dxa"/>
            <w:left w:w="108" w:type="dxa"/>
            <w:bottom w:w="0" w:type="dxa"/>
            <w:right w:w="108" w:type="dxa"/>
          </w:tblCellMar>
        </w:tblPrEx>
        <w:trPr>
          <w:trHeight w:val="330"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FSI</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3.8±0.2</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3.8±0.2</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3.8±0.2</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3.6±0.2</w:t>
            </w:r>
            <w:r>
              <w:rPr>
                <w:rFonts w:hint="default" w:ascii="Times New Roman" w:hAnsi="Times New Roman" w:cs="Times New Roman"/>
                <w:color w:val="000000"/>
                <w:kern w:val="0"/>
                <w:szCs w:val="21"/>
                <w:vertAlign w:val="superscript"/>
              </w:rPr>
              <w:t>b</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4.2±0.2</w:t>
            </w:r>
            <w:r>
              <w:rPr>
                <w:rFonts w:hint="default" w:ascii="Times New Roman" w:hAnsi="Times New Roman" w:cs="Times New Roman"/>
                <w:color w:val="000000"/>
                <w:kern w:val="0"/>
                <w:szCs w:val="21"/>
                <w:vertAlign w:val="superscript"/>
              </w:rPr>
              <w:t>c</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2.9±0.2</w:t>
            </w:r>
            <w:r>
              <w:rPr>
                <w:rFonts w:hint="default" w:ascii="Times New Roman" w:hAnsi="Times New Roman" w:cs="Times New Roman"/>
                <w:color w:val="000000"/>
                <w:kern w:val="0"/>
                <w:szCs w:val="21"/>
                <w:vertAlign w:val="superscript"/>
              </w:rPr>
              <w:t>a</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3.6±0.1</w:t>
            </w:r>
            <w:r>
              <w:rPr>
                <w:rFonts w:hint="default" w:ascii="Times New Roman" w:hAnsi="Times New Roman" w:cs="Times New Roman"/>
                <w:color w:val="000000"/>
                <w:kern w:val="0"/>
                <w:szCs w:val="21"/>
                <w:vertAlign w:val="superscript"/>
              </w:rPr>
              <w:t>a</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3.9±0.2</w:t>
            </w:r>
            <w:r>
              <w:rPr>
                <w:rFonts w:hint="default" w:ascii="Times New Roman" w:hAnsi="Times New Roman" w:cs="Times New Roman"/>
                <w:color w:val="000000"/>
                <w:kern w:val="0"/>
                <w:szCs w:val="21"/>
                <w:vertAlign w:val="superscript"/>
              </w:rPr>
              <w:t>b</w:t>
            </w:r>
          </w:p>
        </w:tc>
      </w:tr>
      <w:tr>
        <w:tblPrEx>
          <w:tblCellMar>
            <w:top w:w="0" w:type="dxa"/>
            <w:left w:w="108" w:type="dxa"/>
            <w:bottom w:w="0" w:type="dxa"/>
            <w:right w:w="108" w:type="dxa"/>
          </w:tblCellMar>
        </w:tblPrEx>
        <w:trPr>
          <w:trHeight w:val="375" w:hRule="atLeast"/>
          <w:jc w:val="center"/>
        </w:trPr>
        <w:tc>
          <w:tcPr>
            <w:tcW w:w="82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GSI</w:t>
            </w:r>
            <w:r>
              <w:rPr>
                <w:rFonts w:hint="default" w:ascii="Times New Roman" w:hAnsi="Times New Roman" w:cs="Times New Roman"/>
                <w:color w:val="000000"/>
                <w:kern w:val="0"/>
                <w:sz w:val="24"/>
                <w:szCs w:val="24"/>
                <w:vertAlign w:val="subscript"/>
              </w:rPr>
              <w:t>W</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2.6±0.1</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2.6±0.1</w:t>
            </w:r>
          </w:p>
        </w:tc>
        <w:tc>
          <w:tcPr>
            <w:tcW w:w="117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2.6±0.1</w:t>
            </w:r>
          </w:p>
        </w:tc>
        <w:tc>
          <w:tcPr>
            <w:tcW w:w="1264"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2.1±0.1</w:t>
            </w:r>
            <w:r>
              <w:rPr>
                <w:rFonts w:hint="default" w:ascii="Times New Roman" w:hAnsi="Times New Roman" w:cs="Times New Roman"/>
                <w:color w:val="000000"/>
                <w:kern w:val="0"/>
                <w:szCs w:val="21"/>
                <w:vertAlign w:val="superscript"/>
              </w:rPr>
              <w:t>a</w:t>
            </w:r>
          </w:p>
        </w:tc>
        <w:tc>
          <w:tcPr>
            <w:tcW w:w="1242"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2.3±0.1</w:t>
            </w:r>
            <w:r>
              <w:rPr>
                <w:rFonts w:hint="default" w:ascii="Times New Roman" w:hAnsi="Times New Roman" w:cs="Times New Roman"/>
                <w:color w:val="000000"/>
                <w:kern w:val="0"/>
                <w:szCs w:val="21"/>
                <w:vertAlign w:val="superscript"/>
              </w:rPr>
              <w:t>b</w:t>
            </w:r>
          </w:p>
        </w:tc>
        <w:tc>
          <w:tcPr>
            <w:tcW w:w="1268"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2.1±0.1</w:t>
            </w:r>
            <w:r>
              <w:rPr>
                <w:rFonts w:hint="default" w:ascii="Times New Roman" w:hAnsi="Times New Roman" w:cs="Times New Roman"/>
                <w:color w:val="000000"/>
                <w:kern w:val="0"/>
                <w:szCs w:val="21"/>
                <w:vertAlign w:val="superscript"/>
              </w:rPr>
              <w:t>a</w:t>
            </w:r>
          </w:p>
        </w:tc>
        <w:tc>
          <w:tcPr>
            <w:tcW w:w="124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2.1±0.0</w:t>
            </w:r>
            <w:r>
              <w:rPr>
                <w:rFonts w:hint="default" w:ascii="Times New Roman" w:hAnsi="Times New Roman" w:cs="Times New Roman"/>
                <w:color w:val="000000"/>
                <w:kern w:val="0"/>
                <w:szCs w:val="21"/>
                <w:vertAlign w:val="superscript"/>
              </w:rPr>
              <w:t>a</w:t>
            </w:r>
          </w:p>
        </w:tc>
        <w:tc>
          <w:tcPr>
            <w:tcW w:w="1250" w:type="dxa"/>
            <w:tcBorders>
              <w:top w:val="nil"/>
              <w:left w:val="nil"/>
              <w:bottom w:val="nil"/>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2.4±0.1</w:t>
            </w:r>
            <w:r>
              <w:rPr>
                <w:rFonts w:hint="default" w:ascii="Times New Roman" w:hAnsi="Times New Roman" w:cs="Times New Roman"/>
                <w:color w:val="000000"/>
                <w:kern w:val="0"/>
                <w:szCs w:val="21"/>
                <w:vertAlign w:val="superscript"/>
              </w:rPr>
              <w:t>b</w:t>
            </w:r>
          </w:p>
        </w:tc>
      </w:tr>
      <w:tr>
        <w:tblPrEx>
          <w:tblCellMar>
            <w:top w:w="0" w:type="dxa"/>
            <w:left w:w="108" w:type="dxa"/>
            <w:bottom w:w="0" w:type="dxa"/>
            <w:right w:w="108" w:type="dxa"/>
          </w:tblCellMar>
        </w:tblPrEx>
        <w:trPr>
          <w:trHeight w:val="390" w:hRule="atLeast"/>
          <w:jc w:val="center"/>
        </w:trPr>
        <w:tc>
          <w:tcPr>
            <w:tcW w:w="824"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GSI</w:t>
            </w:r>
            <w:r>
              <w:rPr>
                <w:rFonts w:hint="default" w:ascii="Times New Roman" w:hAnsi="Times New Roman" w:cs="Times New Roman"/>
                <w:color w:val="000000"/>
                <w:kern w:val="0"/>
                <w:sz w:val="24"/>
                <w:szCs w:val="24"/>
                <w:vertAlign w:val="subscript"/>
              </w:rPr>
              <w:t>L</w:t>
            </w:r>
          </w:p>
        </w:tc>
        <w:tc>
          <w:tcPr>
            <w:tcW w:w="1172"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4.0±0.2</w:t>
            </w:r>
          </w:p>
        </w:tc>
        <w:tc>
          <w:tcPr>
            <w:tcW w:w="1172"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4.0±0.2</w:t>
            </w:r>
          </w:p>
        </w:tc>
        <w:tc>
          <w:tcPr>
            <w:tcW w:w="1172"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4.0±0.2</w:t>
            </w:r>
          </w:p>
        </w:tc>
        <w:tc>
          <w:tcPr>
            <w:tcW w:w="1264"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4.0±0.1</w:t>
            </w:r>
          </w:p>
        </w:tc>
        <w:tc>
          <w:tcPr>
            <w:tcW w:w="1242" w:type="dxa"/>
            <w:tcBorders>
              <w:top w:val="nil"/>
              <w:left w:val="nil"/>
              <w:bottom w:val="single" w:color="auto" w:sz="8" w:space="0"/>
              <w:right w:val="nil"/>
            </w:tcBorders>
            <w:noWrap w:val="0"/>
            <w:vAlign w:val="center"/>
          </w:tcPr>
          <w:p>
            <w:pPr>
              <w:widowControl/>
              <w:ind w:firstLine="210" w:firstLineChars="100"/>
              <w:jc w:val="both"/>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3.9±0.1</w:t>
            </w:r>
          </w:p>
        </w:tc>
        <w:tc>
          <w:tcPr>
            <w:tcW w:w="1268"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4.0±0.1</w:t>
            </w:r>
          </w:p>
        </w:tc>
        <w:tc>
          <w:tcPr>
            <w:tcW w:w="1240"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3.7±0.2</w:t>
            </w:r>
            <w:r>
              <w:rPr>
                <w:rFonts w:hint="default" w:ascii="Times New Roman" w:hAnsi="Times New Roman" w:cs="Times New Roman"/>
                <w:color w:val="000000"/>
                <w:kern w:val="0"/>
                <w:szCs w:val="21"/>
                <w:vertAlign w:val="superscript"/>
              </w:rPr>
              <w:t>b</w:t>
            </w:r>
          </w:p>
        </w:tc>
        <w:tc>
          <w:tcPr>
            <w:tcW w:w="1250" w:type="dxa"/>
            <w:tcBorders>
              <w:top w:val="nil"/>
              <w:left w:val="nil"/>
              <w:bottom w:val="single" w:color="auto" w:sz="8" w:space="0"/>
              <w:right w:val="nil"/>
            </w:tcBorders>
            <w:noWrap w:val="0"/>
            <w:vAlign w:val="center"/>
          </w:tcPr>
          <w:p>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3.5±0.2</w:t>
            </w:r>
            <w:r>
              <w:rPr>
                <w:rFonts w:hint="default" w:ascii="Times New Roman" w:hAnsi="Times New Roman" w:cs="Times New Roman"/>
                <w:color w:val="000000"/>
                <w:kern w:val="0"/>
                <w:szCs w:val="21"/>
                <w:vertAlign w:val="superscript"/>
              </w:rPr>
              <w:t>a</w:t>
            </w:r>
          </w:p>
        </w:tc>
      </w:tr>
    </w:tbl>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BW (g): body weight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CL (cm): carapace length</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CW (cm): carapace width</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0A0A0A"/>
          <w:kern w:val="0"/>
          <w:sz w:val="24"/>
          <w:szCs w:val="24"/>
          <w:shd w:val="clear" w:color="auto" w:fill="FFFFFF"/>
        </w:rPr>
      </w:pPr>
      <w:r>
        <w:rPr>
          <w:rFonts w:hint="default" w:ascii="Times New Roman" w:hAnsi="Times New Roman" w:cs="Times New Roman"/>
          <w:color w:val="000000"/>
          <w:kern w:val="0"/>
          <w:szCs w:val="21"/>
        </w:rPr>
        <w:t>CLW (cm): calipash lateral width</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SGR </w:t>
      </w:r>
      <w:r>
        <w:rPr>
          <w:rFonts w:hint="default" w:ascii="Times New Roman" w:hAnsi="Times New Roman" w:eastAsia="宋体" w:cs="Times New Roman"/>
          <w:color w:val="0A0A0A"/>
          <w:kern w:val="0"/>
          <w:sz w:val="24"/>
          <w:szCs w:val="24"/>
          <w:shd w:val="clear" w:color="auto" w:fill="FFFFFF"/>
        </w:rPr>
        <w:t>(</w:t>
      </w:r>
      <w:r>
        <w:rPr>
          <w:rFonts w:hint="eastAsia" w:ascii="Times New Roman" w:hAnsi="Times New Roman" w:eastAsia="宋体" w:cs="Times New Roman"/>
          <w:color w:val="000000"/>
          <w:kern w:val="0"/>
          <w:szCs w:val="21"/>
          <w:lang w:val="en-US" w:eastAsia="zh-CN"/>
        </w:rPr>
        <w:t>S</w:t>
      </w:r>
      <w:r>
        <w:rPr>
          <w:rFonts w:hint="default" w:ascii="Times New Roman" w:hAnsi="Times New Roman" w:cs="Times New Roman"/>
          <w:color w:val="000000"/>
          <w:kern w:val="0"/>
          <w:szCs w:val="21"/>
        </w:rPr>
        <w:t xml:space="preserve">pecific </w:t>
      </w:r>
      <w:r>
        <w:rPr>
          <w:rFonts w:hint="eastAsia" w:ascii="Times New Roman" w:hAnsi="Times New Roman" w:cs="Times New Roman"/>
          <w:color w:val="000000"/>
          <w:kern w:val="0"/>
          <w:szCs w:val="21"/>
          <w:lang w:val="en-US" w:eastAsia="zh-CN"/>
        </w:rPr>
        <w:t>G</w:t>
      </w:r>
      <w:r>
        <w:rPr>
          <w:rFonts w:hint="default" w:ascii="Times New Roman" w:hAnsi="Times New Roman" w:cs="Times New Roman"/>
          <w:color w:val="000000"/>
          <w:kern w:val="0"/>
          <w:szCs w:val="21"/>
        </w:rPr>
        <w:t xml:space="preserve">rowth </w:t>
      </w:r>
      <w:r>
        <w:rPr>
          <w:rFonts w:hint="eastAsia" w:ascii="Times New Roman" w:hAnsi="Times New Roman" w:cs="Times New Roman"/>
          <w:color w:val="000000"/>
          <w:kern w:val="0"/>
          <w:szCs w:val="21"/>
          <w:lang w:val="en-US" w:eastAsia="zh-CN"/>
        </w:rPr>
        <w:t>R</w:t>
      </w:r>
      <w:r>
        <w:rPr>
          <w:rFonts w:hint="default" w:ascii="Times New Roman" w:hAnsi="Times New Roman" w:cs="Times New Roman"/>
          <w:color w:val="000000"/>
          <w:kern w:val="0"/>
          <w:szCs w:val="21"/>
        </w:rPr>
        <w:t>ate,%/d</w:t>
      </w:r>
      <w:r>
        <w:rPr>
          <w:rFonts w:hint="default" w:ascii="Times New Roman" w:hAnsi="Times New Roman" w:eastAsia="宋体" w:cs="Times New Roman"/>
          <w:color w:val="0A0A0A"/>
          <w:kern w:val="0"/>
          <w:sz w:val="24"/>
          <w:szCs w:val="24"/>
          <w:shd w:val="clear" w:color="auto" w:fill="FFFFFF"/>
        </w:rPr>
        <w:t>):</w:t>
      </w:r>
      <w:r>
        <w:rPr>
          <w:rFonts w:hint="default" w:ascii="Times New Roman" w:hAnsi="Times New Roman" w:cs="Times New Roman"/>
          <w:color w:val="000000"/>
          <w:kern w:val="0"/>
          <w:szCs w:val="21"/>
        </w:rPr>
        <w:t>100×(Ln(BWT)-Ln(BW0))/T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HSI</w:t>
      </w:r>
      <w:r>
        <w:rPr>
          <w:rFonts w:hint="eastAsia" w:ascii="Times New Roman" w:hAnsi="Times New Roman" w:cs="Times New Roman"/>
          <w:color w:val="000000"/>
          <w:kern w:val="0"/>
          <w:szCs w:val="21"/>
          <w:lang w:val="en-US" w:eastAsia="zh-CN"/>
        </w:rPr>
        <w:t xml:space="preserve"> </w:t>
      </w:r>
      <w:r>
        <w:rPr>
          <w:rFonts w:hint="default" w:ascii="Times New Roman" w:hAnsi="Times New Roman" w:cs="Times New Roman"/>
          <w:color w:val="000000"/>
          <w:kern w:val="0"/>
          <w:szCs w:val="21"/>
        </w:rPr>
        <w:t>(Hepatosmatic Index,%)=100</w:t>
      </w:r>
      <w:r>
        <w:rPr>
          <w:rFonts w:hint="default" w:ascii="Times New Roman" w:hAnsi="Times New Roman" w:eastAsia="宋体" w:cs="Times New Roman"/>
          <w:color w:val="000000"/>
          <w:kern w:val="0"/>
          <w:szCs w:val="21"/>
        </w:rPr>
        <w:t>×</w:t>
      </w:r>
      <w:r>
        <w:rPr>
          <w:rFonts w:hint="default" w:ascii="Times New Roman" w:hAnsi="Times New Roman" w:cs="Times New Roman"/>
          <w:color w:val="000000"/>
          <w:kern w:val="0"/>
          <w:szCs w:val="21"/>
        </w:rPr>
        <w:t>liver weight / BW</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FSI</w:t>
      </w:r>
      <w:r>
        <w:rPr>
          <w:rFonts w:hint="eastAsia" w:ascii="Times New Roman" w:hAnsi="Times New Roman" w:cs="Times New Roman"/>
          <w:color w:val="000000"/>
          <w:kern w:val="0"/>
          <w:szCs w:val="21"/>
          <w:lang w:val="en-US" w:eastAsia="zh-CN"/>
        </w:rPr>
        <w:t xml:space="preserve"> </w:t>
      </w:r>
      <w:r>
        <w:rPr>
          <w:rFonts w:hint="default" w:ascii="Times New Roman" w:hAnsi="Times New Roman" w:cs="Times New Roman"/>
          <w:color w:val="000000"/>
          <w:kern w:val="0"/>
          <w:szCs w:val="21"/>
        </w:rPr>
        <w:t>(Clumpy Fat Index,%)=100</w:t>
      </w:r>
      <w:r>
        <w:rPr>
          <w:rFonts w:hint="default" w:ascii="Times New Roman" w:hAnsi="Times New Roman" w:eastAsia="宋体" w:cs="Times New Roman"/>
          <w:color w:val="000000"/>
          <w:kern w:val="0"/>
          <w:szCs w:val="21"/>
        </w:rPr>
        <w:t>×</w:t>
      </w:r>
      <w:r>
        <w:rPr>
          <w:rFonts w:hint="default" w:ascii="Times New Roman" w:hAnsi="Times New Roman" w:cs="Times New Roman"/>
          <w:color w:val="000000"/>
          <w:kern w:val="0"/>
          <w:szCs w:val="21"/>
        </w:rPr>
        <w:t xml:space="preserve">clumpy fat weight/ BW </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GSI</w:t>
      </w:r>
      <w:r>
        <w:rPr>
          <w:rFonts w:hint="default" w:ascii="Times New Roman" w:hAnsi="Times New Roman" w:cs="Times New Roman"/>
          <w:color w:val="000000"/>
          <w:kern w:val="0"/>
          <w:szCs w:val="21"/>
          <w:vertAlign w:val="subscript"/>
        </w:rPr>
        <w:t>w</w:t>
      </w:r>
      <w:r>
        <w:rPr>
          <w:rFonts w:hint="eastAsia" w:ascii="Times New Roman" w:hAnsi="Times New Roman" w:cs="Times New Roman"/>
          <w:color w:val="000000"/>
          <w:kern w:val="0"/>
          <w:szCs w:val="21"/>
          <w:vertAlign w:val="subscript"/>
          <w:lang w:val="en-US" w:eastAsia="zh-CN"/>
        </w:rPr>
        <w:t xml:space="preserve"> </w:t>
      </w:r>
      <w:r>
        <w:rPr>
          <w:rFonts w:hint="default" w:ascii="Times New Roman" w:hAnsi="Times New Roman" w:cs="Times New Roman"/>
          <w:color w:val="000000"/>
          <w:kern w:val="0"/>
          <w:szCs w:val="21"/>
        </w:rPr>
        <w:t>(</w:t>
      </w:r>
      <w:r>
        <w:rPr>
          <w:rFonts w:hint="eastAsia" w:ascii="Times New Roman" w:hAnsi="Times New Roman" w:cs="Times New Roman"/>
          <w:color w:val="000000"/>
          <w:kern w:val="0"/>
          <w:szCs w:val="21"/>
          <w:lang w:val="en-US" w:eastAsia="zh-CN"/>
        </w:rPr>
        <w:t>G</w:t>
      </w:r>
      <w:r>
        <w:rPr>
          <w:rFonts w:hint="default" w:ascii="Times New Roman" w:hAnsi="Times New Roman" w:cs="Times New Roman"/>
          <w:color w:val="000000"/>
          <w:kern w:val="0"/>
          <w:szCs w:val="21"/>
        </w:rPr>
        <w:t>ut-smatic Index on Weight,%)=100</w:t>
      </w:r>
      <w:r>
        <w:rPr>
          <w:rFonts w:hint="default" w:ascii="Times New Roman" w:hAnsi="Times New Roman" w:eastAsia="宋体" w:cs="Times New Roman"/>
          <w:color w:val="000000"/>
          <w:kern w:val="0"/>
          <w:szCs w:val="21"/>
        </w:rPr>
        <w:t>×</w:t>
      </w:r>
      <w:r>
        <w:rPr>
          <w:rFonts w:hint="default" w:ascii="Times New Roman" w:hAnsi="Times New Roman" w:cs="Times New Roman"/>
          <w:color w:val="000000"/>
          <w:kern w:val="0"/>
          <w:szCs w:val="21"/>
        </w:rPr>
        <w:t xml:space="preserve">gut weight/BW  </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GSI</w:t>
      </w:r>
      <w:r>
        <w:rPr>
          <w:rFonts w:hint="default" w:ascii="Times New Roman" w:hAnsi="Times New Roman" w:cs="Times New Roman"/>
          <w:color w:val="000000"/>
          <w:kern w:val="0"/>
          <w:szCs w:val="21"/>
          <w:vertAlign w:val="subscript"/>
        </w:rPr>
        <w:t xml:space="preserve">L </w:t>
      </w:r>
      <w:r>
        <w:rPr>
          <w:rFonts w:hint="default" w:ascii="Times New Roman" w:hAnsi="Times New Roman" w:cs="Times New Roman"/>
          <w:color w:val="000000"/>
          <w:kern w:val="0"/>
          <w:szCs w:val="21"/>
        </w:rPr>
        <w:t>(</w:t>
      </w:r>
      <w:r>
        <w:rPr>
          <w:rFonts w:hint="eastAsia" w:ascii="Times New Roman" w:hAnsi="Times New Roman" w:cs="Times New Roman"/>
          <w:color w:val="000000"/>
          <w:kern w:val="0"/>
          <w:szCs w:val="21"/>
          <w:lang w:val="en-US" w:eastAsia="zh-CN"/>
        </w:rPr>
        <w:t>G</w:t>
      </w:r>
      <w:r>
        <w:rPr>
          <w:rFonts w:hint="default" w:ascii="Times New Roman" w:hAnsi="Times New Roman" w:cs="Times New Roman"/>
          <w:color w:val="000000"/>
          <w:kern w:val="0"/>
          <w:szCs w:val="21"/>
        </w:rPr>
        <w:t>ut-smatic Index on Length) =</w:t>
      </w:r>
      <w:r>
        <w:rPr>
          <w:rFonts w:hint="default" w:ascii="Times New Roman" w:hAnsi="Times New Roman" w:cs="Times New Roman"/>
          <w:color w:val="000000"/>
          <w:kern w:val="0"/>
          <w:sz w:val="28"/>
          <w:szCs w:val="28"/>
        </w:rPr>
        <w:t xml:space="preserve"> </w:t>
      </w:r>
      <w:r>
        <w:rPr>
          <w:rFonts w:hint="default" w:ascii="Times New Roman" w:hAnsi="Times New Roman" w:cs="Times New Roman"/>
          <w:color w:val="000000"/>
          <w:kern w:val="0"/>
          <w:szCs w:val="21"/>
        </w:rPr>
        <w:t>gut length/ Carapace length</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bCs/>
          <w:sz w:val="24"/>
          <w:szCs w:val="24"/>
        </w:rPr>
        <w:t>Generally, the alpha diversity indices of microbes in later gut were higher than those in former gut. Besides, it was obviously lower in initial turtle guts from hothouse (</w:t>
      </w:r>
      <w:r>
        <w:rPr>
          <w:rFonts w:hint="default" w:ascii="Times New Roman" w:hAnsi="Times New Roman" w:cs="Times New Roman"/>
          <w:bCs/>
          <w:i/>
          <w:iCs/>
          <w:color w:val="auto"/>
          <w:sz w:val="24"/>
          <w:szCs w:val="24"/>
          <w:lang w:val="en-US" w:eastAsia="zh-CN"/>
        </w:rPr>
        <w:t>p</w:t>
      </w:r>
      <w:r>
        <w:rPr>
          <w:rFonts w:hint="default" w:ascii="Times New Roman" w:hAnsi="Times New Roman" w:cs="Times New Roman"/>
          <w:bCs/>
          <w:sz w:val="24"/>
          <w:szCs w:val="24"/>
        </w:rPr>
        <w:t>&lt;0.05), whereas obviously higher in turtle gut sampled from paddy fields than ponds and lake</w:t>
      </w:r>
      <w:r>
        <w:rPr>
          <w:rFonts w:hint="eastAsia" w:ascii="Times New Roman" w:hAnsi="Times New Roman" w:cs="Times New Roman"/>
          <w:bCs/>
          <w:sz w:val="24"/>
          <w:szCs w:val="24"/>
          <w:lang w:val="en-US" w:eastAsia="zh-CN"/>
        </w:rPr>
        <w:t>. The grouping details were listed in Table2.</w:t>
      </w:r>
    </w:p>
    <w:p>
      <w:pPr>
        <w:jc w:val="left"/>
        <w:rPr>
          <w:rFonts w:hint="eastAsia" w:ascii="Times New Roman" w:hAnsi="Times New Roman" w:cs="Times New Roman"/>
          <w:b/>
          <w:bCs/>
          <w:szCs w:val="21"/>
          <w:lang w:val="en-US" w:eastAsia="zh-CN"/>
        </w:rPr>
      </w:pPr>
      <w:r>
        <w:rPr>
          <w:rFonts w:hint="default" w:ascii="Times New Roman" w:hAnsi="Times New Roman" w:cs="Times New Roman"/>
          <w:bCs/>
          <w:sz w:val="24"/>
          <w:szCs w:val="24"/>
          <w:highlight w:val="none"/>
        </w:rPr>
        <w:drawing>
          <wp:inline distT="0" distB="0" distL="114300" distR="114300">
            <wp:extent cx="5518785" cy="3237865"/>
            <wp:effectExtent l="0" t="0" r="5715" b="635"/>
            <wp:docPr id="1" name="图片 1" descr="alpha d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lpha diversity"/>
                    <pic:cNvPicPr>
                      <a:picLocks noChangeAspect="1"/>
                    </pic:cNvPicPr>
                  </pic:nvPicPr>
                  <pic:blipFill>
                    <a:blip r:embed="rId5"/>
                    <a:stretch>
                      <a:fillRect/>
                    </a:stretch>
                  </pic:blipFill>
                  <pic:spPr>
                    <a:xfrm>
                      <a:off x="0" y="0"/>
                      <a:ext cx="5518785" cy="3237865"/>
                    </a:xfrm>
                    <a:prstGeom prst="rect">
                      <a:avLst/>
                    </a:prstGeom>
                    <a:noFill/>
                    <a:ln>
                      <a:noFill/>
                    </a:ln>
                  </pic:spPr>
                </pic:pic>
              </a:graphicData>
            </a:graphic>
          </wp:inline>
        </w:drawing>
      </w:r>
    </w:p>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lnNumType w:countBy="0"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roman"/>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19</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95401C"/>
    <w:multiLevelType w:val="singleLevel"/>
    <w:tmpl w:val="A795401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EB3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Emphasis"/>
    <w:basedOn w:val="5"/>
    <w:qFormat/>
    <w:uiPriority w:val="20"/>
    <w:rPr>
      <w:i/>
      <w:i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2020-08-07T10:33:33Z</dcterms:created>
  <dc:creator>Administrator</dc:creator>
  <cp:lastModifiedBy>ben</cp:lastModifiedBy>
  <dcterms:modified xsi:type="dcterms:W3CDTF">2020-08-07T10:35:59Z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