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21D5C" w14:textId="366134B0" w:rsidR="00244E92" w:rsidRPr="0048540B" w:rsidRDefault="007657B8" w:rsidP="0048540B">
      <w:pPr>
        <w:spacing w:line="480" w:lineRule="auto"/>
        <w:contextualSpacing/>
        <w:jc w:val="left"/>
        <w:rPr>
          <w:rFonts w:ascii="Times New Roman" w:hAnsi="Times New Roman"/>
          <w:b/>
          <w:bCs/>
          <w:sz w:val="24"/>
        </w:rPr>
      </w:pPr>
      <w:r w:rsidRPr="0048540B">
        <w:rPr>
          <w:rFonts w:ascii="Times New Roman" w:hAnsi="Times New Roman"/>
          <w:b/>
          <w:bCs/>
          <w:sz w:val="24"/>
        </w:rPr>
        <w:t xml:space="preserve">Methods for the </w:t>
      </w:r>
      <w:r w:rsidR="00152521">
        <w:rPr>
          <w:rFonts w:ascii="Times New Roman" w:hAnsi="Times New Roman"/>
          <w:b/>
          <w:bCs/>
          <w:sz w:val="24"/>
        </w:rPr>
        <w:t>D</w:t>
      </w:r>
      <w:r w:rsidRPr="0048540B">
        <w:rPr>
          <w:rFonts w:ascii="Times New Roman" w:hAnsi="Times New Roman"/>
          <w:b/>
          <w:bCs/>
          <w:sz w:val="24"/>
        </w:rPr>
        <w:t xml:space="preserve">etermination of </w:t>
      </w:r>
      <w:r w:rsidR="00152521">
        <w:rPr>
          <w:rFonts w:ascii="Times New Roman" w:hAnsi="Times New Roman"/>
          <w:b/>
          <w:bCs/>
          <w:sz w:val="24"/>
        </w:rPr>
        <w:t>P</w:t>
      </w:r>
      <w:r w:rsidRPr="0048540B">
        <w:rPr>
          <w:rFonts w:ascii="Times New Roman" w:hAnsi="Times New Roman"/>
          <w:b/>
          <w:bCs/>
          <w:sz w:val="24"/>
        </w:rPr>
        <w:t xml:space="preserve">hysiological </w:t>
      </w:r>
      <w:r w:rsidR="00152521">
        <w:rPr>
          <w:rFonts w:ascii="Times New Roman" w:hAnsi="Times New Roman"/>
          <w:b/>
          <w:bCs/>
          <w:sz w:val="24"/>
        </w:rPr>
        <w:t>I</w:t>
      </w:r>
      <w:r w:rsidRPr="0048540B">
        <w:rPr>
          <w:rFonts w:ascii="Times New Roman" w:hAnsi="Times New Roman"/>
          <w:b/>
          <w:bCs/>
          <w:sz w:val="24"/>
        </w:rPr>
        <w:t>ndexes</w:t>
      </w:r>
    </w:p>
    <w:p w14:paraId="1F1D4C55" w14:textId="0CDB29DD" w:rsidR="00244E92" w:rsidRPr="0048540B" w:rsidRDefault="007657B8" w:rsidP="0048540B">
      <w:pPr>
        <w:spacing w:line="480" w:lineRule="auto"/>
        <w:contextualSpacing/>
        <w:jc w:val="left"/>
        <w:rPr>
          <w:rFonts w:ascii="Times New Roman" w:hAnsi="Times New Roman"/>
          <w:sz w:val="24"/>
        </w:rPr>
      </w:pPr>
      <w:r w:rsidRPr="0048540B">
        <w:rPr>
          <w:rFonts w:ascii="Times New Roman" w:hAnsi="Times New Roman"/>
          <w:sz w:val="24"/>
        </w:rPr>
        <w:t xml:space="preserve">The protein content was measured using the bicinchoninic acid (BCA) assay as described by </w:t>
      </w:r>
      <w:r w:rsidR="00AD2241">
        <w:rPr>
          <w:rFonts w:ascii="Times New Roman" w:hAnsi="Times New Roman"/>
          <w:noProof/>
          <w:sz w:val="24"/>
        </w:rPr>
        <w:t>Campion et al. (2016)</w:t>
      </w:r>
      <w:r w:rsidRPr="0048540B">
        <w:rPr>
          <w:rFonts w:ascii="Times New Roman" w:hAnsi="Times New Roman"/>
          <w:sz w:val="24"/>
        </w:rPr>
        <w:t>. Briefly, 0–100 μg of protein standard was prepared and diluted to 100 μL using hydrogen peroxide, with 100 μL of pure water acting as a blank. Next, 2 mL of BCA working solution was added to tubes containing 100 μL of sample (three biological replicates per treatment), standard, or blank and mixed thoroughly. The tubes were incubated at 60°C for 15 min and then cooled to room temperature. The absorbance of the sample solutions was measured by spectrophotometry. The protein concentration in the samples was estimated based on the standard curve.</w:t>
      </w:r>
    </w:p>
    <w:p w14:paraId="420620BC" w14:textId="4688CD5A" w:rsidR="00244E92" w:rsidRPr="0048540B" w:rsidRDefault="007657B8" w:rsidP="0048540B">
      <w:pPr>
        <w:spacing w:line="480" w:lineRule="auto"/>
        <w:ind w:firstLine="720"/>
        <w:contextualSpacing/>
        <w:jc w:val="left"/>
        <w:rPr>
          <w:rFonts w:ascii="Times New Roman" w:hAnsi="Times New Roman"/>
          <w:sz w:val="24"/>
        </w:rPr>
      </w:pPr>
      <w:r w:rsidRPr="0048540B">
        <w:rPr>
          <w:rFonts w:ascii="Times New Roman" w:hAnsi="Times New Roman"/>
          <w:sz w:val="24"/>
        </w:rPr>
        <w:t>The total amino acid content was determined by ninhydrin assay</w:t>
      </w:r>
      <w:r w:rsidR="00AD2241">
        <w:rPr>
          <w:rFonts w:ascii="Times New Roman" w:hAnsi="Times New Roman"/>
          <w:sz w:val="24"/>
        </w:rPr>
        <w:t xml:space="preserve"> </w:t>
      </w:r>
      <w:r w:rsidR="00AD2241">
        <w:rPr>
          <w:rFonts w:ascii="Times New Roman" w:hAnsi="Times New Roman"/>
          <w:noProof/>
          <w:sz w:val="24"/>
        </w:rPr>
        <w:t>(Chen et al., 2017)</w:t>
      </w:r>
      <w:r w:rsidRPr="0048540B">
        <w:rPr>
          <w:rFonts w:ascii="Times New Roman" w:hAnsi="Times New Roman"/>
          <w:sz w:val="24"/>
        </w:rPr>
        <w:t xml:space="preserve">. Pure water was used as a blank, and glutamic acid was used as a standard. The samples were ground into powder with liquid nitrogen. Then, the blank, standard, and samples were transferred into centrifuge tubes containing 10 mL of distilled water and extracted by incubating in a boiling water bath for 45 min. After centrifugation (10,000 </w:t>
      </w:r>
      <w:r w:rsidRPr="0048540B">
        <w:rPr>
          <w:rFonts w:ascii="Times New Roman" w:hAnsi="Times New Roman"/>
          <w:i/>
          <w:sz w:val="24"/>
        </w:rPr>
        <w:t>g</w:t>
      </w:r>
      <w:r w:rsidRPr="0048540B">
        <w:rPr>
          <w:rFonts w:ascii="Times New Roman" w:hAnsi="Times New Roman"/>
          <w:sz w:val="24"/>
        </w:rPr>
        <w:t xml:space="preserve"> for 10 min), the supernatants (1 mL each) were added to tubes containing 0.5 mL of 2% ninhydrin reagent and 0.5 mL of phosphate buffer (pH 8.0). The sample solutions were well mixed and allowed to react in a boiling water bath for 15 min. After cooling to room temperature, each tube was added to 8 mL of pure water and left to stand for 10 min.</w:t>
      </w:r>
    </w:p>
    <w:p w14:paraId="0022AD8F" w14:textId="29363241" w:rsidR="00244E92" w:rsidRPr="0048540B" w:rsidRDefault="007657B8" w:rsidP="0048540B">
      <w:pPr>
        <w:spacing w:line="480" w:lineRule="auto"/>
        <w:ind w:firstLine="720"/>
        <w:contextualSpacing/>
        <w:jc w:val="left"/>
        <w:rPr>
          <w:rFonts w:ascii="Times New Roman" w:hAnsi="Times New Roman"/>
          <w:sz w:val="24"/>
        </w:rPr>
      </w:pPr>
      <w:r w:rsidRPr="0048540B">
        <w:rPr>
          <w:rFonts w:ascii="Times New Roman" w:hAnsi="Times New Roman"/>
          <w:sz w:val="24"/>
        </w:rPr>
        <w:t>The root NO</w:t>
      </w:r>
      <w:r w:rsidRPr="0048540B">
        <w:rPr>
          <w:rFonts w:ascii="Times New Roman" w:hAnsi="Times New Roman"/>
          <w:sz w:val="24"/>
          <w:vertAlign w:val="subscript"/>
        </w:rPr>
        <w:t>3</w:t>
      </w:r>
      <w:r w:rsidRPr="0048540B">
        <w:rPr>
          <w:rFonts w:ascii="Times New Roman" w:hAnsi="Times New Roman"/>
          <w:sz w:val="24"/>
          <w:vertAlign w:val="superscript"/>
        </w:rPr>
        <w:t>-</w:t>
      </w:r>
      <w:r w:rsidRPr="0048540B">
        <w:rPr>
          <w:rFonts w:ascii="Times New Roman" w:hAnsi="Times New Roman"/>
          <w:sz w:val="24"/>
        </w:rPr>
        <w:t xml:space="preserve"> content was determined by the salicylic acid assay according to </w:t>
      </w:r>
      <w:r w:rsidR="00AD2241">
        <w:rPr>
          <w:rFonts w:ascii="Times New Roman" w:hAnsi="Times New Roman"/>
          <w:noProof/>
          <w:sz w:val="24"/>
        </w:rPr>
        <w:t>Liu et al. (2017)</w:t>
      </w:r>
      <w:r w:rsidRPr="0048540B">
        <w:rPr>
          <w:rFonts w:ascii="Times New Roman" w:hAnsi="Times New Roman"/>
          <w:sz w:val="24"/>
        </w:rPr>
        <w:t xml:space="preserve">. The root samples from each treatment were dried in a ventilated oven at 80°C to constant weight. Dry roots (200 mg each) were ground into powder and transferred to tubes containing 10 </w:t>
      </w:r>
      <w:r w:rsidRPr="0048540B">
        <w:rPr>
          <w:rFonts w:ascii="Times New Roman" w:hAnsi="Times New Roman"/>
          <w:sz w:val="24"/>
        </w:rPr>
        <w:lastRenderedPageBreak/>
        <w:t>mL of pure water, where they were extracted for 2.5 hours. At that time, the sample, blank (pure water), and NO</w:t>
      </w:r>
      <w:r w:rsidRPr="0048540B">
        <w:rPr>
          <w:rFonts w:ascii="Times New Roman" w:hAnsi="Times New Roman"/>
          <w:sz w:val="24"/>
          <w:vertAlign w:val="subscript"/>
        </w:rPr>
        <w:t>3</w:t>
      </w:r>
      <w:r w:rsidRPr="0048540B">
        <w:rPr>
          <w:rFonts w:ascii="Times New Roman" w:hAnsi="Times New Roman"/>
          <w:sz w:val="24"/>
          <w:vertAlign w:val="superscript"/>
        </w:rPr>
        <w:t>-</w:t>
      </w:r>
      <w:r w:rsidRPr="0048540B">
        <w:rPr>
          <w:rFonts w:ascii="Times New Roman" w:hAnsi="Times New Roman"/>
          <w:sz w:val="24"/>
        </w:rPr>
        <w:t xml:space="preserve"> standard solutions (0.2 mL each) were transferred into 10% (mass ratio) salicylic acid and mixed in 96% sulfuric acid. The absorbance of the sample solutions was measured spectrophotometrically. The NO</w:t>
      </w:r>
      <w:r w:rsidRPr="0048540B">
        <w:rPr>
          <w:rFonts w:ascii="Times New Roman" w:hAnsi="Times New Roman"/>
          <w:sz w:val="24"/>
          <w:vertAlign w:val="subscript"/>
        </w:rPr>
        <w:t>3</w:t>
      </w:r>
      <w:r w:rsidRPr="0048540B">
        <w:rPr>
          <w:rFonts w:ascii="Times New Roman" w:hAnsi="Times New Roman"/>
          <w:sz w:val="24"/>
          <w:vertAlign w:val="superscript"/>
        </w:rPr>
        <w:t>-</w:t>
      </w:r>
      <w:r w:rsidRPr="0048540B">
        <w:rPr>
          <w:rFonts w:ascii="Times New Roman" w:hAnsi="Times New Roman"/>
          <w:sz w:val="24"/>
        </w:rPr>
        <w:t xml:space="preserve"> concentration in the samples was estimated based on the standard curve. In accordance with the method by </w:t>
      </w:r>
      <w:r w:rsidR="00AD2241">
        <w:rPr>
          <w:rFonts w:ascii="Times New Roman" w:hAnsi="Times New Roman"/>
          <w:noProof/>
          <w:sz w:val="24"/>
        </w:rPr>
        <w:t>Prinsi et al. (2020)</w:t>
      </w:r>
      <w:r w:rsidRPr="0048540B">
        <w:rPr>
          <w:rFonts w:ascii="Times New Roman" w:hAnsi="Times New Roman"/>
          <w:sz w:val="24"/>
        </w:rPr>
        <w:t xml:space="preserve">, five volumes (v/w) of 10 mM formic acid prepared in an ice bath were added to centrifuge tubes containing the samples, followed by homogenisation at 4°C for 15 min. Following centrifugation (14,000 </w:t>
      </w:r>
      <w:r w:rsidRPr="0048540B">
        <w:rPr>
          <w:rFonts w:ascii="Times New Roman" w:hAnsi="Times New Roman"/>
          <w:i/>
          <w:sz w:val="24"/>
        </w:rPr>
        <w:t xml:space="preserve">g </w:t>
      </w:r>
      <w:r w:rsidRPr="0048540B">
        <w:rPr>
          <w:rFonts w:ascii="Times New Roman" w:hAnsi="Times New Roman"/>
          <w:sz w:val="24"/>
        </w:rPr>
        <w:t>for 10 min at 4°C), the supernatants were filtered, and the NH</w:t>
      </w:r>
      <w:r w:rsidRPr="0048540B">
        <w:rPr>
          <w:rFonts w:ascii="Times New Roman" w:hAnsi="Times New Roman"/>
          <w:sz w:val="24"/>
          <w:vertAlign w:val="subscript"/>
        </w:rPr>
        <w:t>4</w:t>
      </w:r>
      <w:r w:rsidRPr="0048540B">
        <w:rPr>
          <w:rFonts w:ascii="Times New Roman" w:hAnsi="Times New Roman"/>
          <w:sz w:val="24"/>
          <w:vertAlign w:val="superscript"/>
        </w:rPr>
        <w:t>+</w:t>
      </w:r>
      <w:r w:rsidRPr="0048540B">
        <w:rPr>
          <w:rFonts w:ascii="Times New Roman" w:hAnsi="Times New Roman"/>
          <w:sz w:val="24"/>
        </w:rPr>
        <w:t xml:space="preserve"> concentration was assayed by colourimetry.</w:t>
      </w:r>
    </w:p>
    <w:p w14:paraId="4D68F195" w14:textId="77777777" w:rsidR="00244E92" w:rsidRPr="0048540B" w:rsidRDefault="007657B8" w:rsidP="0048540B">
      <w:pPr>
        <w:spacing w:line="480" w:lineRule="auto"/>
        <w:ind w:firstLine="720"/>
        <w:contextualSpacing/>
        <w:jc w:val="left"/>
        <w:rPr>
          <w:rFonts w:ascii="Times New Roman" w:hAnsi="Times New Roman"/>
          <w:sz w:val="24"/>
        </w:rPr>
      </w:pPr>
      <w:r w:rsidRPr="0048540B">
        <w:rPr>
          <w:rFonts w:ascii="Times New Roman" w:hAnsi="Times New Roman"/>
          <w:sz w:val="24"/>
        </w:rPr>
        <w:t>The total nitrogen content was determined by the Kjeldahl method. The samples were added to digestion tubes containing 10 mL of concentrated sulfuric acid and digested until the sample solutions were clear. Thereafter, the digestion tubes were fixed on an automatic Kjeldahl nitrogen analyser (Hanon kll00, China) to determine the total nitrogen content of the roots.</w:t>
      </w:r>
    </w:p>
    <w:p w14:paraId="4E08C888" w14:textId="78C715B9" w:rsidR="00244E92" w:rsidRPr="0048540B" w:rsidRDefault="007657B8" w:rsidP="0048540B">
      <w:pPr>
        <w:spacing w:line="480" w:lineRule="auto"/>
        <w:ind w:firstLine="720"/>
        <w:contextualSpacing/>
        <w:jc w:val="left"/>
        <w:rPr>
          <w:rFonts w:ascii="Times New Roman" w:hAnsi="Times New Roman"/>
          <w:sz w:val="24"/>
        </w:rPr>
      </w:pPr>
      <w:r w:rsidRPr="0048540B">
        <w:rPr>
          <w:rFonts w:ascii="Times New Roman" w:hAnsi="Times New Roman"/>
          <w:sz w:val="24"/>
        </w:rPr>
        <w:t xml:space="preserve">The PRO concentration was measured by the method of </w:t>
      </w:r>
      <w:r w:rsidR="00AD2241">
        <w:rPr>
          <w:rFonts w:ascii="Times New Roman" w:hAnsi="Times New Roman"/>
          <w:noProof/>
          <w:sz w:val="24"/>
        </w:rPr>
        <w:t>Vieira et al. (2010)</w:t>
      </w:r>
      <w:r w:rsidRPr="0048540B">
        <w:rPr>
          <w:rFonts w:ascii="Times New Roman" w:hAnsi="Times New Roman"/>
          <w:sz w:val="24"/>
        </w:rPr>
        <w:t xml:space="preserve">. Briefly, a 10-mL sample was diluted with pure water to a final volume of 200 mL. Then, a 1.0-mL aliquot was transferred to a tube to which 1 mL formic acid and 2 mL ninhydrin were added. The mixture was mixed well and incubated in a boiling water bath for 15 min. After cooling, the sample solution was added to 10 mL of </w:t>
      </w:r>
      <w:r w:rsidRPr="0048540B">
        <w:rPr>
          <w:rFonts w:ascii="Times New Roman" w:hAnsi="Times New Roman"/>
          <w:i/>
          <w:sz w:val="24"/>
        </w:rPr>
        <w:t>n</w:t>
      </w:r>
      <w:r w:rsidRPr="0048540B">
        <w:rPr>
          <w:rFonts w:ascii="Times New Roman" w:hAnsi="Times New Roman"/>
          <w:sz w:val="24"/>
        </w:rPr>
        <w:t>-butyl acetate and mixed thoroughly. The organic phase was filtered through filter paper containing anhydrous sodium sulfate, and the PRO concentration was measured spectrophotometrically.</w:t>
      </w:r>
    </w:p>
    <w:p w14:paraId="4201E4BE" w14:textId="08995D1C" w:rsidR="00244E92" w:rsidRPr="0048540B" w:rsidRDefault="007657B8" w:rsidP="0048540B">
      <w:pPr>
        <w:spacing w:line="480" w:lineRule="auto"/>
        <w:ind w:firstLine="720"/>
        <w:contextualSpacing/>
        <w:jc w:val="left"/>
        <w:rPr>
          <w:rFonts w:ascii="Times New Roman" w:hAnsi="Times New Roman"/>
          <w:sz w:val="24"/>
        </w:rPr>
      </w:pPr>
      <w:r w:rsidRPr="0048540B">
        <w:rPr>
          <w:rFonts w:ascii="Times New Roman" w:hAnsi="Times New Roman"/>
          <w:sz w:val="24"/>
        </w:rPr>
        <w:t xml:space="preserve">The MDA concentration was measured with the thiobarbituric acid (TBA) assay as </w:t>
      </w:r>
      <w:r w:rsidRPr="0048540B">
        <w:rPr>
          <w:rFonts w:ascii="Times New Roman" w:hAnsi="Times New Roman"/>
          <w:sz w:val="24"/>
        </w:rPr>
        <w:lastRenderedPageBreak/>
        <w:t xml:space="preserve">described by </w:t>
      </w:r>
      <w:r w:rsidR="00AD2241">
        <w:rPr>
          <w:rFonts w:ascii="Times New Roman" w:hAnsi="Times New Roman"/>
          <w:noProof/>
          <w:sz w:val="24"/>
        </w:rPr>
        <w:t>Castrejón and Yatsimirsky (1997)</w:t>
      </w:r>
      <w:r w:rsidRPr="0048540B">
        <w:rPr>
          <w:rFonts w:ascii="Times New Roman" w:hAnsi="Times New Roman"/>
          <w:sz w:val="24"/>
        </w:rPr>
        <w:t xml:space="preserve">. The root sample (0.3 g) was added to 2 mL of 0.05 mol/L phosphate buffer and ground into a homogenate. The homogenate was transferred to a tube, and the mortar was rinsed with 3 mL of 0.05 mol/L phosphate buffer. The extract was added to 5 mL of 0.5% TBA and mixed well. The tube was kept in a boiling water bath for 10 min and then immediately transferred to a cold water bath. After cooling, the solution was centrifuged at 3000 </w:t>
      </w:r>
      <w:r w:rsidRPr="0048540B">
        <w:rPr>
          <w:rFonts w:ascii="Times New Roman" w:hAnsi="Times New Roman"/>
          <w:i/>
          <w:sz w:val="24"/>
        </w:rPr>
        <w:t>g</w:t>
      </w:r>
      <w:r w:rsidRPr="0048540B">
        <w:rPr>
          <w:rFonts w:ascii="Times New Roman" w:hAnsi="Times New Roman"/>
          <w:sz w:val="24"/>
        </w:rPr>
        <w:t xml:space="preserve"> for 15 min, and the supernatant was taken to measure the MDA concentration spectrophotometrically.</w:t>
      </w:r>
    </w:p>
    <w:p w14:paraId="5DB136F8" w14:textId="255AB8FE" w:rsidR="0048540B" w:rsidRPr="0048540B" w:rsidRDefault="007657B8" w:rsidP="0048540B">
      <w:pPr>
        <w:spacing w:line="480" w:lineRule="auto"/>
        <w:ind w:firstLine="720"/>
        <w:contextualSpacing/>
        <w:jc w:val="left"/>
        <w:rPr>
          <w:rFonts w:ascii="Times New Roman" w:hAnsi="Times New Roman"/>
          <w:sz w:val="24"/>
        </w:rPr>
      </w:pPr>
      <w:r w:rsidRPr="0048540B">
        <w:rPr>
          <w:rFonts w:ascii="Times New Roman" w:hAnsi="Times New Roman"/>
          <w:sz w:val="24"/>
        </w:rPr>
        <w:t xml:space="preserve">High-performance liquid chromatography was used to measure the levels of hormones (IAA, ABA, ZA, and GA3). In brief, approximately 0.1 g of root sample was added to 1 mL of precooled reagent I (methanol:water:acetic acid = 80:20:1), extracted overnight at 4°C, and centrifuged at 8000 </w:t>
      </w:r>
      <w:r w:rsidRPr="0048540B">
        <w:rPr>
          <w:rFonts w:ascii="Times New Roman" w:hAnsi="Times New Roman"/>
          <w:i/>
          <w:sz w:val="24"/>
        </w:rPr>
        <w:t>g</w:t>
      </w:r>
      <w:r w:rsidRPr="0048540B">
        <w:rPr>
          <w:rFonts w:ascii="Times New Roman" w:hAnsi="Times New Roman"/>
          <w:sz w:val="24"/>
        </w:rPr>
        <w:t xml:space="preserve"> for 10 min. Next, the residue was extracted with 0.5 mL of reagent 1 (methanol:water:acetic acid = 80:20:1) for 2 hours and then centrifuged. The two supernatants were combined and blown with nitrogen gas at 40°C until there was no organic phase. After that, the sample was added to 0.5 mL of reagent II (petroleum ether), extracted, and decolourised three times at 60°C to 90°C. The upper ether phase was discarded, and the remainder was added to reagent III (saturated citric acid solution) to adjust the pH to 2.8. Then, the sample was extracted three times with reagent IV (ethyl acetate), the organic phases were combined, and the sample was blow-dried with nitrogen. The dry sample was added to 0.5 mL of reagent V (methanol), vortexed, shaken to dissolve, and passed through a syringe filter before use. Chromatographic analysis was completed on a RIGOL L3000 high-performance liquid chromatograph (RIGOL, China) equipped with a RIGOL C18 reversed-phase column (250 </w:t>
      </w:r>
      <w:r w:rsidRPr="0048540B">
        <w:rPr>
          <w:rFonts w:ascii="Times New Roman" w:hAnsi="Times New Roman"/>
          <w:sz w:val="24"/>
        </w:rPr>
        <w:lastRenderedPageBreak/>
        <w:t>mm×4.6 mm, 5 μm; RIGOL) at an ultraviolet wavelength of 254 nm. For IAA, ABA, and ZA quantification, the following parameters were used: column temperature, 35°C; time, 40 min; flow rate, 0.8 mL/min; injection volume, 10 μL; mobile phase A: 1% aqueous acetic acid solution; mobile phase B: methanol (A:B = 6:4). For GA3 analysis, the parameters were as follows: column temperature, 30°C; time, 30 min; flow rate, 1 mL/min; injection volume, 10 μL; mobile phase A: 1% aqueous acetic acid solution; mobile phase B: methanol (A:B = 7.5:3.5).</w:t>
      </w:r>
    </w:p>
    <w:p w14:paraId="7B89EC3B" w14:textId="77777777" w:rsidR="0048540B" w:rsidRPr="0048540B" w:rsidRDefault="0048540B" w:rsidP="0048540B">
      <w:pPr>
        <w:widowControl/>
        <w:spacing w:line="480" w:lineRule="auto"/>
        <w:contextualSpacing/>
        <w:jc w:val="left"/>
        <w:rPr>
          <w:rFonts w:ascii="Times New Roman" w:hAnsi="Times New Roman"/>
          <w:sz w:val="24"/>
        </w:rPr>
      </w:pPr>
      <w:r w:rsidRPr="0048540B">
        <w:rPr>
          <w:rFonts w:ascii="Times New Roman" w:hAnsi="Times New Roman"/>
          <w:sz w:val="24"/>
        </w:rPr>
        <w:br w:type="page"/>
      </w:r>
    </w:p>
    <w:p w14:paraId="7296C226" w14:textId="77777777" w:rsidR="00F6724F" w:rsidRPr="0048540B" w:rsidRDefault="007657B8" w:rsidP="0048540B">
      <w:pPr>
        <w:spacing w:line="480" w:lineRule="auto"/>
        <w:contextualSpacing/>
        <w:jc w:val="left"/>
        <w:rPr>
          <w:rFonts w:ascii="Times New Roman" w:hAnsi="Times New Roman"/>
          <w:b/>
          <w:bCs/>
          <w:noProof/>
          <w:sz w:val="24"/>
        </w:rPr>
      </w:pPr>
      <w:r w:rsidRPr="0048540B">
        <w:rPr>
          <w:rFonts w:ascii="Times New Roman" w:hAnsi="Times New Roman"/>
          <w:b/>
          <w:bCs/>
          <w:sz w:val="24"/>
        </w:rPr>
        <w:lastRenderedPageBreak/>
        <w:t>References</w:t>
      </w:r>
      <w:bookmarkStart w:id="0" w:name="_GoBack"/>
      <w:bookmarkEnd w:id="0"/>
    </w:p>
    <w:p w14:paraId="3601A587" w14:textId="63B23403" w:rsidR="00414548" w:rsidRPr="00414548" w:rsidRDefault="00414548" w:rsidP="00414548">
      <w:pPr>
        <w:pStyle w:val="EndNoteBibliography"/>
        <w:spacing w:line="480" w:lineRule="auto"/>
        <w:ind w:left="720" w:hanging="720"/>
        <w:contextualSpacing/>
        <w:rPr>
          <w:rFonts w:ascii="Times New Roman" w:hAnsi="Times New Roman"/>
          <w:sz w:val="24"/>
        </w:rPr>
      </w:pPr>
      <w:r w:rsidRPr="00414548">
        <w:rPr>
          <w:rFonts w:ascii="Times New Roman" w:hAnsi="Times New Roman"/>
          <w:sz w:val="24"/>
        </w:rPr>
        <w:t>Campion, E.M., Loughran, S.T., Walls, D., 2016. Protein quantitation and analysis of purity. Methods Mol. Biol. 1485, 225–255. https://doi.org/10.1007/978-1-4939-6412-3_12.</w:t>
      </w:r>
    </w:p>
    <w:p w14:paraId="038B8699" w14:textId="4026722E" w:rsidR="00414548" w:rsidRPr="00414548" w:rsidRDefault="00414548" w:rsidP="00414548">
      <w:pPr>
        <w:pStyle w:val="EndNoteBibliography"/>
        <w:spacing w:line="480" w:lineRule="auto"/>
        <w:ind w:left="720" w:hanging="720"/>
        <w:contextualSpacing/>
        <w:rPr>
          <w:rFonts w:ascii="Times New Roman" w:hAnsi="Times New Roman"/>
          <w:sz w:val="24"/>
        </w:rPr>
      </w:pPr>
      <w:r w:rsidRPr="00414548">
        <w:rPr>
          <w:rFonts w:ascii="Times New Roman" w:hAnsi="Times New Roman"/>
          <w:sz w:val="24"/>
        </w:rPr>
        <w:t>Castrejón, S.E., Yatsimirsky, A.K., 1997. Cyclodextrin enhanced fluorimetric determination of malonaldehyde by the thiobarbituric acid method. Talanta 44, 951–957. https://doi.org/10.1016/S0039-9140(96)02141-8.</w:t>
      </w:r>
    </w:p>
    <w:p w14:paraId="62ED5B70" w14:textId="1476C1E7" w:rsidR="00414548" w:rsidRPr="00414548" w:rsidRDefault="00414548" w:rsidP="00414548">
      <w:pPr>
        <w:pStyle w:val="EndNoteBibliography"/>
        <w:spacing w:line="480" w:lineRule="auto"/>
        <w:ind w:left="720" w:hanging="720"/>
        <w:contextualSpacing/>
        <w:rPr>
          <w:rFonts w:ascii="Times New Roman" w:hAnsi="Times New Roman"/>
          <w:sz w:val="24"/>
        </w:rPr>
      </w:pPr>
      <w:r w:rsidRPr="00414548">
        <w:rPr>
          <w:rFonts w:ascii="Times New Roman" w:hAnsi="Times New Roman"/>
          <w:sz w:val="24"/>
        </w:rPr>
        <w:t>Chen, Y., Fu, X., Mei, X., Zhou, Y., Cheng, S., Zeng, L., Dong, F., Yang, Z., 2017. Proteolysis of chloroplast proteins is responsible for accumulation of free amino acids in dark-treated tea (</w:t>
      </w:r>
      <w:r w:rsidRPr="00414548">
        <w:rPr>
          <w:rFonts w:ascii="Times New Roman" w:hAnsi="Times New Roman"/>
          <w:i/>
          <w:sz w:val="24"/>
        </w:rPr>
        <w:t>Camellia sinensis</w:t>
      </w:r>
      <w:r w:rsidRPr="00414548">
        <w:rPr>
          <w:rFonts w:ascii="Times New Roman" w:hAnsi="Times New Roman"/>
          <w:sz w:val="24"/>
        </w:rPr>
        <w:t>) leaves. J. Proteom. 157, 10–17. https://doi.org/10.1016/j.jprot.2017.01.017.</w:t>
      </w:r>
    </w:p>
    <w:p w14:paraId="7BE59A1B" w14:textId="7ED3B1EC" w:rsidR="00414548" w:rsidRPr="00414548" w:rsidRDefault="00414548" w:rsidP="00414548">
      <w:pPr>
        <w:pStyle w:val="EndNoteBibliography"/>
        <w:spacing w:line="480" w:lineRule="auto"/>
        <w:ind w:left="720" w:hanging="720"/>
        <w:contextualSpacing/>
        <w:rPr>
          <w:rFonts w:ascii="Times New Roman" w:hAnsi="Times New Roman"/>
          <w:sz w:val="24"/>
        </w:rPr>
      </w:pPr>
      <w:r w:rsidRPr="00414548">
        <w:rPr>
          <w:rFonts w:ascii="Times New Roman" w:hAnsi="Times New Roman"/>
          <w:sz w:val="24"/>
        </w:rPr>
        <w:t>Liu, G., Du, Q., Li, J., 2017. Interactive effects of nitrate-ammonium ratios and temperatures on growth, photosynthesis, and nitrogen metabolism of tomato seedlings. Sci. Hortic. 214, 41–50. https://doi.org/10.1016/j.scienta.2016.09.006.</w:t>
      </w:r>
    </w:p>
    <w:p w14:paraId="553C5E8B" w14:textId="197E7CF8" w:rsidR="00414548" w:rsidRPr="00414548" w:rsidRDefault="00414548" w:rsidP="00414548">
      <w:pPr>
        <w:pStyle w:val="EndNoteBibliography"/>
        <w:spacing w:line="480" w:lineRule="auto"/>
        <w:ind w:left="720" w:hanging="720"/>
        <w:contextualSpacing/>
        <w:rPr>
          <w:rFonts w:ascii="Times New Roman" w:hAnsi="Times New Roman"/>
          <w:sz w:val="24"/>
        </w:rPr>
      </w:pPr>
      <w:r w:rsidRPr="00414548">
        <w:rPr>
          <w:rFonts w:ascii="Times New Roman" w:hAnsi="Times New Roman"/>
          <w:sz w:val="24"/>
        </w:rPr>
        <w:t xml:space="preserve">Prinsi, B., Negrini, N., Morgutti, S., Espen, L., 2020. Nitrogen </w:t>
      </w:r>
      <w:r w:rsidR="00991F10" w:rsidRPr="00414548">
        <w:rPr>
          <w:rFonts w:ascii="Times New Roman" w:hAnsi="Times New Roman"/>
          <w:sz w:val="24"/>
        </w:rPr>
        <w:t>s</w:t>
      </w:r>
      <w:r w:rsidRPr="00414548">
        <w:rPr>
          <w:rFonts w:ascii="Times New Roman" w:hAnsi="Times New Roman"/>
          <w:sz w:val="24"/>
        </w:rPr>
        <w:t xml:space="preserve">tarvation and </w:t>
      </w:r>
      <w:r w:rsidR="00991F10" w:rsidRPr="00414548">
        <w:rPr>
          <w:rFonts w:ascii="Times New Roman" w:hAnsi="Times New Roman"/>
          <w:sz w:val="24"/>
        </w:rPr>
        <w:t>n</w:t>
      </w:r>
      <w:r w:rsidRPr="00414548">
        <w:rPr>
          <w:rFonts w:ascii="Times New Roman" w:hAnsi="Times New Roman"/>
          <w:sz w:val="24"/>
        </w:rPr>
        <w:t xml:space="preserve">itrate or </w:t>
      </w:r>
      <w:r w:rsidR="00991F10" w:rsidRPr="00414548">
        <w:rPr>
          <w:rFonts w:ascii="Times New Roman" w:hAnsi="Times New Roman"/>
          <w:sz w:val="24"/>
        </w:rPr>
        <w:t>a</w:t>
      </w:r>
      <w:r w:rsidRPr="00414548">
        <w:rPr>
          <w:rFonts w:ascii="Times New Roman" w:hAnsi="Times New Roman"/>
          <w:sz w:val="24"/>
        </w:rPr>
        <w:t xml:space="preserve">mmonium </w:t>
      </w:r>
      <w:r w:rsidR="00991F10" w:rsidRPr="00414548">
        <w:rPr>
          <w:rFonts w:ascii="Times New Roman" w:hAnsi="Times New Roman"/>
          <w:sz w:val="24"/>
        </w:rPr>
        <w:t>a</w:t>
      </w:r>
      <w:r w:rsidRPr="00414548">
        <w:rPr>
          <w:rFonts w:ascii="Times New Roman" w:hAnsi="Times New Roman"/>
          <w:sz w:val="24"/>
        </w:rPr>
        <w:t xml:space="preserve">vailability </w:t>
      </w:r>
      <w:r w:rsidR="00991F10" w:rsidRPr="00414548">
        <w:rPr>
          <w:rFonts w:ascii="Times New Roman" w:hAnsi="Times New Roman"/>
          <w:sz w:val="24"/>
        </w:rPr>
        <w:t>d</w:t>
      </w:r>
      <w:r w:rsidRPr="00414548">
        <w:rPr>
          <w:rFonts w:ascii="Times New Roman" w:hAnsi="Times New Roman"/>
          <w:sz w:val="24"/>
        </w:rPr>
        <w:t xml:space="preserve">ifferently </w:t>
      </w:r>
      <w:r w:rsidR="00991F10" w:rsidRPr="00414548">
        <w:rPr>
          <w:rFonts w:ascii="Times New Roman" w:hAnsi="Times New Roman"/>
          <w:sz w:val="24"/>
        </w:rPr>
        <w:t>a</w:t>
      </w:r>
      <w:r w:rsidRPr="00414548">
        <w:rPr>
          <w:rFonts w:ascii="Times New Roman" w:hAnsi="Times New Roman"/>
          <w:sz w:val="24"/>
        </w:rPr>
        <w:t xml:space="preserve">ffect </w:t>
      </w:r>
      <w:r w:rsidR="00991F10" w:rsidRPr="00414548">
        <w:rPr>
          <w:rFonts w:ascii="Times New Roman" w:hAnsi="Times New Roman"/>
          <w:sz w:val="24"/>
        </w:rPr>
        <w:t>p</w:t>
      </w:r>
      <w:r w:rsidRPr="00414548">
        <w:rPr>
          <w:rFonts w:ascii="Times New Roman" w:hAnsi="Times New Roman"/>
          <w:sz w:val="24"/>
        </w:rPr>
        <w:t xml:space="preserve">henolic </w:t>
      </w:r>
      <w:r w:rsidR="00991F10" w:rsidRPr="00414548">
        <w:rPr>
          <w:rFonts w:ascii="Times New Roman" w:hAnsi="Times New Roman"/>
          <w:sz w:val="24"/>
        </w:rPr>
        <w:t>c</w:t>
      </w:r>
      <w:r w:rsidRPr="00414548">
        <w:rPr>
          <w:rFonts w:ascii="Times New Roman" w:hAnsi="Times New Roman"/>
          <w:sz w:val="24"/>
        </w:rPr>
        <w:t xml:space="preserve">omposition in </w:t>
      </w:r>
      <w:r w:rsidR="00991F10" w:rsidRPr="00414548">
        <w:rPr>
          <w:rFonts w:ascii="Times New Roman" w:hAnsi="Times New Roman"/>
          <w:sz w:val="24"/>
        </w:rPr>
        <w:t>g</w:t>
      </w:r>
      <w:r w:rsidRPr="00414548">
        <w:rPr>
          <w:rFonts w:ascii="Times New Roman" w:hAnsi="Times New Roman"/>
          <w:sz w:val="24"/>
        </w:rPr>
        <w:t xml:space="preserve">reen and </w:t>
      </w:r>
      <w:r w:rsidR="00991F10" w:rsidRPr="00414548">
        <w:rPr>
          <w:rFonts w:ascii="Times New Roman" w:hAnsi="Times New Roman"/>
          <w:sz w:val="24"/>
        </w:rPr>
        <w:t>p</w:t>
      </w:r>
      <w:r w:rsidRPr="00414548">
        <w:rPr>
          <w:rFonts w:ascii="Times New Roman" w:hAnsi="Times New Roman"/>
          <w:sz w:val="24"/>
        </w:rPr>
        <w:t xml:space="preserve">urple </w:t>
      </w:r>
      <w:r w:rsidR="00991F10" w:rsidRPr="00414548">
        <w:rPr>
          <w:rFonts w:ascii="Times New Roman" w:hAnsi="Times New Roman"/>
          <w:sz w:val="24"/>
        </w:rPr>
        <w:t>b</w:t>
      </w:r>
      <w:r w:rsidRPr="00414548">
        <w:rPr>
          <w:rFonts w:ascii="Times New Roman" w:hAnsi="Times New Roman"/>
          <w:sz w:val="24"/>
        </w:rPr>
        <w:t>asil. Agronomy 10, 498. https://doi.org/10.3390/agronomy10040498.</w:t>
      </w:r>
    </w:p>
    <w:p w14:paraId="7D5F15D5" w14:textId="0D520F93" w:rsidR="00244E92" w:rsidRPr="00414548" w:rsidRDefault="00414548" w:rsidP="00414548">
      <w:pPr>
        <w:pStyle w:val="EndNoteBibliography"/>
        <w:spacing w:line="480" w:lineRule="auto"/>
        <w:ind w:left="720" w:hanging="720"/>
        <w:contextualSpacing/>
        <w:rPr>
          <w:rFonts w:ascii="Times New Roman" w:hAnsi="Times New Roman"/>
          <w:sz w:val="24"/>
        </w:rPr>
      </w:pPr>
      <w:r w:rsidRPr="00414548">
        <w:rPr>
          <w:rFonts w:ascii="Times New Roman" w:hAnsi="Times New Roman"/>
          <w:sz w:val="24"/>
        </w:rPr>
        <w:t>Vieira, S.M., Silva, T.M., Glória, M.B.A., 2010. Influence of processing on the levels of amines and proline and on the physico-chemical characteristics of concentrated orange juice. Food Chem. 119, 7–11. https://doi.org/10.1016/j.foodchem.2008.12.069.</w:t>
      </w:r>
    </w:p>
    <w:sectPr w:rsidR="00244E92" w:rsidRPr="00414548" w:rsidSect="00313D20">
      <w:pgSz w:w="12240" w:h="15840" w:code="1"/>
      <w:pgMar w:top="1440" w:right="1440" w:bottom="1440" w:left="1440" w:header="851" w:footer="992" w:gutter="0"/>
      <w:lnNumType w:countBy="1" w:restart="continuous"/>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59D624" w16cid:durableId="243B857A"/>
  <w16cid:commentId w16cid:paraId="579FE950" w16cid:durableId="2443BBF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E"/>
    <w:multiLevelType w:val="singleLevel"/>
    <w:tmpl w:val="882A2164"/>
    <w:lvl w:ilvl="0">
      <w:start w:val="1"/>
      <w:numFmt w:val="decimal"/>
      <w:lvlText w:val="%1."/>
      <w:lvlJc w:val="left"/>
      <w:pPr>
        <w:tabs>
          <w:tab w:val="num" w:pos="1080"/>
        </w:tabs>
        <w:ind w:left="1080" w:hanging="360"/>
      </w:pPr>
    </w:lvl>
  </w:abstractNum>
  <w:abstractNum w:abstractNumId="1">
    <w:nsid w:val="FFFFFF7F"/>
    <w:multiLevelType w:val="singleLevel"/>
    <w:tmpl w:val="599AEA64"/>
    <w:lvl w:ilvl="0">
      <w:start w:val="1"/>
      <w:numFmt w:val="decimal"/>
      <w:lvlText w:val="%1."/>
      <w:lvlJc w:val="left"/>
      <w:pPr>
        <w:tabs>
          <w:tab w:val="num" w:pos="720"/>
        </w:tabs>
        <w:ind w:left="720" w:hanging="360"/>
      </w:pPr>
    </w:lvl>
  </w:abstractNum>
  <w:abstractNum w:abstractNumId="2">
    <w:nsid w:val="FFFFFF80"/>
    <w:multiLevelType w:val="singleLevel"/>
    <w:tmpl w:val="DD4C281C"/>
    <w:lvl w:ilvl="0">
      <w:start w:val="1"/>
      <w:numFmt w:val="bullet"/>
      <w:lvlText w:val=""/>
      <w:lvlJc w:val="left"/>
      <w:pPr>
        <w:tabs>
          <w:tab w:val="num" w:pos="1800"/>
        </w:tabs>
        <w:ind w:left="1800" w:hanging="360"/>
      </w:pPr>
      <w:rPr>
        <w:rFonts w:ascii="Symbol" w:hAnsi="Symbol" w:hint="default"/>
      </w:rPr>
    </w:lvl>
  </w:abstractNum>
  <w:abstractNum w:abstractNumId="3">
    <w:nsid w:val="FFFFFF81"/>
    <w:multiLevelType w:val="singleLevel"/>
    <w:tmpl w:val="64FCA7FC"/>
    <w:lvl w:ilvl="0">
      <w:start w:val="1"/>
      <w:numFmt w:val="bullet"/>
      <w:lvlText w:val=""/>
      <w:lvlJc w:val="left"/>
      <w:pPr>
        <w:tabs>
          <w:tab w:val="num" w:pos="1440"/>
        </w:tabs>
        <w:ind w:left="1440" w:hanging="360"/>
      </w:pPr>
      <w:rPr>
        <w:rFonts w:ascii="Symbol" w:hAnsi="Symbol" w:hint="default"/>
      </w:rPr>
    </w:lvl>
  </w:abstractNum>
  <w:abstractNum w:abstractNumId="4">
    <w:nsid w:val="FFFFFF82"/>
    <w:multiLevelType w:val="singleLevel"/>
    <w:tmpl w:val="D760FC36"/>
    <w:lvl w:ilvl="0">
      <w:start w:val="1"/>
      <w:numFmt w:val="bullet"/>
      <w:lvlText w:val=""/>
      <w:lvlJc w:val="left"/>
      <w:pPr>
        <w:tabs>
          <w:tab w:val="num" w:pos="1080"/>
        </w:tabs>
        <w:ind w:left="1080" w:hanging="360"/>
      </w:pPr>
      <w:rPr>
        <w:rFonts w:ascii="Symbol" w:hAnsi="Symbol" w:hint="default"/>
      </w:rPr>
    </w:lvl>
  </w:abstractNum>
  <w:abstractNum w:abstractNumId="5">
    <w:nsid w:val="FFFFFF83"/>
    <w:multiLevelType w:val="singleLevel"/>
    <w:tmpl w:val="9E92F370"/>
    <w:lvl w:ilvl="0">
      <w:start w:val="1"/>
      <w:numFmt w:val="bullet"/>
      <w:lvlText w:val=""/>
      <w:lvlJc w:val="left"/>
      <w:pPr>
        <w:tabs>
          <w:tab w:val="num" w:pos="720"/>
        </w:tabs>
        <w:ind w:left="720" w:hanging="360"/>
      </w:pPr>
      <w:rPr>
        <w:rFonts w:ascii="Symbol" w:hAnsi="Symbol" w:hint="default"/>
      </w:rPr>
    </w:lvl>
  </w:abstractNum>
  <w:abstractNum w:abstractNumId="6">
    <w:nsid w:val="FFFFFF88"/>
    <w:multiLevelType w:val="singleLevel"/>
    <w:tmpl w:val="28A21E30"/>
    <w:lvl w:ilvl="0">
      <w:start w:val="1"/>
      <w:numFmt w:val="decimal"/>
      <w:lvlText w:val="%1."/>
      <w:lvlJc w:val="left"/>
      <w:pPr>
        <w:tabs>
          <w:tab w:val="num" w:pos="360"/>
        </w:tabs>
        <w:ind w:left="360" w:hanging="360"/>
      </w:pPr>
    </w:lvl>
  </w:abstractNum>
  <w:abstractNum w:abstractNumId="7">
    <w:nsid w:val="FFFFFF89"/>
    <w:multiLevelType w:val="singleLevel"/>
    <w:tmpl w:val="078E3FF8"/>
    <w:lvl w:ilvl="0">
      <w:start w:val="1"/>
      <w:numFmt w:val="bullet"/>
      <w:lvlText w:val=""/>
      <w:lvlJc w:val="left"/>
      <w:pPr>
        <w:tabs>
          <w:tab w:val="num" w:pos="360"/>
        </w:tabs>
        <w:ind w:left="360" w:hanging="360"/>
      </w:pPr>
      <w:rPr>
        <w:rFonts w:ascii="Symbol" w:hAnsi="Symbol" w:hint="default"/>
      </w:rPr>
    </w:lvl>
  </w:abstractNum>
  <w:abstractNum w:abstractNumId="8">
    <w:nsid w:val="250A245F"/>
    <w:multiLevelType w:val="hybridMultilevel"/>
    <w:tmpl w:val="29E20A30"/>
    <w:lvl w:ilvl="0" w:tplc="774296BE">
      <w:start w:val="1"/>
      <w:numFmt w:val="decimal"/>
      <w:pStyle w:val="MDPI71References"/>
      <w:lvlText w:val="%1."/>
      <w:lvlJc w:val="left"/>
      <w:pPr>
        <w:ind w:left="780" w:hanging="420"/>
      </w:pPr>
      <w:rPr>
        <w:rFonts w:hint="default"/>
      </w:rPr>
    </w:lvl>
    <w:lvl w:ilvl="1" w:tplc="7E5642B6" w:tentative="1">
      <w:start w:val="1"/>
      <w:numFmt w:val="lowerLetter"/>
      <w:lvlText w:val="%2."/>
      <w:lvlJc w:val="left"/>
      <w:pPr>
        <w:ind w:left="1440" w:hanging="360"/>
      </w:pPr>
    </w:lvl>
    <w:lvl w:ilvl="2" w:tplc="B224BE6A" w:tentative="1">
      <w:start w:val="1"/>
      <w:numFmt w:val="lowerRoman"/>
      <w:lvlText w:val="%3."/>
      <w:lvlJc w:val="right"/>
      <w:pPr>
        <w:ind w:left="2160" w:hanging="180"/>
      </w:pPr>
    </w:lvl>
    <w:lvl w:ilvl="3" w:tplc="8834C846" w:tentative="1">
      <w:start w:val="1"/>
      <w:numFmt w:val="decimal"/>
      <w:lvlText w:val="%4."/>
      <w:lvlJc w:val="left"/>
      <w:pPr>
        <w:ind w:left="2880" w:hanging="360"/>
      </w:pPr>
    </w:lvl>
    <w:lvl w:ilvl="4" w:tplc="D1CC257C" w:tentative="1">
      <w:start w:val="1"/>
      <w:numFmt w:val="lowerLetter"/>
      <w:lvlText w:val="%5."/>
      <w:lvlJc w:val="left"/>
      <w:pPr>
        <w:ind w:left="3600" w:hanging="360"/>
      </w:pPr>
    </w:lvl>
    <w:lvl w:ilvl="5" w:tplc="569E8086" w:tentative="1">
      <w:start w:val="1"/>
      <w:numFmt w:val="lowerRoman"/>
      <w:lvlText w:val="%6."/>
      <w:lvlJc w:val="right"/>
      <w:pPr>
        <w:ind w:left="4320" w:hanging="180"/>
      </w:pPr>
    </w:lvl>
    <w:lvl w:ilvl="6" w:tplc="11FA251E" w:tentative="1">
      <w:start w:val="1"/>
      <w:numFmt w:val="decimal"/>
      <w:lvlText w:val="%7."/>
      <w:lvlJc w:val="left"/>
      <w:pPr>
        <w:ind w:left="5040" w:hanging="360"/>
      </w:pPr>
    </w:lvl>
    <w:lvl w:ilvl="7" w:tplc="63726AD6" w:tentative="1">
      <w:start w:val="1"/>
      <w:numFmt w:val="lowerLetter"/>
      <w:lvlText w:val="%8."/>
      <w:lvlJc w:val="left"/>
      <w:pPr>
        <w:ind w:left="5760" w:hanging="360"/>
      </w:pPr>
    </w:lvl>
    <w:lvl w:ilvl="8" w:tplc="338627FC" w:tentative="1">
      <w:start w:val="1"/>
      <w:numFmt w:val="lowerRoman"/>
      <w:lvlText w:val="%9."/>
      <w:lvlJc w:val="right"/>
      <w:pPr>
        <w:ind w:left="6480" w:hanging="180"/>
      </w:pPr>
    </w:lvl>
  </w:abstractNum>
  <w:num w:numId="1">
    <w:abstractNumId w:val="8"/>
  </w:num>
  <w:num w:numId="2">
    <w:abstractNumId w:val="7"/>
  </w:num>
  <w:num w:numId="3">
    <w:abstractNumId w:val="5"/>
  </w:num>
  <w:num w:numId="4">
    <w:abstractNumId w:val="4"/>
  </w:num>
  <w:num w:numId="5">
    <w:abstractNumId w:val="3"/>
  </w:num>
  <w:num w:numId="6">
    <w:abstractNumId w:val="2"/>
  </w:num>
  <w:num w:numId="7">
    <w:abstractNumId w:val="6"/>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cientia Horticultura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f059vesarvpaed5p0pwas2rzpsf005tz0p&quot;&gt;M74PDDNQ&lt;record-ids&gt;&lt;item&gt;7&lt;/item&gt;&lt;item&gt;67&lt;/item&gt;&lt;item&gt;68&lt;/item&gt;&lt;item&gt;69&lt;/item&gt;&lt;item&gt;72&lt;/item&gt;&lt;item&gt;73&lt;/item&gt;&lt;/record-ids&gt;&lt;/item&gt;&lt;/Libraries&gt;"/>
    <w:docVar w:name="MachineID" w:val="206|203|197|203|185|197|199|190|197|206|207|197|185|207|197|203|185|"/>
    <w:docVar w:name="Username" w:val="Quality Control Editor"/>
  </w:docVars>
  <w:rsids>
    <w:rsidRoot w:val="00605823"/>
    <w:rsid w:val="00057D43"/>
    <w:rsid w:val="00152521"/>
    <w:rsid w:val="0018144D"/>
    <w:rsid w:val="001C28DA"/>
    <w:rsid w:val="00244E92"/>
    <w:rsid w:val="00313D20"/>
    <w:rsid w:val="00365E9D"/>
    <w:rsid w:val="003831E0"/>
    <w:rsid w:val="003A6752"/>
    <w:rsid w:val="00414548"/>
    <w:rsid w:val="0048540B"/>
    <w:rsid w:val="00605823"/>
    <w:rsid w:val="00664BD2"/>
    <w:rsid w:val="00694F0A"/>
    <w:rsid w:val="006E7555"/>
    <w:rsid w:val="00747F13"/>
    <w:rsid w:val="007657B8"/>
    <w:rsid w:val="007B630B"/>
    <w:rsid w:val="008F05CB"/>
    <w:rsid w:val="00991F10"/>
    <w:rsid w:val="009A5A4B"/>
    <w:rsid w:val="009C5CF1"/>
    <w:rsid w:val="009D5758"/>
    <w:rsid w:val="00AD2241"/>
    <w:rsid w:val="00B23BAD"/>
    <w:rsid w:val="00B91B71"/>
    <w:rsid w:val="00BB5E99"/>
    <w:rsid w:val="00BB748E"/>
    <w:rsid w:val="00D22306"/>
    <w:rsid w:val="00DC0719"/>
    <w:rsid w:val="00E43E1D"/>
    <w:rsid w:val="00ED4002"/>
    <w:rsid w:val="00F07415"/>
    <w:rsid w:val="00F17D98"/>
    <w:rsid w:val="00F44274"/>
    <w:rsid w:val="00F6724F"/>
    <w:rsid w:val="00FA310A"/>
    <w:rsid w:val="00FE5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1782C"/>
  <w15:chartTrackingRefBased/>
  <w15:docId w15:val="{338AC815-E122-4F00-96F6-1BC507DC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52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44E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44E92"/>
    <w:rPr>
      <w:sz w:val="18"/>
      <w:szCs w:val="18"/>
    </w:rPr>
  </w:style>
  <w:style w:type="paragraph" w:styleId="a4">
    <w:name w:val="footer"/>
    <w:basedOn w:val="a"/>
    <w:link w:val="Char0"/>
    <w:uiPriority w:val="99"/>
    <w:unhideWhenUsed/>
    <w:rsid w:val="00244E92"/>
    <w:pPr>
      <w:tabs>
        <w:tab w:val="center" w:pos="4153"/>
        <w:tab w:val="right" w:pos="8306"/>
      </w:tabs>
      <w:snapToGrid w:val="0"/>
      <w:jc w:val="left"/>
    </w:pPr>
    <w:rPr>
      <w:sz w:val="18"/>
      <w:szCs w:val="18"/>
    </w:rPr>
  </w:style>
  <w:style w:type="character" w:customStyle="1" w:styleId="Char0">
    <w:name w:val="页脚 Char"/>
    <w:basedOn w:val="a0"/>
    <w:link w:val="a4"/>
    <w:uiPriority w:val="99"/>
    <w:rsid w:val="00244E92"/>
    <w:rPr>
      <w:sz w:val="18"/>
      <w:szCs w:val="18"/>
    </w:rPr>
  </w:style>
  <w:style w:type="paragraph" w:customStyle="1" w:styleId="MDPI31text">
    <w:name w:val="MDPI_3.1_text"/>
    <w:link w:val="MDPI31textChar"/>
    <w:qFormat/>
    <w:rsid w:val="00244E92"/>
    <w:pPr>
      <w:adjustRightInd w:val="0"/>
      <w:snapToGrid w:val="0"/>
      <w:spacing w:line="260" w:lineRule="atLeast"/>
      <w:ind w:firstLine="425"/>
      <w:jc w:val="both"/>
    </w:pPr>
    <w:rPr>
      <w:rFonts w:ascii="Palatino Linotype" w:eastAsia="Times New Roman" w:hAnsi="Palatino Linotype" w:cs="Times New Roman"/>
      <w:snapToGrid w:val="0"/>
      <w:color w:val="000000"/>
      <w:kern w:val="0"/>
      <w:sz w:val="20"/>
      <w:lang w:val="en-GB" w:eastAsia="de-DE" w:bidi="en-US"/>
    </w:rPr>
  </w:style>
  <w:style w:type="character" w:customStyle="1" w:styleId="MDPI31textChar">
    <w:name w:val="MDPI_3.1_text Char"/>
    <w:basedOn w:val="a0"/>
    <w:link w:val="MDPI31text"/>
    <w:rsid w:val="00244E92"/>
    <w:rPr>
      <w:rFonts w:ascii="Palatino Linotype" w:eastAsia="Times New Roman" w:hAnsi="Palatino Linotype" w:cs="Times New Roman"/>
      <w:snapToGrid w:val="0"/>
      <w:color w:val="000000"/>
      <w:kern w:val="0"/>
      <w:sz w:val="20"/>
      <w:lang w:eastAsia="de-DE" w:bidi="en-US"/>
    </w:rPr>
  </w:style>
  <w:style w:type="paragraph" w:customStyle="1" w:styleId="MDPI22heading2">
    <w:name w:val="MDPI_2.2_heading2"/>
    <w:basedOn w:val="a"/>
    <w:qFormat/>
    <w:rsid w:val="00244E92"/>
    <w:pPr>
      <w:widowControl/>
      <w:kinsoku w:val="0"/>
      <w:overflowPunct w:val="0"/>
      <w:autoSpaceDE w:val="0"/>
      <w:autoSpaceDN w:val="0"/>
      <w:adjustRightInd w:val="0"/>
      <w:snapToGrid w:val="0"/>
      <w:spacing w:before="240" w:after="120" w:line="260" w:lineRule="atLeast"/>
      <w:jc w:val="left"/>
      <w:outlineLvl w:val="1"/>
    </w:pPr>
    <w:rPr>
      <w:rFonts w:ascii="Palatino Linotype" w:eastAsia="Times New Roman" w:hAnsi="Palatino Linotype" w:cs="Times New Roman"/>
      <w:i/>
      <w:noProof/>
      <w:snapToGrid w:val="0"/>
      <w:color w:val="000000"/>
      <w:kern w:val="0"/>
      <w:sz w:val="20"/>
      <w:lang w:eastAsia="de-DE" w:bidi="en-US"/>
    </w:rPr>
  </w:style>
  <w:style w:type="paragraph" w:customStyle="1" w:styleId="MDPI71References">
    <w:name w:val="MDPI_7.1_References"/>
    <w:basedOn w:val="a"/>
    <w:qFormat/>
    <w:rsid w:val="00244E92"/>
    <w:pPr>
      <w:widowControl/>
      <w:numPr>
        <w:numId w:val="1"/>
      </w:numPr>
      <w:adjustRightInd w:val="0"/>
      <w:snapToGrid w:val="0"/>
      <w:spacing w:line="260" w:lineRule="atLeast"/>
    </w:pPr>
    <w:rPr>
      <w:rFonts w:ascii="Palatino Linotype" w:eastAsia="Times New Roman" w:hAnsi="Palatino Linotype" w:cs="Times New Roman"/>
      <w:snapToGrid w:val="0"/>
      <w:color w:val="000000"/>
      <w:kern w:val="0"/>
      <w:sz w:val="18"/>
      <w:szCs w:val="20"/>
      <w:lang w:eastAsia="de-DE" w:bidi="en-US"/>
    </w:rPr>
  </w:style>
  <w:style w:type="paragraph" w:customStyle="1" w:styleId="MDPI21heading1">
    <w:name w:val="MDPI_2.1_heading1"/>
    <w:basedOn w:val="a"/>
    <w:qFormat/>
    <w:rsid w:val="00F6724F"/>
    <w:pPr>
      <w:widowControl/>
      <w:adjustRightInd w:val="0"/>
      <w:snapToGrid w:val="0"/>
      <w:spacing w:before="240" w:after="120" w:line="260" w:lineRule="atLeast"/>
      <w:jc w:val="left"/>
      <w:outlineLvl w:val="0"/>
    </w:pPr>
    <w:rPr>
      <w:rFonts w:ascii="Palatino Linotype" w:eastAsia="Times New Roman" w:hAnsi="Palatino Linotype" w:cs="Times New Roman"/>
      <w:b/>
      <w:snapToGrid w:val="0"/>
      <w:color w:val="000000"/>
      <w:kern w:val="0"/>
      <w:sz w:val="20"/>
      <w:lang w:eastAsia="de-DE" w:bidi="en-US"/>
    </w:rPr>
  </w:style>
  <w:style w:type="character" w:styleId="a5">
    <w:name w:val="annotation reference"/>
    <w:basedOn w:val="a0"/>
    <w:uiPriority w:val="99"/>
    <w:rsid w:val="000F3DF7"/>
    <w:rPr>
      <w:rFonts w:ascii="Tahoma" w:hAnsi="Tahoma" w:cs="Tahoma"/>
      <w:b w:val="0"/>
      <w:i w:val="0"/>
      <w:caps w:val="0"/>
      <w:strike w:val="0"/>
      <w:sz w:val="16"/>
      <w:szCs w:val="16"/>
      <w:u w:val="none"/>
    </w:rPr>
  </w:style>
  <w:style w:type="paragraph" w:styleId="a6">
    <w:name w:val="annotation text"/>
    <w:basedOn w:val="a"/>
    <w:link w:val="Char1"/>
    <w:uiPriority w:val="99"/>
    <w:semiHidden/>
    <w:unhideWhenUsed/>
    <w:rPr>
      <w:rFonts w:ascii="Tahoma" w:hAnsi="Tahoma" w:cs="Tahoma"/>
      <w:sz w:val="16"/>
      <w:szCs w:val="20"/>
    </w:rPr>
  </w:style>
  <w:style w:type="character" w:customStyle="1" w:styleId="Char1">
    <w:name w:val="批注文字 Char"/>
    <w:basedOn w:val="a0"/>
    <w:link w:val="a6"/>
    <w:uiPriority w:val="99"/>
    <w:semiHidden/>
    <w:rPr>
      <w:rFonts w:ascii="Tahoma" w:hAnsi="Tahoma" w:cs="Tahoma"/>
      <w:sz w:val="16"/>
      <w:szCs w:val="20"/>
    </w:rPr>
  </w:style>
  <w:style w:type="paragraph" w:styleId="a7">
    <w:name w:val="annotation subject"/>
    <w:basedOn w:val="a6"/>
    <w:next w:val="a6"/>
    <w:link w:val="Char2"/>
    <w:uiPriority w:val="99"/>
    <w:semiHidden/>
    <w:unhideWhenUsed/>
    <w:rsid w:val="00694F0A"/>
    <w:rPr>
      <w:rFonts w:asciiTheme="minorHAnsi" w:hAnsiTheme="minorHAnsi" w:cstheme="minorBidi"/>
      <w:b/>
      <w:bCs/>
      <w:sz w:val="20"/>
    </w:rPr>
  </w:style>
  <w:style w:type="character" w:customStyle="1" w:styleId="Char2">
    <w:name w:val="批注主题 Char"/>
    <w:basedOn w:val="Char1"/>
    <w:link w:val="a7"/>
    <w:uiPriority w:val="99"/>
    <w:semiHidden/>
    <w:rsid w:val="00694F0A"/>
    <w:rPr>
      <w:rFonts w:ascii="Tahoma" w:hAnsi="Tahoma" w:cs="Tahoma"/>
      <w:b/>
      <w:bCs/>
      <w:sz w:val="20"/>
      <w:szCs w:val="20"/>
    </w:rPr>
  </w:style>
  <w:style w:type="paragraph" w:styleId="a8">
    <w:name w:val="Balloon Text"/>
    <w:basedOn w:val="a"/>
    <w:link w:val="Char3"/>
    <w:uiPriority w:val="99"/>
    <w:semiHidden/>
    <w:unhideWhenUsed/>
    <w:rsid w:val="00694F0A"/>
    <w:rPr>
      <w:rFonts w:ascii="Segoe UI" w:hAnsi="Segoe UI" w:cs="Segoe UI"/>
      <w:sz w:val="18"/>
      <w:szCs w:val="18"/>
    </w:rPr>
  </w:style>
  <w:style w:type="character" w:customStyle="1" w:styleId="Char3">
    <w:name w:val="批注框文本 Char"/>
    <w:basedOn w:val="a0"/>
    <w:link w:val="a8"/>
    <w:uiPriority w:val="99"/>
    <w:semiHidden/>
    <w:rsid w:val="00694F0A"/>
    <w:rPr>
      <w:rFonts w:ascii="Segoe UI" w:hAnsi="Segoe UI" w:cs="Segoe UI"/>
      <w:sz w:val="18"/>
      <w:szCs w:val="18"/>
    </w:rPr>
  </w:style>
  <w:style w:type="paragraph" w:styleId="a9">
    <w:name w:val="Revision"/>
    <w:hidden/>
    <w:uiPriority w:val="99"/>
    <w:semiHidden/>
    <w:rsid w:val="003831E0"/>
    <w:rPr>
      <w:lang w:val="en-GB"/>
    </w:rPr>
  </w:style>
  <w:style w:type="character" w:styleId="aa">
    <w:name w:val="line number"/>
    <w:basedOn w:val="a0"/>
    <w:uiPriority w:val="99"/>
    <w:semiHidden/>
    <w:unhideWhenUsed/>
    <w:rsid w:val="00152521"/>
    <w:rPr>
      <w:rFonts w:ascii="Times New Roman" w:hAnsi="Times New Roman"/>
      <w:sz w:val="24"/>
    </w:rPr>
  </w:style>
  <w:style w:type="paragraph" w:customStyle="1" w:styleId="EndNoteBibliographyTitle">
    <w:name w:val="EndNote Bibliography Title"/>
    <w:basedOn w:val="a"/>
    <w:link w:val="EndNoteBibliographyTitleChar"/>
    <w:rsid w:val="00AD2241"/>
    <w:pPr>
      <w:jc w:val="center"/>
    </w:pPr>
    <w:rPr>
      <w:rFonts w:ascii="Calibri" w:hAnsi="Calibri"/>
      <w:noProof/>
      <w:sz w:val="20"/>
    </w:rPr>
  </w:style>
  <w:style w:type="character" w:customStyle="1" w:styleId="EndNoteBibliographyTitleChar">
    <w:name w:val="EndNote Bibliography Title Char"/>
    <w:basedOn w:val="a0"/>
    <w:link w:val="EndNoteBibliographyTitle"/>
    <w:rsid w:val="00AD2241"/>
    <w:rPr>
      <w:rFonts w:ascii="Calibri" w:hAnsi="Calibri"/>
      <w:noProof/>
      <w:sz w:val="20"/>
    </w:rPr>
  </w:style>
  <w:style w:type="paragraph" w:customStyle="1" w:styleId="EndNoteBibliography">
    <w:name w:val="EndNote Bibliography"/>
    <w:basedOn w:val="a"/>
    <w:link w:val="EndNoteBibliographyChar"/>
    <w:rsid w:val="00AD2241"/>
    <w:pPr>
      <w:jc w:val="left"/>
    </w:pPr>
    <w:rPr>
      <w:rFonts w:ascii="Calibri" w:hAnsi="Calibri"/>
      <w:noProof/>
      <w:sz w:val="20"/>
    </w:rPr>
  </w:style>
  <w:style w:type="character" w:customStyle="1" w:styleId="EndNoteBibliographyChar">
    <w:name w:val="EndNote Bibliography Char"/>
    <w:basedOn w:val="a0"/>
    <w:link w:val="EndNoteBibliography"/>
    <w:rsid w:val="00AD2241"/>
    <w:rPr>
      <w:rFonts w:ascii="Calibri" w:hAnsi="Calibri"/>
      <w:noProof/>
      <w:sz w:val="20"/>
    </w:rPr>
  </w:style>
  <w:style w:type="character" w:styleId="ab">
    <w:name w:val="Hyperlink"/>
    <w:basedOn w:val="a0"/>
    <w:uiPriority w:val="99"/>
    <w:unhideWhenUsed/>
    <w:rsid w:val="00AD2241"/>
    <w:rPr>
      <w:color w:val="0563C1" w:themeColor="hyperlink"/>
      <w:u w:val="single"/>
    </w:rPr>
  </w:style>
  <w:style w:type="character" w:customStyle="1" w:styleId="UnresolvedMention">
    <w:name w:val="Unresolved Mention"/>
    <w:basedOn w:val="a0"/>
    <w:uiPriority w:val="99"/>
    <w:rsid w:val="00AD2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1097</Words>
  <Characters>6254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2021-05-12T10:10:00Z</dcterms:created>
  <dcterms:modified xsi:type="dcterms:W3CDTF">2021-05-12T10:10:00Z</dcterms:modified>
</cp:coreProperties>
</file>