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1DE61" w14:textId="38D4884E" w:rsidR="00BD362C" w:rsidRDefault="00BD362C" w:rsidP="00BD362C">
      <w:pPr>
        <w:pStyle w:val="a3"/>
        <w:spacing w:before="225" w:line="311" w:lineRule="auto"/>
        <w:ind w:left="561" w:right="768" w:hanging="9"/>
        <w:outlineLvl w:val="0"/>
        <w:rPr>
          <w:sz w:val="24"/>
          <w:szCs w:val="24"/>
        </w:rPr>
      </w:pPr>
      <w:r>
        <w:rPr>
          <w:b/>
          <w:bCs/>
          <w:spacing w:val="-1"/>
          <w:sz w:val="24"/>
          <w:szCs w:val="24"/>
        </w:rPr>
        <w:t xml:space="preserve">Supplemental Table </w:t>
      </w:r>
      <w:r w:rsidR="00013E14">
        <w:rPr>
          <w:b/>
          <w:bCs/>
          <w:spacing w:val="-1"/>
          <w:sz w:val="24"/>
          <w:szCs w:val="24"/>
        </w:rPr>
        <w:t>S</w:t>
      </w:r>
      <w:r>
        <w:rPr>
          <w:b/>
          <w:bCs/>
          <w:spacing w:val="-1"/>
          <w:sz w:val="24"/>
          <w:szCs w:val="24"/>
        </w:rPr>
        <w:t xml:space="preserve">5. </w:t>
      </w:r>
      <w:r>
        <w:rPr>
          <w:spacing w:val="-1"/>
          <w:sz w:val="24"/>
          <w:szCs w:val="24"/>
        </w:rPr>
        <w:t>Literature about relationship between iron and diabetic retinopathy</w:t>
      </w:r>
    </w:p>
    <w:p w14:paraId="1A9D1B23" w14:textId="77777777" w:rsidR="00BD362C" w:rsidRDefault="00BD362C" w:rsidP="00BD362C">
      <w:pPr>
        <w:spacing w:line="108" w:lineRule="exact"/>
      </w:pPr>
    </w:p>
    <w:tbl>
      <w:tblPr>
        <w:tblStyle w:val="TableNormal"/>
        <w:tblW w:w="1473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3"/>
        <w:gridCol w:w="1134"/>
        <w:gridCol w:w="1701"/>
        <w:gridCol w:w="2268"/>
        <w:gridCol w:w="1134"/>
        <w:gridCol w:w="5244"/>
        <w:gridCol w:w="1701"/>
      </w:tblGrid>
      <w:tr w:rsidR="00732C80" w14:paraId="69E678F9" w14:textId="3EEE562B" w:rsidTr="00AC3445">
        <w:trPr>
          <w:trHeight w:val="656"/>
        </w:trPr>
        <w:tc>
          <w:tcPr>
            <w:tcW w:w="1553" w:type="dxa"/>
            <w:vAlign w:val="center"/>
          </w:tcPr>
          <w:p w14:paraId="4DBBBC1A" w14:textId="0C2690C7" w:rsidR="00732C80" w:rsidRPr="00732C80" w:rsidRDefault="00732C80" w:rsidP="00732C80">
            <w:pPr>
              <w:pStyle w:val="TableText"/>
              <w:ind w:leftChars="61" w:left="128"/>
              <w:jc w:val="both"/>
              <w:rPr>
                <w:rFonts w:eastAsiaTheme="minorEastAsia"/>
                <w:b/>
                <w:bCs/>
                <w:sz w:val="21"/>
                <w:szCs w:val="21"/>
                <w:lang w:eastAsia="zh-CN"/>
              </w:rPr>
            </w:pPr>
            <w:r w:rsidRPr="00732C80">
              <w:rPr>
                <w:rFonts w:eastAsiaTheme="minorEastAsia" w:hint="eastAsia"/>
                <w:b/>
                <w:bCs/>
                <w:sz w:val="21"/>
                <w:szCs w:val="21"/>
                <w:lang w:eastAsia="zh-CN"/>
              </w:rPr>
              <w:t>A</w:t>
            </w:r>
            <w:r w:rsidRPr="00732C80">
              <w:rPr>
                <w:rFonts w:eastAsiaTheme="minorEastAsia"/>
                <w:b/>
                <w:bCs/>
                <w:sz w:val="21"/>
                <w:szCs w:val="21"/>
                <w:lang w:eastAsia="zh-CN"/>
              </w:rPr>
              <w:t>uthor, year</w:t>
            </w:r>
          </w:p>
        </w:tc>
        <w:tc>
          <w:tcPr>
            <w:tcW w:w="1134" w:type="dxa"/>
            <w:vAlign w:val="center"/>
          </w:tcPr>
          <w:p w14:paraId="362C163A" w14:textId="426AF55D" w:rsidR="00732C80" w:rsidRPr="00732C80" w:rsidRDefault="00330424" w:rsidP="00732C80">
            <w:pPr>
              <w:pStyle w:val="TableText"/>
              <w:ind w:leftChars="59" w:left="124"/>
              <w:jc w:val="both"/>
              <w:rPr>
                <w:rFonts w:eastAsiaTheme="minorEastAsia"/>
                <w:b/>
                <w:bCs/>
                <w:sz w:val="21"/>
                <w:szCs w:val="21"/>
                <w:lang w:eastAsia="zh-CN"/>
              </w:rPr>
            </w:pPr>
            <w:r>
              <w:rPr>
                <w:rFonts w:eastAsiaTheme="minorEastAsia"/>
                <w:b/>
                <w:bCs/>
                <w:sz w:val="21"/>
                <w:szCs w:val="21"/>
                <w:lang w:eastAsia="zh-CN"/>
              </w:rPr>
              <w:t>Region</w:t>
            </w:r>
          </w:p>
        </w:tc>
        <w:tc>
          <w:tcPr>
            <w:tcW w:w="1701" w:type="dxa"/>
            <w:vAlign w:val="center"/>
          </w:tcPr>
          <w:p w14:paraId="545D6E4F" w14:textId="3DA03DAE" w:rsidR="00732C80" w:rsidRPr="00732C80" w:rsidRDefault="00732C80" w:rsidP="00732C80">
            <w:pPr>
              <w:pStyle w:val="TableText"/>
              <w:ind w:leftChars="67" w:left="141"/>
              <w:jc w:val="both"/>
              <w:rPr>
                <w:rFonts w:eastAsiaTheme="minorEastAsia"/>
                <w:b/>
                <w:bCs/>
                <w:sz w:val="21"/>
                <w:szCs w:val="21"/>
                <w:lang w:eastAsia="zh-CN"/>
              </w:rPr>
            </w:pPr>
            <w:r w:rsidRPr="00732C80">
              <w:rPr>
                <w:rFonts w:eastAsiaTheme="minorEastAsia"/>
                <w:b/>
                <w:bCs/>
                <w:sz w:val="21"/>
                <w:szCs w:val="21"/>
                <w:lang w:eastAsia="zh-CN"/>
              </w:rPr>
              <w:t>Study design</w:t>
            </w:r>
          </w:p>
        </w:tc>
        <w:tc>
          <w:tcPr>
            <w:tcW w:w="2268" w:type="dxa"/>
            <w:vAlign w:val="center"/>
          </w:tcPr>
          <w:p w14:paraId="688B39A1" w14:textId="0D753FF2" w:rsidR="00732C80" w:rsidRPr="00732C80" w:rsidRDefault="00732C80" w:rsidP="00732C80">
            <w:pPr>
              <w:pStyle w:val="TableText"/>
              <w:ind w:leftChars="69" w:left="145"/>
              <w:jc w:val="both"/>
              <w:rPr>
                <w:rFonts w:eastAsiaTheme="minorEastAsia"/>
                <w:b/>
                <w:bCs/>
                <w:sz w:val="21"/>
                <w:szCs w:val="21"/>
                <w:lang w:eastAsia="zh-CN"/>
              </w:rPr>
            </w:pPr>
            <w:r w:rsidRPr="00732C80">
              <w:rPr>
                <w:rFonts w:eastAsiaTheme="minorEastAsia" w:hint="eastAsia"/>
                <w:b/>
                <w:bCs/>
                <w:sz w:val="21"/>
                <w:szCs w:val="21"/>
                <w:lang w:eastAsia="zh-CN"/>
              </w:rPr>
              <w:t>M</w:t>
            </w:r>
            <w:r w:rsidRPr="00732C80">
              <w:rPr>
                <w:rFonts w:eastAsiaTheme="minorEastAsia"/>
                <w:b/>
                <w:bCs/>
                <w:sz w:val="21"/>
                <w:szCs w:val="21"/>
                <w:lang w:eastAsia="zh-CN"/>
              </w:rPr>
              <w:t>easure of iron</w:t>
            </w:r>
          </w:p>
        </w:tc>
        <w:tc>
          <w:tcPr>
            <w:tcW w:w="1134" w:type="dxa"/>
            <w:vAlign w:val="center"/>
          </w:tcPr>
          <w:p w14:paraId="5B5C2BED" w14:textId="54D8931A" w:rsidR="00732C80" w:rsidRPr="00732C80" w:rsidRDefault="00732C80" w:rsidP="00732C80">
            <w:pPr>
              <w:pStyle w:val="TableText"/>
              <w:ind w:leftChars="65" w:left="136"/>
              <w:jc w:val="both"/>
              <w:rPr>
                <w:rFonts w:eastAsiaTheme="minorEastAsia"/>
                <w:b/>
                <w:bCs/>
                <w:sz w:val="21"/>
                <w:szCs w:val="21"/>
                <w:lang w:eastAsia="zh-CN"/>
              </w:rPr>
            </w:pPr>
            <w:r w:rsidRPr="00732C80">
              <w:rPr>
                <w:rFonts w:eastAsiaTheme="minorEastAsia"/>
                <w:b/>
                <w:bCs/>
                <w:sz w:val="21"/>
                <w:szCs w:val="21"/>
                <w:lang w:eastAsia="zh-CN"/>
              </w:rPr>
              <w:t>Outcome</w:t>
            </w:r>
          </w:p>
        </w:tc>
        <w:tc>
          <w:tcPr>
            <w:tcW w:w="5244" w:type="dxa"/>
            <w:vAlign w:val="center"/>
          </w:tcPr>
          <w:p w14:paraId="0779402C" w14:textId="173500DC" w:rsidR="00732C80" w:rsidRPr="00732C80" w:rsidRDefault="00732C80" w:rsidP="00732C80">
            <w:pPr>
              <w:pStyle w:val="TableText"/>
              <w:ind w:leftChars="65" w:left="136"/>
              <w:jc w:val="both"/>
              <w:rPr>
                <w:b/>
                <w:bCs/>
                <w:sz w:val="21"/>
                <w:szCs w:val="21"/>
              </w:rPr>
            </w:pPr>
            <w:r w:rsidRPr="00732C80">
              <w:rPr>
                <w:rFonts w:eastAsiaTheme="minorEastAsia" w:hint="eastAsia"/>
                <w:b/>
                <w:bCs/>
                <w:sz w:val="21"/>
                <w:szCs w:val="21"/>
                <w:lang w:eastAsia="zh-CN"/>
              </w:rPr>
              <w:t>R</w:t>
            </w:r>
            <w:r w:rsidRPr="00732C80">
              <w:rPr>
                <w:rFonts w:eastAsiaTheme="minorEastAsia"/>
                <w:b/>
                <w:bCs/>
                <w:sz w:val="21"/>
                <w:szCs w:val="21"/>
                <w:lang w:eastAsia="zh-CN"/>
              </w:rPr>
              <w:t>esults and conclusion</w:t>
            </w:r>
          </w:p>
        </w:tc>
        <w:tc>
          <w:tcPr>
            <w:tcW w:w="1701" w:type="dxa"/>
            <w:vAlign w:val="center"/>
          </w:tcPr>
          <w:p w14:paraId="586C942C" w14:textId="5463AB44" w:rsidR="00732C80" w:rsidRPr="00732C80" w:rsidRDefault="00732C80" w:rsidP="00732C80">
            <w:pPr>
              <w:pStyle w:val="TableText"/>
              <w:ind w:leftChars="65" w:left="136"/>
              <w:jc w:val="both"/>
              <w:rPr>
                <w:rFonts w:eastAsiaTheme="minorEastAsia"/>
                <w:b/>
                <w:bCs/>
                <w:sz w:val="21"/>
                <w:szCs w:val="21"/>
                <w:lang w:eastAsia="zh-CN"/>
              </w:rPr>
            </w:pPr>
            <w:r>
              <w:rPr>
                <w:rFonts w:eastAsiaTheme="minorEastAsia" w:hint="eastAsia"/>
                <w:b/>
                <w:bCs/>
                <w:sz w:val="21"/>
                <w:szCs w:val="21"/>
                <w:lang w:eastAsia="zh-CN"/>
              </w:rPr>
              <w:t>D</w:t>
            </w:r>
            <w:r>
              <w:rPr>
                <w:rFonts w:eastAsiaTheme="minorEastAsia"/>
                <w:b/>
                <w:bCs/>
                <w:sz w:val="21"/>
                <w:szCs w:val="21"/>
                <w:lang w:eastAsia="zh-CN"/>
              </w:rPr>
              <w:t>OI</w:t>
            </w:r>
          </w:p>
        </w:tc>
      </w:tr>
      <w:tr w:rsidR="00732C80" w14:paraId="73F21371" w14:textId="587D530B" w:rsidTr="00AC3445">
        <w:trPr>
          <w:trHeight w:val="330"/>
        </w:trPr>
        <w:tc>
          <w:tcPr>
            <w:tcW w:w="1553" w:type="dxa"/>
            <w:vAlign w:val="center"/>
          </w:tcPr>
          <w:p w14:paraId="49BBE3A4" w14:textId="76DA3B63" w:rsidR="00732C80" w:rsidRPr="00AC3445" w:rsidRDefault="00732C80" w:rsidP="00732C80">
            <w:pPr>
              <w:pStyle w:val="TableText"/>
              <w:spacing w:before="92" w:line="206" w:lineRule="auto"/>
              <w:ind w:leftChars="61" w:left="128"/>
              <w:rPr>
                <w:rFonts w:eastAsiaTheme="minorEastAsia"/>
                <w:sz w:val="18"/>
                <w:szCs w:val="18"/>
                <w:lang w:eastAsia="zh-CN"/>
              </w:rPr>
            </w:pPr>
            <w:r w:rsidRPr="00AC3445">
              <w:rPr>
                <w:rFonts w:eastAsiaTheme="minorEastAsia" w:hint="eastAsia"/>
                <w:sz w:val="18"/>
                <w:szCs w:val="18"/>
                <w:lang w:eastAsia="zh-CN"/>
              </w:rPr>
              <w:t>Q</w:t>
            </w:r>
            <w:r w:rsidRPr="00AC3445">
              <w:rPr>
                <w:rFonts w:eastAsiaTheme="minorEastAsia"/>
                <w:sz w:val="18"/>
                <w:szCs w:val="18"/>
                <w:lang w:eastAsia="zh-CN"/>
              </w:rPr>
              <w:t>u, 2024</w:t>
            </w:r>
          </w:p>
        </w:tc>
        <w:tc>
          <w:tcPr>
            <w:tcW w:w="1134" w:type="dxa"/>
            <w:vAlign w:val="center"/>
          </w:tcPr>
          <w:p w14:paraId="4818D5BB" w14:textId="330FD2C6" w:rsidR="00732C80" w:rsidRPr="00AC3445" w:rsidRDefault="00732C80" w:rsidP="00732C80">
            <w:pPr>
              <w:pStyle w:val="TableText"/>
              <w:ind w:leftChars="59" w:left="124"/>
              <w:rPr>
                <w:sz w:val="18"/>
                <w:szCs w:val="18"/>
              </w:rPr>
            </w:pPr>
            <w:r w:rsidRPr="00AC3445">
              <w:rPr>
                <w:sz w:val="18"/>
                <w:szCs w:val="18"/>
              </w:rPr>
              <w:t>Germany</w:t>
            </w:r>
          </w:p>
        </w:tc>
        <w:tc>
          <w:tcPr>
            <w:tcW w:w="1701" w:type="dxa"/>
            <w:vAlign w:val="center"/>
          </w:tcPr>
          <w:p w14:paraId="7BCC47E3" w14:textId="18D48B80" w:rsidR="00732C80" w:rsidRPr="00AC3445" w:rsidRDefault="00732C80" w:rsidP="00732C80">
            <w:pPr>
              <w:pStyle w:val="TableText"/>
              <w:ind w:leftChars="67" w:left="141"/>
              <w:rPr>
                <w:sz w:val="18"/>
                <w:szCs w:val="18"/>
              </w:rPr>
            </w:pPr>
            <w:r w:rsidRPr="00AC3445">
              <w:rPr>
                <w:sz w:val="18"/>
                <w:szCs w:val="18"/>
              </w:rPr>
              <w:t xml:space="preserve">Mendelian randomization </w:t>
            </w:r>
          </w:p>
        </w:tc>
        <w:tc>
          <w:tcPr>
            <w:tcW w:w="2268" w:type="dxa"/>
            <w:vAlign w:val="center"/>
          </w:tcPr>
          <w:p w14:paraId="66EED150" w14:textId="1FFC46C0" w:rsidR="00732C80" w:rsidRPr="00AC3445" w:rsidRDefault="00732C80" w:rsidP="00732C80">
            <w:pPr>
              <w:pStyle w:val="TableText"/>
              <w:ind w:leftChars="69" w:left="145"/>
              <w:rPr>
                <w:rFonts w:eastAsiaTheme="minorEastAsia"/>
                <w:sz w:val="18"/>
                <w:szCs w:val="18"/>
                <w:lang w:eastAsia="zh-CN"/>
              </w:rPr>
            </w:pPr>
            <w:r w:rsidRPr="00AC3445">
              <w:rPr>
                <w:rFonts w:eastAsiaTheme="minorEastAsia" w:hint="eastAsia"/>
                <w:sz w:val="18"/>
                <w:szCs w:val="18"/>
                <w:lang w:eastAsia="zh-CN"/>
              </w:rPr>
              <w:t>S</w:t>
            </w:r>
            <w:r w:rsidRPr="00AC3445">
              <w:rPr>
                <w:rFonts w:eastAsiaTheme="minorEastAsia"/>
                <w:sz w:val="18"/>
                <w:szCs w:val="18"/>
                <w:lang w:eastAsia="zh-CN"/>
              </w:rPr>
              <w:t>erum iron, Ferritin, Transferrin saturation, Transferrin</w:t>
            </w:r>
          </w:p>
        </w:tc>
        <w:tc>
          <w:tcPr>
            <w:tcW w:w="1134" w:type="dxa"/>
            <w:vAlign w:val="center"/>
          </w:tcPr>
          <w:p w14:paraId="72E0E205" w14:textId="0C13BB02" w:rsidR="00732C80" w:rsidRPr="00AC3445" w:rsidRDefault="00732C80" w:rsidP="00732C80">
            <w:pPr>
              <w:pStyle w:val="TableText"/>
              <w:ind w:leftChars="65" w:left="136" w:rightChars="64" w:right="134"/>
              <w:rPr>
                <w:rFonts w:eastAsiaTheme="minorEastAsia"/>
                <w:sz w:val="18"/>
                <w:szCs w:val="18"/>
                <w:lang w:eastAsia="zh-CN"/>
              </w:rPr>
            </w:pPr>
            <w:r w:rsidRPr="00AC3445">
              <w:rPr>
                <w:rFonts w:eastAsiaTheme="minorEastAsia" w:hint="eastAsia"/>
                <w:sz w:val="18"/>
                <w:szCs w:val="18"/>
                <w:lang w:eastAsia="zh-CN"/>
              </w:rPr>
              <w:t>D</w:t>
            </w:r>
            <w:r w:rsidRPr="00AC3445">
              <w:rPr>
                <w:rFonts w:eastAsiaTheme="minorEastAsia"/>
                <w:sz w:val="18"/>
                <w:szCs w:val="18"/>
                <w:lang w:eastAsia="zh-CN"/>
              </w:rPr>
              <w:t>R, PDR, NPDR</w:t>
            </w:r>
          </w:p>
        </w:tc>
        <w:tc>
          <w:tcPr>
            <w:tcW w:w="5244" w:type="dxa"/>
            <w:vAlign w:val="center"/>
          </w:tcPr>
          <w:p w14:paraId="384BD29A" w14:textId="09612D16" w:rsidR="00732C80" w:rsidRPr="00AC3445" w:rsidRDefault="00732C80" w:rsidP="00330424">
            <w:pPr>
              <w:pStyle w:val="TableText"/>
              <w:ind w:leftChars="65" w:left="136" w:rightChars="64" w:right="134"/>
              <w:rPr>
                <w:sz w:val="18"/>
                <w:szCs w:val="18"/>
              </w:rPr>
            </w:pPr>
            <w:r w:rsidRPr="00AC3445">
              <w:rPr>
                <w:sz w:val="18"/>
                <w:szCs w:val="18"/>
              </w:rPr>
              <w:t>No causal association was identified between serum iron status biomarkers and the risk of any types of DR</w:t>
            </w:r>
          </w:p>
        </w:tc>
        <w:tc>
          <w:tcPr>
            <w:tcW w:w="1701" w:type="dxa"/>
            <w:vAlign w:val="center"/>
          </w:tcPr>
          <w:p w14:paraId="5AE7BEE3" w14:textId="14BC4712" w:rsidR="00732C80" w:rsidRPr="00AC3445" w:rsidRDefault="00732C80" w:rsidP="00732C80">
            <w:pPr>
              <w:pStyle w:val="TableText"/>
              <w:ind w:leftChars="65" w:left="136" w:rightChars="65" w:right="136"/>
              <w:jc w:val="both"/>
              <w:rPr>
                <w:sz w:val="18"/>
                <w:szCs w:val="18"/>
              </w:rPr>
            </w:pPr>
            <w:r w:rsidRPr="00AC3445">
              <w:rPr>
                <w:sz w:val="18"/>
                <w:szCs w:val="18"/>
              </w:rPr>
              <w:t>10.3390/nu16213747</w:t>
            </w:r>
          </w:p>
        </w:tc>
      </w:tr>
      <w:tr w:rsidR="00732C80" w14:paraId="330B8F1E" w14:textId="0792E7E7" w:rsidTr="00AC3445">
        <w:trPr>
          <w:trHeight w:val="330"/>
        </w:trPr>
        <w:tc>
          <w:tcPr>
            <w:tcW w:w="1553" w:type="dxa"/>
            <w:vAlign w:val="center"/>
          </w:tcPr>
          <w:p w14:paraId="28E0BB6E" w14:textId="6929AF28" w:rsidR="00732C80" w:rsidRPr="00AC3445" w:rsidRDefault="00732C80" w:rsidP="00732C80">
            <w:pPr>
              <w:pStyle w:val="TableText"/>
              <w:spacing w:before="33" w:line="271" w:lineRule="exact"/>
              <w:ind w:leftChars="61" w:left="128"/>
              <w:rPr>
                <w:sz w:val="18"/>
                <w:szCs w:val="18"/>
              </w:rPr>
            </w:pPr>
            <w:r w:rsidRPr="00AC3445">
              <w:rPr>
                <w:sz w:val="18"/>
                <w:szCs w:val="18"/>
              </w:rPr>
              <w:t>Seyyar, 2024</w:t>
            </w:r>
          </w:p>
        </w:tc>
        <w:tc>
          <w:tcPr>
            <w:tcW w:w="1134" w:type="dxa"/>
            <w:vAlign w:val="center"/>
          </w:tcPr>
          <w:p w14:paraId="50833BA8" w14:textId="5EA359BD" w:rsidR="00732C80" w:rsidRPr="00AC3445" w:rsidRDefault="00732C80" w:rsidP="00732C80">
            <w:pPr>
              <w:pStyle w:val="TableText"/>
              <w:spacing w:before="94" w:line="204" w:lineRule="auto"/>
              <w:ind w:leftChars="59" w:left="124"/>
              <w:rPr>
                <w:sz w:val="18"/>
                <w:szCs w:val="18"/>
              </w:rPr>
            </w:pPr>
            <w:r w:rsidRPr="00AC3445">
              <w:rPr>
                <w:sz w:val="18"/>
                <w:szCs w:val="18"/>
              </w:rPr>
              <w:t>Turkey</w:t>
            </w:r>
          </w:p>
        </w:tc>
        <w:tc>
          <w:tcPr>
            <w:tcW w:w="1701" w:type="dxa"/>
            <w:vAlign w:val="center"/>
          </w:tcPr>
          <w:p w14:paraId="55948DEC" w14:textId="2999ACFD" w:rsidR="00732C80" w:rsidRPr="00AC3445" w:rsidRDefault="00732C80" w:rsidP="00732C80">
            <w:pPr>
              <w:pStyle w:val="TableText"/>
              <w:spacing w:before="94" w:line="204" w:lineRule="auto"/>
              <w:ind w:leftChars="67" w:left="141"/>
              <w:rPr>
                <w:rFonts w:eastAsiaTheme="minorEastAsia"/>
                <w:sz w:val="18"/>
                <w:szCs w:val="18"/>
                <w:lang w:eastAsia="zh-CN"/>
              </w:rPr>
            </w:pPr>
            <w:r w:rsidRPr="00AC3445">
              <w:rPr>
                <w:rFonts w:eastAsiaTheme="minorEastAsia" w:hint="eastAsia"/>
                <w:sz w:val="18"/>
                <w:szCs w:val="18"/>
                <w:lang w:eastAsia="zh-CN"/>
              </w:rPr>
              <w:t>C</w:t>
            </w:r>
            <w:r w:rsidRPr="00AC3445">
              <w:rPr>
                <w:rFonts w:eastAsiaTheme="minorEastAsia"/>
                <w:sz w:val="18"/>
                <w:szCs w:val="18"/>
                <w:lang w:eastAsia="zh-CN"/>
              </w:rPr>
              <w:t>ase-control</w:t>
            </w:r>
          </w:p>
        </w:tc>
        <w:tc>
          <w:tcPr>
            <w:tcW w:w="2268" w:type="dxa"/>
            <w:vAlign w:val="center"/>
          </w:tcPr>
          <w:p w14:paraId="3F15742C" w14:textId="178A13EB" w:rsidR="00732C80" w:rsidRPr="00AC3445" w:rsidRDefault="00330424" w:rsidP="00732C80">
            <w:pPr>
              <w:pStyle w:val="TableText"/>
              <w:spacing w:before="33" w:line="271" w:lineRule="exact"/>
              <w:ind w:leftChars="69" w:left="145"/>
              <w:rPr>
                <w:sz w:val="18"/>
                <w:szCs w:val="18"/>
              </w:rPr>
            </w:pPr>
            <w:r w:rsidRPr="00AC3445">
              <w:rPr>
                <w:sz w:val="18"/>
                <w:szCs w:val="18"/>
              </w:rPr>
              <w:t>Serum iron metabolism markers</w:t>
            </w:r>
          </w:p>
        </w:tc>
        <w:tc>
          <w:tcPr>
            <w:tcW w:w="1134" w:type="dxa"/>
            <w:vAlign w:val="center"/>
          </w:tcPr>
          <w:p w14:paraId="351682DE" w14:textId="31B4E775" w:rsidR="00732C80" w:rsidRPr="00AC3445" w:rsidRDefault="00AC3445" w:rsidP="00330424">
            <w:pPr>
              <w:pStyle w:val="TableText"/>
              <w:ind w:leftChars="65" w:left="136" w:rightChars="64" w:right="134"/>
              <w:rPr>
                <w:rFonts w:eastAsiaTheme="minorEastAsia"/>
                <w:sz w:val="18"/>
                <w:szCs w:val="18"/>
                <w:lang w:eastAsia="zh-CN"/>
              </w:rPr>
            </w:pPr>
            <w:r>
              <w:rPr>
                <w:rFonts w:eastAsiaTheme="minorEastAsia"/>
                <w:sz w:val="18"/>
                <w:szCs w:val="18"/>
                <w:lang w:eastAsia="zh-CN"/>
              </w:rPr>
              <w:t>DME</w:t>
            </w:r>
          </w:p>
        </w:tc>
        <w:tc>
          <w:tcPr>
            <w:tcW w:w="5244" w:type="dxa"/>
            <w:vAlign w:val="center"/>
          </w:tcPr>
          <w:p w14:paraId="3BA7520B" w14:textId="6F93D162" w:rsidR="00732C80" w:rsidRPr="00AC3445" w:rsidRDefault="00330424" w:rsidP="00330424">
            <w:pPr>
              <w:pStyle w:val="TableText"/>
              <w:spacing w:before="33" w:line="271" w:lineRule="exact"/>
              <w:ind w:leftChars="65" w:left="136" w:rightChars="64" w:right="134"/>
              <w:rPr>
                <w:sz w:val="18"/>
                <w:szCs w:val="18"/>
              </w:rPr>
            </w:pPr>
            <w:r w:rsidRPr="00AC3445">
              <w:rPr>
                <w:sz w:val="18"/>
                <w:szCs w:val="18"/>
              </w:rPr>
              <w:t>Ferritin was significantly higher in patients with macular oedema. Other iron status markers were found to be significantly lower.</w:t>
            </w:r>
          </w:p>
        </w:tc>
        <w:tc>
          <w:tcPr>
            <w:tcW w:w="1701" w:type="dxa"/>
            <w:vAlign w:val="center"/>
          </w:tcPr>
          <w:p w14:paraId="29D74FCD" w14:textId="40C3AFAF" w:rsidR="00732C80" w:rsidRPr="00AC3445" w:rsidRDefault="00330424" w:rsidP="00732C80">
            <w:pPr>
              <w:pStyle w:val="TableText"/>
              <w:spacing w:before="33" w:line="271" w:lineRule="exact"/>
              <w:ind w:leftChars="65" w:left="136"/>
              <w:jc w:val="both"/>
              <w:rPr>
                <w:sz w:val="18"/>
                <w:szCs w:val="18"/>
              </w:rPr>
            </w:pPr>
            <w:r w:rsidRPr="00AC3445">
              <w:rPr>
                <w:sz w:val="18"/>
                <w:szCs w:val="18"/>
              </w:rPr>
              <w:t>10.1080/08164622.2023.2218997</w:t>
            </w:r>
          </w:p>
        </w:tc>
      </w:tr>
      <w:tr w:rsidR="00732C80" w14:paraId="59D117CF" w14:textId="441D3EDE" w:rsidTr="00AC3445">
        <w:trPr>
          <w:trHeight w:val="331"/>
        </w:trPr>
        <w:tc>
          <w:tcPr>
            <w:tcW w:w="1553" w:type="dxa"/>
            <w:vAlign w:val="center"/>
          </w:tcPr>
          <w:p w14:paraId="5D7E3508" w14:textId="47384785" w:rsidR="00732C80" w:rsidRPr="00AC3445" w:rsidRDefault="00330424" w:rsidP="00732C80">
            <w:pPr>
              <w:pStyle w:val="TableText"/>
              <w:spacing w:before="34" w:line="271" w:lineRule="exact"/>
              <w:ind w:leftChars="61" w:left="128"/>
              <w:rPr>
                <w:rFonts w:eastAsiaTheme="minorEastAsia"/>
                <w:sz w:val="18"/>
                <w:szCs w:val="18"/>
                <w:lang w:eastAsia="zh-CN"/>
              </w:rPr>
            </w:pPr>
            <w:r w:rsidRPr="00AC3445">
              <w:rPr>
                <w:rFonts w:eastAsiaTheme="minorEastAsia" w:hint="eastAsia"/>
                <w:sz w:val="18"/>
                <w:szCs w:val="18"/>
                <w:lang w:eastAsia="zh-CN"/>
              </w:rPr>
              <w:t>C</w:t>
            </w:r>
            <w:r w:rsidRPr="00AC3445">
              <w:rPr>
                <w:rFonts w:eastAsiaTheme="minorEastAsia"/>
                <w:sz w:val="18"/>
                <w:szCs w:val="18"/>
                <w:lang w:eastAsia="zh-CN"/>
              </w:rPr>
              <w:t>hen, 2020</w:t>
            </w:r>
          </w:p>
        </w:tc>
        <w:tc>
          <w:tcPr>
            <w:tcW w:w="1134" w:type="dxa"/>
            <w:vAlign w:val="center"/>
          </w:tcPr>
          <w:p w14:paraId="4DC56A84" w14:textId="23E3DBEA" w:rsidR="00732C80" w:rsidRPr="00AC3445" w:rsidRDefault="00330424" w:rsidP="00732C80">
            <w:pPr>
              <w:pStyle w:val="TableText"/>
              <w:spacing w:before="95" w:line="204" w:lineRule="auto"/>
              <w:ind w:leftChars="59" w:left="124"/>
              <w:rPr>
                <w:sz w:val="18"/>
                <w:szCs w:val="18"/>
              </w:rPr>
            </w:pPr>
            <w:r w:rsidRPr="00AC3445">
              <w:rPr>
                <w:sz w:val="18"/>
                <w:szCs w:val="18"/>
              </w:rPr>
              <w:t>Taiwan</w:t>
            </w:r>
          </w:p>
        </w:tc>
        <w:tc>
          <w:tcPr>
            <w:tcW w:w="1701" w:type="dxa"/>
            <w:vAlign w:val="center"/>
          </w:tcPr>
          <w:p w14:paraId="29943866" w14:textId="4BE9CF26" w:rsidR="00732C80" w:rsidRPr="00AC3445" w:rsidRDefault="00330424" w:rsidP="00732C80">
            <w:pPr>
              <w:pStyle w:val="TableText"/>
              <w:spacing w:before="95" w:line="204" w:lineRule="auto"/>
              <w:ind w:leftChars="67" w:left="141"/>
              <w:rPr>
                <w:rFonts w:eastAsiaTheme="minorEastAsia"/>
                <w:sz w:val="18"/>
                <w:szCs w:val="18"/>
                <w:lang w:eastAsia="zh-CN"/>
              </w:rPr>
            </w:pPr>
            <w:r w:rsidRPr="00AC3445">
              <w:rPr>
                <w:rFonts w:eastAsiaTheme="minorEastAsia" w:hint="eastAsia"/>
                <w:sz w:val="18"/>
                <w:szCs w:val="18"/>
                <w:lang w:eastAsia="zh-CN"/>
              </w:rPr>
              <w:t>C</w:t>
            </w:r>
            <w:r w:rsidRPr="00AC3445">
              <w:rPr>
                <w:rFonts w:eastAsiaTheme="minorEastAsia"/>
                <w:sz w:val="18"/>
                <w:szCs w:val="18"/>
                <w:lang w:eastAsia="zh-CN"/>
              </w:rPr>
              <w:t>ross-sectional</w:t>
            </w:r>
          </w:p>
        </w:tc>
        <w:tc>
          <w:tcPr>
            <w:tcW w:w="2268" w:type="dxa"/>
            <w:vAlign w:val="center"/>
          </w:tcPr>
          <w:p w14:paraId="364470DB" w14:textId="00200E68" w:rsidR="00732C80" w:rsidRPr="00AC3445" w:rsidRDefault="00330424" w:rsidP="00732C80">
            <w:pPr>
              <w:pStyle w:val="TableText"/>
              <w:spacing w:before="34" w:line="271" w:lineRule="exact"/>
              <w:ind w:leftChars="69" w:left="145"/>
              <w:rPr>
                <w:sz w:val="18"/>
                <w:szCs w:val="18"/>
              </w:rPr>
            </w:pPr>
            <w:r w:rsidRPr="00AC3445">
              <w:rPr>
                <w:sz w:val="18"/>
                <w:szCs w:val="18"/>
              </w:rPr>
              <w:t>Serum iron</w:t>
            </w:r>
          </w:p>
        </w:tc>
        <w:tc>
          <w:tcPr>
            <w:tcW w:w="1134" w:type="dxa"/>
            <w:vAlign w:val="center"/>
          </w:tcPr>
          <w:p w14:paraId="7AAA4631" w14:textId="78D45BE5" w:rsidR="00732C80" w:rsidRPr="00AC3445" w:rsidRDefault="00330424" w:rsidP="00330424">
            <w:pPr>
              <w:pStyle w:val="TableText"/>
              <w:ind w:leftChars="65" w:left="136" w:rightChars="64" w:right="134"/>
              <w:rPr>
                <w:rFonts w:eastAsiaTheme="minorEastAsia"/>
                <w:sz w:val="18"/>
                <w:szCs w:val="18"/>
                <w:lang w:eastAsia="zh-CN"/>
              </w:rPr>
            </w:pPr>
            <w:r w:rsidRPr="00AC3445">
              <w:rPr>
                <w:rFonts w:eastAsiaTheme="minorEastAsia"/>
                <w:sz w:val="18"/>
                <w:szCs w:val="18"/>
                <w:lang w:eastAsia="zh-CN"/>
              </w:rPr>
              <w:t>DR</w:t>
            </w:r>
          </w:p>
        </w:tc>
        <w:tc>
          <w:tcPr>
            <w:tcW w:w="5244" w:type="dxa"/>
            <w:vAlign w:val="center"/>
          </w:tcPr>
          <w:p w14:paraId="7153AE53" w14:textId="5257EBFE" w:rsidR="00732C80" w:rsidRPr="00AC3445" w:rsidRDefault="00330424" w:rsidP="00330424">
            <w:pPr>
              <w:pStyle w:val="TableText"/>
              <w:spacing w:before="34" w:line="271" w:lineRule="exact"/>
              <w:ind w:leftChars="65" w:left="136" w:rightChars="64" w:right="134"/>
              <w:rPr>
                <w:sz w:val="18"/>
                <w:szCs w:val="18"/>
              </w:rPr>
            </w:pPr>
            <w:r w:rsidRPr="00AC3445">
              <w:rPr>
                <w:sz w:val="18"/>
                <w:szCs w:val="18"/>
              </w:rPr>
              <w:t>Serum iron has an inverse association with the occurrence of DR in diabetic adults. After dividing serum iron into quartiles, the third quartile was associated with DR with an OR of 0.601 (95% CI: 0.418-0.863).</w:t>
            </w:r>
          </w:p>
        </w:tc>
        <w:tc>
          <w:tcPr>
            <w:tcW w:w="1701" w:type="dxa"/>
            <w:vAlign w:val="center"/>
          </w:tcPr>
          <w:p w14:paraId="3101AADC" w14:textId="64136E6A" w:rsidR="00732C80" w:rsidRPr="00AC3445" w:rsidRDefault="00330424" w:rsidP="00732C80">
            <w:pPr>
              <w:pStyle w:val="TableText"/>
              <w:spacing w:before="34" w:line="271" w:lineRule="exact"/>
              <w:ind w:leftChars="65" w:left="136"/>
              <w:jc w:val="both"/>
              <w:rPr>
                <w:sz w:val="18"/>
                <w:szCs w:val="18"/>
              </w:rPr>
            </w:pPr>
            <w:r w:rsidRPr="00AC3445">
              <w:rPr>
                <w:sz w:val="18"/>
                <w:szCs w:val="18"/>
              </w:rPr>
              <w:t>10.3390/nu12082297</w:t>
            </w:r>
          </w:p>
        </w:tc>
      </w:tr>
      <w:tr w:rsidR="00732C80" w14:paraId="06049B0D" w14:textId="28047617" w:rsidTr="00AC3445">
        <w:trPr>
          <w:trHeight w:val="331"/>
        </w:trPr>
        <w:tc>
          <w:tcPr>
            <w:tcW w:w="1553" w:type="dxa"/>
            <w:vAlign w:val="center"/>
          </w:tcPr>
          <w:p w14:paraId="458B49D9" w14:textId="541FA270" w:rsidR="00732C80" w:rsidRPr="00AC3445" w:rsidRDefault="00330424" w:rsidP="00732C80">
            <w:pPr>
              <w:pStyle w:val="TableText"/>
              <w:spacing w:before="34" w:line="271" w:lineRule="exact"/>
              <w:ind w:leftChars="61" w:left="128"/>
              <w:rPr>
                <w:sz w:val="18"/>
                <w:szCs w:val="18"/>
              </w:rPr>
            </w:pPr>
            <w:r w:rsidRPr="00AC3445">
              <w:rPr>
                <w:sz w:val="18"/>
                <w:szCs w:val="18"/>
              </w:rPr>
              <w:t>Hamdan, 2015</w:t>
            </w:r>
          </w:p>
        </w:tc>
        <w:tc>
          <w:tcPr>
            <w:tcW w:w="1134" w:type="dxa"/>
            <w:vAlign w:val="center"/>
          </w:tcPr>
          <w:p w14:paraId="0B9CE805" w14:textId="0FEE6CDD" w:rsidR="00732C80" w:rsidRPr="00AC3445" w:rsidRDefault="00330424" w:rsidP="00732C80">
            <w:pPr>
              <w:pStyle w:val="TableText"/>
              <w:spacing w:before="95" w:line="204" w:lineRule="auto"/>
              <w:ind w:leftChars="59" w:left="124"/>
              <w:rPr>
                <w:sz w:val="18"/>
                <w:szCs w:val="18"/>
              </w:rPr>
            </w:pPr>
            <w:r w:rsidRPr="00AC3445">
              <w:rPr>
                <w:sz w:val="18"/>
                <w:szCs w:val="18"/>
              </w:rPr>
              <w:t>Sudan</w:t>
            </w:r>
          </w:p>
        </w:tc>
        <w:tc>
          <w:tcPr>
            <w:tcW w:w="1701" w:type="dxa"/>
            <w:vAlign w:val="center"/>
          </w:tcPr>
          <w:p w14:paraId="1D7DC7A8" w14:textId="41AA058A" w:rsidR="00732C80" w:rsidRPr="00AC3445" w:rsidRDefault="00330424" w:rsidP="00732C80">
            <w:pPr>
              <w:pStyle w:val="TableText"/>
              <w:spacing w:before="95" w:line="204" w:lineRule="auto"/>
              <w:ind w:leftChars="67" w:left="141"/>
              <w:rPr>
                <w:sz w:val="18"/>
                <w:szCs w:val="18"/>
              </w:rPr>
            </w:pPr>
            <w:r w:rsidRPr="00AC3445">
              <w:rPr>
                <w:rFonts w:eastAsiaTheme="minorEastAsia" w:hint="eastAsia"/>
                <w:sz w:val="18"/>
                <w:szCs w:val="18"/>
                <w:lang w:eastAsia="zh-CN"/>
              </w:rPr>
              <w:t>C</w:t>
            </w:r>
            <w:r w:rsidRPr="00AC3445">
              <w:rPr>
                <w:rFonts w:eastAsiaTheme="minorEastAsia"/>
                <w:sz w:val="18"/>
                <w:szCs w:val="18"/>
                <w:lang w:eastAsia="zh-CN"/>
              </w:rPr>
              <w:t>ase-control</w:t>
            </w:r>
          </w:p>
        </w:tc>
        <w:tc>
          <w:tcPr>
            <w:tcW w:w="2268" w:type="dxa"/>
            <w:vAlign w:val="center"/>
          </w:tcPr>
          <w:p w14:paraId="7D614893" w14:textId="79D2F6D1" w:rsidR="00732C80" w:rsidRPr="00AC3445" w:rsidRDefault="00330424" w:rsidP="00732C80">
            <w:pPr>
              <w:pStyle w:val="TableText"/>
              <w:spacing w:before="34" w:line="271" w:lineRule="exact"/>
              <w:ind w:leftChars="69" w:left="145"/>
              <w:rPr>
                <w:sz w:val="18"/>
                <w:szCs w:val="18"/>
              </w:rPr>
            </w:pPr>
            <w:r w:rsidRPr="00AC3445">
              <w:rPr>
                <w:sz w:val="18"/>
                <w:szCs w:val="18"/>
              </w:rPr>
              <w:t>Serum iron and ferritin disturbance</w:t>
            </w:r>
          </w:p>
        </w:tc>
        <w:tc>
          <w:tcPr>
            <w:tcW w:w="1134" w:type="dxa"/>
            <w:vAlign w:val="center"/>
          </w:tcPr>
          <w:p w14:paraId="182A39B9" w14:textId="7CE6A72F" w:rsidR="00732C80" w:rsidRPr="00AC3445" w:rsidRDefault="00330424" w:rsidP="00732C80">
            <w:pPr>
              <w:pStyle w:val="TableText"/>
              <w:spacing w:before="95" w:line="204" w:lineRule="auto"/>
              <w:ind w:leftChars="65" w:left="136"/>
              <w:rPr>
                <w:rFonts w:eastAsiaTheme="minorEastAsia"/>
                <w:sz w:val="18"/>
                <w:szCs w:val="18"/>
                <w:lang w:eastAsia="zh-CN"/>
              </w:rPr>
            </w:pPr>
            <w:r w:rsidRPr="00AC3445">
              <w:rPr>
                <w:rFonts w:eastAsiaTheme="minorEastAsia" w:hint="eastAsia"/>
                <w:sz w:val="18"/>
                <w:szCs w:val="18"/>
                <w:lang w:eastAsia="zh-CN"/>
              </w:rPr>
              <w:t>D</w:t>
            </w:r>
            <w:r w:rsidRPr="00AC3445">
              <w:rPr>
                <w:rFonts w:eastAsiaTheme="minorEastAsia"/>
                <w:sz w:val="18"/>
                <w:szCs w:val="18"/>
                <w:lang w:eastAsia="zh-CN"/>
              </w:rPr>
              <w:t>R</w:t>
            </w:r>
          </w:p>
        </w:tc>
        <w:tc>
          <w:tcPr>
            <w:tcW w:w="5244" w:type="dxa"/>
            <w:vAlign w:val="center"/>
          </w:tcPr>
          <w:p w14:paraId="26F52DAC" w14:textId="30F8FF65" w:rsidR="00732C80" w:rsidRPr="00AC3445" w:rsidRDefault="00330424" w:rsidP="00732C80">
            <w:pPr>
              <w:pStyle w:val="TableText"/>
              <w:spacing w:before="34" w:line="271" w:lineRule="exact"/>
              <w:ind w:leftChars="65" w:left="136"/>
              <w:rPr>
                <w:sz w:val="18"/>
                <w:szCs w:val="18"/>
              </w:rPr>
            </w:pPr>
            <w:r w:rsidRPr="00AC3445">
              <w:rPr>
                <w:sz w:val="18"/>
                <w:szCs w:val="18"/>
              </w:rPr>
              <w:t xml:space="preserve">serum iron and ferritin have no significant effect </w:t>
            </w:r>
            <w:r w:rsidR="00AC3445" w:rsidRPr="00AC3445">
              <w:rPr>
                <w:sz w:val="18"/>
                <w:szCs w:val="18"/>
              </w:rPr>
              <w:t>on diabetic retinopathy.</w:t>
            </w:r>
          </w:p>
        </w:tc>
        <w:tc>
          <w:tcPr>
            <w:tcW w:w="1701" w:type="dxa"/>
            <w:vAlign w:val="center"/>
          </w:tcPr>
          <w:p w14:paraId="4E3324B9" w14:textId="528A5013" w:rsidR="00732C80" w:rsidRPr="00AC3445" w:rsidRDefault="00AC3445" w:rsidP="00732C80">
            <w:pPr>
              <w:pStyle w:val="TableText"/>
              <w:spacing w:before="34" w:line="271" w:lineRule="exact"/>
              <w:ind w:leftChars="65" w:left="136"/>
              <w:jc w:val="both"/>
              <w:rPr>
                <w:sz w:val="18"/>
                <w:szCs w:val="18"/>
              </w:rPr>
            </w:pPr>
            <w:r w:rsidRPr="00AC3445">
              <w:rPr>
                <w:sz w:val="18"/>
                <w:szCs w:val="18"/>
              </w:rPr>
              <w:t>10.1007/s12011-015-0236-4</w:t>
            </w:r>
          </w:p>
        </w:tc>
      </w:tr>
      <w:tr w:rsidR="00732C80" w14:paraId="006A3732" w14:textId="1B14BB47" w:rsidTr="00AC3445">
        <w:trPr>
          <w:trHeight w:val="330"/>
        </w:trPr>
        <w:tc>
          <w:tcPr>
            <w:tcW w:w="1553" w:type="dxa"/>
            <w:vAlign w:val="center"/>
          </w:tcPr>
          <w:p w14:paraId="79BD0574" w14:textId="0B8E6F89" w:rsidR="00732C80" w:rsidRPr="00AC3445" w:rsidRDefault="00AC3445" w:rsidP="00732C80">
            <w:pPr>
              <w:pStyle w:val="TableText"/>
              <w:spacing w:before="34" w:line="271" w:lineRule="exact"/>
              <w:ind w:leftChars="61" w:left="128"/>
              <w:rPr>
                <w:rFonts w:eastAsiaTheme="minorEastAsia"/>
                <w:sz w:val="18"/>
                <w:szCs w:val="18"/>
                <w:lang w:eastAsia="zh-CN"/>
              </w:rPr>
            </w:pPr>
            <w:r w:rsidRPr="00AC3445">
              <w:rPr>
                <w:rFonts w:eastAsiaTheme="minorEastAsia" w:hint="eastAsia"/>
                <w:sz w:val="18"/>
                <w:szCs w:val="18"/>
                <w:lang w:eastAsia="zh-CN"/>
              </w:rPr>
              <w:t>G</w:t>
            </w:r>
            <w:r w:rsidRPr="00AC3445">
              <w:rPr>
                <w:rFonts w:eastAsiaTheme="minorEastAsia"/>
                <w:sz w:val="18"/>
                <w:szCs w:val="18"/>
                <w:lang w:eastAsia="zh-CN"/>
              </w:rPr>
              <w:t>uo, 2014</w:t>
            </w:r>
          </w:p>
        </w:tc>
        <w:tc>
          <w:tcPr>
            <w:tcW w:w="1134" w:type="dxa"/>
            <w:vAlign w:val="center"/>
          </w:tcPr>
          <w:p w14:paraId="63873B22" w14:textId="729BB964" w:rsidR="00732C80" w:rsidRPr="00AC3445" w:rsidRDefault="00AC3445" w:rsidP="00732C80">
            <w:pPr>
              <w:pStyle w:val="TableText"/>
              <w:spacing w:before="95" w:line="204" w:lineRule="auto"/>
              <w:ind w:leftChars="59" w:left="124"/>
              <w:rPr>
                <w:sz w:val="18"/>
                <w:szCs w:val="18"/>
              </w:rPr>
            </w:pPr>
            <w:r w:rsidRPr="00AC3445">
              <w:rPr>
                <w:sz w:val="18"/>
                <w:szCs w:val="18"/>
              </w:rPr>
              <w:t>China</w:t>
            </w:r>
          </w:p>
        </w:tc>
        <w:tc>
          <w:tcPr>
            <w:tcW w:w="1701" w:type="dxa"/>
            <w:vAlign w:val="center"/>
          </w:tcPr>
          <w:p w14:paraId="55F47B44" w14:textId="154DEE70" w:rsidR="00732C80" w:rsidRPr="00AC3445" w:rsidRDefault="00AC3445" w:rsidP="00732C80">
            <w:pPr>
              <w:pStyle w:val="TableText"/>
              <w:spacing w:before="95" w:line="204" w:lineRule="auto"/>
              <w:ind w:leftChars="67" w:left="141"/>
              <w:rPr>
                <w:sz w:val="18"/>
                <w:szCs w:val="18"/>
              </w:rPr>
            </w:pPr>
            <w:r w:rsidRPr="00AC3445">
              <w:rPr>
                <w:rFonts w:eastAsiaTheme="minorEastAsia" w:hint="eastAsia"/>
                <w:sz w:val="18"/>
                <w:szCs w:val="18"/>
                <w:lang w:eastAsia="zh-CN"/>
              </w:rPr>
              <w:t>C</w:t>
            </w:r>
            <w:r w:rsidRPr="00AC3445">
              <w:rPr>
                <w:rFonts w:eastAsiaTheme="minorEastAsia"/>
                <w:sz w:val="18"/>
                <w:szCs w:val="18"/>
                <w:lang w:eastAsia="zh-CN"/>
              </w:rPr>
              <w:t>ase-control</w:t>
            </w:r>
          </w:p>
        </w:tc>
        <w:tc>
          <w:tcPr>
            <w:tcW w:w="2268" w:type="dxa"/>
            <w:vAlign w:val="center"/>
          </w:tcPr>
          <w:p w14:paraId="1F29B978" w14:textId="419FD32D" w:rsidR="00732C80" w:rsidRPr="00AC3445" w:rsidRDefault="00AC3445" w:rsidP="00732C80">
            <w:pPr>
              <w:pStyle w:val="TableText"/>
              <w:spacing w:before="34" w:line="271" w:lineRule="exact"/>
              <w:ind w:leftChars="69" w:left="145"/>
              <w:rPr>
                <w:sz w:val="18"/>
                <w:szCs w:val="18"/>
              </w:rPr>
            </w:pPr>
            <w:r w:rsidRPr="00AC3445">
              <w:rPr>
                <w:sz w:val="18"/>
                <w:szCs w:val="18"/>
              </w:rPr>
              <w:t>Serum ferritin</w:t>
            </w:r>
          </w:p>
        </w:tc>
        <w:tc>
          <w:tcPr>
            <w:tcW w:w="1134" w:type="dxa"/>
            <w:vAlign w:val="center"/>
          </w:tcPr>
          <w:p w14:paraId="1EBCFB4D" w14:textId="4BEEE725" w:rsidR="00732C80" w:rsidRPr="00AC3445" w:rsidRDefault="00AC3445" w:rsidP="00732C80">
            <w:pPr>
              <w:pStyle w:val="TableText"/>
              <w:spacing w:before="95" w:line="204" w:lineRule="auto"/>
              <w:ind w:leftChars="65" w:left="136"/>
              <w:rPr>
                <w:rFonts w:eastAsiaTheme="minorEastAsia"/>
                <w:sz w:val="18"/>
                <w:szCs w:val="18"/>
                <w:lang w:eastAsia="zh-CN"/>
              </w:rPr>
            </w:pPr>
            <w:r w:rsidRPr="00AC3445">
              <w:rPr>
                <w:rFonts w:eastAsiaTheme="minorEastAsia" w:hint="eastAsia"/>
                <w:sz w:val="18"/>
                <w:szCs w:val="18"/>
                <w:lang w:eastAsia="zh-CN"/>
              </w:rPr>
              <w:t>D</w:t>
            </w:r>
            <w:r w:rsidRPr="00AC3445">
              <w:rPr>
                <w:rFonts w:eastAsiaTheme="minorEastAsia"/>
                <w:sz w:val="18"/>
                <w:szCs w:val="18"/>
                <w:lang w:eastAsia="zh-CN"/>
              </w:rPr>
              <w:t>R</w:t>
            </w:r>
          </w:p>
        </w:tc>
        <w:tc>
          <w:tcPr>
            <w:tcW w:w="5244" w:type="dxa"/>
            <w:vAlign w:val="center"/>
          </w:tcPr>
          <w:p w14:paraId="5301701E" w14:textId="7AC92C90" w:rsidR="00732C80" w:rsidRPr="00AC3445" w:rsidRDefault="00AC3445" w:rsidP="00732C80">
            <w:pPr>
              <w:pStyle w:val="TableText"/>
              <w:spacing w:before="34" w:line="271" w:lineRule="exact"/>
              <w:ind w:leftChars="65" w:left="136"/>
              <w:rPr>
                <w:sz w:val="18"/>
                <w:szCs w:val="18"/>
              </w:rPr>
            </w:pPr>
            <w:r w:rsidRPr="00AC3445">
              <w:rPr>
                <w:sz w:val="18"/>
                <w:szCs w:val="18"/>
              </w:rPr>
              <w:t>High ferritin levels in T2DM are closely related to the development of diabetic vascular complications, including DR</w:t>
            </w:r>
          </w:p>
        </w:tc>
        <w:tc>
          <w:tcPr>
            <w:tcW w:w="1701" w:type="dxa"/>
            <w:vAlign w:val="center"/>
          </w:tcPr>
          <w:p w14:paraId="0561661E" w14:textId="265451ED" w:rsidR="00732C80" w:rsidRPr="00AC3445" w:rsidRDefault="00AC3445" w:rsidP="00732C80">
            <w:pPr>
              <w:pStyle w:val="TableText"/>
              <w:spacing w:before="34" w:line="271" w:lineRule="exact"/>
              <w:ind w:leftChars="65" w:left="136"/>
              <w:jc w:val="both"/>
              <w:rPr>
                <w:sz w:val="18"/>
                <w:szCs w:val="18"/>
              </w:rPr>
            </w:pPr>
            <w:r w:rsidRPr="00AC3445">
              <w:rPr>
                <w:sz w:val="18"/>
                <w:szCs w:val="18"/>
              </w:rPr>
              <w:t>10.1089/dia.2013.0181</w:t>
            </w:r>
          </w:p>
        </w:tc>
      </w:tr>
      <w:tr w:rsidR="00732C80" w14:paraId="7F45665C" w14:textId="04973FC7" w:rsidTr="00AC3445">
        <w:trPr>
          <w:trHeight w:val="331"/>
        </w:trPr>
        <w:tc>
          <w:tcPr>
            <w:tcW w:w="1553" w:type="dxa"/>
            <w:vAlign w:val="center"/>
          </w:tcPr>
          <w:p w14:paraId="05D42B98" w14:textId="5B269235" w:rsidR="00732C80" w:rsidRPr="00AC3445" w:rsidRDefault="00AC3445" w:rsidP="00732C80">
            <w:pPr>
              <w:pStyle w:val="TableText"/>
              <w:spacing w:before="78" w:line="225" w:lineRule="auto"/>
              <w:ind w:leftChars="61" w:left="128"/>
              <w:rPr>
                <w:rFonts w:eastAsiaTheme="minorEastAsia"/>
                <w:sz w:val="18"/>
                <w:szCs w:val="18"/>
                <w:lang w:eastAsia="zh-CN"/>
              </w:rPr>
            </w:pPr>
            <w:r w:rsidRPr="00AC3445">
              <w:rPr>
                <w:rFonts w:eastAsiaTheme="minorEastAsia" w:hint="eastAsia"/>
                <w:sz w:val="18"/>
                <w:szCs w:val="18"/>
                <w:lang w:eastAsia="zh-CN"/>
              </w:rPr>
              <w:t>E</w:t>
            </w:r>
            <w:r w:rsidRPr="00AC3445">
              <w:rPr>
                <w:rFonts w:eastAsiaTheme="minorEastAsia"/>
                <w:sz w:val="18"/>
                <w:szCs w:val="18"/>
                <w:lang w:eastAsia="zh-CN"/>
              </w:rPr>
              <w:t>lis, 2004</w:t>
            </w:r>
          </w:p>
        </w:tc>
        <w:tc>
          <w:tcPr>
            <w:tcW w:w="1134" w:type="dxa"/>
            <w:vAlign w:val="center"/>
          </w:tcPr>
          <w:p w14:paraId="37992310" w14:textId="3731DD73" w:rsidR="00732C80" w:rsidRPr="00AC3445" w:rsidRDefault="00AC3445" w:rsidP="00732C80">
            <w:pPr>
              <w:pStyle w:val="TableText"/>
              <w:ind w:leftChars="59" w:left="124"/>
              <w:rPr>
                <w:sz w:val="18"/>
                <w:szCs w:val="18"/>
              </w:rPr>
            </w:pPr>
            <w:r w:rsidRPr="00AC3445">
              <w:rPr>
                <w:sz w:val="18"/>
                <w:szCs w:val="18"/>
              </w:rPr>
              <w:t>Israel</w:t>
            </w:r>
          </w:p>
        </w:tc>
        <w:tc>
          <w:tcPr>
            <w:tcW w:w="1701" w:type="dxa"/>
            <w:vAlign w:val="center"/>
          </w:tcPr>
          <w:p w14:paraId="08E2EEAC" w14:textId="74E74BEC" w:rsidR="00732C80" w:rsidRPr="00AC3445" w:rsidRDefault="00AC3445" w:rsidP="00732C80">
            <w:pPr>
              <w:pStyle w:val="TableText"/>
              <w:ind w:leftChars="67" w:left="141"/>
              <w:rPr>
                <w:sz w:val="18"/>
                <w:szCs w:val="18"/>
              </w:rPr>
            </w:pPr>
            <w:r w:rsidRPr="00AC3445">
              <w:rPr>
                <w:rFonts w:eastAsiaTheme="minorEastAsia" w:hint="eastAsia"/>
                <w:sz w:val="18"/>
                <w:szCs w:val="18"/>
                <w:lang w:eastAsia="zh-CN"/>
              </w:rPr>
              <w:t>C</w:t>
            </w:r>
            <w:r w:rsidRPr="00AC3445">
              <w:rPr>
                <w:rFonts w:eastAsiaTheme="minorEastAsia"/>
                <w:sz w:val="18"/>
                <w:szCs w:val="18"/>
                <w:lang w:eastAsia="zh-CN"/>
              </w:rPr>
              <w:t>ase-control</w:t>
            </w:r>
          </w:p>
        </w:tc>
        <w:tc>
          <w:tcPr>
            <w:tcW w:w="2268" w:type="dxa"/>
            <w:vAlign w:val="center"/>
          </w:tcPr>
          <w:p w14:paraId="04EAE626" w14:textId="6E79A650" w:rsidR="00732C80" w:rsidRPr="00AC3445" w:rsidRDefault="00AC3445" w:rsidP="00732C80">
            <w:pPr>
              <w:pStyle w:val="TableText"/>
              <w:ind w:leftChars="69" w:left="145"/>
              <w:rPr>
                <w:sz w:val="18"/>
                <w:szCs w:val="18"/>
              </w:rPr>
            </w:pPr>
            <w:r w:rsidRPr="00AC3445">
              <w:rPr>
                <w:sz w:val="18"/>
                <w:szCs w:val="18"/>
              </w:rPr>
              <w:t>Serum iron, transferrin and ferritin levels</w:t>
            </w:r>
          </w:p>
        </w:tc>
        <w:tc>
          <w:tcPr>
            <w:tcW w:w="1134" w:type="dxa"/>
            <w:vAlign w:val="center"/>
          </w:tcPr>
          <w:p w14:paraId="428BF2FB" w14:textId="0EC1CD5A" w:rsidR="00732C80" w:rsidRPr="00AC3445" w:rsidRDefault="00AC3445" w:rsidP="00732C80">
            <w:pPr>
              <w:pStyle w:val="TableText"/>
              <w:ind w:leftChars="65" w:left="136"/>
              <w:rPr>
                <w:rFonts w:eastAsiaTheme="minorEastAsia"/>
                <w:sz w:val="18"/>
                <w:szCs w:val="18"/>
                <w:lang w:eastAsia="zh-CN"/>
              </w:rPr>
            </w:pPr>
            <w:r w:rsidRPr="00AC3445">
              <w:rPr>
                <w:rFonts w:eastAsiaTheme="minorEastAsia" w:hint="eastAsia"/>
                <w:sz w:val="18"/>
                <w:szCs w:val="18"/>
                <w:lang w:eastAsia="zh-CN"/>
              </w:rPr>
              <w:t>D</w:t>
            </w:r>
            <w:r w:rsidRPr="00AC3445">
              <w:rPr>
                <w:rFonts w:eastAsiaTheme="minorEastAsia"/>
                <w:sz w:val="18"/>
                <w:szCs w:val="18"/>
                <w:lang w:eastAsia="zh-CN"/>
              </w:rPr>
              <w:t>R</w:t>
            </w:r>
          </w:p>
        </w:tc>
        <w:tc>
          <w:tcPr>
            <w:tcW w:w="5244" w:type="dxa"/>
            <w:vAlign w:val="center"/>
          </w:tcPr>
          <w:p w14:paraId="0DF56359" w14:textId="780ED50C" w:rsidR="00732C80" w:rsidRPr="00AC3445" w:rsidRDefault="00AC3445" w:rsidP="00732C80">
            <w:pPr>
              <w:pStyle w:val="TableText"/>
              <w:ind w:leftChars="65" w:left="136"/>
              <w:rPr>
                <w:sz w:val="18"/>
                <w:szCs w:val="18"/>
              </w:rPr>
            </w:pPr>
            <w:r w:rsidRPr="00AC3445">
              <w:rPr>
                <w:sz w:val="18"/>
                <w:szCs w:val="18"/>
              </w:rPr>
              <w:t>Iron does not have a major role in the development of diabetic retinopathy</w:t>
            </w:r>
          </w:p>
        </w:tc>
        <w:tc>
          <w:tcPr>
            <w:tcW w:w="1701" w:type="dxa"/>
            <w:vAlign w:val="center"/>
          </w:tcPr>
          <w:p w14:paraId="39767595" w14:textId="005090F8" w:rsidR="00732C80" w:rsidRPr="00AC3445" w:rsidRDefault="00AC3445" w:rsidP="00732C80">
            <w:pPr>
              <w:pStyle w:val="TableText"/>
              <w:ind w:leftChars="65" w:left="136"/>
              <w:jc w:val="both"/>
              <w:rPr>
                <w:sz w:val="18"/>
                <w:szCs w:val="18"/>
              </w:rPr>
            </w:pPr>
            <w:r w:rsidRPr="00AC3445">
              <w:rPr>
                <w:sz w:val="18"/>
                <w:szCs w:val="18"/>
              </w:rPr>
              <w:t>10.1081/erc-200027354</w:t>
            </w:r>
          </w:p>
        </w:tc>
      </w:tr>
      <w:tr w:rsidR="00732C80" w14:paraId="1419BABC" w14:textId="1089A920" w:rsidTr="00AC3445">
        <w:trPr>
          <w:trHeight w:val="331"/>
        </w:trPr>
        <w:tc>
          <w:tcPr>
            <w:tcW w:w="1553" w:type="dxa"/>
            <w:vAlign w:val="center"/>
          </w:tcPr>
          <w:p w14:paraId="2474C14C" w14:textId="4744ADEA" w:rsidR="00732C80" w:rsidRPr="00AC3445" w:rsidRDefault="00AC3445" w:rsidP="00732C80">
            <w:pPr>
              <w:pStyle w:val="TableText"/>
              <w:spacing w:before="97" w:line="203" w:lineRule="auto"/>
              <w:ind w:leftChars="61" w:left="128"/>
              <w:rPr>
                <w:sz w:val="18"/>
                <w:szCs w:val="18"/>
              </w:rPr>
            </w:pPr>
            <w:r w:rsidRPr="00AC3445">
              <w:rPr>
                <w:sz w:val="18"/>
                <w:szCs w:val="18"/>
              </w:rPr>
              <w:t>Shorb, 1985</w:t>
            </w:r>
          </w:p>
        </w:tc>
        <w:tc>
          <w:tcPr>
            <w:tcW w:w="1134" w:type="dxa"/>
            <w:vAlign w:val="center"/>
          </w:tcPr>
          <w:p w14:paraId="2E284D6A" w14:textId="32164354" w:rsidR="00732C80" w:rsidRPr="00AC3445" w:rsidRDefault="00AC3445" w:rsidP="00732C80">
            <w:pPr>
              <w:pStyle w:val="TableText"/>
              <w:spacing w:before="96" w:line="204" w:lineRule="auto"/>
              <w:ind w:leftChars="59" w:left="124"/>
              <w:rPr>
                <w:rFonts w:eastAsiaTheme="minorEastAsia"/>
                <w:sz w:val="18"/>
                <w:szCs w:val="18"/>
                <w:lang w:eastAsia="zh-CN"/>
              </w:rPr>
            </w:pPr>
            <w:r w:rsidRPr="00AC3445">
              <w:rPr>
                <w:rFonts w:eastAsiaTheme="minorEastAsia" w:hint="eastAsia"/>
                <w:sz w:val="18"/>
                <w:szCs w:val="18"/>
                <w:lang w:eastAsia="zh-CN"/>
              </w:rPr>
              <w:t>t</w:t>
            </w:r>
            <w:r w:rsidRPr="00AC3445">
              <w:rPr>
                <w:rFonts w:eastAsiaTheme="minorEastAsia"/>
                <w:sz w:val="18"/>
                <w:szCs w:val="18"/>
                <w:lang w:eastAsia="zh-CN"/>
              </w:rPr>
              <w:t>he US</w:t>
            </w:r>
          </w:p>
        </w:tc>
        <w:tc>
          <w:tcPr>
            <w:tcW w:w="1701" w:type="dxa"/>
            <w:vAlign w:val="center"/>
          </w:tcPr>
          <w:p w14:paraId="5B2E95F3" w14:textId="5DEC42FF" w:rsidR="00732C80" w:rsidRPr="00AC3445" w:rsidRDefault="00AC3445" w:rsidP="00732C80">
            <w:pPr>
              <w:pStyle w:val="TableText"/>
              <w:spacing w:before="96" w:line="204" w:lineRule="auto"/>
              <w:ind w:leftChars="67" w:left="141"/>
              <w:rPr>
                <w:rFonts w:eastAsiaTheme="minorEastAsia"/>
                <w:sz w:val="18"/>
                <w:szCs w:val="18"/>
                <w:lang w:eastAsia="zh-CN"/>
              </w:rPr>
            </w:pPr>
            <w:r w:rsidRPr="00AC3445">
              <w:rPr>
                <w:rFonts w:eastAsiaTheme="minorEastAsia" w:hint="eastAsia"/>
                <w:sz w:val="18"/>
                <w:szCs w:val="18"/>
                <w:lang w:eastAsia="zh-CN"/>
              </w:rPr>
              <w:t>C</w:t>
            </w:r>
            <w:r w:rsidRPr="00AC3445">
              <w:rPr>
                <w:rFonts w:eastAsiaTheme="minorEastAsia"/>
                <w:sz w:val="18"/>
                <w:szCs w:val="18"/>
                <w:lang w:eastAsia="zh-CN"/>
              </w:rPr>
              <w:t>ase series</w:t>
            </w:r>
          </w:p>
        </w:tc>
        <w:tc>
          <w:tcPr>
            <w:tcW w:w="2268" w:type="dxa"/>
            <w:vAlign w:val="center"/>
          </w:tcPr>
          <w:p w14:paraId="253B7F32" w14:textId="30143CAA" w:rsidR="00732C80" w:rsidRPr="00AC3445" w:rsidRDefault="00AC3445" w:rsidP="00732C80">
            <w:pPr>
              <w:pStyle w:val="TableText"/>
              <w:spacing w:before="35" w:line="271" w:lineRule="exact"/>
              <w:ind w:leftChars="69" w:left="145"/>
              <w:rPr>
                <w:sz w:val="18"/>
                <w:szCs w:val="18"/>
              </w:rPr>
            </w:pPr>
            <w:r w:rsidRPr="00AC3445">
              <w:rPr>
                <w:sz w:val="18"/>
                <w:szCs w:val="18"/>
              </w:rPr>
              <w:t>Severe iron deficiency anemia</w:t>
            </w:r>
          </w:p>
        </w:tc>
        <w:tc>
          <w:tcPr>
            <w:tcW w:w="1134" w:type="dxa"/>
            <w:vAlign w:val="center"/>
          </w:tcPr>
          <w:p w14:paraId="768B5490" w14:textId="19BCA2D9" w:rsidR="00732C80" w:rsidRPr="00AC3445" w:rsidRDefault="00AC3445" w:rsidP="00732C80">
            <w:pPr>
              <w:pStyle w:val="TableText"/>
              <w:spacing w:before="180" w:line="100" w:lineRule="exact"/>
              <w:ind w:leftChars="65" w:left="136"/>
              <w:rPr>
                <w:rFonts w:eastAsiaTheme="minorEastAsia"/>
                <w:sz w:val="18"/>
                <w:szCs w:val="18"/>
                <w:lang w:eastAsia="zh-CN"/>
              </w:rPr>
            </w:pPr>
            <w:r w:rsidRPr="00AC3445">
              <w:rPr>
                <w:rFonts w:eastAsiaTheme="minorEastAsia" w:hint="eastAsia"/>
                <w:sz w:val="18"/>
                <w:szCs w:val="18"/>
                <w:lang w:eastAsia="zh-CN"/>
              </w:rPr>
              <w:t>D</w:t>
            </w:r>
            <w:r w:rsidRPr="00AC3445">
              <w:rPr>
                <w:rFonts w:eastAsiaTheme="minorEastAsia"/>
                <w:sz w:val="18"/>
                <w:szCs w:val="18"/>
                <w:lang w:eastAsia="zh-CN"/>
              </w:rPr>
              <w:t>R</w:t>
            </w:r>
          </w:p>
        </w:tc>
        <w:tc>
          <w:tcPr>
            <w:tcW w:w="5244" w:type="dxa"/>
            <w:vAlign w:val="center"/>
          </w:tcPr>
          <w:p w14:paraId="5A380961" w14:textId="7CB6E176" w:rsidR="00732C80" w:rsidRPr="00AC3445" w:rsidRDefault="00AC3445" w:rsidP="00732C80">
            <w:pPr>
              <w:pStyle w:val="TableText"/>
              <w:spacing w:before="35" w:line="271" w:lineRule="exact"/>
              <w:ind w:leftChars="65" w:left="136"/>
              <w:rPr>
                <w:sz w:val="18"/>
                <w:szCs w:val="18"/>
              </w:rPr>
            </w:pPr>
            <w:r w:rsidRPr="00AC3445">
              <w:rPr>
                <w:sz w:val="18"/>
                <w:szCs w:val="18"/>
              </w:rPr>
              <w:t>Iron deficiency anemia was associated with rapid progress to a severe proliferative DR.</w:t>
            </w:r>
          </w:p>
        </w:tc>
        <w:tc>
          <w:tcPr>
            <w:tcW w:w="1701" w:type="dxa"/>
            <w:vAlign w:val="center"/>
          </w:tcPr>
          <w:p w14:paraId="0C29FBDB" w14:textId="29DDF909" w:rsidR="00732C80" w:rsidRPr="00AC3445" w:rsidRDefault="00AC3445" w:rsidP="00732C80">
            <w:pPr>
              <w:pStyle w:val="TableText"/>
              <w:spacing w:before="35" w:line="271" w:lineRule="exact"/>
              <w:ind w:leftChars="65" w:left="136"/>
              <w:jc w:val="both"/>
              <w:rPr>
                <w:sz w:val="18"/>
                <w:szCs w:val="18"/>
              </w:rPr>
            </w:pPr>
            <w:r w:rsidRPr="00AC3445">
              <w:rPr>
                <w:sz w:val="18"/>
                <w:szCs w:val="18"/>
              </w:rPr>
              <w:t>10.1016/0002-9394(85)90508-2</w:t>
            </w:r>
          </w:p>
        </w:tc>
      </w:tr>
    </w:tbl>
    <w:p w14:paraId="3EEEB5EB" w14:textId="425303D2" w:rsidR="00BD362C" w:rsidRDefault="00BD362C" w:rsidP="00BD362C">
      <w:pPr>
        <w:pStyle w:val="a3"/>
        <w:spacing w:before="53" w:line="219" w:lineRule="exact"/>
        <w:ind w:left="543"/>
      </w:pPr>
      <w:r w:rsidRPr="00272E76">
        <w:rPr>
          <w:b/>
          <w:bCs/>
          <w:position w:val="2"/>
        </w:rPr>
        <w:t>Abbreviation:</w:t>
      </w:r>
      <w:r>
        <w:rPr>
          <w:position w:val="2"/>
        </w:rPr>
        <w:t xml:space="preserve"> </w:t>
      </w:r>
      <w:r w:rsidR="00AC3445" w:rsidRPr="00AC3445">
        <w:rPr>
          <w:position w:val="2"/>
        </w:rPr>
        <w:t>DME</w:t>
      </w:r>
      <w:r w:rsidR="00AC3445">
        <w:rPr>
          <w:position w:val="2"/>
        </w:rPr>
        <w:t>, diabetic macular oedema;</w:t>
      </w:r>
      <w:r w:rsidR="00AC3445" w:rsidRPr="00AC3445">
        <w:rPr>
          <w:position w:val="2"/>
        </w:rPr>
        <w:t xml:space="preserve"> DOI</w:t>
      </w:r>
      <w:r w:rsidR="00AC3445">
        <w:rPr>
          <w:position w:val="2"/>
        </w:rPr>
        <w:t>,</w:t>
      </w:r>
      <w:r w:rsidR="00012C05" w:rsidRPr="00012C05">
        <w:t xml:space="preserve"> </w:t>
      </w:r>
      <w:r w:rsidR="00012C05">
        <w:rPr>
          <w:position w:val="2"/>
        </w:rPr>
        <w:t>d</w:t>
      </w:r>
      <w:r w:rsidR="00012C05" w:rsidRPr="00012C05">
        <w:rPr>
          <w:position w:val="2"/>
        </w:rPr>
        <w:t xml:space="preserve">igital </w:t>
      </w:r>
      <w:r w:rsidR="00012C05">
        <w:rPr>
          <w:position w:val="2"/>
        </w:rPr>
        <w:t>o</w:t>
      </w:r>
      <w:r w:rsidR="00012C05" w:rsidRPr="00012C05">
        <w:rPr>
          <w:position w:val="2"/>
        </w:rPr>
        <w:t xml:space="preserve">bject </w:t>
      </w:r>
      <w:r w:rsidR="00012C05">
        <w:rPr>
          <w:position w:val="2"/>
        </w:rPr>
        <w:t>i</w:t>
      </w:r>
      <w:r w:rsidR="00012C05" w:rsidRPr="00012C05">
        <w:rPr>
          <w:position w:val="2"/>
        </w:rPr>
        <w:t>dentifier</w:t>
      </w:r>
      <w:r w:rsidR="00012C05">
        <w:rPr>
          <w:position w:val="2"/>
        </w:rPr>
        <w:t>;</w:t>
      </w:r>
      <w:r w:rsidR="00AC3445" w:rsidRPr="00AC3445">
        <w:rPr>
          <w:position w:val="2"/>
        </w:rPr>
        <w:t xml:space="preserve"> </w:t>
      </w:r>
      <w:r w:rsidR="00AC3445">
        <w:rPr>
          <w:position w:val="2"/>
        </w:rPr>
        <w:t>DR</w:t>
      </w:r>
      <w:r>
        <w:rPr>
          <w:position w:val="2"/>
        </w:rPr>
        <w:t xml:space="preserve">, </w:t>
      </w:r>
      <w:r w:rsidR="00AC3445">
        <w:rPr>
          <w:position w:val="2"/>
        </w:rPr>
        <w:t>diabetic retinopathy</w:t>
      </w:r>
      <w:r w:rsidR="00AC3445">
        <w:rPr>
          <w:spacing w:val="-1"/>
          <w:position w:val="2"/>
        </w:rPr>
        <w:t xml:space="preserve">; </w:t>
      </w:r>
      <w:r w:rsidR="00AC3445" w:rsidRPr="00AC3445">
        <w:rPr>
          <w:spacing w:val="-1"/>
          <w:position w:val="2"/>
        </w:rPr>
        <w:t>NPDR</w:t>
      </w:r>
      <w:r w:rsidR="00AC3445">
        <w:rPr>
          <w:spacing w:val="-1"/>
          <w:position w:val="2"/>
        </w:rPr>
        <w:t>, non-</w:t>
      </w:r>
      <w:r w:rsidR="00AC3445">
        <w:rPr>
          <w:position w:val="2"/>
        </w:rPr>
        <w:t>proliferative diabetic retinopathy</w:t>
      </w:r>
      <w:r>
        <w:rPr>
          <w:position w:val="2"/>
        </w:rPr>
        <w:t xml:space="preserve">; </w:t>
      </w:r>
      <w:r w:rsidR="00AC3445">
        <w:rPr>
          <w:position w:val="2"/>
        </w:rPr>
        <w:t>PDR</w:t>
      </w:r>
      <w:r>
        <w:rPr>
          <w:position w:val="2"/>
        </w:rPr>
        <w:t>,</w:t>
      </w:r>
      <w:r>
        <w:rPr>
          <w:spacing w:val="6"/>
          <w:position w:val="2"/>
        </w:rPr>
        <w:t xml:space="preserve"> </w:t>
      </w:r>
      <w:r w:rsidR="00AC3445">
        <w:rPr>
          <w:position w:val="2"/>
        </w:rPr>
        <w:t>proliferative diabetic retinopathy.</w:t>
      </w:r>
    </w:p>
    <w:sectPr w:rsidR="00BD362C">
      <w:pgSz w:w="16839" w:h="11906"/>
      <w:pgMar w:top="1012" w:right="1553" w:bottom="0" w:left="896"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bordersDoNotSurroundHeader/>
  <w:bordersDoNotSurroundFooter/>
  <w:proofState w:grammar="clean"/>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62C"/>
    <w:rsid w:val="00012C05"/>
    <w:rsid w:val="00013E14"/>
    <w:rsid w:val="00330424"/>
    <w:rsid w:val="004A3C8E"/>
    <w:rsid w:val="00732C80"/>
    <w:rsid w:val="00AC3445"/>
    <w:rsid w:val="00BD362C"/>
    <w:rsid w:val="00C964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17F3F"/>
  <w15:chartTrackingRefBased/>
  <w15:docId w15:val="{A5EB8A59-CA56-4F91-B60E-4600077CB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宋体" w:hAnsi="Arial" w:cstheme="minorBidi"/>
        <w:kern w:val="2"/>
        <w:sz w:val="24"/>
        <w:szCs w:val="22"/>
        <w:lang w:val="en-US" w:eastAsia="zh-CN"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D362C"/>
    <w:pPr>
      <w:kinsoku w:val="0"/>
      <w:autoSpaceDE w:val="0"/>
      <w:autoSpaceDN w:val="0"/>
      <w:adjustRightInd w:val="0"/>
      <w:snapToGrid w:val="0"/>
      <w:spacing w:line="240" w:lineRule="auto"/>
      <w:jc w:val="left"/>
      <w:textAlignment w:val="baseline"/>
    </w:pPr>
    <w:rPr>
      <w:rFonts w:eastAsiaTheme="minorEastAsia" w:cs="Arial"/>
      <w:snapToGrid w:val="0"/>
      <w:color w:val="000000"/>
      <w:kern w:val="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qFormat/>
    <w:rsid w:val="00BD362C"/>
    <w:rPr>
      <w:rFonts w:eastAsia="Arial"/>
      <w:sz w:val="16"/>
      <w:szCs w:val="16"/>
    </w:rPr>
  </w:style>
  <w:style w:type="character" w:customStyle="1" w:styleId="a4">
    <w:name w:val="正文文本 字符"/>
    <w:basedOn w:val="a0"/>
    <w:link w:val="a3"/>
    <w:semiHidden/>
    <w:rsid w:val="00BD362C"/>
    <w:rPr>
      <w:rFonts w:eastAsia="Arial" w:cs="Arial"/>
      <w:snapToGrid w:val="0"/>
      <w:color w:val="000000"/>
      <w:kern w:val="0"/>
      <w:sz w:val="16"/>
      <w:szCs w:val="16"/>
      <w:lang w:eastAsia="en-US"/>
    </w:rPr>
  </w:style>
  <w:style w:type="table" w:customStyle="1" w:styleId="TableNormal">
    <w:name w:val="Table Normal"/>
    <w:semiHidden/>
    <w:unhideWhenUsed/>
    <w:qFormat/>
    <w:rsid w:val="00BD362C"/>
    <w:pPr>
      <w:spacing w:line="240" w:lineRule="auto"/>
      <w:jc w:val="left"/>
    </w:pPr>
    <w:rPr>
      <w:rFonts w:eastAsiaTheme="minorEastAsia" w:cs="Arial"/>
      <w:kern w:val="0"/>
      <w:sz w:val="20"/>
      <w:szCs w:val="20"/>
    </w:rPr>
    <w:tblPr>
      <w:tblCellMar>
        <w:top w:w="0" w:type="dxa"/>
        <w:left w:w="0" w:type="dxa"/>
        <w:bottom w:w="0" w:type="dxa"/>
        <w:right w:w="0" w:type="dxa"/>
      </w:tblCellMar>
    </w:tblPr>
  </w:style>
  <w:style w:type="paragraph" w:customStyle="1" w:styleId="TableText">
    <w:name w:val="Table Text"/>
    <w:basedOn w:val="a"/>
    <w:semiHidden/>
    <w:qFormat/>
    <w:rsid w:val="00BD362C"/>
    <w:rPr>
      <w:rFonts w:eastAsia="Arial"/>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6CFCA0-E6F4-4A65-AB2C-4AA410A91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273</Words>
  <Characters>1560</Characters>
  <Application>Microsoft Office Word</Application>
  <DocSecurity>0</DocSecurity>
  <Lines>13</Lines>
  <Paragraphs>3</Paragraphs>
  <ScaleCrop>false</ScaleCrop>
  <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伟 肖</dc:creator>
  <cp:keywords/>
  <dc:description/>
  <cp:lastModifiedBy>伟 肖</cp:lastModifiedBy>
  <cp:revision>2</cp:revision>
  <dcterms:created xsi:type="dcterms:W3CDTF">2025-03-18T16:59:00Z</dcterms:created>
  <dcterms:modified xsi:type="dcterms:W3CDTF">2025-03-24T15:39:00Z</dcterms:modified>
</cp:coreProperties>
</file>