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CE14F" w14:textId="77777777" w:rsidR="00EE5A18" w:rsidRPr="00EE5A18" w:rsidRDefault="00EE5A18" w:rsidP="00EE5A18">
      <w:pPr>
        <w:spacing w:after="0" w:line="360" w:lineRule="auto"/>
        <w:jc w:val="both"/>
        <w:rPr>
          <w:rFonts w:asciiTheme="majorBidi" w:eastAsia="Times New Roman" w:hAnsiTheme="majorBidi" w:cstheme="majorBidi"/>
          <w:b/>
          <w:color w:val="000000" w:themeColor="text1"/>
          <w:sz w:val="28"/>
          <w:szCs w:val="28"/>
          <w:lang w:val="en-US"/>
        </w:rPr>
      </w:pPr>
      <w:r w:rsidRPr="00EE5A18">
        <w:rPr>
          <w:rFonts w:asciiTheme="majorBidi" w:eastAsia="Times New Roman" w:hAnsiTheme="majorBidi" w:cstheme="majorBidi"/>
          <w:b/>
          <w:color w:val="000000" w:themeColor="text1"/>
          <w:sz w:val="28"/>
          <w:szCs w:val="28"/>
          <w:lang w:val="en-US"/>
        </w:rPr>
        <w:t xml:space="preserve">Biodegradation of olive mill solid waste by </w:t>
      </w:r>
      <w:r w:rsidRPr="00EE5A18">
        <w:rPr>
          <w:rFonts w:asciiTheme="majorBidi" w:eastAsia="Times New Roman" w:hAnsiTheme="majorBidi" w:cstheme="majorBidi"/>
          <w:b/>
          <w:i/>
          <w:iCs/>
          <w:color w:val="000000" w:themeColor="text1"/>
          <w:sz w:val="28"/>
          <w:szCs w:val="28"/>
          <w:lang w:val="en-US"/>
        </w:rPr>
        <w:t>Anthracophyllum discolor</w:t>
      </w:r>
      <w:r w:rsidRPr="00EE5A18">
        <w:rPr>
          <w:rFonts w:asciiTheme="majorBidi" w:eastAsia="Times New Roman" w:hAnsiTheme="majorBidi" w:cstheme="majorBidi"/>
          <w:b/>
          <w:color w:val="000000" w:themeColor="text1"/>
          <w:sz w:val="28"/>
          <w:szCs w:val="28"/>
          <w:lang w:val="en-US"/>
        </w:rPr>
        <w:t xml:space="preserve"> and </w:t>
      </w:r>
      <w:r w:rsidRPr="00EE5A18">
        <w:rPr>
          <w:rFonts w:asciiTheme="majorBidi" w:eastAsia="Times New Roman" w:hAnsiTheme="majorBidi" w:cstheme="majorBidi"/>
          <w:b/>
          <w:i/>
          <w:iCs/>
          <w:color w:val="000000" w:themeColor="text1"/>
          <w:sz w:val="28"/>
          <w:szCs w:val="28"/>
          <w:lang w:val="en-US"/>
        </w:rPr>
        <w:t>Stereum hirsutum</w:t>
      </w:r>
      <w:r w:rsidRPr="00EE5A18">
        <w:rPr>
          <w:rFonts w:asciiTheme="majorBidi" w:eastAsia="Times New Roman" w:hAnsiTheme="majorBidi" w:cstheme="majorBidi"/>
          <w:b/>
          <w:color w:val="000000" w:themeColor="text1"/>
          <w:sz w:val="28"/>
          <w:szCs w:val="28"/>
          <w:lang w:val="en-US"/>
        </w:rPr>
        <w:t>: Effect of copper and manganese supplementation</w:t>
      </w:r>
    </w:p>
    <w:p w14:paraId="473C65BF" w14:textId="77777777" w:rsidR="00EE5A18" w:rsidRPr="00EE5A18" w:rsidRDefault="00EE5A18" w:rsidP="00EE5A18">
      <w:pPr>
        <w:spacing w:after="0" w:line="360" w:lineRule="auto"/>
        <w:jc w:val="both"/>
        <w:rPr>
          <w:rFonts w:asciiTheme="majorBidi" w:eastAsia="Times New Roman" w:hAnsiTheme="majorBidi" w:cstheme="majorBidi"/>
          <w:color w:val="000000" w:themeColor="text1"/>
          <w:lang w:val="en-US"/>
        </w:rPr>
      </w:pPr>
    </w:p>
    <w:p w14:paraId="73182640" w14:textId="77777777" w:rsidR="00EE5A18" w:rsidRPr="00D30CA9" w:rsidRDefault="00EE5A18" w:rsidP="00EE5A18">
      <w:pPr>
        <w:spacing w:after="0" w:line="360" w:lineRule="auto"/>
        <w:jc w:val="both"/>
        <w:rPr>
          <w:rFonts w:asciiTheme="majorBidi" w:eastAsia="Times New Roman" w:hAnsiTheme="majorBidi" w:cstheme="majorBidi"/>
          <w:color w:val="000000" w:themeColor="text1"/>
          <w:lang w:val="es-CL"/>
        </w:rPr>
      </w:pPr>
      <w:r w:rsidRPr="00D30CA9">
        <w:rPr>
          <w:rFonts w:asciiTheme="majorBidi" w:eastAsia="Times New Roman" w:hAnsiTheme="majorBidi" w:cstheme="majorBidi"/>
          <w:color w:val="000000" w:themeColor="text1"/>
          <w:lang w:val="es-CL"/>
        </w:rPr>
        <w:t xml:space="preserve">V. Benavides </w:t>
      </w:r>
      <w:r w:rsidRPr="00D30CA9">
        <w:rPr>
          <w:rFonts w:asciiTheme="majorBidi" w:eastAsia="Times New Roman" w:hAnsiTheme="majorBidi" w:cstheme="majorBidi"/>
          <w:color w:val="000000" w:themeColor="text1"/>
          <w:vertAlign w:val="superscript"/>
          <w:lang w:val="es-CL"/>
        </w:rPr>
        <w:t>a,b,c</w:t>
      </w:r>
      <w:r w:rsidRPr="00D30CA9">
        <w:rPr>
          <w:rFonts w:asciiTheme="majorBidi" w:eastAsia="Times New Roman" w:hAnsiTheme="majorBidi" w:cstheme="majorBidi"/>
          <w:color w:val="000000" w:themeColor="text1"/>
          <w:lang w:val="es-CL"/>
        </w:rPr>
        <w:t xml:space="preserve">, A. Serrano </w:t>
      </w:r>
      <w:r w:rsidRPr="00D30CA9">
        <w:rPr>
          <w:rFonts w:asciiTheme="majorBidi" w:eastAsia="Times New Roman" w:hAnsiTheme="majorBidi" w:cstheme="majorBidi"/>
          <w:color w:val="000000" w:themeColor="text1"/>
          <w:vertAlign w:val="superscript"/>
          <w:lang w:val="es-CL"/>
        </w:rPr>
        <w:t>c,d</w:t>
      </w:r>
      <w:r w:rsidRPr="00D30CA9">
        <w:rPr>
          <w:rFonts w:asciiTheme="majorBidi" w:eastAsia="Times New Roman" w:hAnsiTheme="majorBidi" w:cstheme="majorBidi"/>
          <w:color w:val="000000" w:themeColor="text1"/>
          <w:lang w:val="es-CL"/>
        </w:rPr>
        <w:t xml:space="preserve">, F. Pinto-Ibieta </w:t>
      </w:r>
      <w:r w:rsidRPr="00D30CA9">
        <w:rPr>
          <w:rFonts w:asciiTheme="majorBidi" w:eastAsia="Times New Roman" w:hAnsiTheme="majorBidi" w:cstheme="majorBidi"/>
          <w:color w:val="000000" w:themeColor="text1"/>
          <w:vertAlign w:val="superscript"/>
          <w:lang w:val="es-CL"/>
        </w:rPr>
        <w:t>e</w:t>
      </w:r>
      <w:r w:rsidRPr="00D30CA9">
        <w:rPr>
          <w:rFonts w:asciiTheme="majorBidi" w:eastAsia="Times New Roman" w:hAnsiTheme="majorBidi" w:cstheme="majorBidi"/>
          <w:color w:val="000000" w:themeColor="text1"/>
          <w:lang w:val="es-CL"/>
        </w:rPr>
        <w:t>, O. Rubilar</w:t>
      </w:r>
      <w:r w:rsidRPr="00D30CA9">
        <w:rPr>
          <w:rFonts w:asciiTheme="majorBidi" w:eastAsia="Times New Roman" w:hAnsiTheme="majorBidi" w:cstheme="majorBidi"/>
          <w:color w:val="000000" w:themeColor="text1"/>
          <w:vertAlign w:val="superscript"/>
          <w:lang w:val="es-CL"/>
        </w:rPr>
        <w:t xml:space="preserve"> b,f,g</w:t>
      </w:r>
      <w:r w:rsidRPr="00D30CA9">
        <w:rPr>
          <w:rFonts w:asciiTheme="majorBidi" w:eastAsia="Times New Roman" w:hAnsiTheme="majorBidi" w:cstheme="majorBidi"/>
          <w:color w:val="000000" w:themeColor="text1"/>
          <w:lang w:val="es-CL"/>
        </w:rPr>
        <w:t xml:space="preserve">, and G. Ciudad </w:t>
      </w:r>
      <w:r w:rsidRPr="00D30CA9">
        <w:rPr>
          <w:rFonts w:asciiTheme="majorBidi" w:eastAsia="Times New Roman" w:hAnsiTheme="majorBidi" w:cstheme="majorBidi"/>
          <w:color w:val="000000" w:themeColor="text1"/>
          <w:vertAlign w:val="superscript"/>
          <w:lang w:val="es-CL"/>
        </w:rPr>
        <w:t>b,f,g,*</w:t>
      </w:r>
      <w:r w:rsidRPr="00D30CA9">
        <w:rPr>
          <w:rFonts w:asciiTheme="majorBidi" w:eastAsia="Times New Roman" w:hAnsiTheme="majorBidi" w:cstheme="majorBidi"/>
          <w:color w:val="000000" w:themeColor="text1"/>
          <w:lang w:val="es-CL"/>
        </w:rPr>
        <w:t>.</w:t>
      </w:r>
    </w:p>
    <w:p w14:paraId="00806B9A" w14:textId="77777777" w:rsidR="00EE5A18" w:rsidRPr="00D30CA9" w:rsidRDefault="00EE5A18" w:rsidP="00EE5A18">
      <w:pPr>
        <w:spacing w:after="0" w:line="360" w:lineRule="auto"/>
        <w:jc w:val="both"/>
        <w:rPr>
          <w:rFonts w:asciiTheme="majorBidi" w:eastAsia="Times New Roman" w:hAnsiTheme="majorBidi" w:cstheme="majorBidi"/>
          <w:color w:val="000000" w:themeColor="text1"/>
          <w:lang w:val="es-CL"/>
        </w:rPr>
      </w:pPr>
    </w:p>
    <w:p w14:paraId="59AC9A48" w14:textId="77777777" w:rsidR="00EE5A18" w:rsidRPr="00D30CA9" w:rsidRDefault="00EE5A18" w:rsidP="00EE5A18">
      <w:pPr>
        <w:spacing w:after="0" w:line="360" w:lineRule="auto"/>
        <w:jc w:val="both"/>
        <w:rPr>
          <w:rFonts w:asciiTheme="majorBidi" w:eastAsia="Times New Roman" w:hAnsiTheme="majorBidi" w:cstheme="majorBidi"/>
          <w:color w:val="000000" w:themeColor="text1"/>
          <w:lang w:val="es-CL"/>
        </w:rPr>
      </w:pPr>
      <w:r w:rsidRPr="00D30CA9">
        <w:rPr>
          <w:rFonts w:asciiTheme="majorBidi" w:eastAsia="Times New Roman" w:hAnsiTheme="majorBidi" w:cstheme="majorBidi"/>
          <w:color w:val="000000" w:themeColor="text1"/>
          <w:vertAlign w:val="superscript"/>
          <w:lang w:val="es-CL"/>
        </w:rPr>
        <w:t>a</w:t>
      </w:r>
      <w:r w:rsidRPr="00D30CA9">
        <w:rPr>
          <w:rFonts w:asciiTheme="majorBidi" w:eastAsia="Times New Roman" w:hAnsiTheme="majorBidi" w:cstheme="majorBidi"/>
          <w:color w:val="000000" w:themeColor="text1"/>
          <w:lang w:val="es-CL"/>
        </w:rPr>
        <w:t xml:space="preserve"> Programa de Doctorado en Ciencias de Recursos Naturales. Facultad de Ingeniería y Ciencias, Universidad de La Frontera, Temuco, Chile.</w:t>
      </w:r>
    </w:p>
    <w:p w14:paraId="4DA7A3DC" w14:textId="77777777" w:rsidR="00EE5A18" w:rsidRPr="00D30CA9" w:rsidRDefault="00EE5A18" w:rsidP="00EE5A18">
      <w:pPr>
        <w:spacing w:after="0" w:line="360" w:lineRule="auto"/>
        <w:jc w:val="both"/>
        <w:rPr>
          <w:rFonts w:asciiTheme="majorBidi" w:eastAsia="Times New Roman" w:hAnsiTheme="majorBidi" w:cstheme="majorBidi"/>
          <w:color w:val="000000" w:themeColor="text1"/>
          <w:lang w:val="es-CL"/>
        </w:rPr>
      </w:pPr>
      <w:r w:rsidRPr="00D30CA9">
        <w:rPr>
          <w:rFonts w:asciiTheme="majorBidi" w:eastAsia="Times New Roman" w:hAnsiTheme="majorBidi" w:cstheme="majorBidi"/>
          <w:color w:val="000000" w:themeColor="text1"/>
          <w:vertAlign w:val="superscript"/>
          <w:lang w:val="es-CL"/>
        </w:rPr>
        <w:t>b</w:t>
      </w:r>
      <w:r w:rsidRPr="00D30CA9">
        <w:rPr>
          <w:rFonts w:asciiTheme="majorBidi" w:eastAsia="Times New Roman" w:hAnsiTheme="majorBidi" w:cstheme="majorBidi"/>
          <w:color w:val="000000" w:themeColor="text1"/>
          <w:lang w:val="es-CL"/>
        </w:rPr>
        <w:t xml:space="preserve"> Departamento de Ingeniería Química, Facultad de Ingeniería y Ciencias, Universidad de La Frontera, Temuco</w:t>
      </w:r>
      <w:r>
        <w:rPr>
          <w:rFonts w:asciiTheme="majorBidi" w:eastAsia="Times New Roman" w:hAnsiTheme="majorBidi" w:cstheme="majorBidi"/>
          <w:color w:val="000000" w:themeColor="text1"/>
          <w:lang w:val="es-CL"/>
        </w:rPr>
        <w:t>, Chile</w:t>
      </w:r>
      <w:r w:rsidRPr="00D30CA9">
        <w:rPr>
          <w:rFonts w:asciiTheme="majorBidi" w:eastAsia="Times New Roman" w:hAnsiTheme="majorBidi" w:cstheme="majorBidi"/>
          <w:color w:val="000000" w:themeColor="text1"/>
          <w:lang w:val="es-CL"/>
        </w:rPr>
        <w:t>.</w:t>
      </w:r>
    </w:p>
    <w:p w14:paraId="3345FCD9" w14:textId="77777777" w:rsidR="00EE5A18" w:rsidRPr="00613D94" w:rsidRDefault="00EE5A18" w:rsidP="00EE5A18">
      <w:pPr>
        <w:spacing w:after="0" w:line="360" w:lineRule="auto"/>
        <w:jc w:val="both"/>
        <w:rPr>
          <w:rFonts w:asciiTheme="majorBidi" w:eastAsia="Times New Roman" w:hAnsiTheme="majorBidi" w:cstheme="majorBidi"/>
          <w:color w:val="000000" w:themeColor="text1"/>
          <w:lang w:val="es-CL"/>
        </w:rPr>
      </w:pPr>
      <w:r w:rsidRPr="00613D94">
        <w:rPr>
          <w:rFonts w:asciiTheme="majorBidi" w:eastAsia="Times New Roman" w:hAnsiTheme="majorBidi" w:cstheme="majorBidi"/>
          <w:color w:val="000000" w:themeColor="text1"/>
          <w:vertAlign w:val="superscript"/>
          <w:lang w:val="es-CL"/>
        </w:rPr>
        <w:t>c</w:t>
      </w:r>
      <w:r w:rsidRPr="00613D94">
        <w:rPr>
          <w:rFonts w:asciiTheme="majorBidi" w:eastAsia="Times New Roman" w:hAnsiTheme="majorBidi" w:cstheme="majorBidi"/>
          <w:color w:val="000000" w:themeColor="text1"/>
          <w:lang w:val="es-CL"/>
        </w:rPr>
        <w:t xml:space="preserve"> Instituto de Investigación del Agua, Universidad de Granada, Granada, 18071, Spain. </w:t>
      </w:r>
    </w:p>
    <w:p w14:paraId="1F01E714" w14:textId="77777777" w:rsidR="00EE5A18" w:rsidRPr="00613D94" w:rsidRDefault="00EE5A18" w:rsidP="00EE5A18">
      <w:pPr>
        <w:spacing w:after="0" w:line="360" w:lineRule="auto"/>
        <w:jc w:val="both"/>
        <w:rPr>
          <w:rFonts w:asciiTheme="majorBidi" w:eastAsia="Times New Roman" w:hAnsiTheme="majorBidi" w:cstheme="majorBidi"/>
          <w:color w:val="000000" w:themeColor="text1"/>
          <w:lang w:val="es-CL"/>
        </w:rPr>
      </w:pPr>
      <w:r w:rsidRPr="00613D94">
        <w:rPr>
          <w:rFonts w:asciiTheme="majorBidi" w:eastAsia="Times New Roman" w:hAnsiTheme="majorBidi" w:cstheme="majorBidi"/>
          <w:color w:val="000000" w:themeColor="text1"/>
          <w:vertAlign w:val="superscript"/>
          <w:lang w:val="es-CL"/>
        </w:rPr>
        <w:t>d</w:t>
      </w:r>
      <w:r w:rsidRPr="00613D94">
        <w:rPr>
          <w:rFonts w:asciiTheme="majorBidi" w:eastAsia="Times New Roman" w:hAnsiTheme="majorBidi" w:cstheme="majorBidi"/>
          <w:color w:val="000000" w:themeColor="text1"/>
          <w:lang w:val="es-CL"/>
        </w:rPr>
        <w:t xml:space="preserve"> Departamento de Microbiología, Facultad de Farmacia, Campus Universitario de Cartuja s n, Universidad de Granada, Granada, Spain.</w:t>
      </w:r>
    </w:p>
    <w:p w14:paraId="270AA05E" w14:textId="77777777" w:rsidR="00EE5A18" w:rsidRPr="00613D94" w:rsidRDefault="00EE5A18" w:rsidP="00EE5A18">
      <w:pPr>
        <w:spacing w:after="0" w:line="360" w:lineRule="auto"/>
        <w:jc w:val="both"/>
        <w:rPr>
          <w:rFonts w:asciiTheme="majorBidi" w:eastAsia="Times New Roman" w:hAnsiTheme="majorBidi" w:cstheme="majorBidi"/>
          <w:color w:val="000000" w:themeColor="text1"/>
          <w:lang w:val="es-CL"/>
        </w:rPr>
      </w:pPr>
      <w:r w:rsidRPr="00613D94">
        <w:rPr>
          <w:rFonts w:asciiTheme="majorBidi" w:eastAsia="Times New Roman" w:hAnsiTheme="majorBidi" w:cstheme="majorBidi"/>
          <w:color w:val="000000" w:themeColor="text1"/>
          <w:vertAlign w:val="superscript"/>
          <w:lang w:val="es-CL"/>
        </w:rPr>
        <w:t>e</w:t>
      </w:r>
      <w:r w:rsidRPr="00613D94">
        <w:rPr>
          <w:rFonts w:asciiTheme="majorBidi" w:eastAsia="Times New Roman" w:hAnsiTheme="majorBidi" w:cstheme="majorBidi"/>
          <w:color w:val="000000" w:themeColor="text1"/>
          <w:lang w:val="es-CL"/>
        </w:rPr>
        <w:t xml:space="preserve"> Departamento de Procesos Industriales, Facultad de Ingeniería, Universidad Católica de Temuco, Casilla 15-D, Temuco, Chile.</w:t>
      </w:r>
    </w:p>
    <w:p w14:paraId="5DB6EF2B" w14:textId="77777777" w:rsidR="00EE5A18" w:rsidRPr="00613D94" w:rsidRDefault="00EE5A18" w:rsidP="00EE5A18">
      <w:pPr>
        <w:spacing w:after="0" w:line="360" w:lineRule="auto"/>
        <w:jc w:val="both"/>
        <w:rPr>
          <w:rFonts w:asciiTheme="majorBidi" w:eastAsia="Times New Roman" w:hAnsiTheme="majorBidi" w:cstheme="majorBidi"/>
          <w:color w:val="000000" w:themeColor="text1"/>
          <w:lang w:val="es-CL"/>
        </w:rPr>
      </w:pPr>
      <w:r w:rsidRPr="00613D94">
        <w:rPr>
          <w:rFonts w:asciiTheme="majorBidi" w:eastAsia="Times New Roman" w:hAnsiTheme="majorBidi" w:cstheme="majorBidi"/>
          <w:color w:val="000000" w:themeColor="text1"/>
          <w:vertAlign w:val="superscript"/>
          <w:lang w:val="es-CL"/>
        </w:rPr>
        <w:t>f</w:t>
      </w:r>
      <w:r w:rsidRPr="00613D94">
        <w:rPr>
          <w:rFonts w:asciiTheme="majorBidi" w:eastAsia="Times New Roman" w:hAnsiTheme="majorBidi" w:cstheme="majorBidi"/>
          <w:color w:val="000000" w:themeColor="text1"/>
          <w:lang w:val="es-CL"/>
        </w:rPr>
        <w:t xml:space="preserve"> Centro de Excelencia en Investigación Biotecnologica aplicada al Ambiente (CIBAMA), Universidad de La Frontera, Temuco, Chile.</w:t>
      </w:r>
    </w:p>
    <w:p w14:paraId="4E02273A" w14:textId="77777777" w:rsidR="00EE5A18" w:rsidRPr="00613D94" w:rsidRDefault="00EE5A18" w:rsidP="00EE5A18">
      <w:pPr>
        <w:spacing w:after="0" w:line="360" w:lineRule="auto"/>
        <w:jc w:val="both"/>
        <w:rPr>
          <w:rFonts w:asciiTheme="majorBidi" w:eastAsia="Times New Roman" w:hAnsiTheme="majorBidi" w:cstheme="majorBidi"/>
          <w:color w:val="000000" w:themeColor="text1"/>
          <w:lang w:val="es-CL"/>
        </w:rPr>
      </w:pPr>
      <w:r w:rsidRPr="00613D94">
        <w:rPr>
          <w:rFonts w:asciiTheme="majorBidi" w:eastAsia="Times New Roman" w:hAnsiTheme="majorBidi" w:cstheme="majorBidi"/>
          <w:color w:val="000000" w:themeColor="text1"/>
          <w:vertAlign w:val="superscript"/>
          <w:lang w:val="es-CL"/>
        </w:rPr>
        <w:t>g</w:t>
      </w:r>
      <w:r w:rsidRPr="00613D94">
        <w:rPr>
          <w:rFonts w:asciiTheme="majorBidi" w:eastAsia="Times New Roman" w:hAnsiTheme="majorBidi" w:cstheme="majorBidi"/>
          <w:color w:val="000000" w:themeColor="text1"/>
          <w:lang w:val="es-CL"/>
        </w:rPr>
        <w:t xml:space="preserve"> Instituto del Medio Ambiente (IMA), Universidad de La Frontera, Avenida Francisco Salazar 01145, Temuco, Chile.</w:t>
      </w:r>
    </w:p>
    <w:p w14:paraId="43A7B768" w14:textId="77777777" w:rsidR="00EE5A18" w:rsidRPr="00613D94" w:rsidRDefault="00EE5A18" w:rsidP="00EE5A18">
      <w:pPr>
        <w:spacing w:after="0" w:line="360" w:lineRule="auto"/>
        <w:jc w:val="both"/>
        <w:rPr>
          <w:rFonts w:asciiTheme="majorBidi" w:eastAsia="Times New Roman" w:hAnsiTheme="majorBidi" w:cstheme="majorBidi"/>
          <w:color w:val="000000" w:themeColor="text1"/>
          <w:lang w:val="es-CL"/>
        </w:rPr>
      </w:pPr>
    </w:p>
    <w:p w14:paraId="1433FABC" w14:textId="77777777" w:rsidR="00EE5A18" w:rsidRPr="00613D94" w:rsidRDefault="00EE5A18" w:rsidP="00EE5A18">
      <w:pPr>
        <w:spacing w:after="0" w:line="360" w:lineRule="auto"/>
        <w:jc w:val="both"/>
        <w:rPr>
          <w:rFonts w:asciiTheme="majorBidi" w:eastAsia="Times New Roman" w:hAnsiTheme="majorBidi" w:cstheme="majorBidi"/>
          <w:color w:val="000000" w:themeColor="text1"/>
          <w:lang w:val="es-CL"/>
        </w:rPr>
      </w:pPr>
      <w:r w:rsidRPr="00613D94">
        <w:rPr>
          <w:rFonts w:asciiTheme="majorBidi" w:eastAsia="Times New Roman" w:hAnsiTheme="majorBidi" w:cstheme="majorBidi"/>
          <w:color w:val="000000" w:themeColor="text1"/>
          <w:lang w:val="es-CL"/>
        </w:rPr>
        <w:t>* Corresponding author: Instituto del Medio Ambiente (IMA), Universidad de La Frontera, Avenida Francisco Salazar 01145, Temuco, Chile.</w:t>
      </w:r>
    </w:p>
    <w:p w14:paraId="2926ABA1" w14:textId="77777777" w:rsidR="00EE5A18" w:rsidRPr="00EE5A18" w:rsidRDefault="00EE5A18" w:rsidP="00EE5A18">
      <w:pPr>
        <w:spacing w:after="0" w:line="360" w:lineRule="auto"/>
        <w:jc w:val="both"/>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 xml:space="preserve">E-mail address: </w:t>
      </w:r>
      <w:hyperlink r:id="rId4" w:history="1">
        <w:r w:rsidRPr="00EE5A18">
          <w:rPr>
            <w:rStyle w:val="Hipervnculo"/>
            <w:rFonts w:asciiTheme="majorBidi" w:eastAsia="Times New Roman" w:hAnsiTheme="majorBidi" w:cstheme="majorBidi"/>
            <w:color w:val="000000" w:themeColor="text1"/>
            <w:lang w:val="en-US"/>
          </w:rPr>
          <w:t>gustavo.ciudad@ufrontera.cl</w:t>
        </w:r>
      </w:hyperlink>
      <w:r w:rsidRPr="00EE5A18">
        <w:rPr>
          <w:rFonts w:asciiTheme="majorBidi" w:eastAsia="Times New Roman" w:hAnsiTheme="majorBidi" w:cstheme="majorBidi"/>
          <w:color w:val="000000" w:themeColor="text1"/>
          <w:lang w:val="en-US"/>
        </w:rPr>
        <w:t xml:space="preserve"> (G. Ciudad).</w:t>
      </w:r>
    </w:p>
    <w:p w14:paraId="245A67C6" w14:textId="77777777" w:rsidR="00EE5A18" w:rsidRDefault="00EE5A18" w:rsidP="00EE5A18">
      <w:pPr>
        <w:spacing w:line="480" w:lineRule="auto"/>
        <w:rPr>
          <w:rFonts w:ascii="Times New Roman" w:hAnsi="Times New Roman" w:cs="Times New Roman"/>
          <w:b/>
          <w:bCs/>
          <w:lang w:val="en-US"/>
        </w:rPr>
      </w:pPr>
    </w:p>
    <w:p w14:paraId="12AAF709" w14:textId="675895AA" w:rsidR="00EE5A18" w:rsidRPr="00EE5A18" w:rsidRDefault="00EE5A18" w:rsidP="00E96662">
      <w:pPr>
        <w:spacing w:line="480" w:lineRule="auto"/>
        <w:jc w:val="center"/>
        <w:rPr>
          <w:rFonts w:ascii="Times New Roman" w:hAnsi="Times New Roman" w:cs="Times New Roman"/>
          <w:b/>
          <w:bCs/>
          <w:lang w:val="en-US"/>
        </w:rPr>
      </w:pPr>
      <w:r w:rsidRPr="00EE5A18">
        <w:rPr>
          <w:rFonts w:ascii="Times New Roman" w:hAnsi="Times New Roman" w:cs="Times New Roman"/>
          <w:b/>
          <w:bCs/>
          <w:lang w:val="en-US"/>
        </w:rPr>
        <w:t>SUPPLEMENTARY MATERIAL</w:t>
      </w:r>
    </w:p>
    <w:p w14:paraId="265CC53F" w14:textId="77777777" w:rsidR="00EE5A18" w:rsidRPr="00EE5A18" w:rsidRDefault="00EE5A18" w:rsidP="00EE5A18">
      <w:pPr>
        <w:spacing w:after="0" w:line="360" w:lineRule="auto"/>
        <w:jc w:val="both"/>
        <w:rPr>
          <w:rFonts w:asciiTheme="majorBidi" w:eastAsia="Times New Roman" w:hAnsiTheme="majorBidi" w:cstheme="majorBidi"/>
          <w:b/>
          <w:color w:val="000000" w:themeColor="text1"/>
          <w:lang w:val="en-US"/>
        </w:rPr>
      </w:pPr>
      <w:r w:rsidRPr="00EE5A18">
        <w:rPr>
          <w:rFonts w:asciiTheme="majorBidi" w:eastAsia="Times New Roman" w:hAnsiTheme="majorBidi" w:cstheme="majorBidi"/>
          <w:b/>
          <w:color w:val="000000" w:themeColor="text1"/>
          <w:lang w:val="en-US"/>
        </w:rPr>
        <w:t>2. Materials and methods</w:t>
      </w:r>
    </w:p>
    <w:p w14:paraId="5007B8CF" w14:textId="77777777" w:rsidR="00EE5A18" w:rsidRPr="00EE5A18" w:rsidRDefault="00EE5A18" w:rsidP="00EE5A18">
      <w:pPr>
        <w:spacing w:after="0" w:line="360" w:lineRule="auto"/>
        <w:jc w:val="both"/>
        <w:rPr>
          <w:rFonts w:asciiTheme="majorBidi" w:eastAsia="Times New Roman" w:hAnsiTheme="majorBidi" w:cstheme="majorBidi"/>
          <w:b/>
          <w:color w:val="000000" w:themeColor="text1"/>
          <w:lang w:val="en-US"/>
        </w:rPr>
      </w:pPr>
    </w:p>
    <w:p w14:paraId="5349BC82"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i/>
          <w:color w:val="000000" w:themeColor="text1"/>
          <w:lang w:val="en-US"/>
        </w:rPr>
      </w:pPr>
      <w:r w:rsidRPr="00EE5A18">
        <w:rPr>
          <w:rFonts w:asciiTheme="majorBidi" w:eastAsia="Times New Roman" w:hAnsiTheme="majorBidi" w:cstheme="majorBidi"/>
          <w:i/>
          <w:color w:val="000000" w:themeColor="text1"/>
          <w:lang w:val="en-US"/>
        </w:rPr>
        <w:t>2.1 Microorganisms</w:t>
      </w:r>
    </w:p>
    <w:p w14:paraId="4ED1A2DD" w14:textId="77777777" w:rsidR="00EE5A18" w:rsidRPr="00EE5A18" w:rsidRDefault="00EE5A18" w:rsidP="00EE5A18">
      <w:pPr>
        <w:pBdr>
          <w:top w:val="nil"/>
          <w:left w:val="nil"/>
          <w:bottom w:val="nil"/>
          <w:right w:val="nil"/>
          <w:between w:val="nil"/>
        </w:pBdr>
        <w:tabs>
          <w:tab w:val="left" w:pos="0"/>
        </w:tabs>
        <w:spacing w:after="0" w:line="360" w:lineRule="auto"/>
        <w:jc w:val="both"/>
        <w:rPr>
          <w:rFonts w:asciiTheme="majorBidi" w:eastAsia="Times New Roman" w:hAnsiTheme="majorBidi" w:cstheme="majorBidi"/>
          <w:color w:val="000000" w:themeColor="text1"/>
          <w:lang w:val="en-US"/>
        </w:rPr>
      </w:pPr>
    </w:p>
    <w:p w14:paraId="5B61D7BE" w14:textId="158C2EAB" w:rsidR="00EE5A18" w:rsidRPr="00EE5A18" w:rsidRDefault="00EE5A18" w:rsidP="00EE5A18">
      <w:pPr>
        <w:pBdr>
          <w:top w:val="nil"/>
          <w:left w:val="nil"/>
          <w:bottom w:val="nil"/>
          <w:right w:val="nil"/>
          <w:between w:val="nil"/>
        </w:pBdr>
        <w:tabs>
          <w:tab w:val="left" w:pos="0"/>
        </w:tabs>
        <w:spacing w:after="0" w:line="360" w:lineRule="auto"/>
        <w:jc w:val="both"/>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 xml:space="preserve">The fungal strains </w:t>
      </w:r>
      <w:r w:rsidRPr="00EE5A18">
        <w:rPr>
          <w:rFonts w:asciiTheme="majorBidi" w:eastAsia="Times New Roman" w:hAnsiTheme="majorBidi" w:cstheme="majorBidi"/>
          <w:i/>
          <w:color w:val="000000" w:themeColor="text1"/>
          <w:lang w:val="en-US"/>
        </w:rPr>
        <w:t>A. discolor</w:t>
      </w:r>
      <w:r w:rsidRPr="00EE5A18">
        <w:rPr>
          <w:rFonts w:asciiTheme="majorBidi" w:eastAsia="Times New Roman" w:hAnsiTheme="majorBidi" w:cstheme="majorBidi"/>
          <w:color w:val="000000" w:themeColor="text1"/>
          <w:lang w:val="en-US"/>
        </w:rPr>
        <w:t xml:space="preserve"> Sp4 and </w:t>
      </w:r>
      <w:r w:rsidRPr="00EE5A18">
        <w:rPr>
          <w:rFonts w:asciiTheme="majorBidi" w:eastAsia="Times New Roman" w:hAnsiTheme="majorBidi" w:cstheme="majorBidi"/>
          <w:i/>
          <w:color w:val="000000" w:themeColor="text1"/>
          <w:lang w:val="en-US"/>
        </w:rPr>
        <w:t xml:space="preserve">S. hirsutum </w:t>
      </w:r>
      <w:r w:rsidRPr="00EE5A18">
        <w:rPr>
          <w:rFonts w:asciiTheme="majorBidi" w:eastAsia="Times New Roman" w:hAnsiTheme="majorBidi" w:cstheme="majorBidi"/>
          <w:color w:val="000000" w:themeColor="text1"/>
          <w:lang w:val="en-US"/>
        </w:rPr>
        <w:t>were isolated from decayed wood in the temperate forests of southern Chile belonging to the Culture Collection of the Environmental Nanobiotechnology Laboratory at the Universidad de La Frontera, Chile</w:t>
      </w:r>
      <w:r w:rsidR="008B2F45">
        <w:rPr>
          <w:rFonts w:asciiTheme="majorBidi" w:eastAsia="Times New Roman" w:hAnsiTheme="majorBidi" w:cstheme="majorBidi"/>
          <w:color w:val="000000" w:themeColor="text1"/>
          <w:lang w:val="en-US"/>
        </w:rPr>
        <w:t xml:space="preserve"> </w:t>
      </w:r>
      <w:bookmarkStart w:id="0" w:name="_Hlk158373823"/>
      <w:r w:rsidR="008B2F45">
        <w:rPr>
          <w:rFonts w:asciiTheme="majorBidi" w:eastAsia="Times New Roman" w:hAnsiTheme="majorBidi" w:cstheme="majorBidi"/>
          <w:color w:val="000000" w:themeColor="text1"/>
          <w:lang w:val="en-US"/>
        </w:rPr>
        <w:lastRenderedPageBreak/>
        <w:t>(Benavides et al., 2023)</w:t>
      </w:r>
      <w:bookmarkEnd w:id="0"/>
      <w:r w:rsidRPr="00EE5A18">
        <w:rPr>
          <w:rFonts w:asciiTheme="majorBidi" w:eastAsia="Times New Roman" w:hAnsiTheme="majorBidi" w:cstheme="majorBidi"/>
          <w:color w:val="000000" w:themeColor="text1"/>
          <w:lang w:val="en-US"/>
        </w:rPr>
        <w:t>. The fungi were stored at 4 °C in Petri dishes with potato dextrose agar (PDA) medium until use. Then, the strains were activated in PDA medium (39 g of PDA in 1 L of distilled water and sterilized in an autoclave for 20 min at 121 °C) using one disk of 6 mm as the initial inoculum and incubated at 28 °C for 7 days for the assays</w:t>
      </w:r>
      <w:r w:rsidR="008B2F45">
        <w:rPr>
          <w:rFonts w:asciiTheme="majorBidi" w:eastAsia="Times New Roman" w:hAnsiTheme="majorBidi" w:cstheme="majorBidi"/>
          <w:color w:val="000000" w:themeColor="text1"/>
          <w:lang w:val="en-US"/>
        </w:rPr>
        <w:t xml:space="preserve"> (Benavides et al., 2023)</w:t>
      </w:r>
      <w:r w:rsidRPr="00EE5A18">
        <w:rPr>
          <w:rFonts w:asciiTheme="majorBidi" w:eastAsia="Times New Roman" w:hAnsiTheme="majorBidi" w:cstheme="majorBidi"/>
          <w:color w:val="000000" w:themeColor="text1"/>
          <w:lang w:val="en-US"/>
        </w:rPr>
        <w:t xml:space="preserve">. </w:t>
      </w:r>
    </w:p>
    <w:p w14:paraId="539E7D99" w14:textId="77777777" w:rsidR="00EE5A18" w:rsidRPr="00EE5A18" w:rsidRDefault="00EE5A18" w:rsidP="00EE5A18">
      <w:pPr>
        <w:pBdr>
          <w:top w:val="nil"/>
          <w:left w:val="nil"/>
          <w:bottom w:val="nil"/>
          <w:right w:val="nil"/>
          <w:between w:val="nil"/>
        </w:pBdr>
        <w:tabs>
          <w:tab w:val="left" w:pos="0"/>
        </w:tabs>
        <w:spacing w:after="0" w:line="360" w:lineRule="auto"/>
        <w:jc w:val="both"/>
        <w:rPr>
          <w:rFonts w:asciiTheme="majorBidi" w:eastAsia="Times New Roman" w:hAnsiTheme="majorBidi" w:cstheme="majorBidi"/>
          <w:color w:val="000000" w:themeColor="text1"/>
          <w:lang w:val="en-US"/>
        </w:rPr>
      </w:pPr>
    </w:p>
    <w:p w14:paraId="6B3FE1D2" w14:textId="77777777" w:rsidR="00EE5A18" w:rsidRPr="00E56EDA" w:rsidRDefault="00EE5A18" w:rsidP="00EE5A18">
      <w:pPr>
        <w:pBdr>
          <w:top w:val="nil"/>
          <w:left w:val="nil"/>
          <w:bottom w:val="nil"/>
          <w:right w:val="nil"/>
          <w:between w:val="nil"/>
        </w:pBdr>
        <w:tabs>
          <w:tab w:val="left" w:pos="0"/>
        </w:tabs>
        <w:spacing w:after="0" w:line="360" w:lineRule="auto"/>
        <w:jc w:val="center"/>
        <w:rPr>
          <w:rFonts w:asciiTheme="majorBidi" w:eastAsia="Times New Roman" w:hAnsiTheme="majorBidi" w:cstheme="majorBidi"/>
          <w:color w:val="000000" w:themeColor="text1"/>
          <w:lang w:val="en-GB"/>
        </w:rPr>
      </w:pPr>
    </w:p>
    <w:p w14:paraId="0CC7302D" w14:textId="77777777" w:rsidR="00EE5A18" w:rsidRPr="005E2681"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i/>
          <w:color w:val="000000" w:themeColor="text1"/>
          <w:lang w:val="en-US"/>
        </w:rPr>
      </w:pPr>
      <w:r w:rsidRPr="005E2681">
        <w:rPr>
          <w:rFonts w:asciiTheme="majorBidi" w:eastAsia="Times New Roman" w:hAnsiTheme="majorBidi" w:cstheme="majorBidi"/>
          <w:i/>
          <w:color w:val="000000" w:themeColor="text1"/>
          <w:lang w:val="en-US"/>
        </w:rPr>
        <w:t>2.5 Analytical methods</w:t>
      </w:r>
    </w:p>
    <w:p w14:paraId="508FDDA0" w14:textId="77777777" w:rsidR="00EE5A18" w:rsidRPr="005E2681"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i/>
          <w:color w:val="000000" w:themeColor="text1"/>
          <w:lang w:val="en-US"/>
        </w:rPr>
      </w:pPr>
    </w:p>
    <w:p w14:paraId="257FFD06" w14:textId="77777777" w:rsidR="00EE5A18" w:rsidRPr="005E2681" w:rsidRDefault="00EE5A18" w:rsidP="00EE5A18">
      <w:pPr>
        <w:spacing w:after="0" w:line="360" w:lineRule="auto"/>
        <w:jc w:val="both"/>
        <w:rPr>
          <w:rFonts w:asciiTheme="majorBidi" w:eastAsia="Times New Roman" w:hAnsiTheme="majorBidi" w:cstheme="majorBidi"/>
          <w:i/>
          <w:color w:val="000000" w:themeColor="text1"/>
          <w:lang w:val="en-US"/>
        </w:rPr>
      </w:pPr>
      <w:r w:rsidRPr="005E2681">
        <w:rPr>
          <w:rFonts w:asciiTheme="majorBidi" w:eastAsia="Times New Roman" w:hAnsiTheme="majorBidi" w:cstheme="majorBidi"/>
          <w:i/>
          <w:color w:val="000000" w:themeColor="text1"/>
          <w:lang w:val="en-US"/>
        </w:rPr>
        <w:t>Total phenolic compounds</w:t>
      </w:r>
    </w:p>
    <w:p w14:paraId="3A1A8D72" w14:textId="77777777" w:rsidR="00EE5A18" w:rsidRPr="00EE5A18" w:rsidRDefault="00EE5A18" w:rsidP="00EE5A18">
      <w:pPr>
        <w:pBdr>
          <w:top w:val="nil"/>
          <w:left w:val="nil"/>
          <w:bottom w:val="nil"/>
          <w:right w:val="nil"/>
          <w:between w:val="nil"/>
        </w:pBdr>
        <w:tabs>
          <w:tab w:val="left" w:pos="0"/>
        </w:tabs>
        <w:spacing w:after="0" w:line="360" w:lineRule="auto"/>
        <w:jc w:val="both"/>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Total phenol content was quantified by spectrophotometry with a gallic acid (GA) calibration curve, using the Folin-Ciocalteu method, expressing the results as mg GAE L</w:t>
      </w:r>
      <w:r w:rsidRPr="00EE5A18">
        <w:rPr>
          <w:rFonts w:asciiTheme="majorBidi" w:eastAsia="Times New Roman" w:hAnsiTheme="majorBidi" w:cstheme="majorBidi"/>
          <w:color w:val="000000" w:themeColor="text1"/>
          <w:vertAlign w:val="superscript"/>
          <w:lang w:val="en-US"/>
        </w:rPr>
        <w:t>-1</w:t>
      </w:r>
      <w:r w:rsidRPr="00EE5A18">
        <w:rPr>
          <w:rFonts w:asciiTheme="majorBidi" w:eastAsia="Times New Roman" w:hAnsiTheme="majorBidi" w:cstheme="majorBidi"/>
          <w:color w:val="000000" w:themeColor="text1"/>
          <w:lang w:val="en-US"/>
        </w:rPr>
        <w:t xml:space="preserve"> to leachate and mg GAE 100 g</w:t>
      </w:r>
      <w:r w:rsidRPr="00EE5A18">
        <w:rPr>
          <w:rFonts w:asciiTheme="majorBidi" w:eastAsia="Times New Roman" w:hAnsiTheme="majorBidi" w:cstheme="majorBidi"/>
          <w:color w:val="000000" w:themeColor="text1"/>
          <w:vertAlign w:val="superscript"/>
          <w:lang w:val="en-US"/>
        </w:rPr>
        <w:t>-1</w:t>
      </w:r>
      <w:r w:rsidRPr="00EE5A18">
        <w:rPr>
          <w:rFonts w:asciiTheme="majorBidi" w:eastAsia="Times New Roman" w:hAnsiTheme="majorBidi" w:cstheme="majorBidi"/>
          <w:color w:val="000000" w:themeColor="text1"/>
          <w:lang w:val="en-US"/>
        </w:rPr>
        <w:t xml:space="preserve"> of OMSW after treatment in SSF. Previous extractions were carried out for this determination using 5 g of OMSW and 5 mL of methanol-water (80:20 v/v). The mixture was stirred for 1 min in a vortex apparatus and centrifuged at 1200</w:t>
      </w:r>
      <w:r w:rsidRPr="00EE5A18">
        <w:rPr>
          <w:rFonts w:asciiTheme="majorBidi" w:eastAsia="Times New Roman" w:hAnsiTheme="majorBidi" w:cstheme="majorBidi"/>
          <w:i/>
          <w:color w:val="000000" w:themeColor="text1"/>
          <w:lang w:val="en-US"/>
        </w:rPr>
        <w:t>g</w:t>
      </w:r>
      <w:r w:rsidRPr="00EE5A18">
        <w:rPr>
          <w:rFonts w:asciiTheme="majorBidi" w:eastAsia="Times New Roman" w:hAnsiTheme="majorBidi" w:cstheme="majorBidi"/>
          <w:color w:val="000000" w:themeColor="text1"/>
          <w:lang w:val="en-US"/>
        </w:rPr>
        <w:t xml:space="preserve"> for 10 min</w:t>
      </w:r>
      <w:sdt>
        <w:sdtPr>
          <w:rPr>
            <w:rFonts w:asciiTheme="majorBidi" w:hAnsiTheme="majorBidi" w:cstheme="majorBidi"/>
            <w:color w:val="000000" w:themeColor="text1"/>
          </w:rPr>
          <w:tag w:val="goog_rdk_28"/>
          <w:id w:val="-1689286071"/>
        </w:sdtPr>
        <w:sdtEndPr/>
        <w:sdtContent>
          <w:r w:rsidRPr="00EE5A18">
            <w:rPr>
              <w:rFonts w:asciiTheme="majorBidi" w:eastAsia="Times New Roman" w:hAnsiTheme="majorBidi" w:cstheme="majorBidi"/>
              <w:color w:val="000000" w:themeColor="text1"/>
              <w:lang w:val="en-US"/>
            </w:rPr>
            <w:t>,</w:t>
          </w:r>
        </w:sdtContent>
      </w:sdt>
      <w:r w:rsidRPr="00EE5A18">
        <w:rPr>
          <w:rFonts w:asciiTheme="majorBidi" w:eastAsia="Times New Roman" w:hAnsiTheme="majorBidi" w:cstheme="majorBidi"/>
          <w:color w:val="000000" w:themeColor="text1"/>
          <w:lang w:val="en-US"/>
        </w:rPr>
        <w:t xml:space="preserve"> and the methanol phase was separated. Five extraction cycles were performed for each sample</w:t>
      </w:r>
      <w:sdt>
        <w:sdtPr>
          <w:rPr>
            <w:rFonts w:asciiTheme="majorBidi" w:hAnsiTheme="majorBidi" w:cstheme="majorBidi"/>
            <w:color w:val="000000" w:themeColor="text1"/>
          </w:rPr>
          <w:tag w:val="goog_rdk_29"/>
          <w:id w:val="1665047408"/>
        </w:sdtPr>
        <w:sdtEndPr/>
        <w:sdtContent>
          <w:r w:rsidRPr="00EE5A18">
            <w:rPr>
              <w:rFonts w:asciiTheme="majorBidi" w:eastAsia="Times New Roman" w:hAnsiTheme="majorBidi" w:cstheme="majorBidi"/>
              <w:color w:val="000000" w:themeColor="text1"/>
              <w:lang w:val="en-US"/>
            </w:rPr>
            <w:t>,</w:t>
          </w:r>
        </w:sdtContent>
      </w:sdt>
      <w:r w:rsidRPr="00EE5A18">
        <w:rPr>
          <w:rFonts w:asciiTheme="majorBidi" w:eastAsia="Times New Roman" w:hAnsiTheme="majorBidi" w:cstheme="majorBidi"/>
          <w:color w:val="000000" w:themeColor="text1"/>
          <w:lang w:val="en-US"/>
        </w:rPr>
        <w:t xml:space="preserve"> and the total volume obtained was mixed and used for analysis (García et al., 2016). For phenolic profile determination, samples were treated with a water-methanol-formic acid solution (24:25:1) and sonicated. They were left to stand for 24 h to sonicate, centrifuged, and filtered for further analysis. A Hitachi Primaide high-performance liquid chromatograph was used, coupled to a diode array detector (HPLC-DAD) equipped with a Kromasil® C18 column. The mobile phase was Milli-Q water acidified with 1% formic acid (A) and acetonitrile (B), with a flux of 1mL min</w:t>
      </w:r>
      <w:r w:rsidRPr="00EE5A18">
        <w:rPr>
          <w:rFonts w:asciiTheme="majorBidi" w:eastAsia="Times New Roman" w:hAnsiTheme="majorBidi" w:cstheme="majorBidi"/>
          <w:color w:val="000000" w:themeColor="text1"/>
          <w:vertAlign w:val="superscript"/>
          <w:lang w:val="en-US"/>
        </w:rPr>
        <w:t>-1</w:t>
      </w:r>
      <w:r w:rsidRPr="00EE5A18">
        <w:rPr>
          <w:rFonts w:asciiTheme="majorBidi" w:eastAsia="Times New Roman" w:hAnsiTheme="majorBidi" w:cstheme="majorBidi"/>
          <w:color w:val="000000" w:themeColor="text1"/>
          <w:lang w:val="en-US"/>
        </w:rPr>
        <w:t xml:space="preserve"> and </w:t>
      </w:r>
      <w:sdt>
        <w:sdtPr>
          <w:rPr>
            <w:rFonts w:asciiTheme="majorBidi" w:hAnsiTheme="majorBidi" w:cstheme="majorBidi"/>
            <w:color w:val="000000" w:themeColor="text1"/>
          </w:rPr>
          <w:tag w:val="goog_rdk_32"/>
          <w:id w:val="-1031109873"/>
        </w:sdtPr>
        <w:sdtEndPr/>
        <w:sdtContent>
          <w:r w:rsidRPr="00EE5A18">
            <w:rPr>
              <w:rFonts w:asciiTheme="majorBidi" w:eastAsia="Times New Roman" w:hAnsiTheme="majorBidi" w:cstheme="majorBidi"/>
              <w:color w:val="000000" w:themeColor="text1"/>
              <w:lang w:val="en-US"/>
            </w:rPr>
            <w:t xml:space="preserve">the </w:t>
          </w:r>
        </w:sdtContent>
      </w:sdt>
      <w:r w:rsidRPr="00EE5A18">
        <w:rPr>
          <w:rFonts w:asciiTheme="majorBidi" w:eastAsia="Times New Roman" w:hAnsiTheme="majorBidi" w:cstheme="majorBidi"/>
          <w:color w:val="000000" w:themeColor="text1"/>
          <w:lang w:val="en-US"/>
        </w:rPr>
        <w:t xml:space="preserve">injection volume used was 10 µL. </w:t>
      </w:r>
    </w:p>
    <w:p w14:paraId="27B12615"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color w:val="000000" w:themeColor="text1"/>
          <w:lang w:val="en-US"/>
        </w:rPr>
      </w:pPr>
    </w:p>
    <w:p w14:paraId="520EBB09"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i/>
          <w:color w:val="000000" w:themeColor="text1"/>
          <w:lang w:val="en-US"/>
        </w:rPr>
      </w:pPr>
      <w:r w:rsidRPr="00EE5A18">
        <w:rPr>
          <w:rFonts w:asciiTheme="majorBidi" w:eastAsia="Times New Roman" w:hAnsiTheme="majorBidi" w:cstheme="majorBidi"/>
          <w:i/>
          <w:color w:val="000000" w:themeColor="text1"/>
          <w:lang w:val="en-US"/>
        </w:rPr>
        <w:t>Lignin content</w:t>
      </w:r>
    </w:p>
    <w:p w14:paraId="1A2A2615" w14:textId="77777777" w:rsidR="00EE5A18" w:rsidRPr="00EE5A18" w:rsidRDefault="00EE5A18" w:rsidP="00EE5A18">
      <w:pPr>
        <w:pBdr>
          <w:top w:val="nil"/>
          <w:left w:val="nil"/>
          <w:bottom w:val="nil"/>
          <w:right w:val="nil"/>
          <w:between w:val="nil"/>
        </w:pBdr>
        <w:tabs>
          <w:tab w:val="left" w:pos="0"/>
        </w:tabs>
        <w:spacing w:after="0" w:line="360" w:lineRule="auto"/>
        <w:jc w:val="both"/>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 xml:space="preserve">The lignin content of OMSW was determined as acid-insoluble Klason lignin (TAPPI T222-om02) and acid-soluble lignin (TAPPI UM 250), according to the methodology described by </w:t>
      </w:r>
      <w:sdt>
        <w:sdtPr>
          <w:rPr>
            <w:rFonts w:asciiTheme="majorBidi" w:hAnsiTheme="majorBidi" w:cstheme="majorBidi"/>
            <w:color w:val="000000" w:themeColor="text1"/>
          </w:rPr>
          <w:tag w:val="goog_rdk_33"/>
          <w:id w:val="860087606"/>
        </w:sdtPr>
        <w:sdtEndPr/>
        <w:sdtContent/>
      </w:sdt>
      <w:r w:rsidRPr="00EE5A18">
        <w:rPr>
          <w:rFonts w:asciiTheme="majorBidi" w:eastAsia="Times New Roman" w:hAnsiTheme="majorBidi" w:cstheme="majorBidi"/>
          <w:color w:val="000000" w:themeColor="text1"/>
          <w:lang w:val="en-US"/>
        </w:rPr>
        <w:t xml:space="preserve">Dence and Lin (1992). The percentage of lignin degradation produced by fungi was calculated as the difference between initial lignin content in untreated OMSW and lignin content in fungal-treated OMSW adjusted for weight loss according to Eq. (1) as per </w:t>
      </w:r>
      <w:r w:rsidRPr="007E3A22">
        <w:rPr>
          <w:rFonts w:asciiTheme="majorBidi" w:eastAsia="Times New Roman" w:hAnsiTheme="majorBidi" w:cstheme="majorBidi"/>
          <w:color w:val="000000" w:themeColor="text1"/>
        </w:rPr>
        <w:fldChar w:fldCharType="begin" w:fldLock="1"/>
      </w:r>
      <w:r w:rsidRPr="00EE5A18">
        <w:rPr>
          <w:rFonts w:asciiTheme="majorBidi" w:eastAsia="Times New Roman" w:hAnsiTheme="majorBidi" w:cstheme="majorBidi"/>
          <w:color w:val="000000" w:themeColor="text1"/>
          <w:lang w:val="en-US"/>
        </w:rPr>
        <w:instrText>ADDIN CSL_CITATION {"citationItems":[{"id":"ITEM-1","itemData":{"DOI":"10.1016/j.wasman.2018.07.044","ISSN":"0956053X","abstract":"White-rot and brown-rot fungi have complementary mechanisms to selectively degrade lignin and holocellullose, respectively. Thereby, a fungal co-culture of a white-rot and a brown-rot fungal could result in ef</w:instrText>
      </w:r>
      <w:r w:rsidRPr="007E3A22">
        <w:rPr>
          <w:rFonts w:asciiTheme="majorBidi" w:eastAsia="Times New Roman" w:hAnsiTheme="majorBidi" w:cstheme="majorBidi"/>
          <w:color w:val="000000" w:themeColor="text1"/>
        </w:rPr>
        <w:instrText>ﬁ</w:instrText>
      </w:r>
      <w:r w:rsidRPr="00EE5A18">
        <w:rPr>
          <w:rFonts w:asciiTheme="majorBidi" w:eastAsia="Times New Roman" w:hAnsiTheme="majorBidi" w:cstheme="majorBidi"/>
          <w:color w:val="000000" w:themeColor="text1"/>
          <w:lang w:val="en-US"/>
        </w:rPr>
        <w:instrText>cient strategy for a mild lignocellulosic biomass pretreatment. In this work, single, sequential and coinoculation of the selective-lignin degrading white-rot fungus Ganoderma lobatum and the brown-rot fungus Gloeophyllum trabeum were evaluated as biological pretreatments of wheat straw to enhance enzymatic hydrolysis of cellulose. The single cultures of G. lobatum and G. trabeum exhibited preferential degradation of lignin and hemicellulose, respectively. The total crystallinity index decreased in samples pretreated with G. trabeum but not with G. lobatum. The pretreatment with single cultures of G. lobatum or G. trabeum increased glucose yields by 43.6% and 26.1% respectively compared to untreated straw. Although co-inoculation resulted in higher yields of glucose when compared with single cultures, only a slight synergistic effect between fungi was observed. Contrary, the sequential inoculation of G. lobatum incubated for 10 days followed by G. trabeum incubated for 10 days more showed a strong synergic effect on enzymatic hydrolysis. This sequential culture showed the highest glucose yield (191.5 mg gÀ1 wheat straw), 2.8-fold higher than untreated wheat straw, and 140–150% higher than the single-cultures of G. lobatum and G. trabeum, respectively.","author":[{"dropping-particle":"","family":"Hermosilla","given":"Edward","non-dropping-particle":"","parse-names":false,"suffix":""},{"dropping-particle":"","family":"Rubilar","given":"Olga","non-dropping-particle":"","parse-names":false,"suffix":""},{"dropping-particle":"","family":"Schalchli","given":"Heidi","non-dropping-particle":"","parse-names":false,"suffix":""},{"dropping-particle":"","family":"Silva","given":"Ayla Sant'Ana","non-dropping-particle":"da","parse-names":false,"suffix":""},{"dropping-particle":"","family":"Ferreira-Leitao","given":"Viridiana","non-dropping-particle":"","parse-names":false,"suffix":""},{"dropping-particle":"","family":"Diez","given":"María Cristina","non-dropping-particle":"","parse-names":false,"suffix":""}],"container-title":"Waste Management","id":"ITEM-1","issued":{"date-parts":[["2018","3","11"]]},"language":"en","page":"240-250","title":"Sequential white-rot and brown-rot fungal pretreatment of wheat straw as a promising alternative for complementary mild treatments","type":"article-journal","volume":"79"},"uris":["http://www.mendeley.com/documents/?uuid=7e50e271-7917-471b-b8ae-6a7ed672e783"]}],"mendeley":{"formattedCitation":"(Hermosilla et al., 2018)","manualFormatting":"Hermosilla et al., (2018)","plainTextFormattedCitation":"(Hermosilla et al., 2018)","previouslyFormattedCitation":"(Hermosilla et al., 2018)"},"properties":{"noteIndex":0},"schema":"https://github.com/citation-style-language/schema/raw/master/csl-citation.json"}</w:instrText>
      </w:r>
      <w:r w:rsidRPr="007E3A22">
        <w:rPr>
          <w:rFonts w:asciiTheme="majorBidi" w:eastAsia="Times New Roman" w:hAnsiTheme="majorBidi" w:cstheme="majorBidi"/>
          <w:color w:val="000000" w:themeColor="text1"/>
        </w:rPr>
        <w:fldChar w:fldCharType="separate"/>
      </w:r>
      <w:r w:rsidRPr="00EE5A18">
        <w:rPr>
          <w:rFonts w:asciiTheme="majorBidi" w:eastAsia="Times New Roman" w:hAnsiTheme="majorBidi" w:cstheme="majorBidi"/>
          <w:color w:val="000000" w:themeColor="text1"/>
          <w:lang w:val="en-US"/>
        </w:rPr>
        <w:t>Hermosilla et al. (2018)</w:t>
      </w:r>
      <w:r w:rsidRPr="007E3A22">
        <w:rPr>
          <w:rFonts w:asciiTheme="majorBidi" w:eastAsia="Times New Roman" w:hAnsiTheme="majorBidi" w:cstheme="majorBidi"/>
          <w:color w:val="000000" w:themeColor="text1"/>
        </w:rPr>
        <w:fldChar w:fldCharType="end"/>
      </w:r>
      <w:r w:rsidRPr="00EE5A18">
        <w:rPr>
          <w:rFonts w:asciiTheme="majorBidi" w:eastAsia="Times New Roman" w:hAnsiTheme="majorBidi" w:cstheme="majorBidi"/>
          <w:color w:val="000000" w:themeColor="text1"/>
          <w:lang w:val="en-US"/>
        </w:rPr>
        <w:t xml:space="preserve">: </w:t>
      </w:r>
    </w:p>
    <w:p w14:paraId="5E03B6FD"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color w:val="000000" w:themeColor="text1"/>
          <w:lang w:val="en-US"/>
        </w:rPr>
      </w:pPr>
    </w:p>
    <w:p w14:paraId="4F8FED10" w14:textId="77777777" w:rsidR="00EE5A18" w:rsidRPr="00EE5A18" w:rsidRDefault="00EE5A18" w:rsidP="00EE5A18">
      <w:pPr>
        <w:spacing w:after="0"/>
        <w:jc w:val="center"/>
        <w:rPr>
          <w:rFonts w:asciiTheme="majorBidi" w:eastAsia="Cambria Math" w:hAnsiTheme="majorBidi" w:cstheme="majorBidi"/>
          <w:color w:val="000000" w:themeColor="text1"/>
          <w:lang w:val="en-US"/>
        </w:rPr>
      </w:pPr>
      <m:oMath>
        <m:r>
          <w:rPr>
            <w:rFonts w:ascii="Cambria Math" w:eastAsia="Cambria Math" w:hAnsi="Cambria Math" w:cstheme="majorBidi"/>
            <w:color w:val="000000" w:themeColor="text1"/>
          </w:rPr>
          <w:lastRenderedPageBreak/>
          <m:t>Lignin</m:t>
        </m:r>
        <m:r>
          <w:rPr>
            <w:rFonts w:ascii="Cambria Math" w:eastAsia="Cambria Math" w:hAnsi="Cambria Math" w:cstheme="majorBidi"/>
            <w:color w:val="000000" w:themeColor="text1"/>
            <w:lang w:val="en-US"/>
          </w:rPr>
          <m:t xml:space="preserve"> </m:t>
        </m:r>
        <m:r>
          <w:rPr>
            <w:rFonts w:ascii="Cambria Math" w:eastAsia="Cambria Math" w:hAnsi="Cambria Math" w:cstheme="majorBidi"/>
            <w:color w:val="000000" w:themeColor="text1"/>
          </w:rPr>
          <m:t>content</m:t>
        </m:r>
        <m:r>
          <w:rPr>
            <w:rFonts w:ascii="Cambria Math" w:eastAsia="Cambria Math" w:hAnsi="Cambria Math" w:cstheme="majorBidi"/>
            <w:color w:val="000000" w:themeColor="text1"/>
            <w:lang w:val="en-US"/>
          </w:rPr>
          <m:t xml:space="preserve"> </m:t>
        </m:r>
        <m:d>
          <m:dPr>
            <m:ctrlPr>
              <w:rPr>
                <w:rFonts w:ascii="Cambria Math" w:eastAsia="Cambria Math" w:hAnsi="Cambria Math" w:cstheme="majorBidi"/>
                <w:color w:val="000000" w:themeColor="text1"/>
              </w:rPr>
            </m:ctrlPr>
          </m:dPr>
          <m:e>
            <m:r>
              <w:rPr>
                <w:rFonts w:ascii="Cambria Math" w:eastAsia="Cambria Math" w:hAnsi="Cambria Math" w:cstheme="majorBidi"/>
                <w:color w:val="000000" w:themeColor="text1"/>
                <w:lang w:val="en-US"/>
              </w:rPr>
              <m:t>%</m:t>
            </m:r>
          </m:e>
        </m:d>
        <m:r>
          <w:rPr>
            <w:rFonts w:ascii="Cambria Math" w:eastAsia="Cambria Math" w:hAnsi="Cambria Math" w:cstheme="majorBidi"/>
            <w:color w:val="000000" w:themeColor="text1"/>
            <w:lang w:val="en-US"/>
          </w:rPr>
          <m:t>=</m:t>
        </m:r>
        <m:f>
          <m:fPr>
            <m:ctrlPr>
              <w:rPr>
                <w:rFonts w:ascii="Cambria Math" w:eastAsia="Cambria Math" w:hAnsi="Cambria Math" w:cstheme="majorBidi"/>
                <w:color w:val="000000" w:themeColor="text1"/>
              </w:rPr>
            </m:ctrlPr>
          </m:fPr>
          <m:num>
            <m:d>
              <m:dPr>
                <m:ctrlPr>
                  <w:rPr>
                    <w:rFonts w:ascii="Cambria Math" w:eastAsia="Cambria Math" w:hAnsi="Cambria Math" w:cstheme="majorBidi"/>
                    <w:color w:val="000000" w:themeColor="text1"/>
                  </w:rPr>
                </m:ctrlPr>
              </m:dPr>
              <m:e>
                <m:r>
                  <w:rPr>
                    <w:rFonts w:ascii="Cambria Math" w:eastAsia="Cambria Math" w:hAnsi="Cambria Math" w:cstheme="majorBidi"/>
                    <w:color w:val="000000" w:themeColor="text1"/>
                    <w:lang w:val="en-US"/>
                  </w:rPr>
                  <m:t>1-</m:t>
                </m:r>
                <m:r>
                  <w:rPr>
                    <w:rFonts w:ascii="Cambria Math" w:eastAsia="Cambria Math" w:hAnsi="Cambria Math" w:cstheme="majorBidi"/>
                    <w:color w:val="000000" w:themeColor="text1"/>
                  </w:rPr>
                  <m:t>W</m:t>
                </m:r>
                <m:d>
                  <m:dPr>
                    <m:ctrlPr>
                      <w:rPr>
                        <w:rFonts w:ascii="Cambria Math" w:eastAsia="Cambria Math" w:hAnsi="Cambria Math" w:cstheme="majorBidi"/>
                        <w:color w:val="000000" w:themeColor="text1"/>
                      </w:rPr>
                    </m:ctrlPr>
                  </m:dPr>
                  <m:e>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L</m:t>
                        </m:r>
                      </m:e>
                      <m:sub>
                        <m:r>
                          <w:rPr>
                            <w:rFonts w:ascii="Cambria Math" w:eastAsia="Cambria Math" w:hAnsi="Cambria Math" w:cstheme="majorBidi"/>
                            <w:color w:val="000000" w:themeColor="text1"/>
                          </w:rPr>
                          <m:t>f</m:t>
                        </m:r>
                      </m:sub>
                    </m:sSub>
                  </m:e>
                </m:d>
              </m:e>
            </m:d>
          </m:num>
          <m:den>
            <m:d>
              <m:dPr>
                <m:ctrlPr>
                  <w:rPr>
                    <w:rFonts w:ascii="Cambria Math" w:eastAsia="Cambria Math" w:hAnsi="Cambria Math" w:cstheme="majorBidi"/>
                    <w:color w:val="000000" w:themeColor="text1"/>
                  </w:rPr>
                </m:ctrlPr>
              </m:dPr>
              <m:e>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W</m:t>
                    </m:r>
                  </m:e>
                  <m:sub>
                    <m:r>
                      <w:rPr>
                        <w:rFonts w:ascii="Cambria Math" w:eastAsia="Cambria Math" w:hAnsi="Cambria Math" w:cstheme="majorBidi"/>
                        <w:color w:val="000000" w:themeColor="text1"/>
                        <w:lang w:val="en-US"/>
                      </w:rPr>
                      <m:t>0</m:t>
                    </m:r>
                  </m:sub>
                </m:sSub>
                <m:d>
                  <m:dPr>
                    <m:ctrlPr>
                      <w:rPr>
                        <w:rFonts w:ascii="Cambria Math" w:eastAsia="Cambria Math" w:hAnsi="Cambria Math" w:cstheme="majorBidi"/>
                        <w:color w:val="000000" w:themeColor="text1"/>
                      </w:rPr>
                    </m:ctrlPr>
                  </m:dPr>
                  <m:e>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L</m:t>
                        </m:r>
                      </m:e>
                      <m:sub>
                        <m:r>
                          <w:rPr>
                            <w:rFonts w:ascii="Cambria Math" w:eastAsia="Cambria Math" w:hAnsi="Cambria Math" w:cstheme="majorBidi"/>
                            <w:color w:val="000000" w:themeColor="text1"/>
                            <w:lang w:val="en-US"/>
                          </w:rPr>
                          <m:t>0</m:t>
                        </m:r>
                      </m:sub>
                    </m:sSub>
                  </m:e>
                </m:d>
              </m:e>
            </m:d>
          </m:den>
        </m:f>
        <m:r>
          <w:rPr>
            <w:rFonts w:ascii="Cambria Math" w:eastAsia="Cambria Math" w:hAnsi="Cambria Math" w:cstheme="majorBidi"/>
            <w:color w:val="000000" w:themeColor="text1"/>
          </w:rPr>
          <m:t>x</m:t>
        </m:r>
        <m:r>
          <w:rPr>
            <w:rFonts w:ascii="Cambria Math" w:eastAsia="Cambria Math" w:hAnsi="Cambria Math" w:cstheme="majorBidi"/>
            <w:color w:val="000000" w:themeColor="text1"/>
            <w:lang w:val="en-US"/>
          </w:rPr>
          <m:t>100</m:t>
        </m:r>
      </m:oMath>
      <w:r w:rsidRPr="00EE5A18">
        <w:rPr>
          <w:rFonts w:asciiTheme="majorBidi" w:eastAsia="Cambria Math" w:hAnsiTheme="majorBidi" w:cstheme="majorBidi"/>
          <w:color w:val="000000" w:themeColor="text1"/>
          <w:lang w:val="en-US"/>
        </w:rPr>
        <w:t xml:space="preserve">          </w:t>
      </w:r>
      <w:r w:rsidRPr="00EE5A18">
        <w:rPr>
          <w:rFonts w:asciiTheme="majorBidi" w:eastAsia="Times New Roman" w:hAnsiTheme="majorBidi" w:cstheme="majorBidi"/>
          <w:color w:val="000000" w:themeColor="text1"/>
          <w:lang w:val="en-US"/>
        </w:rPr>
        <w:t>Eq. (1)</w:t>
      </w:r>
    </w:p>
    <w:p w14:paraId="5F8660E4" w14:textId="77777777" w:rsidR="00EE5A18" w:rsidRPr="00EE5A18" w:rsidRDefault="00EE5A18" w:rsidP="00EE5A18">
      <w:pPr>
        <w:pBdr>
          <w:top w:val="nil"/>
          <w:left w:val="nil"/>
          <w:bottom w:val="nil"/>
          <w:right w:val="nil"/>
          <w:between w:val="nil"/>
        </w:pBdr>
        <w:tabs>
          <w:tab w:val="left" w:pos="0"/>
        </w:tabs>
        <w:spacing w:after="0" w:line="360" w:lineRule="auto"/>
        <w:ind w:left="2608"/>
        <w:rPr>
          <w:rFonts w:asciiTheme="majorBidi" w:eastAsia="Times New Roman" w:hAnsiTheme="majorBidi" w:cstheme="majorBidi"/>
          <w:color w:val="000000" w:themeColor="text1"/>
          <w:lang w:val="en-US"/>
        </w:rPr>
      </w:pPr>
    </w:p>
    <w:p w14:paraId="4140021D"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where,</w:t>
      </w:r>
    </w:p>
    <w:p w14:paraId="4F9DF2F8"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L</w:t>
      </w:r>
      <w:r w:rsidRPr="00EE5A18">
        <w:rPr>
          <w:rFonts w:asciiTheme="majorBidi" w:eastAsia="Times New Roman" w:hAnsiTheme="majorBidi" w:cstheme="majorBidi"/>
          <w:color w:val="000000" w:themeColor="text1"/>
          <w:vertAlign w:val="subscript"/>
          <w:lang w:val="en-US"/>
        </w:rPr>
        <w:t>0</w:t>
      </w:r>
      <w:r w:rsidRPr="00EE5A18">
        <w:rPr>
          <w:rFonts w:asciiTheme="majorBidi" w:eastAsia="Times New Roman" w:hAnsiTheme="majorBidi" w:cstheme="majorBidi"/>
          <w:color w:val="000000" w:themeColor="text1"/>
          <w:lang w:val="en-US"/>
        </w:rPr>
        <w:t>: lignin content in untreated OMSW (%)</w:t>
      </w:r>
    </w:p>
    <w:p w14:paraId="797EE52A"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L</w:t>
      </w:r>
      <w:r w:rsidRPr="00EE5A18">
        <w:rPr>
          <w:rFonts w:asciiTheme="majorBidi" w:eastAsia="Times New Roman" w:hAnsiTheme="majorBidi" w:cstheme="majorBidi"/>
          <w:color w:val="000000" w:themeColor="text1"/>
          <w:vertAlign w:val="subscript"/>
          <w:lang w:val="en-US"/>
        </w:rPr>
        <w:t>f</w:t>
      </w:r>
      <w:r w:rsidRPr="00EE5A18">
        <w:rPr>
          <w:rFonts w:asciiTheme="majorBidi" w:eastAsia="Times New Roman" w:hAnsiTheme="majorBidi" w:cstheme="majorBidi"/>
          <w:color w:val="000000" w:themeColor="text1"/>
          <w:lang w:val="en-US"/>
        </w:rPr>
        <w:t>: lignin content in OMSW after fungal treatment (%)</w:t>
      </w:r>
    </w:p>
    <w:p w14:paraId="142A6AA1"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W: dry weight of OMSW after fungal treatment (g)</w:t>
      </w:r>
    </w:p>
    <w:p w14:paraId="3A496B65" w14:textId="77777777" w:rsidR="00EE5A18" w:rsidRPr="00EE5A18" w:rsidRDefault="00EE5A18" w:rsidP="00EE5A18">
      <w:pPr>
        <w:pBdr>
          <w:top w:val="nil"/>
          <w:left w:val="nil"/>
          <w:bottom w:val="nil"/>
          <w:right w:val="nil"/>
          <w:between w:val="nil"/>
        </w:pBdr>
        <w:tabs>
          <w:tab w:val="left" w:pos="0"/>
        </w:tabs>
        <w:spacing w:after="0" w:line="360" w:lineRule="auto"/>
        <w:rPr>
          <w:rFonts w:asciiTheme="majorBidi" w:eastAsia="Times New Roman" w:hAnsiTheme="majorBidi" w:cstheme="majorBidi"/>
          <w:color w:val="000000" w:themeColor="text1"/>
          <w:lang w:val="en-US"/>
        </w:rPr>
      </w:pPr>
      <w:r w:rsidRPr="00EE5A18">
        <w:rPr>
          <w:rFonts w:asciiTheme="majorBidi" w:eastAsia="Times New Roman" w:hAnsiTheme="majorBidi" w:cstheme="majorBidi"/>
          <w:color w:val="000000" w:themeColor="text1"/>
          <w:lang w:val="en-US"/>
        </w:rPr>
        <w:t>W</w:t>
      </w:r>
      <w:r w:rsidRPr="00EE5A18">
        <w:rPr>
          <w:rFonts w:asciiTheme="majorBidi" w:eastAsia="Times New Roman" w:hAnsiTheme="majorBidi" w:cstheme="majorBidi"/>
          <w:color w:val="000000" w:themeColor="text1"/>
          <w:vertAlign w:val="subscript"/>
          <w:lang w:val="en-US"/>
        </w:rPr>
        <w:t>0</w:t>
      </w:r>
      <w:r w:rsidRPr="00EE5A18">
        <w:rPr>
          <w:rFonts w:asciiTheme="majorBidi" w:eastAsia="Times New Roman" w:hAnsiTheme="majorBidi" w:cstheme="majorBidi"/>
          <w:color w:val="000000" w:themeColor="text1"/>
          <w:lang w:val="en-US"/>
        </w:rPr>
        <w:t>: dry weight of OMSW untreated (g)</w:t>
      </w:r>
    </w:p>
    <w:p w14:paraId="2DB99558" w14:textId="77777777" w:rsidR="00EE5A18" w:rsidRDefault="00EE5A18" w:rsidP="00EE5A18">
      <w:pPr>
        <w:spacing w:line="480" w:lineRule="auto"/>
        <w:rPr>
          <w:rFonts w:ascii="Times New Roman" w:hAnsi="Times New Roman" w:cs="Times New Roman"/>
          <w:lang w:val="en-US"/>
        </w:rPr>
      </w:pPr>
    </w:p>
    <w:p w14:paraId="3C68D475" w14:textId="076FDADF" w:rsidR="00F264F1" w:rsidRPr="00F264F1" w:rsidRDefault="00F264F1" w:rsidP="00EE5A18">
      <w:pPr>
        <w:spacing w:line="480" w:lineRule="auto"/>
        <w:rPr>
          <w:rFonts w:ascii="Times New Roman" w:hAnsi="Times New Roman" w:cs="Times New Roman"/>
          <w:b/>
          <w:bCs/>
          <w:lang w:val="en-US"/>
        </w:rPr>
      </w:pPr>
      <w:r w:rsidRPr="00F264F1">
        <w:rPr>
          <w:rFonts w:ascii="Times New Roman" w:hAnsi="Times New Roman" w:cs="Times New Roman"/>
          <w:b/>
          <w:bCs/>
          <w:lang w:val="en-US"/>
        </w:rPr>
        <w:t>References</w:t>
      </w:r>
    </w:p>
    <w:p w14:paraId="56FB7A75" w14:textId="77777777" w:rsidR="00F264F1" w:rsidRDefault="00F264F1" w:rsidP="00F264F1">
      <w:pPr>
        <w:spacing w:line="480" w:lineRule="auto"/>
        <w:ind w:left="709" w:hanging="709"/>
        <w:jc w:val="both"/>
        <w:rPr>
          <w:rFonts w:ascii="Times New Roman" w:hAnsi="Times New Roman" w:cs="Times New Roman"/>
          <w:lang w:val="en-US"/>
        </w:rPr>
      </w:pPr>
      <w:r w:rsidRPr="00F264F1">
        <w:rPr>
          <w:rFonts w:ascii="Times New Roman" w:hAnsi="Times New Roman" w:cs="Times New Roman"/>
        </w:rPr>
        <w:t xml:space="preserve">Benavides, V., Pinto-Ibieta, F., Serrano, A., Rubilar, O., &amp; Ciudad, G. (2022). </w:t>
      </w:r>
      <w:r w:rsidRPr="00F264F1">
        <w:rPr>
          <w:rFonts w:ascii="Times New Roman" w:hAnsi="Times New Roman" w:cs="Times New Roman"/>
          <w:lang w:val="en-US"/>
        </w:rPr>
        <w:t>Use of Anthracophyllum Discolor and Stereum Hirsutum as a Suitable Strategy for Delignification and Phenolic Removal of Olive Mill Solid Waste. Foods, 11(11). https:  doi.org 10.3390 foods11111587</w:t>
      </w:r>
    </w:p>
    <w:p w14:paraId="6FD8BEE6" w14:textId="7542A801" w:rsidR="00F264F1" w:rsidRDefault="00F264F1" w:rsidP="00F264F1">
      <w:pPr>
        <w:spacing w:line="480" w:lineRule="auto"/>
        <w:ind w:left="709" w:hanging="709"/>
        <w:jc w:val="both"/>
        <w:rPr>
          <w:rFonts w:ascii="Times New Roman" w:hAnsi="Times New Roman" w:cs="Times New Roman"/>
          <w:lang w:val="en-US"/>
        </w:rPr>
      </w:pPr>
      <w:r w:rsidRPr="00E56EDA">
        <w:rPr>
          <w:rFonts w:ascii="Times New Roman" w:hAnsi="Times New Roman" w:cs="Times New Roman"/>
          <w:lang w:val="en-US"/>
        </w:rPr>
        <w:t xml:space="preserve">García, A., Rodríguez-Juan, E., Rodríguez-Gutiérrez, G., Rios, J.J., Fernández-Bolaños, J. (2016). </w:t>
      </w:r>
      <w:r w:rsidRPr="00F264F1">
        <w:rPr>
          <w:rFonts w:ascii="Times New Roman" w:hAnsi="Times New Roman" w:cs="Times New Roman"/>
          <w:lang w:val="en-US"/>
        </w:rPr>
        <w:t>Extraction of phenolic compounds from virgin olive oil by deep eutectic solvents (DESs)</w:t>
      </w:r>
      <w:r>
        <w:rPr>
          <w:rFonts w:ascii="Times New Roman" w:hAnsi="Times New Roman" w:cs="Times New Roman"/>
          <w:lang w:val="en-US"/>
        </w:rPr>
        <w:t>.</w:t>
      </w:r>
      <w:r w:rsidRPr="00F264F1">
        <w:rPr>
          <w:rFonts w:ascii="Times New Roman" w:hAnsi="Times New Roman" w:cs="Times New Roman"/>
          <w:lang w:val="en-US"/>
        </w:rPr>
        <w:t xml:space="preserve"> Food Chemistry</w:t>
      </w:r>
      <w:r>
        <w:rPr>
          <w:rFonts w:ascii="Times New Roman" w:hAnsi="Times New Roman" w:cs="Times New Roman"/>
          <w:lang w:val="en-US"/>
        </w:rPr>
        <w:t>,</w:t>
      </w:r>
      <w:r w:rsidRPr="00F264F1">
        <w:rPr>
          <w:rFonts w:ascii="Times New Roman" w:hAnsi="Times New Roman" w:cs="Times New Roman"/>
          <w:lang w:val="en-US"/>
        </w:rPr>
        <w:t xml:space="preserve"> 197</w:t>
      </w:r>
      <w:r>
        <w:rPr>
          <w:rFonts w:ascii="Times New Roman" w:hAnsi="Times New Roman" w:cs="Times New Roman"/>
          <w:lang w:val="en-US"/>
        </w:rPr>
        <w:t xml:space="preserve">, </w:t>
      </w:r>
      <w:r w:rsidRPr="00F264F1">
        <w:rPr>
          <w:rFonts w:ascii="Times New Roman" w:hAnsi="Times New Roman" w:cs="Times New Roman"/>
          <w:lang w:val="en-US"/>
        </w:rPr>
        <w:t>554-561.</w:t>
      </w:r>
    </w:p>
    <w:p w14:paraId="19DA6F3B" w14:textId="417991BC" w:rsidR="00F264F1" w:rsidRPr="00F264F1" w:rsidRDefault="00F264F1" w:rsidP="00F264F1">
      <w:pPr>
        <w:spacing w:line="480" w:lineRule="auto"/>
        <w:ind w:left="709" w:hanging="709"/>
        <w:jc w:val="both"/>
        <w:rPr>
          <w:rFonts w:ascii="Times New Roman" w:hAnsi="Times New Roman" w:cs="Times New Roman"/>
          <w:lang w:val="en-US"/>
        </w:rPr>
      </w:pPr>
      <w:r w:rsidRPr="00613D94">
        <w:rPr>
          <w:rFonts w:ascii="Times New Roman" w:hAnsi="Times New Roman" w:cs="Times New Roman"/>
          <w:color w:val="000000" w:themeColor="text1"/>
        </w:rPr>
        <w:t xml:space="preserve">Hermosilla, E., Rubilar, O., Schalchli, H., da Silva, A. S., Ferreira-Leitao, V., &amp; Diez, M. C. (2018). </w:t>
      </w:r>
      <w:r w:rsidRPr="00F264F1">
        <w:rPr>
          <w:rFonts w:ascii="Times New Roman" w:hAnsi="Times New Roman" w:cs="Times New Roman"/>
          <w:color w:val="000000" w:themeColor="text1"/>
          <w:lang w:val="en-US"/>
        </w:rPr>
        <w:t xml:space="preserve">Sequential white-rot and brown-rot fungal pretreatment of wheat straw as a promising alternative for complementary mild treatments. </w:t>
      </w:r>
      <w:r w:rsidRPr="00613D94">
        <w:rPr>
          <w:rFonts w:ascii="Times New Roman" w:hAnsi="Times New Roman" w:cs="Times New Roman"/>
          <w:i/>
          <w:iCs/>
          <w:color w:val="000000" w:themeColor="text1"/>
        </w:rPr>
        <w:t>Waste Management</w:t>
      </w:r>
      <w:r w:rsidRPr="00613D94">
        <w:rPr>
          <w:rFonts w:ascii="Times New Roman" w:hAnsi="Times New Roman" w:cs="Times New Roman"/>
          <w:color w:val="000000" w:themeColor="text1"/>
        </w:rPr>
        <w:t xml:space="preserve">, </w:t>
      </w:r>
      <w:r w:rsidRPr="00613D94">
        <w:rPr>
          <w:rFonts w:ascii="Times New Roman" w:hAnsi="Times New Roman" w:cs="Times New Roman"/>
          <w:i/>
          <w:iCs/>
          <w:color w:val="000000" w:themeColor="text1"/>
        </w:rPr>
        <w:t>79</w:t>
      </w:r>
      <w:r w:rsidRPr="00613D94">
        <w:rPr>
          <w:rFonts w:ascii="Times New Roman" w:hAnsi="Times New Roman" w:cs="Times New Roman"/>
          <w:color w:val="000000" w:themeColor="text1"/>
        </w:rPr>
        <w:t>, 240–250. https:  doi.org 10.1016 j.wasman.2018.07.044</w:t>
      </w:r>
    </w:p>
    <w:p w14:paraId="5E48AD5A" w14:textId="72F0C5A0" w:rsidR="00F264F1" w:rsidRPr="00EE5A18" w:rsidRDefault="00F264F1" w:rsidP="00F264F1">
      <w:pPr>
        <w:spacing w:line="480" w:lineRule="auto"/>
        <w:rPr>
          <w:rFonts w:ascii="Times New Roman" w:hAnsi="Times New Roman" w:cs="Times New Roman"/>
          <w:lang w:val="en-US"/>
        </w:rPr>
      </w:pPr>
    </w:p>
    <w:sectPr w:rsidR="00F264F1" w:rsidRPr="00EE5A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18"/>
    <w:rsid w:val="005E2681"/>
    <w:rsid w:val="008B2F45"/>
    <w:rsid w:val="00E56EDA"/>
    <w:rsid w:val="00E96662"/>
    <w:rsid w:val="00EE5A18"/>
    <w:rsid w:val="00F264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E430D"/>
  <w15:chartTrackingRefBased/>
  <w15:docId w15:val="{AF611722-A8A2-4C6D-9CA7-1584A9A1A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5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5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5A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5A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5A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5A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5A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5A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5A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5A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E5A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E5A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E5A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E5A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E5A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E5A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E5A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E5A18"/>
    <w:rPr>
      <w:rFonts w:eastAsiaTheme="majorEastAsia" w:cstheme="majorBidi"/>
      <w:color w:val="272727" w:themeColor="text1" w:themeTint="D8"/>
    </w:rPr>
  </w:style>
  <w:style w:type="paragraph" w:styleId="Ttulo">
    <w:name w:val="Title"/>
    <w:basedOn w:val="Normal"/>
    <w:next w:val="Normal"/>
    <w:link w:val="TtuloCar"/>
    <w:uiPriority w:val="10"/>
    <w:qFormat/>
    <w:rsid w:val="00EE5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5A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E5A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5A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E5A18"/>
    <w:pPr>
      <w:spacing w:before="160"/>
      <w:jc w:val="center"/>
    </w:pPr>
    <w:rPr>
      <w:i/>
      <w:iCs/>
      <w:color w:val="404040" w:themeColor="text1" w:themeTint="BF"/>
    </w:rPr>
  </w:style>
  <w:style w:type="character" w:customStyle="1" w:styleId="CitaCar">
    <w:name w:val="Cita Car"/>
    <w:basedOn w:val="Fuentedeprrafopredeter"/>
    <w:link w:val="Cita"/>
    <w:uiPriority w:val="29"/>
    <w:rsid w:val="00EE5A18"/>
    <w:rPr>
      <w:i/>
      <w:iCs/>
      <w:color w:val="404040" w:themeColor="text1" w:themeTint="BF"/>
    </w:rPr>
  </w:style>
  <w:style w:type="paragraph" w:styleId="Prrafodelista">
    <w:name w:val="List Paragraph"/>
    <w:basedOn w:val="Normal"/>
    <w:uiPriority w:val="34"/>
    <w:qFormat/>
    <w:rsid w:val="00EE5A18"/>
    <w:pPr>
      <w:ind w:left="720"/>
      <w:contextualSpacing/>
    </w:pPr>
  </w:style>
  <w:style w:type="character" w:styleId="nfasisintenso">
    <w:name w:val="Intense Emphasis"/>
    <w:basedOn w:val="Fuentedeprrafopredeter"/>
    <w:uiPriority w:val="21"/>
    <w:qFormat/>
    <w:rsid w:val="00EE5A18"/>
    <w:rPr>
      <w:i/>
      <w:iCs/>
      <w:color w:val="0F4761" w:themeColor="accent1" w:themeShade="BF"/>
    </w:rPr>
  </w:style>
  <w:style w:type="paragraph" w:styleId="Citadestacada">
    <w:name w:val="Intense Quote"/>
    <w:basedOn w:val="Normal"/>
    <w:next w:val="Normal"/>
    <w:link w:val="CitadestacadaCar"/>
    <w:uiPriority w:val="30"/>
    <w:qFormat/>
    <w:rsid w:val="00EE5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5A18"/>
    <w:rPr>
      <w:i/>
      <w:iCs/>
      <w:color w:val="0F4761" w:themeColor="accent1" w:themeShade="BF"/>
    </w:rPr>
  </w:style>
  <w:style w:type="character" w:styleId="Referenciaintensa">
    <w:name w:val="Intense Reference"/>
    <w:basedOn w:val="Fuentedeprrafopredeter"/>
    <w:uiPriority w:val="32"/>
    <w:qFormat/>
    <w:rsid w:val="00EE5A18"/>
    <w:rPr>
      <w:b/>
      <w:bCs/>
      <w:smallCaps/>
      <w:color w:val="0F4761" w:themeColor="accent1" w:themeShade="BF"/>
      <w:spacing w:val="5"/>
    </w:rPr>
  </w:style>
  <w:style w:type="character" w:styleId="Hipervnculo">
    <w:name w:val="Hyperlink"/>
    <w:basedOn w:val="Fuentedeprrafopredeter"/>
    <w:uiPriority w:val="99"/>
    <w:unhideWhenUsed/>
    <w:rsid w:val="00EE5A1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stavo.ciudad@ufrontera.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1195</Words>
  <Characters>6728</Characters>
  <Application>Microsoft Office Word</Application>
  <DocSecurity>0</DocSecurity>
  <Lines>146</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SERRANO MORAL</dc:creator>
  <cp:keywords/>
  <dc:description/>
  <cp:lastModifiedBy>fernanda pinto</cp:lastModifiedBy>
  <cp:revision>4</cp:revision>
  <dcterms:created xsi:type="dcterms:W3CDTF">2024-02-09T11:08:00Z</dcterms:created>
  <dcterms:modified xsi:type="dcterms:W3CDTF">2024-11-21T14:03:00Z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fa4ea42c036737f764f560c784c9104ab62c68589633ff045183f1eca34cb890</vt:lpwstr>
  </property>
</Properties>
</file>